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354FC" w14:textId="692F7392" w:rsidR="00C65FE8" w:rsidRPr="007741AC" w:rsidRDefault="00C65FE8" w:rsidP="001D47CA">
      <w:pPr>
        <w:spacing w:line="480" w:lineRule="auto"/>
        <w:rPr>
          <w:rFonts w:ascii="Arial Narrow" w:hAnsi="Arial Narrow"/>
          <w:b/>
          <w:sz w:val="32"/>
          <w:szCs w:val="32"/>
        </w:rPr>
      </w:pPr>
      <w:r w:rsidRPr="007741AC">
        <w:rPr>
          <w:rFonts w:ascii="Arial Narrow" w:hAnsi="Arial Narrow"/>
          <w:b/>
          <w:sz w:val="32"/>
          <w:szCs w:val="32"/>
          <w:u w:val="single"/>
        </w:rPr>
        <w:t>P</w:t>
      </w:r>
      <w:r w:rsidR="00DD3C24" w:rsidRPr="007741AC">
        <w:rPr>
          <w:rFonts w:ascii="Arial Narrow" w:hAnsi="Arial Narrow"/>
          <w:b/>
          <w:sz w:val="32"/>
          <w:szCs w:val="32"/>
          <w:u w:val="single"/>
        </w:rPr>
        <w:t>RO</w:t>
      </w:r>
      <w:r w:rsidR="001E02F8" w:rsidRPr="007741AC">
        <w:rPr>
          <w:rFonts w:ascii="Arial Narrow" w:hAnsi="Arial Narrow"/>
          <w:b/>
          <w:sz w:val="32"/>
          <w:szCs w:val="32"/>
          <w:u w:val="single"/>
        </w:rPr>
        <w:t>C</w:t>
      </w:r>
      <w:r w:rsidRPr="007741AC">
        <w:rPr>
          <w:rFonts w:ascii="Arial Narrow" w:hAnsi="Arial Narrow"/>
          <w:b/>
          <w:sz w:val="32"/>
          <w:szCs w:val="32"/>
        </w:rPr>
        <w:t xml:space="preserve">alcitonin-based algorithm for antibiotic use in </w:t>
      </w:r>
      <w:r w:rsidR="00DD3C24" w:rsidRPr="007741AC">
        <w:rPr>
          <w:rFonts w:ascii="Arial Narrow" w:hAnsi="Arial Narrow"/>
          <w:b/>
          <w:sz w:val="32"/>
          <w:szCs w:val="32"/>
          <w:u w:val="single"/>
        </w:rPr>
        <w:t>A</w:t>
      </w:r>
      <w:r w:rsidRPr="007741AC">
        <w:rPr>
          <w:rFonts w:ascii="Arial Narrow" w:hAnsi="Arial Narrow"/>
          <w:b/>
          <w:sz w:val="32"/>
          <w:szCs w:val="32"/>
        </w:rPr>
        <w:t xml:space="preserve">cute </w:t>
      </w:r>
      <w:r w:rsidR="00DD3C24" w:rsidRPr="007741AC">
        <w:rPr>
          <w:rFonts w:ascii="Arial Narrow" w:hAnsi="Arial Narrow"/>
          <w:b/>
          <w:sz w:val="32"/>
          <w:szCs w:val="32"/>
          <w:u w:val="single"/>
        </w:rPr>
        <w:t>P</w:t>
      </w:r>
      <w:r w:rsidRPr="007741AC">
        <w:rPr>
          <w:rFonts w:ascii="Arial Narrow" w:hAnsi="Arial Narrow"/>
          <w:b/>
          <w:sz w:val="32"/>
          <w:szCs w:val="32"/>
        </w:rPr>
        <w:t>ancreatitis</w:t>
      </w:r>
      <w:r w:rsidR="006F2B54" w:rsidRPr="007741AC">
        <w:rPr>
          <w:rFonts w:ascii="Arial Narrow" w:hAnsi="Arial Narrow"/>
          <w:b/>
          <w:sz w:val="32"/>
          <w:szCs w:val="32"/>
        </w:rPr>
        <w:t xml:space="preserve"> (PROCAP)</w:t>
      </w:r>
      <w:r w:rsidRPr="007741AC">
        <w:rPr>
          <w:rFonts w:ascii="Arial Narrow" w:hAnsi="Arial Narrow"/>
          <w:b/>
          <w:sz w:val="32"/>
          <w:szCs w:val="32"/>
        </w:rPr>
        <w:t xml:space="preserve">: </w:t>
      </w:r>
      <w:r w:rsidR="00C65368" w:rsidRPr="007741AC">
        <w:rPr>
          <w:rFonts w:ascii="Arial Narrow" w:hAnsi="Arial Narrow"/>
          <w:b/>
          <w:sz w:val="32"/>
          <w:szCs w:val="32"/>
        </w:rPr>
        <w:t>A</w:t>
      </w:r>
      <w:r w:rsidR="006F2B54" w:rsidRPr="007741AC">
        <w:rPr>
          <w:rFonts w:ascii="Arial Narrow" w:hAnsi="Arial Narrow"/>
          <w:b/>
          <w:sz w:val="32"/>
          <w:szCs w:val="32"/>
        </w:rPr>
        <w:t xml:space="preserve"> randomised </w:t>
      </w:r>
      <w:r w:rsidRPr="007741AC">
        <w:rPr>
          <w:rFonts w:ascii="Arial Narrow" w:hAnsi="Arial Narrow"/>
          <w:b/>
          <w:sz w:val="32"/>
          <w:szCs w:val="32"/>
        </w:rPr>
        <w:t>controlled trial</w:t>
      </w:r>
      <w:r w:rsidR="00AA6FF3" w:rsidRPr="007741AC">
        <w:rPr>
          <w:rFonts w:ascii="Arial Narrow" w:hAnsi="Arial Narrow"/>
          <w:b/>
          <w:sz w:val="32"/>
          <w:szCs w:val="32"/>
        </w:rPr>
        <w:t>.</w:t>
      </w:r>
    </w:p>
    <w:p w14:paraId="1B46C33F" w14:textId="5EFF0A3F" w:rsidR="00F40DEB" w:rsidRPr="00323897" w:rsidRDefault="00C57724" w:rsidP="004A4CC0">
      <w:pPr>
        <w:spacing w:line="480" w:lineRule="auto"/>
        <w:jc w:val="center"/>
        <w:rPr>
          <w:rFonts w:ascii="Arial Narrow" w:hAnsi="Arial Narrow"/>
          <w:sz w:val="24"/>
          <w:szCs w:val="24"/>
        </w:rPr>
      </w:pPr>
      <w:r>
        <w:rPr>
          <w:rFonts w:ascii="Arial Narrow" w:hAnsi="Arial Narrow"/>
          <w:sz w:val="24"/>
          <w:szCs w:val="24"/>
        </w:rPr>
        <w:t xml:space="preserve"> PROTOCOL </w:t>
      </w:r>
      <w:r w:rsidRPr="00323897">
        <w:rPr>
          <w:rFonts w:ascii="Arial Narrow" w:hAnsi="Arial Narrow"/>
          <w:sz w:val="24"/>
          <w:szCs w:val="24"/>
        </w:rPr>
        <w:t xml:space="preserve">VERSION </w:t>
      </w:r>
      <w:r w:rsidR="008C0A60">
        <w:rPr>
          <w:rFonts w:ascii="Arial Narrow" w:hAnsi="Arial Narrow"/>
          <w:sz w:val="24"/>
          <w:szCs w:val="24"/>
        </w:rPr>
        <w:t>3.0 24</w:t>
      </w:r>
      <w:r w:rsidR="008C0A60" w:rsidRPr="008C0A60">
        <w:rPr>
          <w:rFonts w:ascii="Arial Narrow" w:hAnsi="Arial Narrow"/>
          <w:sz w:val="24"/>
          <w:szCs w:val="24"/>
          <w:vertAlign w:val="superscript"/>
        </w:rPr>
        <w:t>th</w:t>
      </w:r>
      <w:r w:rsidR="008C0A60">
        <w:rPr>
          <w:rFonts w:ascii="Arial Narrow" w:hAnsi="Arial Narrow"/>
          <w:sz w:val="24"/>
          <w:szCs w:val="24"/>
        </w:rPr>
        <w:t xml:space="preserve"> March 2020</w:t>
      </w:r>
      <w:r w:rsidR="00A36E60" w:rsidRPr="00323897">
        <w:rPr>
          <w:rFonts w:ascii="Arial Narrow" w:hAnsi="Arial Narrow"/>
          <w:sz w:val="24"/>
          <w:szCs w:val="24"/>
        </w:rPr>
        <w:t>.</w:t>
      </w:r>
    </w:p>
    <w:p w14:paraId="6BF80C0F" w14:textId="77777777" w:rsidR="004A4CC0" w:rsidRPr="007741AC" w:rsidRDefault="004A4CC0" w:rsidP="004A4CC0">
      <w:pPr>
        <w:spacing w:line="480" w:lineRule="auto"/>
        <w:jc w:val="center"/>
        <w:rPr>
          <w:rFonts w:ascii="Arial Narrow" w:hAnsi="Arial Narrow"/>
          <w:sz w:val="24"/>
          <w:szCs w:val="24"/>
        </w:rPr>
      </w:pPr>
    </w:p>
    <w:p w14:paraId="25F37A89" w14:textId="77777777" w:rsidR="004A4CC0" w:rsidRPr="007741AC" w:rsidRDefault="004A4CC0" w:rsidP="004A4CC0">
      <w:pPr>
        <w:spacing w:line="480" w:lineRule="auto"/>
        <w:jc w:val="center"/>
        <w:rPr>
          <w:rFonts w:ascii="Arial Narrow" w:hAnsi="Arial Narrow"/>
          <w:sz w:val="24"/>
          <w:szCs w:val="24"/>
        </w:rPr>
      </w:pPr>
    </w:p>
    <w:p w14:paraId="49A9F52A" w14:textId="3802C019" w:rsidR="00596A26" w:rsidRPr="007741AC" w:rsidRDefault="0039190E" w:rsidP="0039190E">
      <w:pPr>
        <w:spacing w:line="480" w:lineRule="auto"/>
        <w:rPr>
          <w:rFonts w:ascii="Arial Narrow" w:hAnsi="Arial Narrow"/>
          <w:sz w:val="24"/>
          <w:szCs w:val="24"/>
          <w:vertAlign w:val="superscript"/>
        </w:rPr>
      </w:pPr>
      <w:r w:rsidRPr="007741AC">
        <w:rPr>
          <w:rFonts w:ascii="Arial Narrow" w:hAnsi="Arial Narrow"/>
          <w:sz w:val="24"/>
          <w:szCs w:val="24"/>
        </w:rPr>
        <w:t>Ajith K Siriwardena</w:t>
      </w:r>
      <w:r w:rsidRPr="007741AC">
        <w:rPr>
          <w:rFonts w:ascii="Arial Narrow" w:hAnsi="Arial Narrow"/>
          <w:sz w:val="24"/>
          <w:szCs w:val="24"/>
          <w:vertAlign w:val="superscript"/>
        </w:rPr>
        <w:t>1,2</w:t>
      </w:r>
      <w:r w:rsidRPr="007741AC">
        <w:rPr>
          <w:rFonts w:ascii="Arial Narrow" w:hAnsi="Arial Narrow"/>
          <w:sz w:val="24"/>
          <w:szCs w:val="24"/>
        </w:rPr>
        <w:t>, James M Mason</w:t>
      </w:r>
      <w:r w:rsidRPr="007741AC">
        <w:rPr>
          <w:rFonts w:ascii="Arial Narrow" w:hAnsi="Arial Narrow"/>
          <w:sz w:val="24"/>
          <w:szCs w:val="24"/>
          <w:vertAlign w:val="superscript"/>
        </w:rPr>
        <w:t>3,</w:t>
      </w:r>
      <w:r w:rsidR="00AA6FF3" w:rsidRPr="007741AC">
        <w:rPr>
          <w:rFonts w:ascii="Arial Narrow" w:hAnsi="Arial Narrow"/>
          <w:sz w:val="24"/>
          <w:szCs w:val="24"/>
          <w:vertAlign w:val="superscript"/>
        </w:rPr>
        <w:t xml:space="preserve"> </w:t>
      </w:r>
      <w:r w:rsidR="00AA6FF3" w:rsidRPr="007741AC">
        <w:rPr>
          <w:rFonts w:ascii="Arial Narrow" w:hAnsi="Arial Narrow"/>
          <w:sz w:val="24"/>
          <w:szCs w:val="24"/>
        </w:rPr>
        <w:t>Damian Mole</w:t>
      </w:r>
      <w:r w:rsidR="00AA6FF3" w:rsidRPr="007741AC">
        <w:rPr>
          <w:rFonts w:ascii="Arial Narrow" w:hAnsi="Arial Narrow"/>
          <w:sz w:val="24"/>
          <w:szCs w:val="24"/>
          <w:vertAlign w:val="superscript"/>
        </w:rPr>
        <w:t>4</w:t>
      </w:r>
      <w:r w:rsidR="00AA6FF3" w:rsidRPr="007741AC">
        <w:rPr>
          <w:rFonts w:ascii="Arial Narrow" w:hAnsi="Arial Narrow"/>
          <w:sz w:val="24"/>
          <w:szCs w:val="24"/>
        </w:rPr>
        <w:t xml:space="preserve">, </w:t>
      </w:r>
      <w:r w:rsidRPr="007741AC">
        <w:rPr>
          <w:rFonts w:ascii="Arial Narrow" w:hAnsi="Arial Narrow"/>
          <w:sz w:val="24"/>
          <w:szCs w:val="24"/>
        </w:rPr>
        <w:t>Santhalingam Jegatheeswaran</w:t>
      </w:r>
      <w:r w:rsidRPr="007741AC">
        <w:rPr>
          <w:rFonts w:ascii="Arial Narrow" w:hAnsi="Arial Narrow"/>
          <w:sz w:val="24"/>
          <w:szCs w:val="24"/>
          <w:vertAlign w:val="superscript"/>
        </w:rPr>
        <w:t>1</w:t>
      </w:r>
      <w:r w:rsidRPr="007741AC">
        <w:rPr>
          <w:rFonts w:ascii="Arial Narrow" w:hAnsi="Arial Narrow"/>
          <w:sz w:val="24"/>
          <w:szCs w:val="24"/>
        </w:rPr>
        <w:t xml:space="preserve">, </w:t>
      </w:r>
      <w:r w:rsidR="00D84C40" w:rsidRPr="007741AC">
        <w:rPr>
          <w:rFonts w:ascii="Arial Narrow" w:hAnsi="Arial Narrow"/>
          <w:sz w:val="24"/>
          <w:szCs w:val="24"/>
        </w:rPr>
        <w:t>Minas Baltatzis</w:t>
      </w:r>
      <w:r w:rsidR="00D84C40" w:rsidRPr="007741AC">
        <w:rPr>
          <w:rFonts w:ascii="Arial Narrow" w:hAnsi="Arial Narrow"/>
          <w:sz w:val="24"/>
          <w:szCs w:val="24"/>
          <w:vertAlign w:val="superscript"/>
        </w:rPr>
        <w:t>1</w:t>
      </w:r>
      <w:r w:rsidR="00D84C40" w:rsidRPr="007741AC">
        <w:rPr>
          <w:rFonts w:ascii="Arial Narrow" w:hAnsi="Arial Narrow"/>
          <w:sz w:val="24"/>
          <w:szCs w:val="24"/>
        </w:rPr>
        <w:t xml:space="preserve">,  </w:t>
      </w:r>
      <w:r w:rsidR="00A24CB5" w:rsidRPr="007741AC">
        <w:rPr>
          <w:rFonts w:ascii="Arial Narrow" w:hAnsi="Arial Narrow"/>
          <w:sz w:val="24"/>
          <w:szCs w:val="24"/>
        </w:rPr>
        <w:t>Anthony Chan</w:t>
      </w:r>
      <w:r w:rsidR="00A24CB5" w:rsidRPr="007741AC">
        <w:rPr>
          <w:rFonts w:ascii="Arial Narrow" w:hAnsi="Arial Narrow"/>
          <w:sz w:val="24"/>
          <w:szCs w:val="24"/>
          <w:vertAlign w:val="superscript"/>
        </w:rPr>
        <w:t>1</w:t>
      </w:r>
      <w:r w:rsidR="00A24CB5" w:rsidRPr="007741AC">
        <w:rPr>
          <w:rFonts w:ascii="Arial Narrow" w:hAnsi="Arial Narrow"/>
          <w:sz w:val="24"/>
          <w:szCs w:val="24"/>
        </w:rPr>
        <w:t xml:space="preserve">, </w:t>
      </w:r>
      <w:r w:rsidR="00C801FC" w:rsidRPr="007741AC">
        <w:rPr>
          <w:rFonts w:ascii="Arial Narrow" w:hAnsi="Arial Narrow"/>
          <w:sz w:val="24"/>
          <w:szCs w:val="24"/>
        </w:rPr>
        <w:t>Saurabh Jamdar</w:t>
      </w:r>
      <w:r w:rsidR="00C801FC" w:rsidRPr="007741AC">
        <w:rPr>
          <w:rFonts w:ascii="Arial Narrow" w:hAnsi="Arial Narrow"/>
          <w:sz w:val="24"/>
          <w:szCs w:val="24"/>
          <w:vertAlign w:val="superscript"/>
        </w:rPr>
        <w:t>1</w:t>
      </w:r>
      <w:r w:rsidR="00C801FC" w:rsidRPr="007741AC">
        <w:rPr>
          <w:rFonts w:ascii="Arial Narrow" w:hAnsi="Arial Narrow"/>
          <w:sz w:val="24"/>
          <w:szCs w:val="24"/>
        </w:rPr>
        <w:t xml:space="preserve">, </w:t>
      </w:r>
      <w:r w:rsidRPr="007741AC">
        <w:rPr>
          <w:rFonts w:ascii="Arial Narrow" w:hAnsi="Arial Narrow"/>
          <w:sz w:val="24"/>
          <w:szCs w:val="24"/>
        </w:rPr>
        <w:t>Derek O’Reilly</w:t>
      </w:r>
      <w:r w:rsidRPr="007741AC">
        <w:rPr>
          <w:rFonts w:ascii="Arial Narrow" w:hAnsi="Arial Narrow"/>
          <w:sz w:val="24"/>
          <w:szCs w:val="24"/>
          <w:vertAlign w:val="superscript"/>
        </w:rPr>
        <w:t>1</w:t>
      </w:r>
      <w:r w:rsidRPr="007741AC">
        <w:rPr>
          <w:rFonts w:ascii="Arial Narrow" w:hAnsi="Arial Narrow"/>
          <w:sz w:val="24"/>
          <w:szCs w:val="24"/>
        </w:rPr>
        <w:t>, Aali J Sheen</w:t>
      </w:r>
      <w:r w:rsidRPr="007741AC">
        <w:rPr>
          <w:rFonts w:ascii="Arial Narrow" w:hAnsi="Arial Narrow"/>
          <w:sz w:val="24"/>
          <w:szCs w:val="24"/>
          <w:vertAlign w:val="superscript"/>
        </w:rPr>
        <w:t>1</w:t>
      </w:r>
      <w:r w:rsidRPr="007741AC">
        <w:rPr>
          <w:rFonts w:ascii="Arial Narrow" w:hAnsi="Arial Narrow"/>
          <w:sz w:val="24"/>
          <w:szCs w:val="24"/>
        </w:rPr>
        <w:t>, Ahmed Qamruddin</w:t>
      </w:r>
      <w:r w:rsidR="00AA6FF3" w:rsidRPr="007741AC">
        <w:rPr>
          <w:rFonts w:ascii="Arial Narrow" w:hAnsi="Arial Narrow"/>
          <w:sz w:val="24"/>
          <w:szCs w:val="24"/>
          <w:vertAlign w:val="superscript"/>
        </w:rPr>
        <w:t>5</w:t>
      </w:r>
      <w:r w:rsidRPr="007741AC">
        <w:rPr>
          <w:rFonts w:ascii="Arial Narrow" w:hAnsi="Arial Narrow"/>
          <w:sz w:val="24"/>
          <w:szCs w:val="24"/>
        </w:rPr>
        <w:t xml:space="preserve">, </w:t>
      </w:r>
      <w:r w:rsidR="00A34B8F" w:rsidRPr="007741AC">
        <w:rPr>
          <w:rFonts w:ascii="Arial Narrow" w:hAnsi="Arial Narrow"/>
          <w:sz w:val="24"/>
          <w:szCs w:val="24"/>
        </w:rPr>
        <w:t>Katharine Hayden</w:t>
      </w:r>
      <w:r w:rsidR="00A34B8F" w:rsidRPr="007741AC">
        <w:rPr>
          <w:rFonts w:ascii="Arial Narrow" w:hAnsi="Arial Narrow"/>
          <w:sz w:val="24"/>
          <w:szCs w:val="24"/>
          <w:vertAlign w:val="superscript"/>
        </w:rPr>
        <w:t>6</w:t>
      </w:r>
      <w:r w:rsidR="00A34B8F" w:rsidRPr="007741AC">
        <w:rPr>
          <w:rFonts w:ascii="Arial Narrow" w:hAnsi="Arial Narrow"/>
          <w:sz w:val="24"/>
          <w:szCs w:val="24"/>
        </w:rPr>
        <w:t xml:space="preserve">, </w:t>
      </w:r>
      <w:r w:rsidRPr="007741AC">
        <w:rPr>
          <w:rFonts w:ascii="Arial Narrow" w:hAnsi="Arial Narrow"/>
          <w:sz w:val="24"/>
          <w:szCs w:val="24"/>
        </w:rPr>
        <w:t>Michael J Parker</w:t>
      </w:r>
      <w:r w:rsidR="00AA6FF3" w:rsidRPr="007741AC">
        <w:rPr>
          <w:rFonts w:ascii="Arial Narrow" w:hAnsi="Arial Narrow"/>
          <w:sz w:val="24"/>
          <w:szCs w:val="24"/>
          <w:vertAlign w:val="superscript"/>
        </w:rPr>
        <w:t>7</w:t>
      </w:r>
      <w:r w:rsidRPr="007741AC">
        <w:rPr>
          <w:rFonts w:ascii="Arial Narrow" w:hAnsi="Arial Narrow"/>
          <w:sz w:val="24"/>
          <w:szCs w:val="24"/>
        </w:rPr>
        <w:t xml:space="preserve">, John </w:t>
      </w:r>
      <w:r w:rsidRPr="00AE542B">
        <w:rPr>
          <w:rFonts w:ascii="Arial Narrow" w:hAnsi="Arial Narrow"/>
          <w:sz w:val="24"/>
          <w:szCs w:val="24"/>
        </w:rPr>
        <w:t>Butler</w:t>
      </w:r>
      <w:r w:rsidR="00AA6FF3" w:rsidRPr="00AE542B">
        <w:rPr>
          <w:rFonts w:ascii="Arial Narrow" w:hAnsi="Arial Narrow"/>
          <w:sz w:val="24"/>
          <w:szCs w:val="24"/>
        </w:rPr>
        <w:t>7</w:t>
      </w:r>
      <w:r w:rsidR="00AE542B">
        <w:rPr>
          <w:rFonts w:ascii="Arial Narrow" w:hAnsi="Arial Narrow"/>
          <w:sz w:val="24"/>
          <w:szCs w:val="24"/>
        </w:rPr>
        <w:t>, Azita Rajai</w:t>
      </w:r>
      <w:r w:rsidR="00AE542B">
        <w:rPr>
          <w:rFonts w:ascii="Arial Narrow" w:hAnsi="Arial Narrow"/>
          <w:sz w:val="24"/>
          <w:szCs w:val="24"/>
          <w:vertAlign w:val="superscript"/>
        </w:rPr>
        <w:t>8</w:t>
      </w:r>
      <w:r w:rsidR="00AE542B">
        <w:rPr>
          <w:rFonts w:ascii="Arial Narrow" w:hAnsi="Arial Narrow"/>
          <w:sz w:val="24"/>
          <w:szCs w:val="24"/>
        </w:rPr>
        <w:t xml:space="preserve"> </w:t>
      </w:r>
      <w:r w:rsidR="00A24CB5" w:rsidRPr="00AE542B">
        <w:rPr>
          <w:rFonts w:ascii="Arial Narrow" w:hAnsi="Arial Narrow"/>
          <w:sz w:val="24"/>
          <w:szCs w:val="24"/>
        </w:rPr>
        <w:t>and</w:t>
      </w:r>
      <w:r w:rsidR="00A24CB5" w:rsidRPr="007741AC">
        <w:rPr>
          <w:rFonts w:ascii="Arial Narrow" w:hAnsi="Arial Narrow"/>
          <w:sz w:val="24"/>
          <w:szCs w:val="24"/>
        </w:rPr>
        <w:t xml:space="preserve"> </w:t>
      </w:r>
      <w:r w:rsidRPr="007741AC">
        <w:rPr>
          <w:rFonts w:ascii="Arial Narrow" w:hAnsi="Arial Narrow"/>
          <w:sz w:val="24"/>
          <w:szCs w:val="24"/>
        </w:rPr>
        <w:t>Ben McIntyre</w:t>
      </w:r>
      <w:r w:rsidR="00AE542B">
        <w:rPr>
          <w:rFonts w:ascii="Arial Narrow" w:hAnsi="Arial Narrow"/>
          <w:sz w:val="24"/>
          <w:szCs w:val="24"/>
          <w:vertAlign w:val="superscript"/>
        </w:rPr>
        <w:t>9</w:t>
      </w:r>
      <w:r w:rsidRPr="007741AC">
        <w:rPr>
          <w:rFonts w:ascii="Arial Narrow" w:hAnsi="Arial Narrow"/>
          <w:sz w:val="24"/>
          <w:szCs w:val="24"/>
          <w:vertAlign w:val="superscript"/>
        </w:rPr>
        <w:t>.</w:t>
      </w:r>
    </w:p>
    <w:p w14:paraId="7844E7F9" w14:textId="77777777" w:rsidR="0039190E" w:rsidRPr="007741AC" w:rsidRDefault="0039190E" w:rsidP="0039190E">
      <w:pPr>
        <w:spacing w:line="480" w:lineRule="auto"/>
        <w:rPr>
          <w:rFonts w:ascii="Arial Narrow" w:hAnsi="Arial Narrow"/>
          <w:sz w:val="24"/>
          <w:szCs w:val="24"/>
          <w:vertAlign w:val="superscript"/>
        </w:rPr>
      </w:pPr>
    </w:p>
    <w:p w14:paraId="06843DFC" w14:textId="3E56BBEB" w:rsidR="0039190E" w:rsidRPr="007741AC" w:rsidRDefault="0039190E" w:rsidP="009B54DB">
      <w:pPr>
        <w:spacing w:line="480" w:lineRule="auto"/>
        <w:outlineLvl w:val="0"/>
        <w:rPr>
          <w:rFonts w:ascii="Arial Narrow" w:hAnsi="Arial Narrow"/>
          <w:b/>
          <w:sz w:val="24"/>
          <w:szCs w:val="24"/>
        </w:rPr>
      </w:pPr>
      <w:r w:rsidRPr="007741AC">
        <w:rPr>
          <w:rFonts w:ascii="Arial Narrow" w:hAnsi="Arial Narrow"/>
          <w:b/>
          <w:sz w:val="24"/>
          <w:szCs w:val="24"/>
        </w:rPr>
        <w:t>Affiliations:</w:t>
      </w:r>
    </w:p>
    <w:p w14:paraId="3805AA52" w14:textId="220959EC" w:rsidR="00424224" w:rsidRDefault="0039190E" w:rsidP="00424224">
      <w:pPr>
        <w:spacing w:line="480" w:lineRule="auto"/>
        <w:rPr>
          <w:rFonts w:ascii="Arial Narrow" w:hAnsi="Arial Narrow"/>
          <w:sz w:val="24"/>
          <w:szCs w:val="24"/>
        </w:rPr>
      </w:pPr>
      <w:r w:rsidRPr="007741AC">
        <w:rPr>
          <w:rFonts w:ascii="Arial Narrow" w:hAnsi="Arial Narrow"/>
          <w:sz w:val="24"/>
          <w:szCs w:val="24"/>
          <w:vertAlign w:val="superscript"/>
        </w:rPr>
        <w:t>1</w:t>
      </w:r>
      <w:r w:rsidRPr="007741AC">
        <w:rPr>
          <w:rFonts w:ascii="Arial Narrow" w:hAnsi="Arial Narrow"/>
          <w:sz w:val="24"/>
          <w:szCs w:val="24"/>
        </w:rPr>
        <w:t xml:space="preserve">Regional </w:t>
      </w:r>
      <w:r w:rsidR="00EA1EF8" w:rsidRPr="007741AC">
        <w:rPr>
          <w:rFonts w:ascii="Arial Narrow" w:hAnsi="Arial Narrow"/>
          <w:sz w:val="24"/>
          <w:szCs w:val="24"/>
        </w:rPr>
        <w:t xml:space="preserve">Hepato-Pancreato-Biliary Unit, </w:t>
      </w:r>
      <w:r w:rsidR="005A1054" w:rsidRPr="007741AC">
        <w:rPr>
          <w:rFonts w:ascii="Arial Narrow" w:hAnsi="Arial Narrow"/>
          <w:sz w:val="24"/>
          <w:szCs w:val="24"/>
        </w:rPr>
        <w:t>Manchester Royal Infirmary</w:t>
      </w:r>
      <w:r w:rsidRPr="007741AC">
        <w:rPr>
          <w:rFonts w:ascii="Arial Narrow" w:hAnsi="Arial Narrow"/>
          <w:sz w:val="24"/>
          <w:szCs w:val="24"/>
        </w:rPr>
        <w:t xml:space="preserve">, </w:t>
      </w:r>
      <w:r w:rsidRPr="007741AC">
        <w:rPr>
          <w:rFonts w:ascii="Arial Narrow" w:hAnsi="Arial Narrow"/>
          <w:sz w:val="24"/>
          <w:szCs w:val="24"/>
          <w:vertAlign w:val="superscript"/>
        </w:rPr>
        <w:t>2</w:t>
      </w:r>
      <w:r w:rsidRPr="007741AC">
        <w:rPr>
          <w:rFonts w:ascii="Arial Narrow" w:hAnsi="Arial Narrow"/>
          <w:sz w:val="24"/>
          <w:szCs w:val="24"/>
        </w:rPr>
        <w:t xml:space="preserve">Faculty of Biology, Health and Life Sciences, University of Manchester, </w:t>
      </w:r>
      <w:r w:rsidRPr="007741AC">
        <w:rPr>
          <w:rFonts w:ascii="Arial Narrow" w:hAnsi="Arial Narrow"/>
          <w:sz w:val="24"/>
          <w:szCs w:val="24"/>
          <w:vertAlign w:val="superscript"/>
        </w:rPr>
        <w:t>3</w:t>
      </w:r>
      <w:r w:rsidRPr="007741AC">
        <w:rPr>
          <w:rFonts w:ascii="Arial Narrow" w:hAnsi="Arial Narrow"/>
          <w:sz w:val="24"/>
          <w:szCs w:val="24"/>
        </w:rPr>
        <w:t xml:space="preserve">University of Warwick, </w:t>
      </w:r>
      <w:r w:rsidR="00AA6FF3" w:rsidRPr="007741AC">
        <w:rPr>
          <w:rFonts w:ascii="Arial Narrow" w:hAnsi="Arial Narrow"/>
          <w:sz w:val="24"/>
          <w:szCs w:val="24"/>
          <w:vertAlign w:val="superscript"/>
        </w:rPr>
        <w:t xml:space="preserve">4 </w:t>
      </w:r>
      <w:r w:rsidR="00AA6FF3" w:rsidRPr="007741AC">
        <w:rPr>
          <w:rFonts w:ascii="Arial Narrow" w:hAnsi="Arial Narrow"/>
          <w:sz w:val="24"/>
          <w:szCs w:val="24"/>
        </w:rPr>
        <w:t>Medical Research Council Centre for Inflammation Research and Hepato-Pancreato-Biliary Unit, Royal Infirmary of Edinbu</w:t>
      </w:r>
      <w:r w:rsidR="00A24CB5" w:rsidRPr="007741AC">
        <w:rPr>
          <w:rFonts w:ascii="Arial Narrow" w:hAnsi="Arial Narrow"/>
          <w:sz w:val="24"/>
          <w:szCs w:val="24"/>
        </w:rPr>
        <w:t>r</w:t>
      </w:r>
      <w:r w:rsidR="00AA6FF3" w:rsidRPr="007741AC">
        <w:rPr>
          <w:rFonts w:ascii="Arial Narrow" w:hAnsi="Arial Narrow"/>
          <w:sz w:val="24"/>
          <w:szCs w:val="24"/>
        </w:rPr>
        <w:t xml:space="preserve">gh, </w:t>
      </w:r>
      <w:r w:rsidR="00AA6FF3" w:rsidRPr="007741AC">
        <w:rPr>
          <w:rFonts w:ascii="Arial Narrow" w:hAnsi="Arial Narrow"/>
          <w:sz w:val="24"/>
          <w:szCs w:val="24"/>
          <w:vertAlign w:val="superscript"/>
        </w:rPr>
        <w:t>5</w:t>
      </w:r>
      <w:r w:rsidRPr="007741AC">
        <w:rPr>
          <w:rFonts w:ascii="Arial Narrow" w:hAnsi="Arial Narrow"/>
          <w:sz w:val="24"/>
          <w:szCs w:val="24"/>
        </w:rPr>
        <w:t>Dept of Microbiology,</w:t>
      </w:r>
      <w:r w:rsidR="00AA6FF3" w:rsidRPr="007741AC">
        <w:rPr>
          <w:rFonts w:ascii="Arial Narrow" w:hAnsi="Arial Narrow"/>
          <w:sz w:val="24"/>
          <w:szCs w:val="24"/>
          <w:vertAlign w:val="superscript"/>
        </w:rPr>
        <w:t>6</w:t>
      </w:r>
      <w:r w:rsidRPr="007741AC">
        <w:rPr>
          <w:rFonts w:ascii="Arial Narrow" w:hAnsi="Arial Narrow"/>
          <w:sz w:val="24"/>
          <w:szCs w:val="24"/>
        </w:rPr>
        <w:t xml:space="preserve">Dept of Clinical Biochemistry, </w:t>
      </w:r>
      <w:r w:rsidR="00AA6FF3" w:rsidRPr="007741AC">
        <w:rPr>
          <w:rFonts w:ascii="Arial Narrow" w:hAnsi="Arial Narrow"/>
          <w:sz w:val="24"/>
          <w:szCs w:val="24"/>
          <w:vertAlign w:val="superscript"/>
        </w:rPr>
        <w:t>7</w:t>
      </w:r>
      <w:r w:rsidRPr="007741AC">
        <w:rPr>
          <w:rFonts w:ascii="Arial Narrow" w:hAnsi="Arial Narrow"/>
          <w:sz w:val="24"/>
          <w:szCs w:val="24"/>
        </w:rPr>
        <w:t xml:space="preserve">Critical Care Unit and </w:t>
      </w:r>
      <w:r w:rsidR="00AE542B">
        <w:rPr>
          <w:rFonts w:ascii="Arial Narrow" w:hAnsi="Arial Narrow"/>
          <w:sz w:val="24"/>
          <w:szCs w:val="24"/>
          <w:vertAlign w:val="superscript"/>
        </w:rPr>
        <w:t>9</w:t>
      </w:r>
      <w:r w:rsidRPr="007741AC">
        <w:rPr>
          <w:rFonts w:ascii="Arial Narrow" w:hAnsi="Arial Narrow"/>
          <w:sz w:val="24"/>
          <w:szCs w:val="24"/>
        </w:rPr>
        <w:t>Pharmacy Departm</w:t>
      </w:r>
      <w:r w:rsidR="00AE542B">
        <w:rPr>
          <w:rFonts w:ascii="Arial Narrow" w:hAnsi="Arial Narrow"/>
          <w:sz w:val="24"/>
          <w:szCs w:val="24"/>
        </w:rPr>
        <w:t xml:space="preserve">ent, Manchester Royal Infirmary, </w:t>
      </w:r>
      <w:r w:rsidR="00AE542B">
        <w:rPr>
          <w:rFonts w:ascii="Arial Narrow" w:hAnsi="Arial Narrow"/>
          <w:sz w:val="24"/>
          <w:szCs w:val="24"/>
          <w:vertAlign w:val="superscript"/>
        </w:rPr>
        <w:t>8</w:t>
      </w:r>
      <w:r w:rsidR="00424224">
        <w:rPr>
          <w:rFonts w:ascii="Arial Narrow" w:hAnsi="Arial Narrow"/>
          <w:sz w:val="24"/>
          <w:szCs w:val="24"/>
        </w:rPr>
        <w:t>Faculty of Medical and Human Services  &amp; University of Manchester , Manchester Academic Health Sciences Centre.</w:t>
      </w:r>
    </w:p>
    <w:p w14:paraId="455C7E95" w14:textId="5C1431DA" w:rsidR="00F36EB1" w:rsidRPr="00AE542B" w:rsidRDefault="00AE542B" w:rsidP="0039190E">
      <w:pPr>
        <w:spacing w:line="480" w:lineRule="auto"/>
        <w:rPr>
          <w:rFonts w:ascii="Arial Narrow" w:hAnsi="Arial Narrow"/>
          <w:sz w:val="24"/>
          <w:szCs w:val="24"/>
        </w:rPr>
      </w:pPr>
      <w:r>
        <w:rPr>
          <w:rFonts w:ascii="Arial Narrow" w:hAnsi="Arial Narrow"/>
          <w:sz w:val="24"/>
          <w:szCs w:val="24"/>
        </w:rPr>
        <w:t>.</w:t>
      </w:r>
    </w:p>
    <w:p w14:paraId="7A782AEC" w14:textId="77777777" w:rsidR="00EA1EF8" w:rsidRPr="007741AC" w:rsidRDefault="00EA1EF8" w:rsidP="0039190E">
      <w:pPr>
        <w:spacing w:line="480" w:lineRule="auto"/>
        <w:rPr>
          <w:rFonts w:ascii="Arial Narrow" w:hAnsi="Arial Narrow"/>
          <w:sz w:val="24"/>
          <w:szCs w:val="24"/>
        </w:rPr>
      </w:pPr>
    </w:p>
    <w:p w14:paraId="5875ECA3" w14:textId="20556DAB" w:rsidR="005A1054" w:rsidRPr="007741AC" w:rsidRDefault="00EA1EF8" w:rsidP="0039190E">
      <w:pPr>
        <w:spacing w:line="480" w:lineRule="auto"/>
        <w:rPr>
          <w:rFonts w:ascii="Arial Narrow" w:hAnsi="Arial Narrow"/>
          <w:sz w:val="24"/>
          <w:szCs w:val="24"/>
        </w:rPr>
      </w:pPr>
      <w:r w:rsidRPr="007741AC">
        <w:rPr>
          <w:rFonts w:ascii="Arial Narrow" w:hAnsi="Arial Narrow"/>
          <w:b/>
          <w:sz w:val="24"/>
          <w:szCs w:val="24"/>
        </w:rPr>
        <w:t>Trial sponsor:</w:t>
      </w:r>
      <w:r w:rsidRPr="007741AC">
        <w:rPr>
          <w:rFonts w:ascii="Arial Narrow" w:hAnsi="Arial Narrow"/>
          <w:sz w:val="24"/>
          <w:szCs w:val="24"/>
        </w:rPr>
        <w:tab/>
      </w:r>
      <w:r w:rsidRPr="007741AC">
        <w:rPr>
          <w:rFonts w:ascii="Arial Narrow" w:hAnsi="Arial Narrow"/>
          <w:sz w:val="24"/>
          <w:szCs w:val="24"/>
        </w:rPr>
        <w:tab/>
      </w:r>
      <w:r w:rsidRPr="007741AC">
        <w:rPr>
          <w:rFonts w:ascii="Arial Narrow" w:hAnsi="Arial Narrow"/>
          <w:sz w:val="24"/>
          <w:szCs w:val="24"/>
        </w:rPr>
        <w:tab/>
      </w:r>
      <w:r w:rsidR="00D84C40" w:rsidRPr="007741AC">
        <w:rPr>
          <w:rFonts w:ascii="Arial Narrow" w:hAnsi="Arial Narrow"/>
          <w:sz w:val="24"/>
          <w:szCs w:val="24"/>
        </w:rPr>
        <w:t>Manchester</w:t>
      </w:r>
      <w:r w:rsidRPr="007741AC">
        <w:rPr>
          <w:rFonts w:ascii="Arial Narrow" w:hAnsi="Arial Narrow"/>
          <w:sz w:val="24"/>
          <w:szCs w:val="24"/>
        </w:rPr>
        <w:t xml:space="preserve"> University  NHS Foundation Trust</w:t>
      </w:r>
      <w:r w:rsidR="000F4666" w:rsidRPr="007741AC">
        <w:rPr>
          <w:rFonts w:ascii="Arial Narrow" w:hAnsi="Arial Narrow"/>
          <w:sz w:val="24"/>
          <w:szCs w:val="24"/>
        </w:rPr>
        <w:t>.</w:t>
      </w:r>
      <w:r w:rsidR="00E313D7" w:rsidRPr="007741AC">
        <w:rPr>
          <w:rFonts w:ascii="Arial Narrow" w:hAnsi="Arial Narrow"/>
          <w:sz w:val="24"/>
          <w:szCs w:val="24"/>
        </w:rPr>
        <w:t>:</w:t>
      </w:r>
      <w:r w:rsidR="00E313D7" w:rsidRPr="007741AC">
        <w:rPr>
          <w:rFonts w:ascii="Arial Narrow" w:hAnsi="Arial Narrow"/>
          <w:sz w:val="24"/>
          <w:szCs w:val="24"/>
        </w:rPr>
        <w:tab/>
      </w:r>
      <w:r w:rsidR="00596A26" w:rsidRPr="007741AC">
        <w:rPr>
          <w:rFonts w:ascii="Arial Narrow" w:hAnsi="Arial Narrow"/>
          <w:sz w:val="24"/>
          <w:szCs w:val="24"/>
        </w:rPr>
        <w:tab/>
      </w:r>
    </w:p>
    <w:p w14:paraId="322200B6" w14:textId="77777777" w:rsidR="00596A26" w:rsidRPr="007741AC" w:rsidRDefault="00596A26" w:rsidP="0039190E">
      <w:pPr>
        <w:spacing w:line="480" w:lineRule="auto"/>
        <w:ind w:left="2160" w:firstLine="720"/>
        <w:rPr>
          <w:rFonts w:ascii="Arial Narrow" w:hAnsi="Arial Narrow"/>
          <w:sz w:val="24"/>
          <w:szCs w:val="24"/>
        </w:rPr>
      </w:pPr>
    </w:p>
    <w:p w14:paraId="6DD004A6" w14:textId="62752773" w:rsidR="00C959BD" w:rsidRPr="007741AC" w:rsidRDefault="00596A26" w:rsidP="00A34B8F">
      <w:pPr>
        <w:spacing w:line="480" w:lineRule="auto"/>
        <w:rPr>
          <w:rFonts w:ascii="Arial Narrow" w:hAnsi="Arial Narrow"/>
          <w:sz w:val="24"/>
          <w:szCs w:val="24"/>
        </w:rPr>
      </w:pPr>
      <w:r w:rsidRPr="007741AC">
        <w:rPr>
          <w:rFonts w:ascii="Arial Narrow" w:hAnsi="Arial Narrow"/>
          <w:b/>
          <w:sz w:val="24"/>
          <w:szCs w:val="24"/>
        </w:rPr>
        <w:t>ISRCTN registration:</w:t>
      </w:r>
      <w:r w:rsidR="00201255" w:rsidRPr="007741AC">
        <w:rPr>
          <w:rFonts w:ascii="Arial Narrow" w:hAnsi="Arial Narrow"/>
          <w:sz w:val="24"/>
          <w:szCs w:val="24"/>
        </w:rPr>
        <w:tab/>
      </w:r>
      <w:r w:rsidR="00201255" w:rsidRPr="007741AC">
        <w:rPr>
          <w:rFonts w:ascii="Arial Narrow" w:hAnsi="Arial Narrow"/>
          <w:sz w:val="24"/>
          <w:szCs w:val="24"/>
        </w:rPr>
        <w:tab/>
      </w:r>
      <w:r w:rsidR="00BE4609" w:rsidRPr="00BE4609">
        <w:rPr>
          <w:rFonts w:ascii="Arial Narrow" w:hAnsi="Arial Narrow"/>
          <w:sz w:val="24"/>
          <w:szCs w:val="24"/>
        </w:rPr>
        <w:t>ISRCTN</w:t>
      </w:r>
      <w:r w:rsidR="00FF3AED">
        <w:rPr>
          <w:rFonts w:ascii="Arial Narrow" w:hAnsi="Arial Narrow"/>
          <w:sz w:val="24"/>
          <w:szCs w:val="24"/>
        </w:rPr>
        <w:t xml:space="preserve"> </w:t>
      </w:r>
      <w:r w:rsidR="00BE4609" w:rsidRPr="00BE4609">
        <w:rPr>
          <w:rFonts w:ascii="Arial Narrow" w:hAnsi="Arial Narrow"/>
          <w:sz w:val="24"/>
          <w:szCs w:val="24"/>
        </w:rPr>
        <w:t>50584992</w:t>
      </w:r>
      <w:r w:rsidR="00BE4609">
        <w:rPr>
          <w:rFonts w:ascii="Arial Narrow" w:hAnsi="Arial Narrow"/>
          <w:sz w:val="24"/>
          <w:szCs w:val="24"/>
        </w:rPr>
        <w:t>.</w:t>
      </w:r>
    </w:p>
    <w:p w14:paraId="4DB1790B" w14:textId="2C7D7882" w:rsidR="00B9369C" w:rsidRPr="007741AC" w:rsidRDefault="00B9369C">
      <w:pPr>
        <w:spacing w:after="200" w:line="276" w:lineRule="auto"/>
        <w:rPr>
          <w:rFonts w:ascii="Arial Narrow" w:hAnsi="Arial Narrow"/>
          <w:sz w:val="24"/>
          <w:szCs w:val="24"/>
        </w:rPr>
      </w:pPr>
      <w:r w:rsidRPr="007741AC">
        <w:rPr>
          <w:rFonts w:ascii="Arial Narrow" w:hAnsi="Arial Narrow"/>
          <w:sz w:val="24"/>
          <w:szCs w:val="24"/>
        </w:rPr>
        <w:br w:type="page"/>
      </w:r>
    </w:p>
    <w:p w14:paraId="6484E113" w14:textId="77777777" w:rsidR="00B9369C" w:rsidRPr="007741AC" w:rsidRDefault="00B9369C" w:rsidP="00A34B8F">
      <w:pPr>
        <w:spacing w:line="480" w:lineRule="auto"/>
        <w:rPr>
          <w:rFonts w:ascii="Arial Narrow" w:hAnsi="Arial Narrow"/>
          <w:sz w:val="24"/>
          <w:szCs w:val="24"/>
        </w:rPr>
      </w:pPr>
    </w:p>
    <w:p w14:paraId="26516B03" w14:textId="51734331" w:rsidR="00E53577" w:rsidRPr="007741AC" w:rsidRDefault="00E53577" w:rsidP="009B54DB">
      <w:pPr>
        <w:spacing w:line="480" w:lineRule="auto"/>
        <w:outlineLvl w:val="0"/>
        <w:rPr>
          <w:rFonts w:ascii="Arial Narrow" w:hAnsi="Arial Narrow"/>
          <w:b/>
          <w:sz w:val="28"/>
          <w:szCs w:val="28"/>
          <w:u w:val="single"/>
        </w:rPr>
      </w:pPr>
      <w:r w:rsidRPr="007741AC">
        <w:rPr>
          <w:rFonts w:ascii="Arial Narrow" w:hAnsi="Arial Narrow"/>
          <w:b/>
          <w:sz w:val="28"/>
          <w:szCs w:val="28"/>
          <w:u w:val="single"/>
        </w:rPr>
        <w:t>Introduction</w:t>
      </w:r>
      <w:r w:rsidR="004313AD" w:rsidRPr="007741AC">
        <w:rPr>
          <w:rFonts w:ascii="Arial Narrow" w:hAnsi="Arial Narrow"/>
          <w:b/>
          <w:sz w:val="28"/>
          <w:szCs w:val="28"/>
          <w:u w:val="single"/>
        </w:rPr>
        <w:t>.</w:t>
      </w:r>
    </w:p>
    <w:p w14:paraId="1C83062B" w14:textId="7964C8AF" w:rsidR="00E53577" w:rsidRPr="007741AC" w:rsidRDefault="00E53577" w:rsidP="009B54DB">
      <w:pPr>
        <w:spacing w:line="480" w:lineRule="auto"/>
        <w:outlineLvl w:val="0"/>
        <w:rPr>
          <w:rFonts w:ascii="Arial Narrow" w:hAnsi="Arial Narrow"/>
          <w:b/>
          <w:i/>
          <w:sz w:val="24"/>
          <w:szCs w:val="24"/>
        </w:rPr>
      </w:pPr>
      <w:r w:rsidRPr="007741AC">
        <w:rPr>
          <w:rFonts w:ascii="Arial Narrow" w:hAnsi="Arial Narrow"/>
          <w:b/>
          <w:i/>
          <w:sz w:val="24"/>
          <w:szCs w:val="24"/>
        </w:rPr>
        <w:t>Background and relevant literature</w:t>
      </w:r>
    </w:p>
    <w:p w14:paraId="2DD4CADB" w14:textId="5D627EB6" w:rsidR="00184121" w:rsidRPr="001A1CE7" w:rsidRDefault="00030D47" w:rsidP="00FB418E">
      <w:pPr>
        <w:pStyle w:val="HTMLPreformatted"/>
        <w:spacing w:line="480" w:lineRule="auto"/>
        <w:rPr>
          <w:rFonts w:ascii="Arial Narrow" w:hAnsi="Arial Narrow"/>
          <w:color w:val="000000"/>
        </w:rPr>
      </w:pPr>
      <w:r w:rsidRPr="007741AC">
        <w:rPr>
          <w:rFonts w:ascii="Arial Narrow" w:hAnsi="Arial Narrow"/>
          <w:sz w:val="24"/>
          <w:szCs w:val="24"/>
        </w:rPr>
        <w:t>Overuse of antibiotics and the resultant emergence of multidrug resistant organisms is a potent threat to the welfare of humanity in the twenty-first century (1</w:t>
      </w:r>
      <w:r w:rsidR="008819A6" w:rsidRPr="007741AC">
        <w:rPr>
          <w:rFonts w:ascii="Arial Narrow" w:hAnsi="Arial Narrow"/>
          <w:sz w:val="24"/>
          <w:szCs w:val="24"/>
        </w:rPr>
        <w:t>, 2</w:t>
      </w:r>
      <w:r w:rsidRPr="007741AC">
        <w:rPr>
          <w:rFonts w:ascii="Arial Narrow" w:hAnsi="Arial Narrow"/>
          <w:sz w:val="24"/>
          <w:szCs w:val="24"/>
        </w:rPr>
        <w:t xml:space="preserve">).  Acute pancreatitis is an inflammatory disorder of the pancreas with an incidence of </w:t>
      </w:r>
      <w:r w:rsidR="008819A6" w:rsidRPr="007741AC">
        <w:rPr>
          <w:rFonts w:ascii="Arial Narrow" w:hAnsi="Arial Narrow"/>
          <w:sz w:val="24"/>
          <w:szCs w:val="24"/>
        </w:rPr>
        <w:t>150 to 420 cases per million population (3</w:t>
      </w:r>
      <w:r w:rsidRPr="007741AC">
        <w:rPr>
          <w:rFonts w:ascii="Arial Narrow" w:hAnsi="Arial Narrow"/>
          <w:sz w:val="24"/>
          <w:szCs w:val="24"/>
        </w:rPr>
        <w:t xml:space="preserve">) and an overall case-fatality rate of </w:t>
      </w:r>
      <w:r w:rsidR="007643A8" w:rsidRPr="007741AC">
        <w:rPr>
          <w:rFonts w:ascii="Arial Narrow" w:hAnsi="Arial Narrow"/>
          <w:sz w:val="24"/>
          <w:szCs w:val="24"/>
        </w:rPr>
        <w:t>4-6% (4</w:t>
      </w:r>
      <w:r w:rsidR="00507593" w:rsidRPr="007741AC">
        <w:rPr>
          <w:rFonts w:ascii="Arial Narrow" w:hAnsi="Arial Narrow"/>
          <w:sz w:val="24"/>
          <w:szCs w:val="24"/>
        </w:rPr>
        <w:t>, 5</w:t>
      </w:r>
      <w:r w:rsidRPr="007741AC">
        <w:rPr>
          <w:rFonts w:ascii="Arial Narrow" w:hAnsi="Arial Narrow"/>
          <w:sz w:val="24"/>
          <w:szCs w:val="24"/>
        </w:rPr>
        <w:t>).  In addition to bei</w:t>
      </w:r>
      <w:r w:rsidR="00E478C3" w:rsidRPr="007741AC">
        <w:rPr>
          <w:rFonts w:ascii="Arial Narrow" w:hAnsi="Arial Narrow"/>
          <w:sz w:val="24"/>
          <w:szCs w:val="24"/>
        </w:rPr>
        <w:t>ng a significant cause of death</w:t>
      </w:r>
      <w:r w:rsidR="005E5630" w:rsidRPr="007741AC">
        <w:rPr>
          <w:rFonts w:ascii="Arial Narrow" w:hAnsi="Arial Narrow"/>
          <w:sz w:val="24"/>
          <w:szCs w:val="24"/>
        </w:rPr>
        <w:t>,</w:t>
      </w:r>
      <w:r w:rsidRPr="007741AC">
        <w:rPr>
          <w:rFonts w:ascii="Arial Narrow" w:hAnsi="Arial Narrow"/>
          <w:sz w:val="24"/>
          <w:szCs w:val="24"/>
        </w:rPr>
        <w:t xml:space="preserve"> severe acute pancreatitis (SAP) is associated with prolonged critical care occupancy, lengthy in-patient</w:t>
      </w:r>
      <w:r w:rsidR="00507593" w:rsidRPr="007741AC">
        <w:rPr>
          <w:rFonts w:ascii="Arial Narrow" w:hAnsi="Arial Narrow"/>
          <w:sz w:val="24"/>
          <w:szCs w:val="24"/>
        </w:rPr>
        <w:t xml:space="preserve"> stay and slow </w:t>
      </w:r>
    </w:p>
    <w:p w14:paraId="3F4A253B" w14:textId="79838480" w:rsidR="00F97B12" w:rsidRPr="001A1CE7" w:rsidRDefault="00507593" w:rsidP="00FB418E">
      <w:pPr>
        <w:spacing w:line="480" w:lineRule="auto"/>
        <w:rPr>
          <w:rFonts w:ascii="Arial Narrow" w:hAnsi="Arial Narrow"/>
          <w:sz w:val="24"/>
          <w:szCs w:val="24"/>
        </w:rPr>
      </w:pPr>
      <w:r w:rsidRPr="007741AC">
        <w:rPr>
          <w:rFonts w:ascii="Arial Narrow" w:hAnsi="Arial Narrow"/>
          <w:sz w:val="24"/>
          <w:szCs w:val="24"/>
        </w:rPr>
        <w:t>rehabilitation (6</w:t>
      </w:r>
      <w:r w:rsidR="00030D47" w:rsidRPr="00F35B7D">
        <w:rPr>
          <w:rFonts w:ascii="Arial Narrow" w:hAnsi="Arial Narrow"/>
          <w:sz w:val="24"/>
          <w:szCs w:val="24"/>
        </w:rPr>
        <w:t>). SAP is characterized b</w:t>
      </w:r>
      <w:r w:rsidR="00E478C3" w:rsidRPr="001A1CE7">
        <w:rPr>
          <w:rFonts w:ascii="Arial Narrow" w:hAnsi="Arial Narrow"/>
          <w:sz w:val="24"/>
          <w:szCs w:val="24"/>
        </w:rPr>
        <w:t>y necrosis of pancreatic tissue</w:t>
      </w:r>
      <w:r w:rsidR="00030D47" w:rsidRPr="001A1CE7">
        <w:rPr>
          <w:rFonts w:ascii="Arial Narrow" w:hAnsi="Arial Narrow"/>
          <w:sz w:val="24"/>
          <w:szCs w:val="24"/>
        </w:rPr>
        <w:t xml:space="preserve"> which with bacterial colonization</w:t>
      </w:r>
      <w:r w:rsidRPr="001A1CE7">
        <w:rPr>
          <w:rFonts w:ascii="Arial Narrow" w:hAnsi="Arial Narrow"/>
          <w:sz w:val="24"/>
          <w:szCs w:val="24"/>
        </w:rPr>
        <w:t xml:space="preserve"> leads to infected necrosis (7</w:t>
      </w:r>
      <w:r w:rsidR="00030D47" w:rsidRPr="001A1CE7">
        <w:rPr>
          <w:rFonts w:ascii="Arial Narrow" w:hAnsi="Arial Narrow"/>
          <w:sz w:val="24"/>
          <w:szCs w:val="24"/>
        </w:rPr>
        <w:t xml:space="preserve">). Antimicrobial therapy to prevent infection of necrosis in acute pancreatitis has been evaluated in a series of randomized controlled trials with </w:t>
      </w:r>
      <w:r w:rsidR="004F72A5" w:rsidRPr="001A1CE7">
        <w:rPr>
          <w:rFonts w:ascii="Arial Narrow" w:hAnsi="Arial Narrow"/>
          <w:sz w:val="24"/>
          <w:szCs w:val="24"/>
        </w:rPr>
        <w:t xml:space="preserve">findings </w:t>
      </w:r>
      <w:r w:rsidR="001B5801" w:rsidRPr="001A1CE7">
        <w:rPr>
          <w:rFonts w:ascii="Arial Narrow" w:hAnsi="Arial Narrow"/>
          <w:sz w:val="24"/>
          <w:szCs w:val="24"/>
        </w:rPr>
        <w:t>demonstrating lack of benefit</w:t>
      </w:r>
      <w:r w:rsidR="00030D47" w:rsidRPr="001A1CE7">
        <w:rPr>
          <w:rFonts w:ascii="Arial Narrow" w:hAnsi="Arial Narrow"/>
          <w:sz w:val="24"/>
          <w:szCs w:val="24"/>
        </w:rPr>
        <w:t xml:space="preserve"> </w:t>
      </w:r>
      <w:r w:rsidR="004F72A5" w:rsidRPr="001A1CE7">
        <w:rPr>
          <w:rFonts w:ascii="Arial Narrow" w:hAnsi="Arial Narrow"/>
          <w:sz w:val="24"/>
          <w:szCs w:val="24"/>
        </w:rPr>
        <w:t xml:space="preserve">when </w:t>
      </w:r>
      <w:r w:rsidR="00030D47" w:rsidRPr="001A1CE7">
        <w:rPr>
          <w:rFonts w:ascii="Arial Narrow" w:hAnsi="Arial Narrow"/>
          <w:sz w:val="24"/>
          <w:szCs w:val="24"/>
        </w:rPr>
        <w:t xml:space="preserve">summarized in meta-analyses and </w:t>
      </w:r>
      <w:r w:rsidR="00F97B12" w:rsidRPr="001A1CE7">
        <w:rPr>
          <w:rFonts w:ascii="Arial Narrow" w:hAnsi="Arial Narrow"/>
          <w:sz w:val="24"/>
          <w:szCs w:val="24"/>
        </w:rPr>
        <w:t>a Cochrane systematic review (8,9</w:t>
      </w:r>
      <w:r w:rsidR="00030D47" w:rsidRPr="001A1CE7">
        <w:rPr>
          <w:rFonts w:ascii="Arial Narrow" w:hAnsi="Arial Narrow"/>
          <w:sz w:val="24"/>
          <w:szCs w:val="24"/>
        </w:rPr>
        <w:t xml:space="preserve">).  </w:t>
      </w:r>
      <w:r w:rsidR="00F97B12" w:rsidRPr="001A1CE7">
        <w:rPr>
          <w:rFonts w:ascii="Arial Narrow" w:hAnsi="Arial Narrow"/>
          <w:sz w:val="24"/>
          <w:szCs w:val="24"/>
        </w:rPr>
        <w:t xml:space="preserve">The position on use of antibiotics is not clear with treatment and prophylaxis often overlapping.  </w:t>
      </w:r>
      <w:r w:rsidR="001D7848" w:rsidRPr="001A1CE7">
        <w:rPr>
          <w:rFonts w:ascii="Arial Narrow" w:hAnsi="Arial Narrow"/>
          <w:sz w:val="24"/>
          <w:szCs w:val="24"/>
        </w:rPr>
        <w:t xml:space="preserve">Further, the clinical trials </w:t>
      </w:r>
      <w:r w:rsidR="004114B5" w:rsidRPr="001A1CE7">
        <w:rPr>
          <w:rFonts w:ascii="Arial Narrow" w:hAnsi="Arial Narrow"/>
          <w:sz w:val="24"/>
          <w:szCs w:val="24"/>
        </w:rPr>
        <w:t>from which this evidence is derived are small and carry</w:t>
      </w:r>
      <w:r w:rsidR="001D7848" w:rsidRPr="001A1CE7">
        <w:rPr>
          <w:rFonts w:ascii="Arial Narrow" w:hAnsi="Arial Narrow"/>
          <w:sz w:val="24"/>
          <w:szCs w:val="24"/>
        </w:rPr>
        <w:t xml:space="preserve"> </w:t>
      </w:r>
      <w:r w:rsidR="004033F2" w:rsidRPr="001A1CE7">
        <w:rPr>
          <w:rFonts w:ascii="Arial Narrow" w:hAnsi="Arial Narrow"/>
          <w:sz w:val="24"/>
          <w:szCs w:val="24"/>
        </w:rPr>
        <w:t xml:space="preserve">the </w:t>
      </w:r>
      <w:r w:rsidR="001D7848" w:rsidRPr="001A1CE7">
        <w:rPr>
          <w:rFonts w:ascii="Arial Narrow" w:hAnsi="Arial Narrow"/>
          <w:sz w:val="24"/>
          <w:szCs w:val="24"/>
        </w:rPr>
        <w:t>attendant risks of selection and reporting</w:t>
      </w:r>
      <w:r w:rsidR="004114B5" w:rsidRPr="001A1CE7">
        <w:rPr>
          <w:rFonts w:ascii="Arial Narrow" w:hAnsi="Arial Narrow"/>
          <w:sz w:val="24"/>
          <w:szCs w:val="24"/>
        </w:rPr>
        <w:t xml:space="preserve"> bias.  This</w:t>
      </w:r>
      <w:r w:rsidR="009B54DB" w:rsidRPr="001A1CE7">
        <w:rPr>
          <w:rFonts w:ascii="Arial Narrow" w:hAnsi="Arial Narrow"/>
          <w:sz w:val="24"/>
          <w:szCs w:val="24"/>
        </w:rPr>
        <w:t xml:space="preserve"> is</w:t>
      </w:r>
      <w:r w:rsidR="004114B5" w:rsidRPr="001A1CE7">
        <w:rPr>
          <w:rFonts w:ascii="Arial Narrow" w:hAnsi="Arial Narrow"/>
          <w:sz w:val="24"/>
          <w:szCs w:val="24"/>
        </w:rPr>
        <w:t xml:space="preserve"> likely </w:t>
      </w:r>
      <w:r w:rsidR="009B54DB" w:rsidRPr="001A1CE7">
        <w:rPr>
          <w:rFonts w:ascii="Arial Narrow" w:hAnsi="Arial Narrow"/>
          <w:sz w:val="24"/>
          <w:szCs w:val="24"/>
        </w:rPr>
        <w:t xml:space="preserve">to </w:t>
      </w:r>
      <w:r w:rsidR="004114B5" w:rsidRPr="001A1CE7">
        <w:rPr>
          <w:rFonts w:ascii="Arial Narrow" w:hAnsi="Arial Narrow"/>
          <w:sz w:val="24"/>
          <w:szCs w:val="24"/>
        </w:rPr>
        <w:t>account</w:t>
      </w:r>
      <w:r w:rsidR="001D7848" w:rsidRPr="001A1CE7">
        <w:rPr>
          <w:rFonts w:ascii="Arial Narrow" w:hAnsi="Arial Narrow"/>
          <w:sz w:val="24"/>
          <w:szCs w:val="24"/>
        </w:rPr>
        <w:t xml:space="preserve"> for the </w:t>
      </w:r>
      <w:r w:rsidR="005E5630" w:rsidRPr="001A1CE7">
        <w:rPr>
          <w:rFonts w:ascii="Arial Narrow" w:hAnsi="Arial Narrow"/>
          <w:sz w:val="24"/>
          <w:szCs w:val="24"/>
        </w:rPr>
        <w:t xml:space="preserve">variation in findings reported by different </w:t>
      </w:r>
      <w:r w:rsidR="001D7848" w:rsidRPr="001A1CE7">
        <w:rPr>
          <w:rFonts w:ascii="Arial Narrow" w:hAnsi="Arial Narrow"/>
          <w:sz w:val="24"/>
          <w:szCs w:val="24"/>
        </w:rPr>
        <w:t xml:space="preserve">systematic reviews </w:t>
      </w:r>
      <w:r w:rsidR="00F97B12" w:rsidRPr="001A1CE7">
        <w:rPr>
          <w:rFonts w:ascii="Arial Narrow" w:hAnsi="Arial Narrow"/>
          <w:sz w:val="24"/>
          <w:szCs w:val="24"/>
        </w:rPr>
        <w:t>(</w:t>
      </w:r>
      <w:r w:rsidR="005E5630" w:rsidRPr="001A1CE7">
        <w:rPr>
          <w:rFonts w:ascii="Arial Narrow" w:hAnsi="Arial Narrow"/>
          <w:sz w:val="24"/>
          <w:szCs w:val="24"/>
        </w:rPr>
        <w:t>8,</w:t>
      </w:r>
      <w:r w:rsidR="00F97B12" w:rsidRPr="001A1CE7">
        <w:rPr>
          <w:rFonts w:ascii="Arial Narrow" w:hAnsi="Arial Narrow"/>
          <w:sz w:val="24"/>
          <w:szCs w:val="24"/>
        </w:rPr>
        <w:t>10).</w:t>
      </w:r>
      <w:r w:rsidR="001E3231" w:rsidRPr="001A1CE7">
        <w:rPr>
          <w:rFonts w:ascii="Arial Narrow" w:hAnsi="Arial Narrow"/>
          <w:sz w:val="24"/>
          <w:szCs w:val="24"/>
        </w:rPr>
        <w:t xml:space="preserve"> </w:t>
      </w:r>
      <w:r w:rsidR="001D7848" w:rsidRPr="001A1CE7">
        <w:rPr>
          <w:rFonts w:ascii="Arial Narrow" w:hAnsi="Arial Narrow"/>
          <w:sz w:val="24"/>
          <w:szCs w:val="24"/>
        </w:rPr>
        <w:t>The</w:t>
      </w:r>
      <w:r w:rsidR="001E3231" w:rsidRPr="001A1CE7">
        <w:rPr>
          <w:rFonts w:ascii="Arial Narrow" w:hAnsi="Arial Narrow"/>
          <w:sz w:val="24"/>
          <w:szCs w:val="24"/>
        </w:rPr>
        <w:t xml:space="preserve"> International Association of Pancreatology/American Pancreatic Association guidelines for the treatment of acute pancreatitis </w:t>
      </w:r>
      <w:r w:rsidR="001D7848" w:rsidRPr="001A1CE7">
        <w:rPr>
          <w:rFonts w:ascii="Arial Narrow" w:hAnsi="Arial Narrow"/>
          <w:sz w:val="24"/>
          <w:szCs w:val="24"/>
        </w:rPr>
        <w:t xml:space="preserve">made a definitive statement on this topic and </w:t>
      </w:r>
      <w:r w:rsidR="001E3231" w:rsidRPr="001A1CE7">
        <w:rPr>
          <w:rFonts w:ascii="Arial Narrow" w:hAnsi="Arial Narrow"/>
          <w:sz w:val="24"/>
          <w:szCs w:val="24"/>
        </w:rPr>
        <w:t>do not recommend antibiotic prophylaxis in acute pancreatitis (11).</w:t>
      </w:r>
    </w:p>
    <w:p w14:paraId="403F1665" w14:textId="161F3240" w:rsidR="00030D47" w:rsidRPr="001A1CE7" w:rsidRDefault="00B93F06" w:rsidP="00030D47">
      <w:pPr>
        <w:spacing w:line="480" w:lineRule="auto"/>
        <w:rPr>
          <w:rFonts w:ascii="Arial Narrow" w:hAnsi="Arial Narrow"/>
          <w:sz w:val="24"/>
          <w:szCs w:val="24"/>
        </w:rPr>
      </w:pPr>
      <w:r w:rsidRPr="001A1CE7">
        <w:rPr>
          <w:rFonts w:ascii="Arial Narrow" w:hAnsi="Arial Narrow"/>
          <w:sz w:val="24"/>
          <w:szCs w:val="24"/>
        </w:rPr>
        <w:t xml:space="preserve">Correct use of antibiotics is important in patients with infected necrosis but </w:t>
      </w:r>
      <w:r w:rsidR="00AD3F3A" w:rsidRPr="001A1CE7">
        <w:rPr>
          <w:rFonts w:ascii="Arial Narrow" w:hAnsi="Arial Narrow"/>
          <w:sz w:val="24"/>
          <w:szCs w:val="24"/>
        </w:rPr>
        <w:t>use</w:t>
      </w:r>
      <w:r w:rsidRPr="001A1CE7">
        <w:rPr>
          <w:rFonts w:ascii="Arial Narrow" w:hAnsi="Arial Narrow"/>
          <w:sz w:val="24"/>
          <w:szCs w:val="24"/>
        </w:rPr>
        <w:t xml:space="preserve"> in patients with systemic inflammation in acute pancreatitis is non-therapeutic</w:t>
      </w:r>
      <w:r w:rsidR="00FB7605" w:rsidRPr="001A1CE7">
        <w:rPr>
          <w:rFonts w:ascii="Arial Narrow" w:hAnsi="Arial Narrow"/>
          <w:sz w:val="24"/>
          <w:szCs w:val="24"/>
        </w:rPr>
        <w:t xml:space="preserve"> and possibly harmful</w:t>
      </w:r>
      <w:r w:rsidRPr="001A1CE7">
        <w:rPr>
          <w:rFonts w:ascii="Arial Narrow" w:hAnsi="Arial Narrow"/>
          <w:sz w:val="24"/>
          <w:szCs w:val="24"/>
        </w:rPr>
        <w:t xml:space="preserve">.  </w:t>
      </w:r>
      <w:r w:rsidR="00030D47" w:rsidRPr="001A1CE7">
        <w:rPr>
          <w:rFonts w:ascii="Arial Narrow" w:hAnsi="Arial Narrow"/>
          <w:sz w:val="24"/>
          <w:szCs w:val="24"/>
        </w:rPr>
        <w:t>Discriminating between pancreatic inf</w:t>
      </w:r>
      <w:r w:rsidR="00732C9F" w:rsidRPr="001A1CE7">
        <w:rPr>
          <w:rFonts w:ascii="Arial Narrow" w:hAnsi="Arial Narrow"/>
          <w:sz w:val="24"/>
          <w:szCs w:val="24"/>
        </w:rPr>
        <w:t xml:space="preserve">ection and inflammation is </w:t>
      </w:r>
      <w:r w:rsidR="00030D47" w:rsidRPr="001A1CE7">
        <w:rPr>
          <w:rFonts w:ascii="Arial Narrow" w:hAnsi="Arial Narrow"/>
          <w:sz w:val="24"/>
          <w:szCs w:val="24"/>
        </w:rPr>
        <w:t xml:space="preserve">difficult with neither clinical assessment nor markers of inflammation </w:t>
      </w:r>
      <w:r w:rsidR="005E5630" w:rsidRPr="001A1CE7">
        <w:rPr>
          <w:rFonts w:ascii="Arial Narrow" w:hAnsi="Arial Narrow"/>
          <w:sz w:val="24"/>
          <w:szCs w:val="24"/>
        </w:rPr>
        <w:t>(</w:t>
      </w:r>
      <w:r w:rsidR="00030D47" w:rsidRPr="001A1CE7">
        <w:rPr>
          <w:rFonts w:ascii="Arial Narrow" w:hAnsi="Arial Narrow"/>
          <w:sz w:val="24"/>
          <w:szCs w:val="24"/>
        </w:rPr>
        <w:t>such as leukocyte count or C-reactive prote</w:t>
      </w:r>
      <w:r w:rsidR="00993621" w:rsidRPr="001A1CE7">
        <w:rPr>
          <w:rFonts w:ascii="Arial Narrow" w:hAnsi="Arial Narrow"/>
          <w:sz w:val="24"/>
          <w:szCs w:val="24"/>
        </w:rPr>
        <w:t>in</w:t>
      </w:r>
      <w:r w:rsidR="005E5630" w:rsidRPr="001A1CE7">
        <w:rPr>
          <w:rFonts w:ascii="Arial Narrow" w:hAnsi="Arial Narrow"/>
          <w:sz w:val="24"/>
          <w:szCs w:val="24"/>
        </w:rPr>
        <w:t>)</w:t>
      </w:r>
      <w:r w:rsidR="00993621" w:rsidRPr="001A1CE7">
        <w:rPr>
          <w:rFonts w:ascii="Arial Narrow" w:hAnsi="Arial Narrow"/>
          <w:sz w:val="24"/>
          <w:szCs w:val="24"/>
        </w:rPr>
        <w:t xml:space="preserve"> being sufficiently accurate (12)</w:t>
      </w:r>
      <w:r w:rsidR="00030D47" w:rsidRPr="001A1CE7">
        <w:rPr>
          <w:rFonts w:ascii="Arial Narrow" w:hAnsi="Arial Narrow"/>
          <w:sz w:val="24"/>
          <w:szCs w:val="24"/>
        </w:rPr>
        <w:t xml:space="preserve">.  As a result there is over-use of antibiotics </w:t>
      </w:r>
      <w:r w:rsidR="00732C9F" w:rsidRPr="001A1CE7">
        <w:rPr>
          <w:rFonts w:ascii="Arial Narrow" w:hAnsi="Arial Narrow"/>
          <w:sz w:val="24"/>
          <w:szCs w:val="24"/>
        </w:rPr>
        <w:t xml:space="preserve">for suspected infection in patients with acute pancreatitis </w:t>
      </w:r>
      <w:r w:rsidR="00030D47" w:rsidRPr="001A1CE7">
        <w:rPr>
          <w:rFonts w:ascii="Arial Narrow" w:hAnsi="Arial Narrow"/>
          <w:sz w:val="24"/>
          <w:szCs w:val="24"/>
        </w:rPr>
        <w:t>with up to two-thirds of patients receiving at least one course of antibiotics during their admission (</w:t>
      </w:r>
      <w:r w:rsidR="00993621" w:rsidRPr="001A1CE7">
        <w:rPr>
          <w:rFonts w:ascii="Arial Narrow" w:hAnsi="Arial Narrow"/>
          <w:sz w:val="24"/>
          <w:szCs w:val="24"/>
        </w:rPr>
        <w:t>13</w:t>
      </w:r>
      <w:r w:rsidR="00030D47" w:rsidRPr="001A1CE7">
        <w:rPr>
          <w:rFonts w:ascii="Arial Narrow" w:hAnsi="Arial Narrow"/>
          <w:sz w:val="24"/>
          <w:szCs w:val="24"/>
        </w:rPr>
        <w:t xml:space="preserve">).  Patients with prolonged </w:t>
      </w:r>
      <w:r w:rsidR="00732C9F" w:rsidRPr="001A1CE7">
        <w:rPr>
          <w:rFonts w:ascii="Arial Narrow" w:hAnsi="Arial Narrow"/>
          <w:sz w:val="24"/>
          <w:szCs w:val="24"/>
        </w:rPr>
        <w:t xml:space="preserve">in-patient </w:t>
      </w:r>
      <w:r w:rsidR="00030D47" w:rsidRPr="001A1CE7">
        <w:rPr>
          <w:rFonts w:ascii="Arial Narrow" w:hAnsi="Arial Narrow"/>
          <w:sz w:val="24"/>
          <w:szCs w:val="24"/>
        </w:rPr>
        <w:t>stays may receive multiple courses of multi-drug antibiotic regimens (</w:t>
      </w:r>
      <w:r w:rsidR="00993621" w:rsidRPr="001A1CE7">
        <w:rPr>
          <w:rFonts w:ascii="Arial Narrow" w:hAnsi="Arial Narrow"/>
          <w:sz w:val="24"/>
          <w:szCs w:val="24"/>
        </w:rPr>
        <w:t>13</w:t>
      </w:r>
      <w:r w:rsidR="00030D47" w:rsidRPr="001A1CE7">
        <w:rPr>
          <w:rFonts w:ascii="Arial Narrow" w:hAnsi="Arial Narrow"/>
          <w:sz w:val="24"/>
          <w:szCs w:val="24"/>
        </w:rPr>
        <w:t xml:space="preserve">). </w:t>
      </w:r>
      <w:r w:rsidRPr="001A1CE7">
        <w:rPr>
          <w:rFonts w:ascii="Arial Narrow" w:hAnsi="Arial Narrow"/>
          <w:sz w:val="24"/>
          <w:szCs w:val="24"/>
        </w:rPr>
        <w:t xml:space="preserve">This </w:t>
      </w:r>
      <w:r w:rsidRPr="001A1CE7">
        <w:rPr>
          <w:rFonts w:ascii="Arial Narrow" w:hAnsi="Arial Narrow"/>
          <w:sz w:val="24"/>
          <w:szCs w:val="24"/>
        </w:rPr>
        <w:lastRenderedPageBreak/>
        <w:t xml:space="preserve">specific problem of antibiotic over use in acute pancreatitis </w:t>
      </w:r>
      <w:r w:rsidR="00030D47" w:rsidRPr="001A1CE7">
        <w:rPr>
          <w:rFonts w:ascii="Arial Narrow" w:hAnsi="Arial Narrow"/>
          <w:sz w:val="24"/>
          <w:szCs w:val="24"/>
        </w:rPr>
        <w:t xml:space="preserve">is widespread </w:t>
      </w:r>
      <w:r w:rsidR="005E5630" w:rsidRPr="001A1CE7">
        <w:rPr>
          <w:rFonts w:ascii="Arial Narrow" w:hAnsi="Arial Narrow"/>
          <w:sz w:val="24"/>
          <w:szCs w:val="24"/>
        </w:rPr>
        <w:t xml:space="preserve">not only </w:t>
      </w:r>
      <w:r w:rsidR="00030D47" w:rsidRPr="001A1CE7">
        <w:rPr>
          <w:rFonts w:ascii="Arial Narrow" w:hAnsi="Arial Narrow"/>
          <w:sz w:val="24"/>
          <w:szCs w:val="24"/>
        </w:rPr>
        <w:t xml:space="preserve">in the </w:t>
      </w:r>
      <w:r w:rsidR="00E53577" w:rsidRPr="001A1CE7">
        <w:rPr>
          <w:rFonts w:ascii="Arial Narrow" w:hAnsi="Arial Narrow"/>
          <w:sz w:val="24"/>
          <w:szCs w:val="24"/>
        </w:rPr>
        <w:t>United Kingdom’s National Health Service</w:t>
      </w:r>
      <w:r w:rsidR="00030D47" w:rsidRPr="001A1CE7">
        <w:rPr>
          <w:rFonts w:ascii="Arial Narrow" w:hAnsi="Arial Narrow"/>
          <w:sz w:val="24"/>
          <w:szCs w:val="24"/>
        </w:rPr>
        <w:t xml:space="preserve"> </w:t>
      </w:r>
      <w:r w:rsidR="001F2901" w:rsidRPr="001A1CE7">
        <w:rPr>
          <w:rFonts w:ascii="Arial Narrow" w:hAnsi="Arial Narrow"/>
          <w:sz w:val="24"/>
          <w:szCs w:val="24"/>
        </w:rPr>
        <w:t xml:space="preserve">(NHS) </w:t>
      </w:r>
      <w:r w:rsidR="00F2456D" w:rsidRPr="001A1CE7">
        <w:rPr>
          <w:rFonts w:ascii="Arial Narrow" w:hAnsi="Arial Narrow"/>
          <w:sz w:val="24"/>
          <w:szCs w:val="24"/>
        </w:rPr>
        <w:t xml:space="preserve">(14) </w:t>
      </w:r>
      <w:r w:rsidR="005E5630" w:rsidRPr="001A1CE7">
        <w:rPr>
          <w:rFonts w:ascii="Arial Narrow" w:hAnsi="Arial Narrow"/>
          <w:sz w:val="24"/>
          <w:szCs w:val="24"/>
        </w:rPr>
        <w:t xml:space="preserve">but also </w:t>
      </w:r>
      <w:r w:rsidR="00E478C3" w:rsidRPr="001A1CE7">
        <w:rPr>
          <w:rFonts w:ascii="Arial Narrow" w:hAnsi="Arial Narrow"/>
          <w:sz w:val="24"/>
          <w:szCs w:val="24"/>
        </w:rPr>
        <w:t>worldwide</w:t>
      </w:r>
      <w:r w:rsidR="00F2456D" w:rsidRPr="001A1CE7">
        <w:rPr>
          <w:rFonts w:ascii="Arial Narrow" w:hAnsi="Arial Narrow"/>
          <w:sz w:val="24"/>
          <w:szCs w:val="24"/>
        </w:rPr>
        <w:t xml:space="preserve"> (15-18</w:t>
      </w:r>
      <w:r w:rsidR="00993621" w:rsidRPr="001A1CE7">
        <w:rPr>
          <w:rFonts w:ascii="Arial Narrow" w:hAnsi="Arial Narrow"/>
          <w:sz w:val="24"/>
          <w:szCs w:val="24"/>
        </w:rPr>
        <w:t>)</w:t>
      </w:r>
      <w:r w:rsidR="00E478C3" w:rsidRPr="001A1CE7">
        <w:rPr>
          <w:rFonts w:ascii="Arial Narrow" w:hAnsi="Arial Narrow"/>
          <w:sz w:val="24"/>
          <w:szCs w:val="24"/>
        </w:rPr>
        <w:t>.  O</w:t>
      </w:r>
      <w:r w:rsidR="00030D47" w:rsidRPr="001A1CE7">
        <w:rPr>
          <w:rFonts w:ascii="Arial Narrow" w:hAnsi="Arial Narrow"/>
          <w:sz w:val="24"/>
          <w:szCs w:val="24"/>
        </w:rPr>
        <w:t xml:space="preserve">ver-use of antibiotics </w:t>
      </w:r>
      <w:r w:rsidRPr="001A1CE7">
        <w:rPr>
          <w:rFonts w:ascii="Arial Narrow" w:hAnsi="Arial Narrow"/>
          <w:sz w:val="24"/>
          <w:szCs w:val="24"/>
        </w:rPr>
        <w:t>in acute</w:t>
      </w:r>
      <w:r w:rsidR="00030D47" w:rsidRPr="001A1CE7">
        <w:rPr>
          <w:rFonts w:ascii="Arial Narrow" w:hAnsi="Arial Narrow"/>
          <w:sz w:val="24"/>
          <w:szCs w:val="24"/>
        </w:rPr>
        <w:t xml:space="preserve"> pancreatitis is associated with </w:t>
      </w:r>
      <w:r w:rsidR="00E478C3" w:rsidRPr="001A1CE7">
        <w:rPr>
          <w:rFonts w:ascii="Arial Narrow" w:hAnsi="Arial Narrow"/>
          <w:sz w:val="24"/>
          <w:szCs w:val="24"/>
        </w:rPr>
        <w:t xml:space="preserve">the </w:t>
      </w:r>
      <w:r w:rsidR="00030D47" w:rsidRPr="001A1CE7">
        <w:rPr>
          <w:rFonts w:ascii="Arial Narrow" w:hAnsi="Arial Narrow"/>
          <w:sz w:val="24"/>
          <w:szCs w:val="24"/>
        </w:rPr>
        <w:t>emergence of resistant organisms, antibiotic</w:t>
      </w:r>
      <w:r w:rsidR="00732C9F" w:rsidRPr="001A1CE7">
        <w:rPr>
          <w:rFonts w:ascii="Arial Narrow" w:hAnsi="Arial Narrow"/>
          <w:sz w:val="24"/>
          <w:szCs w:val="24"/>
        </w:rPr>
        <w:t>-related</w:t>
      </w:r>
      <w:r w:rsidR="00030D47" w:rsidRPr="001A1CE7">
        <w:rPr>
          <w:rFonts w:ascii="Arial Narrow" w:hAnsi="Arial Narrow"/>
          <w:sz w:val="24"/>
          <w:szCs w:val="24"/>
        </w:rPr>
        <w:t xml:space="preserve"> side-effects, c</w:t>
      </w:r>
      <w:r w:rsidR="00732C9F" w:rsidRPr="001A1CE7">
        <w:rPr>
          <w:rFonts w:ascii="Arial Narrow" w:hAnsi="Arial Narrow"/>
          <w:sz w:val="24"/>
          <w:szCs w:val="24"/>
        </w:rPr>
        <w:t xml:space="preserve">ompromised treatment efficacy </w:t>
      </w:r>
      <w:r w:rsidR="00030D47" w:rsidRPr="001A1CE7">
        <w:rPr>
          <w:rFonts w:ascii="Arial Narrow" w:hAnsi="Arial Narrow"/>
          <w:sz w:val="24"/>
          <w:szCs w:val="24"/>
        </w:rPr>
        <w:t>and un</w:t>
      </w:r>
      <w:r w:rsidR="002F2BA6" w:rsidRPr="001A1CE7">
        <w:rPr>
          <w:rFonts w:ascii="Arial Narrow" w:hAnsi="Arial Narrow"/>
          <w:sz w:val="24"/>
          <w:szCs w:val="24"/>
        </w:rPr>
        <w:t>necessary health care costs</w:t>
      </w:r>
      <w:r w:rsidR="00030D47" w:rsidRPr="001A1CE7">
        <w:rPr>
          <w:rFonts w:ascii="Arial Narrow" w:hAnsi="Arial Narrow"/>
          <w:sz w:val="24"/>
          <w:szCs w:val="24"/>
        </w:rPr>
        <w:t>.  Our group has reported over-use occurri</w:t>
      </w:r>
      <w:r w:rsidR="00AD3F3A" w:rsidRPr="001A1CE7">
        <w:rPr>
          <w:rFonts w:ascii="Arial Narrow" w:hAnsi="Arial Narrow"/>
          <w:sz w:val="24"/>
          <w:szCs w:val="24"/>
        </w:rPr>
        <w:t>ng in two</w:t>
      </w:r>
      <w:r w:rsidR="00030D47" w:rsidRPr="001A1CE7">
        <w:rPr>
          <w:rFonts w:ascii="Arial Narrow" w:hAnsi="Arial Narrow"/>
          <w:sz w:val="24"/>
          <w:szCs w:val="24"/>
        </w:rPr>
        <w:t xml:space="preserve"> principal areas: incorrect commencement of antibiotics </w:t>
      </w:r>
      <w:r w:rsidR="00FB7605" w:rsidRPr="001A1CE7">
        <w:rPr>
          <w:rFonts w:ascii="Arial Narrow" w:hAnsi="Arial Narrow"/>
          <w:sz w:val="24"/>
          <w:szCs w:val="24"/>
        </w:rPr>
        <w:t>(</w:t>
      </w:r>
      <w:r w:rsidR="00030D47" w:rsidRPr="001A1CE7">
        <w:rPr>
          <w:rFonts w:ascii="Arial Narrow" w:hAnsi="Arial Narrow"/>
          <w:sz w:val="24"/>
          <w:szCs w:val="24"/>
        </w:rPr>
        <w:t>because inflammation closely mirrors infec</w:t>
      </w:r>
      <w:r w:rsidR="00AD3F3A" w:rsidRPr="001A1CE7">
        <w:rPr>
          <w:rFonts w:ascii="Arial Narrow" w:hAnsi="Arial Narrow"/>
          <w:sz w:val="24"/>
          <w:szCs w:val="24"/>
        </w:rPr>
        <w:t>tion</w:t>
      </w:r>
      <w:r w:rsidR="00FB7605" w:rsidRPr="001A1CE7">
        <w:rPr>
          <w:rFonts w:ascii="Arial Narrow" w:hAnsi="Arial Narrow"/>
          <w:sz w:val="24"/>
          <w:szCs w:val="24"/>
        </w:rPr>
        <w:t>)</w:t>
      </w:r>
      <w:r w:rsidR="00AD3F3A" w:rsidRPr="001A1CE7">
        <w:rPr>
          <w:rFonts w:ascii="Arial Narrow" w:hAnsi="Arial Narrow"/>
          <w:sz w:val="24"/>
          <w:szCs w:val="24"/>
        </w:rPr>
        <w:t xml:space="preserve"> </w:t>
      </w:r>
      <w:r w:rsidR="00030D47" w:rsidRPr="001A1CE7">
        <w:rPr>
          <w:rFonts w:ascii="Arial Narrow" w:hAnsi="Arial Narrow"/>
          <w:sz w:val="24"/>
          <w:szCs w:val="24"/>
        </w:rPr>
        <w:t>and failure to discontinue (1</w:t>
      </w:r>
      <w:r w:rsidR="002F2BA6" w:rsidRPr="001A1CE7">
        <w:rPr>
          <w:rFonts w:ascii="Arial Narrow" w:hAnsi="Arial Narrow"/>
          <w:sz w:val="24"/>
          <w:szCs w:val="24"/>
        </w:rPr>
        <w:t>3</w:t>
      </w:r>
      <w:r w:rsidR="00030D47" w:rsidRPr="001A1CE7">
        <w:rPr>
          <w:rFonts w:ascii="Arial Narrow" w:hAnsi="Arial Narrow"/>
          <w:sz w:val="24"/>
          <w:szCs w:val="24"/>
        </w:rPr>
        <w:t xml:space="preserve">).  </w:t>
      </w:r>
      <w:r w:rsidR="00E53577" w:rsidRPr="001A1CE7">
        <w:rPr>
          <w:rFonts w:ascii="Arial Narrow" w:hAnsi="Arial Narrow"/>
          <w:sz w:val="24"/>
          <w:szCs w:val="24"/>
        </w:rPr>
        <w:t>Nationally, t</w:t>
      </w:r>
      <w:r w:rsidR="00030D47" w:rsidRPr="001A1CE7">
        <w:rPr>
          <w:rFonts w:ascii="Arial Narrow" w:hAnsi="Arial Narrow"/>
          <w:sz w:val="24"/>
          <w:szCs w:val="24"/>
        </w:rPr>
        <w:t>he National Confidential Enquiry into Patient Outcome and Death (NCEPOD) undertook the largest survey to date of the treatment of a</w:t>
      </w:r>
      <w:r w:rsidR="002F2BA6" w:rsidRPr="001A1CE7">
        <w:rPr>
          <w:rFonts w:ascii="Arial Narrow" w:hAnsi="Arial Narrow"/>
          <w:sz w:val="24"/>
          <w:szCs w:val="24"/>
        </w:rPr>
        <w:t>cute pancreatitis in the NHS (19</w:t>
      </w:r>
      <w:r w:rsidR="00030D47" w:rsidRPr="001A1CE7">
        <w:rPr>
          <w:rFonts w:ascii="Arial Narrow" w:hAnsi="Arial Narrow"/>
          <w:sz w:val="24"/>
          <w:szCs w:val="24"/>
        </w:rPr>
        <w:t>).  “Treat</w:t>
      </w:r>
      <w:r w:rsidR="00E478C3" w:rsidRPr="001A1CE7">
        <w:rPr>
          <w:rFonts w:ascii="Arial Narrow" w:hAnsi="Arial Narrow"/>
          <w:sz w:val="24"/>
          <w:szCs w:val="24"/>
        </w:rPr>
        <w:t xml:space="preserve"> the Cause”, published in 2016,</w:t>
      </w:r>
      <w:r w:rsidR="00FB7605" w:rsidRPr="001A1CE7">
        <w:rPr>
          <w:rFonts w:ascii="Arial Narrow" w:hAnsi="Arial Narrow"/>
          <w:sz w:val="24"/>
          <w:szCs w:val="24"/>
        </w:rPr>
        <w:t xml:space="preserve"> </w:t>
      </w:r>
      <w:r w:rsidR="00030D47" w:rsidRPr="001A1CE7">
        <w:rPr>
          <w:rFonts w:ascii="Arial Narrow" w:hAnsi="Arial Narrow"/>
          <w:sz w:val="24"/>
          <w:szCs w:val="24"/>
        </w:rPr>
        <w:t>recommends the need for better support for clinicians making bedside decisions about the use of antibiotics</w:t>
      </w:r>
      <w:r w:rsidR="002F2BA6" w:rsidRPr="001A1CE7">
        <w:rPr>
          <w:rFonts w:ascii="Arial Narrow" w:hAnsi="Arial Narrow"/>
          <w:sz w:val="24"/>
          <w:szCs w:val="24"/>
        </w:rPr>
        <w:t xml:space="preserve"> (19)</w:t>
      </w:r>
      <w:r w:rsidR="00030D47" w:rsidRPr="001A1CE7">
        <w:rPr>
          <w:rFonts w:ascii="Arial Narrow" w:hAnsi="Arial Narrow"/>
          <w:sz w:val="24"/>
          <w:szCs w:val="24"/>
        </w:rPr>
        <w:t>.  Specifically, there is a need for assistance in differentiating infection from inflammation and better evidence for initiation, continuation and discontinuation of antibiotics in acute pancreatitis.  More discriminant and better targeted antibiotic use would re</w:t>
      </w:r>
      <w:r w:rsidR="00942E16" w:rsidRPr="001A1CE7">
        <w:rPr>
          <w:rFonts w:ascii="Arial Narrow" w:hAnsi="Arial Narrow"/>
          <w:sz w:val="24"/>
          <w:szCs w:val="24"/>
        </w:rPr>
        <w:t xml:space="preserve">duce inappropriate </w:t>
      </w:r>
      <w:r w:rsidR="00030D47" w:rsidRPr="001A1CE7">
        <w:rPr>
          <w:rFonts w:ascii="Arial Narrow" w:hAnsi="Arial Narrow"/>
          <w:sz w:val="24"/>
          <w:szCs w:val="24"/>
        </w:rPr>
        <w:t>use, limit resistance and side effects, and promote better use of health care resources.</w:t>
      </w:r>
    </w:p>
    <w:p w14:paraId="09D62C74" w14:textId="05A8D30C" w:rsidR="00030D47" w:rsidRPr="001A1CE7" w:rsidRDefault="001F2901" w:rsidP="00030D47">
      <w:pPr>
        <w:spacing w:line="480" w:lineRule="auto"/>
        <w:rPr>
          <w:rFonts w:ascii="Arial Narrow" w:hAnsi="Arial Narrow"/>
          <w:sz w:val="24"/>
          <w:szCs w:val="24"/>
        </w:rPr>
      </w:pPr>
      <w:r w:rsidRPr="001A1CE7">
        <w:rPr>
          <w:rFonts w:ascii="Arial Narrow" w:hAnsi="Arial Narrow"/>
          <w:sz w:val="24"/>
          <w:szCs w:val="24"/>
        </w:rPr>
        <w:t xml:space="preserve">A </w:t>
      </w:r>
      <w:r w:rsidR="00030D47" w:rsidRPr="001A1CE7">
        <w:rPr>
          <w:rFonts w:ascii="Arial Narrow" w:hAnsi="Arial Narrow"/>
          <w:sz w:val="24"/>
          <w:szCs w:val="24"/>
        </w:rPr>
        <w:t xml:space="preserve">method of distinguishing infection from inflammation </w:t>
      </w:r>
      <w:r w:rsidRPr="001A1CE7">
        <w:rPr>
          <w:rFonts w:ascii="Arial Narrow" w:hAnsi="Arial Narrow"/>
          <w:sz w:val="24"/>
          <w:szCs w:val="24"/>
        </w:rPr>
        <w:t>is by measurement</w:t>
      </w:r>
      <w:r w:rsidR="00B93F06" w:rsidRPr="001A1CE7">
        <w:rPr>
          <w:rFonts w:ascii="Arial Narrow" w:hAnsi="Arial Narrow"/>
          <w:sz w:val="24"/>
          <w:szCs w:val="24"/>
        </w:rPr>
        <w:t xml:space="preserve"> of</w:t>
      </w:r>
      <w:r w:rsidR="002F2BA6" w:rsidRPr="001A1CE7">
        <w:rPr>
          <w:rFonts w:ascii="Arial Narrow" w:hAnsi="Arial Narrow"/>
          <w:sz w:val="24"/>
          <w:szCs w:val="24"/>
        </w:rPr>
        <w:t xml:space="preserve"> procalcitonin </w:t>
      </w:r>
      <w:r w:rsidR="001B5801" w:rsidRPr="001A1CE7">
        <w:rPr>
          <w:rFonts w:ascii="Arial Narrow" w:hAnsi="Arial Narrow"/>
          <w:sz w:val="24"/>
          <w:szCs w:val="24"/>
        </w:rPr>
        <w:t xml:space="preserve">(PCT) </w:t>
      </w:r>
      <w:r w:rsidR="002F2BA6" w:rsidRPr="001A1CE7">
        <w:rPr>
          <w:rFonts w:ascii="Arial Narrow" w:hAnsi="Arial Narrow"/>
          <w:sz w:val="24"/>
          <w:szCs w:val="24"/>
        </w:rPr>
        <w:t>(20</w:t>
      </w:r>
      <w:r w:rsidR="00E5368B" w:rsidRPr="001A1CE7">
        <w:rPr>
          <w:rFonts w:ascii="Arial Narrow" w:hAnsi="Arial Narrow"/>
          <w:sz w:val="24"/>
          <w:szCs w:val="24"/>
        </w:rPr>
        <w:t xml:space="preserve">). Historically, calcitonin peptides were thought to be responsible for calcium homeostasis but </w:t>
      </w:r>
      <w:r w:rsidR="00C22B51" w:rsidRPr="001A1CE7">
        <w:rPr>
          <w:rFonts w:ascii="Arial Narrow" w:hAnsi="Arial Narrow"/>
          <w:sz w:val="24"/>
          <w:szCs w:val="24"/>
        </w:rPr>
        <w:t xml:space="preserve">this is now thought to be a relatively minor physiological role and </w:t>
      </w:r>
      <w:r w:rsidR="00E5368B" w:rsidRPr="001A1CE7">
        <w:rPr>
          <w:rFonts w:ascii="Arial Narrow" w:hAnsi="Arial Narrow"/>
          <w:sz w:val="24"/>
          <w:szCs w:val="24"/>
        </w:rPr>
        <w:t>a more contemporary appraisal is that procalcitonin</w:t>
      </w:r>
      <w:r w:rsidR="00030D47" w:rsidRPr="001A1CE7">
        <w:rPr>
          <w:rFonts w:ascii="Arial Narrow" w:hAnsi="Arial Narrow"/>
          <w:sz w:val="24"/>
          <w:szCs w:val="24"/>
        </w:rPr>
        <w:t xml:space="preserve"> </w:t>
      </w:r>
      <w:r w:rsidR="00E5368B" w:rsidRPr="001A1CE7">
        <w:rPr>
          <w:rFonts w:ascii="Arial Narrow" w:hAnsi="Arial Narrow"/>
          <w:sz w:val="24"/>
          <w:szCs w:val="24"/>
        </w:rPr>
        <w:t>is a “hormokine” sharing characteristics of both hormones and cytokines and having role</w:t>
      </w:r>
      <w:r w:rsidR="00C22B51" w:rsidRPr="001A1CE7">
        <w:rPr>
          <w:rFonts w:ascii="Arial Narrow" w:hAnsi="Arial Narrow"/>
          <w:sz w:val="24"/>
          <w:szCs w:val="24"/>
        </w:rPr>
        <w:t>s in maintaining</w:t>
      </w:r>
      <w:r w:rsidR="00E5368B" w:rsidRPr="001A1CE7">
        <w:rPr>
          <w:rFonts w:ascii="Arial Narrow" w:hAnsi="Arial Narrow"/>
          <w:sz w:val="24"/>
          <w:szCs w:val="24"/>
        </w:rPr>
        <w:t xml:space="preserve"> vascular endothelial tone in response to bacterial infection (20). </w:t>
      </w:r>
      <w:r w:rsidR="00030D47" w:rsidRPr="001A1CE7">
        <w:rPr>
          <w:rFonts w:ascii="Arial Narrow" w:hAnsi="Arial Narrow"/>
          <w:sz w:val="24"/>
          <w:szCs w:val="24"/>
        </w:rPr>
        <w:t>The p</w:t>
      </w:r>
      <w:r w:rsidRPr="001A1CE7">
        <w:rPr>
          <w:rFonts w:ascii="Arial Narrow" w:hAnsi="Arial Narrow"/>
          <w:sz w:val="24"/>
          <w:szCs w:val="24"/>
        </w:rPr>
        <w:t>rocalcitonin level in the blood</w:t>
      </w:r>
      <w:r w:rsidR="00030D47" w:rsidRPr="001A1CE7">
        <w:rPr>
          <w:rFonts w:ascii="Arial Narrow" w:hAnsi="Arial Narrow"/>
          <w:sz w:val="24"/>
          <w:szCs w:val="24"/>
        </w:rPr>
        <w:t>stream of healthy individuals is below the limit of detection (10 pg/mL) using clinical ass</w:t>
      </w:r>
      <w:r w:rsidR="00E53577" w:rsidRPr="001A1CE7">
        <w:rPr>
          <w:rFonts w:ascii="Arial Narrow" w:hAnsi="Arial Narrow"/>
          <w:sz w:val="24"/>
          <w:szCs w:val="24"/>
        </w:rPr>
        <w:t xml:space="preserve">ays. Procalcitonin levels rise </w:t>
      </w:r>
      <w:r w:rsidR="00030D47" w:rsidRPr="001A1CE7">
        <w:rPr>
          <w:rFonts w:ascii="Arial Narrow" w:hAnsi="Arial Narrow"/>
          <w:sz w:val="24"/>
          <w:szCs w:val="24"/>
        </w:rPr>
        <w:t>rapidly in response to a pro-inflammatory stimulus of bacterial origin and normally fall after successful treatment</w:t>
      </w:r>
      <w:r w:rsidR="00E5368B" w:rsidRPr="001A1CE7">
        <w:rPr>
          <w:rFonts w:ascii="Arial Narrow" w:hAnsi="Arial Narrow"/>
          <w:sz w:val="24"/>
          <w:szCs w:val="24"/>
        </w:rPr>
        <w:t xml:space="preserve"> (21)</w:t>
      </w:r>
      <w:r w:rsidR="00030D47" w:rsidRPr="001A1CE7">
        <w:rPr>
          <w:rFonts w:ascii="Arial Narrow" w:hAnsi="Arial Narrow"/>
          <w:sz w:val="24"/>
          <w:szCs w:val="24"/>
        </w:rPr>
        <w:t xml:space="preserve">. PCT is more sensitive than clinical assessment, routine laboratory markers of sepsis </w:t>
      </w:r>
      <w:r w:rsidR="00741D2C" w:rsidRPr="001A1CE7">
        <w:rPr>
          <w:rFonts w:ascii="Arial Narrow" w:hAnsi="Arial Narrow"/>
          <w:sz w:val="24"/>
          <w:szCs w:val="24"/>
        </w:rPr>
        <w:t>(</w:t>
      </w:r>
      <w:r w:rsidR="00030D47" w:rsidRPr="001A1CE7">
        <w:rPr>
          <w:rFonts w:ascii="Arial Narrow" w:hAnsi="Arial Narrow"/>
          <w:sz w:val="24"/>
          <w:szCs w:val="24"/>
        </w:rPr>
        <w:t>such as leukocyte count and C-reactive protein</w:t>
      </w:r>
      <w:r w:rsidR="00741D2C" w:rsidRPr="001A1CE7">
        <w:rPr>
          <w:rFonts w:ascii="Arial Narrow" w:hAnsi="Arial Narrow"/>
          <w:sz w:val="24"/>
          <w:szCs w:val="24"/>
        </w:rPr>
        <w:t>)</w:t>
      </w:r>
      <w:r w:rsidR="00030D47" w:rsidRPr="001A1CE7">
        <w:rPr>
          <w:rFonts w:ascii="Arial Narrow" w:hAnsi="Arial Narrow"/>
          <w:sz w:val="24"/>
          <w:szCs w:val="24"/>
        </w:rPr>
        <w:t xml:space="preserve"> </w:t>
      </w:r>
      <w:r w:rsidR="00741D2C" w:rsidRPr="001A1CE7">
        <w:rPr>
          <w:rFonts w:ascii="Arial Narrow" w:hAnsi="Arial Narrow"/>
          <w:sz w:val="24"/>
          <w:szCs w:val="24"/>
        </w:rPr>
        <w:t xml:space="preserve">or </w:t>
      </w:r>
      <w:r w:rsidR="00030D47" w:rsidRPr="001A1CE7">
        <w:rPr>
          <w:rFonts w:ascii="Arial Narrow" w:hAnsi="Arial Narrow"/>
          <w:sz w:val="24"/>
          <w:szCs w:val="24"/>
        </w:rPr>
        <w:t>other markers of the pro-inflammatory response such as interleukin 6 in de</w:t>
      </w:r>
      <w:r w:rsidR="00E5368B" w:rsidRPr="001A1CE7">
        <w:rPr>
          <w:rFonts w:ascii="Arial Narrow" w:hAnsi="Arial Narrow"/>
          <w:sz w:val="24"/>
          <w:szCs w:val="24"/>
        </w:rPr>
        <w:t>tecting pancreatic infection (22</w:t>
      </w:r>
      <w:r w:rsidR="00030D47" w:rsidRPr="001A1CE7">
        <w:rPr>
          <w:rFonts w:ascii="Arial Narrow" w:hAnsi="Arial Narrow"/>
          <w:sz w:val="24"/>
          <w:szCs w:val="24"/>
        </w:rPr>
        <w:t>). PCT Algorithms based on measurement of procalcitonin have emerged as a means of differentiating bacterial sepsis from a systemic inflammatory response</w:t>
      </w:r>
      <w:r w:rsidR="00C22B51" w:rsidRPr="001A1CE7">
        <w:rPr>
          <w:rFonts w:ascii="Arial Narrow" w:hAnsi="Arial Narrow"/>
          <w:sz w:val="24"/>
          <w:szCs w:val="24"/>
        </w:rPr>
        <w:t xml:space="preserve"> in a wide range of settings</w:t>
      </w:r>
      <w:r w:rsidR="00030D47" w:rsidRPr="001A1CE7">
        <w:rPr>
          <w:rFonts w:ascii="Arial Narrow" w:hAnsi="Arial Narrow"/>
          <w:sz w:val="24"/>
          <w:szCs w:val="24"/>
        </w:rPr>
        <w:t xml:space="preserve"> (</w:t>
      </w:r>
      <w:r w:rsidR="00E5368B" w:rsidRPr="001A1CE7">
        <w:rPr>
          <w:rFonts w:ascii="Arial Narrow" w:hAnsi="Arial Narrow"/>
          <w:sz w:val="24"/>
          <w:szCs w:val="24"/>
        </w:rPr>
        <w:t>23</w:t>
      </w:r>
      <w:r w:rsidR="00030D47" w:rsidRPr="001A1CE7">
        <w:rPr>
          <w:rFonts w:ascii="Arial Narrow" w:hAnsi="Arial Narrow"/>
          <w:sz w:val="24"/>
          <w:szCs w:val="24"/>
        </w:rPr>
        <w:t xml:space="preserve">).  </w:t>
      </w:r>
    </w:p>
    <w:p w14:paraId="6D5B8882" w14:textId="3B459054" w:rsidR="001F2901" w:rsidRPr="001A1CE7" w:rsidRDefault="001F2901" w:rsidP="00030D47">
      <w:pPr>
        <w:spacing w:line="480" w:lineRule="auto"/>
        <w:rPr>
          <w:rFonts w:ascii="Arial Narrow" w:hAnsi="Arial Narrow"/>
          <w:sz w:val="24"/>
          <w:szCs w:val="24"/>
        </w:rPr>
      </w:pPr>
      <w:r w:rsidRPr="001A1CE7">
        <w:rPr>
          <w:rFonts w:ascii="Arial Narrow" w:hAnsi="Arial Narrow"/>
          <w:sz w:val="24"/>
          <w:szCs w:val="24"/>
        </w:rPr>
        <w:lastRenderedPageBreak/>
        <w:t>A recent Health Technology Assessment (HTA)</w:t>
      </w:r>
      <w:r w:rsidR="00030D47" w:rsidRPr="001A1CE7">
        <w:rPr>
          <w:rFonts w:ascii="Arial Narrow" w:hAnsi="Arial Narrow"/>
          <w:sz w:val="24"/>
          <w:szCs w:val="24"/>
        </w:rPr>
        <w:t xml:space="preserve"> report evaluated Procalcitonin testing as a guide to antibiotic therapy when treating s</w:t>
      </w:r>
      <w:r w:rsidRPr="001A1CE7">
        <w:rPr>
          <w:rFonts w:ascii="Arial Narrow" w:hAnsi="Arial Narrow"/>
          <w:sz w:val="24"/>
          <w:szCs w:val="24"/>
        </w:rPr>
        <w:t>epsis in intensive care units</w:t>
      </w:r>
      <w:r w:rsidR="00030D47" w:rsidRPr="001A1CE7">
        <w:rPr>
          <w:rFonts w:ascii="Arial Narrow" w:hAnsi="Arial Narrow"/>
          <w:sz w:val="24"/>
          <w:szCs w:val="24"/>
        </w:rPr>
        <w:t xml:space="preserve"> and for suspected bacterial infection</w:t>
      </w:r>
      <w:r w:rsidRPr="001A1CE7">
        <w:rPr>
          <w:rFonts w:ascii="Arial Narrow" w:hAnsi="Arial Narrow"/>
          <w:sz w:val="24"/>
          <w:szCs w:val="24"/>
        </w:rPr>
        <w:t xml:space="preserve"> in emergency department</w:t>
      </w:r>
      <w:r w:rsidR="00030D47" w:rsidRPr="001A1CE7">
        <w:rPr>
          <w:rFonts w:ascii="Arial Narrow" w:hAnsi="Arial Narrow"/>
          <w:sz w:val="24"/>
          <w:szCs w:val="24"/>
        </w:rPr>
        <w:t>s (</w:t>
      </w:r>
      <w:r w:rsidR="00C22B51" w:rsidRPr="001A1CE7">
        <w:rPr>
          <w:rFonts w:ascii="Arial Narrow" w:hAnsi="Arial Narrow"/>
          <w:sz w:val="24"/>
          <w:szCs w:val="24"/>
        </w:rPr>
        <w:t>24</w:t>
      </w:r>
      <w:r w:rsidR="00030D47" w:rsidRPr="001A1CE7">
        <w:rPr>
          <w:rFonts w:ascii="Arial Narrow" w:hAnsi="Arial Narrow"/>
          <w:sz w:val="24"/>
          <w:szCs w:val="24"/>
        </w:rPr>
        <w:t xml:space="preserve">). The report concluded that although procalcitonin testing is widely available in the NHS, further studies are needed in specific disease settings.   Current evidence </w:t>
      </w:r>
      <w:r w:rsidR="0051681B" w:rsidRPr="001A1CE7">
        <w:rPr>
          <w:rFonts w:ascii="Arial Narrow" w:hAnsi="Arial Narrow"/>
          <w:sz w:val="24"/>
          <w:szCs w:val="24"/>
        </w:rPr>
        <w:t xml:space="preserve">for </w:t>
      </w:r>
      <w:r w:rsidR="00030D47" w:rsidRPr="001A1CE7">
        <w:rPr>
          <w:rFonts w:ascii="Arial Narrow" w:hAnsi="Arial Narrow"/>
          <w:sz w:val="24"/>
          <w:szCs w:val="24"/>
        </w:rPr>
        <w:t>the use of PCT algorithms to guide antibiotic use in critical care, emergency departments and primary care is reviewed and summarised in detail i</w:t>
      </w:r>
      <w:r w:rsidR="002470B1" w:rsidRPr="001A1CE7">
        <w:rPr>
          <w:rFonts w:ascii="Arial Narrow" w:hAnsi="Arial Narrow"/>
          <w:sz w:val="24"/>
          <w:szCs w:val="24"/>
        </w:rPr>
        <w:t xml:space="preserve">n </w:t>
      </w:r>
      <w:r w:rsidR="00B93F06" w:rsidRPr="001A1CE7">
        <w:rPr>
          <w:rFonts w:ascii="Arial Narrow" w:hAnsi="Arial Narrow"/>
          <w:sz w:val="24"/>
          <w:szCs w:val="24"/>
        </w:rPr>
        <w:t xml:space="preserve">the </w:t>
      </w:r>
      <w:r w:rsidR="002470B1" w:rsidRPr="001A1CE7">
        <w:rPr>
          <w:rFonts w:ascii="Arial Narrow" w:hAnsi="Arial Narrow"/>
          <w:sz w:val="24"/>
          <w:szCs w:val="24"/>
        </w:rPr>
        <w:t>HTA systematic review (</w:t>
      </w:r>
      <w:r w:rsidR="00C22B51" w:rsidRPr="001A1CE7">
        <w:rPr>
          <w:rFonts w:ascii="Arial Narrow" w:hAnsi="Arial Narrow"/>
          <w:sz w:val="24"/>
          <w:szCs w:val="24"/>
        </w:rPr>
        <w:t>24</w:t>
      </w:r>
      <w:r w:rsidR="002470B1" w:rsidRPr="001A1CE7">
        <w:rPr>
          <w:rFonts w:ascii="Arial Narrow" w:hAnsi="Arial Narrow"/>
          <w:sz w:val="24"/>
          <w:szCs w:val="24"/>
        </w:rPr>
        <w:t>)</w:t>
      </w:r>
      <w:r w:rsidR="00030D47" w:rsidRPr="001A1CE7">
        <w:rPr>
          <w:rFonts w:ascii="Arial Narrow" w:hAnsi="Arial Narrow"/>
          <w:sz w:val="24"/>
          <w:szCs w:val="24"/>
        </w:rPr>
        <w:t xml:space="preserve">. </w:t>
      </w:r>
      <w:r w:rsidR="00E53577" w:rsidRPr="001A1CE7">
        <w:rPr>
          <w:rFonts w:ascii="Arial Narrow" w:hAnsi="Arial Narrow"/>
          <w:sz w:val="24"/>
          <w:szCs w:val="24"/>
        </w:rPr>
        <w:t xml:space="preserve"> </w:t>
      </w:r>
      <w:r w:rsidR="00030D47" w:rsidRPr="001A1CE7">
        <w:rPr>
          <w:rFonts w:ascii="Arial Narrow" w:hAnsi="Arial Narrow"/>
          <w:sz w:val="24"/>
          <w:szCs w:val="24"/>
        </w:rPr>
        <w:t>These studies included a range of algorithms</w:t>
      </w:r>
      <w:r w:rsidR="00736ADD" w:rsidRPr="001A1CE7">
        <w:rPr>
          <w:rFonts w:ascii="Arial Narrow" w:hAnsi="Arial Narrow"/>
          <w:sz w:val="24"/>
          <w:szCs w:val="24"/>
        </w:rPr>
        <w:t xml:space="preserve"> and clinical indications. S</w:t>
      </w:r>
      <w:r w:rsidR="00030D47" w:rsidRPr="001A1CE7">
        <w:rPr>
          <w:rFonts w:ascii="Arial Narrow" w:hAnsi="Arial Narrow"/>
          <w:sz w:val="24"/>
          <w:szCs w:val="24"/>
        </w:rPr>
        <w:t xml:space="preserve">tudies based their algorithms on repeated PCT measurement and provided guidance both on commencement and discontinuation of antibiotic therapy.  Overall, 4467 patients were </w:t>
      </w:r>
      <w:r w:rsidR="00B93F06" w:rsidRPr="001A1CE7">
        <w:rPr>
          <w:rFonts w:ascii="Arial Narrow" w:hAnsi="Arial Narrow"/>
          <w:sz w:val="24"/>
          <w:szCs w:val="24"/>
        </w:rPr>
        <w:t>included in 14 randomized controlled trial</w:t>
      </w:r>
      <w:r w:rsidR="00030D47" w:rsidRPr="001A1CE7">
        <w:rPr>
          <w:rFonts w:ascii="Arial Narrow" w:hAnsi="Arial Narrow"/>
          <w:sz w:val="24"/>
          <w:szCs w:val="24"/>
        </w:rPr>
        <w:t>s (2227 PCT; 2240 control).  The studies found consistent reductions in an</w:t>
      </w:r>
      <w:r w:rsidR="00B93F06" w:rsidRPr="001A1CE7">
        <w:rPr>
          <w:rFonts w:ascii="Arial Narrow" w:hAnsi="Arial Narrow"/>
          <w:sz w:val="24"/>
          <w:szCs w:val="24"/>
        </w:rPr>
        <w:t xml:space="preserve">tibiotic use with PCT guidance </w:t>
      </w:r>
      <w:r w:rsidR="00030D47" w:rsidRPr="001A1CE7">
        <w:rPr>
          <w:rFonts w:ascii="Arial Narrow" w:hAnsi="Arial Narrow"/>
          <w:sz w:val="24"/>
          <w:szCs w:val="24"/>
        </w:rPr>
        <w:t xml:space="preserve">without </w:t>
      </w:r>
      <w:r w:rsidR="00B93F06" w:rsidRPr="001A1CE7">
        <w:rPr>
          <w:rFonts w:ascii="Arial Narrow" w:hAnsi="Arial Narrow"/>
          <w:sz w:val="24"/>
          <w:szCs w:val="24"/>
        </w:rPr>
        <w:t xml:space="preserve">an adverse effect on </w:t>
      </w:r>
      <w:r w:rsidR="00C22B51" w:rsidRPr="001A1CE7">
        <w:rPr>
          <w:rFonts w:ascii="Arial Narrow" w:hAnsi="Arial Narrow"/>
          <w:sz w:val="24"/>
          <w:szCs w:val="24"/>
        </w:rPr>
        <w:t>mortality (24).</w:t>
      </w:r>
      <w:r w:rsidR="0019742B" w:rsidRPr="001A1CE7">
        <w:rPr>
          <w:rFonts w:ascii="Arial Narrow" w:hAnsi="Arial Narrow"/>
          <w:sz w:val="24"/>
          <w:szCs w:val="24"/>
        </w:rPr>
        <w:t xml:space="preserve"> Much of this evidence </w:t>
      </w:r>
      <w:r w:rsidR="00AF28E6" w:rsidRPr="001A1CE7">
        <w:rPr>
          <w:rFonts w:ascii="Arial Narrow" w:hAnsi="Arial Narrow"/>
          <w:sz w:val="24"/>
          <w:szCs w:val="24"/>
        </w:rPr>
        <w:t xml:space="preserve">is derived from study populations </w:t>
      </w:r>
      <w:r w:rsidR="0019742B" w:rsidRPr="001A1CE7">
        <w:rPr>
          <w:rFonts w:ascii="Arial Narrow" w:hAnsi="Arial Narrow"/>
          <w:sz w:val="24"/>
          <w:szCs w:val="24"/>
        </w:rPr>
        <w:t xml:space="preserve">with respiratory tract infections, critical care </w:t>
      </w:r>
      <w:r w:rsidR="00AF28E6" w:rsidRPr="001A1CE7">
        <w:rPr>
          <w:rFonts w:ascii="Arial Narrow" w:hAnsi="Arial Narrow"/>
          <w:sz w:val="24"/>
          <w:szCs w:val="24"/>
        </w:rPr>
        <w:t xml:space="preserve">admissions </w:t>
      </w:r>
      <w:r w:rsidR="0019742B" w:rsidRPr="001A1CE7">
        <w:rPr>
          <w:rFonts w:ascii="Arial Narrow" w:hAnsi="Arial Narrow"/>
          <w:sz w:val="24"/>
          <w:szCs w:val="24"/>
        </w:rPr>
        <w:t>or those with medical emergency conditions and cannot readily be extrapolated to the care of patients with acute pancreatitis.</w:t>
      </w:r>
    </w:p>
    <w:p w14:paraId="2B9335CA" w14:textId="0724811D" w:rsidR="00030D47" w:rsidRPr="001A1CE7" w:rsidRDefault="00030D47" w:rsidP="00030D47">
      <w:pPr>
        <w:spacing w:line="480" w:lineRule="auto"/>
        <w:rPr>
          <w:rFonts w:ascii="Arial Narrow" w:hAnsi="Arial Narrow"/>
          <w:sz w:val="24"/>
          <w:szCs w:val="24"/>
        </w:rPr>
      </w:pPr>
      <w:r w:rsidRPr="001A1CE7">
        <w:rPr>
          <w:rFonts w:ascii="Arial Narrow" w:hAnsi="Arial Narrow"/>
          <w:sz w:val="24"/>
          <w:szCs w:val="24"/>
        </w:rPr>
        <w:t>PCT has also been evaluated as a biomarker in severe acute pancreatitis, mainly for early prediction of severity and for identification of patients with a high risk of infected pancreatic necrosis (</w:t>
      </w:r>
      <w:r w:rsidR="00F479B6" w:rsidRPr="001A1CE7">
        <w:rPr>
          <w:rFonts w:ascii="Arial Narrow" w:hAnsi="Arial Narrow"/>
          <w:sz w:val="24"/>
          <w:szCs w:val="24"/>
        </w:rPr>
        <w:t>25</w:t>
      </w:r>
      <w:r w:rsidR="00D05C7F" w:rsidRPr="001A1CE7">
        <w:rPr>
          <w:rFonts w:ascii="Arial Narrow" w:hAnsi="Arial Narrow"/>
          <w:sz w:val="24"/>
          <w:szCs w:val="24"/>
        </w:rPr>
        <w:t>).  A</w:t>
      </w:r>
      <w:r w:rsidRPr="001A1CE7">
        <w:rPr>
          <w:rFonts w:ascii="Arial Narrow" w:hAnsi="Arial Narrow"/>
          <w:sz w:val="24"/>
          <w:szCs w:val="24"/>
        </w:rPr>
        <w:t>nalysis of 329 patients from 7 studies shows that the pooled sensitivity and specificity of PCT as a predictor of develop</w:t>
      </w:r>
      <w:r w:rsidR="00924271" w:rsidRPr="001A1CE7">
        <w:rPr>
          <w:rFonts w:ascii="Arial Narrow" w:hAnsi="Arial Narrow"/>
          <w:sz w:val="24"/>
          <w:szCs w:val="24"/>
        </w:rPr>
        <w:t>ing</w:t>
      </w:r>
      <w:r w:rsidRPr="001A1CE7">
        <w:rPr>
          <w:rFonts w:ascii="Arial Narrow" w:hAnsi="Arial Narrow"/>
          <w:sz w:val="24"/>
          <w:szCs w:val="24"/>
        </w:rPr>
        <w:t xml:space="preserve"> infected pancreatic necrosis is 0.8</w:t>
      </w:r>
      <w:r w:rsidR="00924271" w:rsidRPr="001A1CE7">
        <w:rPr>
          <w:rFonts w:ascii="Arial Narrow" w:hAnsi="Arial Narrow"/>
          <w:sz w:val="24"/>
          <w:szCs w:val="24"/>
        </w:rPr>
        <w:t>0</w:t>
      </w:r>
      <w:r w:rsidRPr="001A1CE7">
        <w:rPr>
          <w:rFonts w:ascii="Arial Narrow" w:hAnsi="Arial Narrow"/>
          <w:sz w:val="24"/>
          <w:szCs w:val="24"/>
        </w:rPr>
        <w:t xml:space="preserve"> (95% CI</w:t>
      </w:r>
      <w:r w:rsidR="0013534D" w:rsidRPr="001A1CE7">
        <w:rPr>
          <w:rFonts w:ascii="Arial Narrow" w:hAnsi="Arial Narrow"/>
          <w:sz w:val="24"/>
          <w:szCs w:val="24"/>
        </w:rPr>
        <w:t xml:space="preserve"> [confidence interval]</w:t>
      </w:r>
      <w:r w:rsidRPr="001A1CE7">
        <w:rPr>
          <w:rFonts w:ascii="Arial Narrow" w:hAnsi="Arial Narrow"/>
          <w:sz w:val="24"/>
          <w:szCs w:val="24"/>
        </w:rPr>
        <w:t xml:space="preserve"> 0.70 – 0.87) and 0.91 (95% CI 0.87-0.94) respective</w:t>
      </w:r>
      <w:r w:rsidR="00E53577" w:rsidRPr="001A1CE7">
        <w:rPr>
          <w:rFonts w:ascii="Arial Narrow" w:hAnsi="Arial Narrow"/>
          <w:sz w:val="24"/>
          <w:szCs w:val="24"/>
        </w:rPr>
        <w:t xml:space="preserve">ly with an AUC </w:t>
      </w:r>
      <w:r w:rsidR="0013534D" w:rsidRPr="001A1CE7">
        <w:rPr>
          <w:rFonts w:ascii="Arial Narrow" w:hAnsi="Arial Narrow"/>
          <w:sz w:val="24"/>
          <w:szCs w:val="24"/>
        </w:rPr>
        <w:t xml:space="preserve">(area under curve) </w:t>
      </w:r>
      <w:r w:rsidR="00E53577" w:rsidRPr="001A1CE7">
        <w:rPr>
          <w:rFonts w:ascii="Arial Narrow" w:hAnsi="Arial Narrow"/>
          <w:sz w:val="24"/>
          <w:szCs w:val="24"/>
        </w:rPr>
        <w:t>of 0.91</w:t>
      </w:r>
      <w:r w:rsidRPr="001A1CE7">
        <w:rPr>
          <w:rFonts w:ascii="Arial Narrow" w:hAnsi="Arial Narrow"/>
          <w:sz w:val="24"/>
          <w:szCs w:val="24"/>
        </w:rPr>
        <w:t xml:space="preserve">. These studies show that PCT is </w:t>
      </w:r>
      <w:r w:rsidR="0013534D" w:rsidRPr="001A1CE7">
        <w:rPr>
          <w:rFonts w:ascii="Arial Narrow" w:hAnsi="Arial Narrow"/>
          <w:sz w:val="24"/>
          <w:szCs w:val="24"/>
        </w:rPr>
        <w:t>an accurate biomarker of infection in acute pancreatitis.</w:t>
      </w:r>
    </w:p>
    <w:p w14:paraId="50235B79" w14:textId="7FE6F7DE" w:rsidR="00030D47" w:rsidRPr="001A1CE7" w:rsidRDefault="00030D47" w:rsidP="00030D47">
      <w:pPr>
        <w:spacing w:line="480" w:lineRule="auto"/>
        <w:rPr>
          <w:rFonts w:ascii="Arial Narrow" w:hAnsi="Arial Narrow"/>
          <w:sz w:val="24"/>
          <w:szCs w:val="24"/>
        </w:rPr>
      </w:pPr>
      <w:r w:rsidRPr="001A1CE7">
        <w:rPr>
          <w:rFonts w:ascii="Arial Narrow" w:hAnsi="Arial Narrow"/>
          <w:sz w:val="24"/>
          <w:szCs w:val="24"/>
        </w:rPr>
        <w:t>Qu and colleagues report</w:t>
      </w:r>
      <w:r w:rsidR="0013534D" w:rsidRPr="001A1CE7">
        <w:rPr>
          <w:rFonts w:ascii="Arial Narrow" w:hAnsi="Arial Narrow"/>
          <w:sz w:val="24"/>
          <w:szCs w:val="24"/>
        </w:rPr>
        <w:t>ed</w:t>
      </w:r>
      <w:r w:rsidRPr="001A1CE7">
        <w:rPr>
          <w:rFonts w:ascii="Arial Narrow" w:hAnsi="Arial Narrow"/>
          <w:sz w:val="24"/>
          <w:szCs w:val="24"/>
        </w:rPr>
        <w:t xml:space="preserve"> the results of the only randomized controlled trial of a procalcitonin algorithm in severe acute pancreatitis: a single-centre study of 71 patients from China (</w:t>
      </w:r>
      <w:r w:rsidR="00F479B6" w:rsidRPr="001A1CE7">
        <w:rPr>
          <w:rFonts w:ascii="Arial Narrow" w:hAnsi="Arial Narrow"/>
          <w:sz w:val="24"/>
          <w:szCs w:val="24"/>
        </w:rPr>
        <w:t>26</w:t>
      </w:r>
      <w:r w:rsidRPr="001A1CE7">
        <w:rPr>
          <w:rFonts w:ascii="Arial Narrow" w:hAnsi="Arial Narrow"/>
          <w:sz w:val="24"/>
          <w:szCs w:val="24"/>
        </w:rPr>
        <w:t xml:space="preserve">).  They compared a PCT-based algorithm </w:t>
      </w:r>
      <w:r w:rsidR="0019742B" w:rsidRPr="001A1CE7">
        <w:rPr>
          <w:rFonts w:ascii="Arial Narrow" w:hAnsi="Arial Narrow"/>
          <w:sz w:val="24"/>
          <w:szCs w:val="24"/>
        </w:rPr>
        <w:t>for guidance of antibiotic use to</w:t>
      </w:r>
      <w:r w:rsidRPr="001A1CE7">
        <w:rPr>
          <w:rFonts w:ascii="Arial Narrow" w:hAnsi="Arial Narrow"/>
          <w:sz w:val="24"/>
          <w:szCs w:val="24"/>
        </w:rPr>
        <w:t xml:space="preserve"> routine care in patie</w:t>
      </w:r>
      <w:r w:rsidR="002470B1" w:rsidRPr="001A1CE7">
        <w:rPr>
          <w:rFonts w:ascii="Arial Narrow" w:hAnsi="Arial Narrow"/>
          <w:sz w:val="24"/>
          <w:szCs w:val="24"/>
        </w:rPr>
        <w:t>nts with acute pancreatitis</w:t>
      </w:r>
      <w:r w:rsidRPr="001A1CE7">
        <w:rPr>
          <w:rFonts w:ascii="Arial Narrow" w:hAnsi="Arial Narrow"/>
          <w:sz w:val="24"/>
          <w:szCs w:val="24"/>
        </w:rPr>
        <w:t xml:space="preserve">. The duration of antibiotic treatment in the PCT-guided group was significantly shorter (10.9 ± 2.8 vs 16.1 ± 2.5 days, p&lt;0.001) without </w:t>
      </w:r>
      <w:r w:rsidR="00EB0C4A" w:rsidRPr="001A1CE7">
        <w:rPr>
          <w:rFonts w:ascii="Arial Narrow" w:hAnsi="Arial Narrow"/>
          <w:sz w:val="24"/>
          <w:szCs w:val="24"/>
        </w:rPr>
        <w:t>any adverse</w:t>
      </w:r>
      <w:r w:rsidRPr="001A1CE7">
        <w:rPr>
          <w:rFonts w:ascii="Arial Narrow" w:hAnsi="Arial Narrow"/>
          <w:sz w:val="24"/>
          <w:szCs w:val="24"/>
        </w:rPr>
        <w:t xml:space="preserve"> effects on outcome.  Duration of intensive care treatment, overall hospital stay and cost </w:t>
      </w:r>
      <w:r w:rsidR="0013534D" w:rsidRPr="001A1CE7">
        <w:rPr>
          <w:rFonts w:ascii="Arial Narrow" w:hAnsi="Arial Narrow"/>
          <w:sz w:val="24"/>
          <w:szCs w:val="24"/>
        </w:rPr>
        <w:t xml:space="preserve">of care </w:t>
      </w:r>
      <w:r w:rsidRPr="001A1CE7">
        <w:rPr>
          <w:rFonts w:ascii="Arial Narrow" w:hAnsi="Arial Narrow"/>
          <w:sz w:val="24"/>
          <w:szCs w:val="24"/>
        </w:rPr>
        <w:t xml:space="preserve">were significantly reduced in the PCT-guided group. </w:t>
      </w:r>
      <w:r w:rsidR="00736ADD" w:rsidRPr="001A1CE7">
        <w:rPr>
          <w:rFonts w:ascii="Arial Narrow" w:hAnsi="Arial Narrow"/>
          <w:sz w:val="24"/>
          <w:szCs w:val="24"/>
        </w:rPr>
        <w:t xml:space="preserve"> </w:t>
      </w:r>
      <w:r w:rsidRPr="001A1CE7">
        <w:rPr>
          <w:rFonts w:ascii="Arial Narrow" w:hAnsi="Arial Narrow"/>
          <w:sz w:val="24"/>
          <w:szCs w:val="24"/>
        </w:rPr>
        <w:t xml:space="preserve">In </w:t>
      </w:r>
      <w:r w:rsidRPr="001A1CE7">
        <w:rPr>
          <w:rFonts w:ascii="Arial Narrow" w:hAnsi="Arial Narrow"/>
          <w:sz w:val="24"/>
          <w:szCs w:val="24"/>
        </w:rPr>
        <w:lastRenderedPageBreak/>
        <w:t xml:space="preserve">Qu’s study all patients in the control arm were given antibiotics </w:t>
      </w:r>
      <w:r w:rsidR="00A86C43" w:rsidRPr="001A1CE7">
        <w:rPr>
          <w:rFonts w:ascii="Arial Narrow" w:hAnsi="Arial Narrow"/>
          <w:sz w:val="24"/>
          <w:szCs w:val="24"/>
        </w:rPr>
        <w:t>for up to 14 days which is not reflective of current international guideline recommendations.  T</w:t>
      </w:r>
      <w:r w:rsidRPr="001A1CE7">
        <w:rPr>
          <w:rFonts w:ascii="Arial Narrow" w:hAnsi="Arial Narrow"/>
          <w:sz w:val="24"/>
          <w:szCs w:val="24"/>
        </w:rPr>
        <w:t>hus the findings of this study need to be reproduced in a setting where antibiotic us</w:t>
      </w:r>
      <w:r w:rsidR="001D47CA">
        <w:rPr>
          <w:rFonts w:ascii="Arial Narrow" w:hAnsi="Arial Narrow"/>
          <w:sz w:val="24"/>
          <w:szCs w:val="24"/>
        </w:rPr>
        <w:t xml:space="preserve">e follows contemporary </w:t>
      </w:r>
      <w:r w:rsidR="00A86C43" w:rsidRPr="001A1CE7">
        <w:rPr>
          <w:rFonts w:ascii="Arial Narrow" w:hAnsi="Arial Narrow"/>
          <w:sz w:val="24"/>
          <w:szCs w:val="24"/>
        </w:rPr>
        <w:t>practice before procalcitonin-based algorithms can be recommended for guidance of antibiotic use in acute pancreatitis.</w:t>
      </w:r>
    </w:p>
    <w:p w14:paraId="1222D06E" w14:textId="77777777" w:rsidR="00030D47" w:rsidRPr="001A1CE7" w:rsidRDefault="00030D47" w:rsidP="00030D47">
      <w:pPr>
        <w:spacing w:line="480" w:lineRule="auto"/>
        <w:rPr>
          <w:rFonts w:ascii="Arial Narrow" w:hAnsi="Arial Narrow"/>
          <w:sz w:val="24"/>
          <w:szCs w:val="24"/>
        </w:rPr>
      </w:pPr>
    </w:p>
    <w:p w14:paraId="5CA2DA1C" w14:textId="2A73CB00" w:rsidR="00030D47" w:rsidRPr="001A1CE7" w:rsidRDefault="00030D47" w:rsidP="009B54DB">
      <w:pPr>
        <w:spacing w:line="480" w:lineRule="auto"/>
        <w:outlineLvl w:val="0"/>
        <w:rPr>
          <w:rFonts w:ascii="Arial Narrow" w:hAnsi="Arial Narrow"/>
          <w:b/>
          <w:i/>
          <w:sz w:val="24"/>
          <w:szCs w:val="24"/>
        </w:rPr>
      </w:pPr>
      <w:r w:rsidRPr="001A1CE7">
        <w:rPr>
          <w:rFonts w:ascii="Arial Narrow" w:hAnsi="Arial Narrow"/>
          <w:b/>
          <w:i/>
          <w:sz w:val="24"/>
          <w:szCs w:val="24"/>
        </w:rPr>
        <w:t>Hypothesis</w:t>
      </w:r>
    </w:p>
    <w:p w14:paraId="6E964F51" w14:textId="21E4CDE8" w:rsidR="00030D47" w:rsidRPr="001A1CE7" w:rsidRDefault="00030D47" w:rsidP="00030D47">
      <w:pPr>
        <w:spacing w:line="480" w:lineRule="auto"/>
        <w:rPr>
          <w:rFonts w:ascii="Arial Narrow" w:hAnsi="Arial Narrow"/>
          <w:sz w:val="24"/>
          <w:szCs w:val="24"/>
        </w:rPr>
      </w:pPr>
      <w:r w:rsidRPr="001A1CE7">
        <w:rPr>
          <w:rFonts w:ascii="Arial Narrow" w:hAnsi="Arial Narrow"/>
          <w:sz w:val="24"/>
          <w:szCs w:val="24"/>
        </w:rPr>
        <w:t>This study tests the hypothesis t</w:t>
      </w:r>
      <w:r w:rsidR="00EB0C4A" w:rsidRPr="001A1CE7">
        <w:rPr>
          <w:rFonts w:ascii="Arial Narrow" w:hAnsi="Arial Narrow"/>
          <w:sz w:val="24"/>
          <w:szCs w:val="24"/>
        </w:rPr>
        <w:t>hat a procalcitonin-</w:t>
      </w:r>
      <w:r w:rsidRPr="001A1CE7">
        <w:rPr>
          <w:rFonts w:ascii="Arial Narrow" w:hAnsi="Arial Narrow"/>
          <w:sz w:val="24"/>
          <w:szCs w:val="24"/>
        </w:rPr>
        <w:t>based algorithm to guide initiation, continuation and discontinuation of antibiotics will lead to reduced antibiotic use in p</w:t>
      </w:r>
      <w:r w:rsidR="00EB0C4A" w:rsidRPr="001A1CE7">
        <w:rPr>
          <w:rFonts w:ascii="Arial Narrow" w:hAnsi="Arial Narrow"/>
          <w:sz w:val="24"/>
          <w:szCs w:val="24"/>
        </w:rPr>
        <w:t>atients with acute pancreatitis without an adverse effect on outcome.</w:t>
      </w:r>
    </w:p>
    <w:p w14:paraId="5179CF91" w14:textId="491CD527" w:rsidR="00D82BFC" w:rsidRPr="001A1CE7" w:rsidRDefault="00D82BFC">
      <w:pPr>
        <w:spacing w:after="200" w:line="276" w:lineRule="auto"/>
        <w:rPr>
          <w:rFonts w:ascii="Arial Narrow" w:hAnsi="Arial Narrow"/>
          <w:sz w:val="24"/>
          <w:szCs w:val="24"/>
        </w:rPr>
      </w:pPr>
      <w:r w:rsidRPr="001A1CE7">
        <w:rPr>
          <w:rFonts w:ascii="Arial Narrow" w:hAnsi="Arial Narrow"/>
          <w:sz w:val="24"/>
          <w:szCs w:val="24"/>
        </w:rPr>
        <w:br w:type="page"/>
      </w:r>
    </w:p>
    <w:p w14:paraId="7ADE9EFB" w14:textId="335F942E" w:rsidR="00E53577" w:rsidRPr="001A1CE7" w:rsidRDefault="00E53577" w:rsidP="009B54DB">
      <w:pPr>
        <w:spacing w:line="480" w:lineRule="auto"/>
        <w:outlineLvl w:val="0"/>
        <w:rPr>
          <w:rFonts w:ascii="Arial Narrow" w:hAnsi="Arial Narrow"/>
          <w:b/>
          <w:sz w:val="28"/>
          <w:szCs w:val="28"/>
          <w:u w:val="single"/>
        </w:rPr>
      </w:pPr>
      <w:r w:rsidRPr="001A1CE7">
        <w:rPr>
          <w:rFonts w:ascii="Arial Narrow" w:hAnsi="Arial Narrow"/>
          <w:b/>
          <w:sz w:val="28"/>
          <w:szCs w:val="28"/>
          <w:u w:val="single"/>
        </w:rPr>
        <w:lastRenderedPageBreak/>
        <w:t>Methods.</w:t>
      </w:r>
    </w:p>
    <w:p w14:paraId="6A5A010C" w14:textId="31D40CC4" w:rsidR="00030D47" w:rsidRPr="001A1CE7" w:rsidRDefault="00E53577" w:rsidP="009B54DB">
      <w:pPr>
        <w:spacing w:line="480" w:lineRule="auto"/>
        <w:outlineLvl w:val="0"/>
        <w:rPr>
          <w:rFonts w:ascii="Arial Narrow" w:hAnsi="Arial Narrow"/>
          <w:b/>
          <w:i/>
          <w:sz w:val="24"/>
          <w:szCs w:val="24"/>
        </w:rPr>
      </w:pPr>
      <w:r w:rsidRPr="001A1CE7">
        <w:rPr>
          <w:rFonts w:ascii="Arial Narrow" w:hAnsi="Arial Narrow"/>
          <w:b/>
          <w:i/>
          <w:sz w:val="24"/>
          <w:szCs w:val="24"/>
        </w:rPr>
        <w:t>Design</w:t>
      </w:r>
    </w:p>
    <w:p w14:paraId="19E7085F" w14:textId="39A3C170" w:rsidR="00030D47" w:rsidRPr="001A1CE7" w:rsidRDefault="00E53577" w:rsidP="00030D47">
      <w:pPr>
        <w:spacing w:line="480" w:lineRule="auto"/>
        <w:rPr>
          <w:rFonts w:ascii="Arial Narrow" w:hAnsi="Arial Narrow"/>
          <w:sz w:val="24"/>
          <w:szCs w:val="24"/>
        </w:rPr>
      </w:pPr>
      <w:r w:rsidRPr="001A1CE7">
        <w:rPr>
          <w:rFonts w:ascii="Arial Narrow" w:hAnsi="Arial Narrow"/>
          <w:sz w:val="24"/>
          <w:szCs w:val="24"/>
        </w:rPr>
        <w:t>This is a single-centre,</w:t>
      </w:r>
      <w:r w:rsidR="00030D47" w:rsidRPr="001A1CE7">
        <w:rPr>
          <w:rFonts w:ascii="Arial Narrow" w:hAnsi="Arial Narrow"/>
          <w:sz w:val="24"/>
          <w:szCs w:val="24"/>
        </w:rPr>
        <w:t xml:space="preserve"> randomised, controlled, </w:t>
      </w:r>
      <w:r w:rsidR="00234769" w:rsidRPr="001A1CE7">
        <w:rPr>
          <w:rFonts w:ascii="Arial Narrow" w:hAnsi="Arial Narrow"/>
          <w:sz w:val="24"/>
          <w:szCs w:val="24"/>
        </w:rPr>
        <w:t xml:space="preserve">single-blind, </w:t>
      </w:r>
      <w:r w:rsidR="00030D47" w:rsidRPr="001A1CE7">
        <w:rPr>
          <w:rFonts w:ascii="Arial Narrow" w:hAnsi="Arial Narrow"/>
          <w:sz w:val="24"/>
          <w:szCs w:val="24"/>
        </w:rPr>
        <w:t>two-arm phase III pragmatic clinic</w:t>
      </w:r>
      <w:r w:rsidR="00924B7D" w:rsidRPr="001A1CE7">
        <w:rPr>
          <w:rFonts w:ascii="Arial Narrow" w:hAnsi="Arial Narrow"/>
          <w:sz w:val="24"/>
          <w:szCs w:val="24"/>
        </w:rPr>
        <w:t>al</w:t>
      </w:r>
      <w:r w:rsidR="00370C65" w:rsidRPr="001A1CE7">
        <w:rPr>
          <w:rFonts w:ascii="Arial Narrow" w:hAnsi="Arial Narrow"/>
          <w:sz w:val="24"/>
          <w:szCs w:val="24"/>
        </w:rPr>
        <w:t xml:space="preserve"> and cost-effectiveness trial.  </w:t>
      </w:r>
      <w:r w:rsidR="00D56446" w:rsidRPr="001A1CE7">
        <w:rPr>
          <w:rFonts w:ascii="Arial Narrow" w:hAnsi="Arial Narrow"/>
          <w:sz w:val="24"/>
          <w:szCs w:val="24"/>
        </w:rPr>
        <w:t>Patients will be allocated on a 1:1 basis to intervention and control.</w:t>
      </w:r>
      <w:r w:rsidR="00370C65" w:rsidRPr="001A1CE7">
        <w:rPr>
          <w:rFonts w:ascii="Arial Narrow" w:hAnsi="Arial Narrow"/>
          <w:sz w:val="24"/>
          <w:szCs w:val="24"/>
        </w:rPr>
        <w:t xml:space="preserve"> </w:t>
      </w:r>
      <w:r w:rsidR="00234769" w:rsidRPr="001A1CE7">
        <w:rPr>
          <w:rFonts w:ascii="Arial Narrow" w:hAnsi="Arial Narrow"/>
          <w:sz w:val="24"/>
          <w:szCs w:val="24"/>
        </w:rPr>
        <w:t xml:space="preserve">Clinicians will not be blind to allocated arm.  Patients will be blind to </w:t>
      </w:r>
      <w:r w:rsidR="00F52957" w:rsidRPr="001A1CE7">
        <w:rPr>
          <w:rFonts w:ascii="Arial Narrow" w:hAnsi="Arial Narrow"/>
          <w:sz w:val="24"/>
          <w:szCs w:val="24"/>
        </w:rPr>
        <w:t xml:space="preserve">their </w:t>
      </w:r>
      <w:r w:rsidR="00234769" w:rsidRPr="001A1CE7">
        <w:rPr>
          <w:rFonts w:ascii="Arial Narrow" w:hAnsi="Arial Narrow"/>
          <w:sz w:val="24"/>
          <w:szCs w:val="24"/>
        </w:rPr>
        <w:t>allocated arm.</w:t>
      </w:r>
    </w:p>
    <w:p w14:paraId="4F38E446" w14:textId="77777777" w:rsidR="00030D47" w:rsidRPr="001A1CE7" w:rsidRDefault="00030D47" w:rsidP="00030D47">
      <w:pPr>
        <w:spacing w:line="480" w:lineRule="auto"/>
        <w:rPr>
          <w:rFonts w:ascii="Arial Narrow" w:hAnsi="Arial Narrow"/>
          <w:sz w:val="24"/>
          <w:szCs w:val="24"/>
        </w:rPr>
      </w:pPr>
    </w:p>
    <w:p w14:paraId="3E5B6884" w14:textId="1403D383" w:rsidR="001B5F36" w:rsidRPr="001A1CE7" w:rsidRDefault="001B5F36" w:rsidP="009B54DB">
      <w:pPr>
        <w:spacing w:line="480" w:lineRule="auto"/>
        <w:outlineLvl w:val="0"/>
        <w:rPr>
          <w:rFonts w:ascii="Arial Narrow" w:hAnsi="Arial Narrow"/>
          <w:b/>
          <w:i/>
          <w:sz w:val="24"/>
          <w:szCs w:val="24"/>
        </w:rPr>
      </w:pPr>
      <w:r w:rsidRPr="001A1CE7">
        <w:rPr>
          <w:rFonts w:ascii="Arial Narrow" w:hAnsi="Arial Narrow"/>
          <w:b/>
          <w:i/>
          <w:sz w:val="24"/>
          <w:szCs w:val="24"/>
        </w:rPr>
        <w:t>Participants</w:t>
      </w:r>
    </w:p>
    <w:p w14:paraId="2FA7FC03" w14:textId="0DCC8168" w:rsidR="00030D47" w:rsidRPr="001A1CE7" w:rsidRDefault="001B5F36" w:rsidP="001B5F36">
      <w:pPr>
        <w:spacing w:line="480" w:lineRule="auto"/>
        <w:rPr>
          <w:rFonts w:ascii="Arial Narrow" w:hAnsi="Arial Narrow"/>
          <w:sz w:val="24"/>
          <w:szCs w:val="24"/>
        </w:rPr>
      </w:pPr>
      <w:r w:rsidRPr="001A1CE7">
        <w:rPr>
          <w:rFonts w:ascii="Arial Narrow" w:hAnsi="Arial Narrow"/>
          <w:sz w:val="24"/>
          <w:szCs w:val="24"/>
        </w:rPr>
        <w:t xml:space="preserve">Patients with a clinical diagnosis of acute pancreatitis admitted to the Hepato-Pancreato-Biliary (HPB) service of the Manchester Royal Infirmary (MRI).  The Manchester Royal Infirmary is the regional specialist HPB service for the Greater Manchester and Cheshire region, a conurbation of 3.2 million people.  Patients admitted </w:t>
      </w:r>
      <w:r w:rsidR="00AF28E6" w:rsidRPr="001A1CE7">
        <w:rPr>
          <w:rFonts w:ascii="Arial Narrow" w:hAnsi="Arial Narrow"/>
          <w:sz w:val="24"/>
          <w:szCs w:val="24"/>
        </w:rPr>
        <w:t>directly</w:t>
      </w:r>
      <w:r w:rsidRPr="001A1CE7">
        <w:rPr>
          <w:rFonts w:ascii="Arial Narrow" w:hAnsi="Arial Narrow"/>
          <w:sz w:val="24"/>
          <w:szCs w:val="24"/>
        </w:rPr>
        <w:t xml:space="preserve"> to the service and those arriving as tertiary transfers from other hospitals will be included (but will be separately stratified).</w:t>
      </w:r>
    </w:p>
    <w:p w14:paraId="7ABF6659" w14:textId="77777777" w:rsidR="001B5F36" w:rsidRPr="001A1CE7" w:rsidRDefault="001B5F36" w:rsidP="001B5F36">
      <w:pPr>
        <w:spacing w:line="480" w:lineRule="auto"/>
        <w:rPr>
          <w:rFonts w:ascii="Arial Narrow" w:hAnsi="Arial Narrow"/>
          <w:sz w:val="24"/>
          <w:szCs w:val="24"/>
        </w:rPr>
      </w:pPr>
    </w:p>
    <w:p w14:paraId="30D102D6" w14:textId="2C2AEA7F" w:rsidR="00D5540F" w:rsidRPr="001A1CE7" w:rsidRDefault="001B5F36" w:rsidP="009B54DB">
      <w:pPr>
        <w:spacing w:line="480" w:lineRule="auto"/>
        <w:outlineLvl w:val="0"/>
        <w:rPr>
          <w:rFonts w:ascii="Arial Narrow" w:hAnsi="Arial Narrow"/>
          <w:sz w:val="24"/>
          <w:szCs w:val="24"/>
        </w:rPr>
      </w:pPr>
      <w:r w:rsidRPr="001A1CE7">
        <w:rPr>
          <w:rFonts w:ascii="Arial Narrow" w:hAnsi="Arial Narrow"/>
          <w:b/>
          <w:i/>
          <w:sz w:val="24"/>
          <w:szCs w:val="24"/>
        </w:rPr>
        <w:t>Inclusion criteria</w:t>
      </w:r>
      <w:r w:rsidR="00D5540F" w:rsidRPr="001A1CE7">
        <w:rPr>
          <w:rFonts w:ascii="Arial Narrow" w:hAnsi="Arial Narrow"/>
          <w:sz w:val="24"/>
          <w:szCs w:val="24"/>
        </w:rPr>
        <w:t>:</w:t>
      </w:r>
    </w:p>
    <w:p w14:paraId="30EE1D57" w14:textId="77777777" w:rsidR="00D82BFC" w:rsidRPr="001A1CE7" w:rsidRDefault="00D82BFC" w:rsidP="00D82BFC">
      <w:pPr>
        <w:spacing w:line="480" w:lineRule="auto"/>
        <w:rPr>
          <w:rFonts w:ascii="Arial Narrow" w:hAnsi="Arial Narrow"/>
          <w:sz w:val="24"/>
          <w:szCs w:val="24"/>
        </w:rPr>
      </w:pPr>
      <w:r w:rsidRPr="001A1CE7">
        <w:rPr>
          <w:rFonts w:ascii="Arial Narrow" w:hAnsi="Arial Narrow"/>
          <w:sz w:val="24"/>
          <w:szCs w:val="24"/>
        </w:rPr>
        <w:t xml:space="preserve">Adult patients presenting with acute pancreatitis admitted or referred to the service.  Inclusion criteria include: </w:t>
      </w:r>
    </w:p>
    <w:p w14:paraId="39E85C56" w14:textId="77777777" w:rsidR="00D82BFC" w:rsidRPr="001A1CE7" w:rsidRDefault="00D82BFC" w:rsidP="00D5540F">
      <w:pPr>
        <w:pStyle w:val="ListParagraph"/>
        <w:numPr>
          <w:ilvl w:val="0"/>
          <w:numId w:val="38"/>
        </w:numPr>
        <w:spacing w:line="480" w:lineRule="auto"/>
        <w:rPr>
          <w:rFonts w:ascii="Arial Narrow" w:hAnsi="Arial Narrow"/>
          <w:sz w:val="24"/>
          <w:szCs w:val="24"/>
        </w:rPr>
      </w:pPr>
      <w:r w:rsidRPr="001A1CE7">
        <w:rPr>
          <w:rFonts w:ascii="Arial Narrow" w:hAnsi="Arial Narrow"/>
          <w:sz w:val="24"/>
          <w:szCs w:val="24"/>
        </w:rPr>
        <w:t>Patients over the age of 18 years of age.</w:t>
      </w:r>
    </w:p>
    <w:p w14:paraId="222B1EE5" w14:textId="72A005C6" w:rsidR="00D82BFC" w:rsidRPr="001A1CE7" w:rsidRDefault="00AF28E6" w:rsidP="00D5540F">
      <w:pPr>
        <w:pStyle w:val="ListParagraph"/>
        <w:numPr>
          <w:ilvl w:val="0"/>
          <w:numId w:val="38"/>
        </w:numPr>
        <w:spacing w:line="480" w:lineRule="auto"/>
        <w:rPr>
          <w:rFonts w:ascii="Arial Narrow" w:hAnsi="Arial Narrow"/>
          <w:sz w:val="24"/>
          <w:szCs w:val="24"/>
        </w:rPr>
      </w:pPr>
      <w:r w:rsidRPr="001A1CE7">
        <w:rPr>
          <w:rFonts w:ascii="Arial Narrow" w:hAnsi="Arial Narrow"/>
          <w:sz w:val="24"/>
          <w:szCs w:val="24"/>
        </w:rPr>
        <w:t xml:space="preserve">Valid informed consent.  </w:t>
      </w:r>
    </w:p>
    <w:p w14:paraId="6B4CEDE3" w14:textId="0FD3EBC6" w:rsidR="00D82BFC" w:rsidRPr="001A1CE7" w:rsidRDefault="00D82BFC" w:rsidP="00D5540F">
      <w:pPr>
        <w:pStyle w:val="ListParagraph"/>
        <w:numPr>
          <w:ilvl w:val="0"/>
          <w:numId w:val="38"/>
        </w:numPr>
        <w:spacing w:line="480" w:lineRule="auto"/>
        <w:rPr>
          <w:rFonts w:ascii="Arial Narrow" w:hAnsi="Arial Narrow"/>
          <w:sz w:val="24"/>
          <w:szCs w:val="24"/>
        </w:rPr>
      </w:pPr>
      <w:r w:rsidRPr="001A1CE7">
        <w:rPr>
          <w:rFonts w:ascii="Arial Narrow" w:hAnsi="Arial Narrow"/>
          <w:sz w:val="24"/>
          <w:szCs w:val="24"/>
        </w:rPr>
        <w:t xml:space="preserve">The diagnosis of acute pancreatitis requires two of </w:t>
      </w:r>
      <w:r w:rsidR="00F479B6" w:rsidRPr="001A1CE7">
        <w:rPr>
          <w:rFonts w:ascii="Arial Narrow" w:hAnsi="Arial Narrow"/>
          <w:sz w:val="24"/>
          <w:szCs w:val="24"/>
        </w:rPr>
        <w:t>the following three features (7)</w:t>
      </w:r>
      <w:r w:rsidRPr="001A1CE7">
        <w:rPr>
          <w:rFonts w:ascii="Arial Narrow" w:hAnsi="Arial Narrow"/>
          <w:sz w:val="24"/>
          <w:szCs w:val="24"/>
        </w:rPr>
        <w:t xml:space="preserve">: </w:t>
      </w:r>
    </w:p>
    <w:p w14:paraId="014F0E3C" w14:textId="77777777" w:rsidR="00D82BFC" w:rsidRPr="001A1CE7" w:rsidRDefault="00D82BFC" w:rsidP="00D5540F">
      <w:pPr>
        <w:pStyle w:val="ListParagraph"/>
        <w:numPr>
          <w:ilvl w:val="0"/>
          <w:numId w:val="39"/>
        </w:numPr>
        <w:spacing w:line="480" w:lineRule="auto"/>
        <w:rPr>
          <w:rFonts w:ascii="Arial Narrow" w:hAnsi="Arial Narrow"/>
          <w:sz w:val="24"/>
          <w:szCs w:val="24"/>
        </w:rPr>
      </w:pPr>
      <w:r w:rsidRPr="001A1CE7">
        <w:rPr>
          <w:rFonts w:ascii="Arial Narrow" w:hAnsi="Arial Narrow"/>
          <w:sz w:val="24"/>
          <w:szCs w:val="24"/>
        </w:rPr>
        <w:t>abdominal pain consistent with acute pancreatitis (acute onset of a persistent, severe, epigastric pain often radiating to the back).</w:t>
      </w:r>
    </w:p>
    <w:p w14:paraId="50E1D582" w14:textId="77777777" w:rsidR="00D82BFC" w:rsidRPr="001A1CE7" w:rsidRDefault="00D82BFC" w:rsidP="00D5540F">
      <w:pPr>
        <w:pStyle w:val="ListParagraph"/>
        <w:numPr>
          <w:ilvl w:val="0"/>
          <w:numId w:val="39"/>
        </w:numPr>
        <w:spacing w:line="480" w:lineRule="auto"/>
        <w:rPr>
          <w:rFonts w:ascii="Arial Narrow" w:hAnsi="Arial Narrow"/>
          <w:sz w:val="24"/>
          <w:szCs w:val="24"/>
        </w:rPr>
      </w:pPr>
      <w:r w:rsidRPr="001A1CE7">
        <w:rPr>
          <w:rFonts w:ascii="Arial Narrow" w:hAnsi="Arial Narrow"/>
          <w:sz w:val="24"/>
          <w:szCs w:val="24"/>
        </w:rPr>
        <w:t>serum lipase activity (or amylase activity) at least three times greater than the upper limit of normal.</w:t>
      </w:r>
    </w:p>
    <w:p w14:paraId="02C8C189" w14:textId="6652927B" w:rsidR="00D82BFC" w:rsidRPr="001A1CE7" w:rsidRDefault="00F47C60" w:rsidP="00D5540F">
      <w:pPr>
        <w:pStyle w:val="ListParagraph"/>
        <w:numPr>
          <w:ilvl w:val="0"/>
          <w:numId w:val="39"/>
        </w:numPr>
        <w:spacing w:line="480" w:lineRule="auto"/>
        <w:rPr>
          <w:rFonts w:ascii="Arial Narrow" w:hAnsi="Arial Narrow"/>
          <w:sz w:val="24"/>
          <w:szCs w:val="24"/>
        </w:rPr>
      </w:pPr>
      <w:r w:rsidRPr="001A1CE7">
        <w:rPr>
          <w:rFonts w:ascii="Arial Narrow" w:hAnsi="Arial Narrow"/>
          <w:sz w:val="24"/>
          <w:szCs w:val="24"/>
        </w:rPr>
        <w:lastRenderedPageBreak/>
        <w:t>Characteristic</w:t>
      </w:r>
      <w:r w:rsidR="00D82BFC" w:rsidRPr="001A1CE7">
        <w:rPr>
          <w:rFonts w:ascii="Arial Narrow" w:hAnsi="Arial Narrow"/>
          <w:sz w:val="24"/>
          <w:szCs w:val="24"/>
        </w:rPr>
        <w:t xml:space="preserve"> findings of acute pancreatitis on contrast-enhanced computed tomography (CECT)</w:t>
      </w:r>
      <w:r w:rsidR="001B5AE1" w:rsidRPr="001A1CE7">
        <w:rPr>
          <w:rFonts w:ascii="Arial Narrow" w:hAnsi="Arial Narrow"/>
          <w:sz w:val="24"/>
          <w:szCs w:val="24"/>
        </w:rPr>
        <w:t>,</w:t>
      </w:r>
      <w:r w:rsidR="00D82BFC" w:rsidRPr="001A1CE7">
        <w:rPr>
          <w:rFonts w:ascii="Arial Narrow" w:hAnsi="Arial Narrow"/>
          <w:sz w:val="24"/>
          <w:szCs w:val="24"/>
        </w:rPr>
        <w:t xml:space="preserve"> magnetic resonance imaging (MRI) or transabdominal ultrasonography.</w:t>
      </w:r>
    </w:p>
    <w:p w14:paraId="6AB55386" w14:textId="77777777" w:rsidR="00D82BFC" w:rsidRPr="001A1CE7" w:rsidRDefault="00D82BFC" w:rsidP="00D82BFC">
      <w:pPr>
        <w:spacing w:line="480" w:lineRule="auto"/>
        <w:rPr>
          <w:rFonts w:ascii="Arial Narrow" w:hAnsi="Arial Narrow"/>
          <w:sz w:val="24"/>
          <w:szCs w:val="24"/>
        </w:rPr>
      </w:pPr>
    </w:p>
    <w:p w14:paraId="495222B5" w14:textId="45CB7839" w:rsidR="00D82BFC" w:rsidRPr="001A1CE7" w:rsidRDefault="00D5540F" w:rsidP="009B54DB">
      <w:pPr>
        <w:spacing w:line="480" w:lineRule="auto"/>
        <w:outlineLvl w:val="0"/>
        <w:rPr>
          <w:rFonts w:ascii="Arial Narrow" w:hAnsi="Arial Narrow"/>
          <w:b/>
          <w:i/>
          <w:sz w:val="24"/>
          <w:szCs w:val="24"/>
        </w:rPr>
      </w:pPr>
      <w:r w:rsidRPr="001A1CE7">
        <w:rPr>
          <w:rFonts w:ascii="Arial Narrow" w:hAnsi="Arial Narrow"/>
          <w:b/>
          <w:i/>
          <w:sz w:val="24"/>
          <w:szCs w:val="24"/>
        </w:rPr>
        <w:t>Exclusion criteria:</w:t>
      </w:r>
    </w:p>
    <w:p w14:paraId="7344B3B0" w14:textId="353ABBCD" w:rsidR="00D5540F" w:rsidRPr="001A1CE7" w:rsidRDefault="00D82BFC" w:rsidP="00D82BFC">
      <w:pPr>
        <w:spacing w:line="480" w:lineRule="auto"/>
        <w:rPr>
          <w:rFonts w:ascii="Arial Narrow" w:hAnsi="Arial Narrow"/>
          <w:sz w:val="24"/>
          <w:szCs w:val="24"/>
        </w:rPr>
      </w:pPr>
      <w:r w:rsidRPr="001A1CE7">
        <w:rPr>
          <w:rFonts w:ascii="Arial Narrow" w:hAnsi="Arial Narrow"/>
          <w:sz w:val="24"/>
          <w:szCs w:val="24"/>
        </w:rPr>
        <w:t>Exclusion criteria include</w:t>
      </w:r>
      <w:r w:rsidR="00F479B6" w:rsidRPr="001A1CE7">
        <w:rPr>
          <w:rFonts w:ascii="Arial Narrow" w:hAnsi="Arial Narrow"/>
          <w:sz w:val="24"/>
          <w:szCs w:val="24"/>
        </w:rPr>
        <w:t xml:space="preserve"> (27, 28)</w:t>
      </w:r>
      <w:r w:rsidRPr="001A1CE7">
        <w:rPr>
          <w:rFonts w:ascii="Arial Narrow" w:hAnsi="Arial Narrow"/>
          <w:sz w:val="24"/>
          <w:szCs w:val="24"/>
        </w:rPr>
        <w:t xml:space="preserve">: </w:t>
      </w:r>
    </w:p>
    <w:p w14:paraId="219D792C" w14:textId="77777777" w:rsidR="00D5540F" w:rsidRPr="001A1CE7" w:rsidRDefault="00D5540F" w:rsidP="00D5540F">
      <w:pPr>
        <w:spacing w:line="480" w:lineRule="auto"/>
        <w:rPr>
          <w:rFonts w:ascii="Arial Narrow" w:hAnsi="Arial Narrow"/>
          <w:sz w:val="24"/>
          <w:szCs w:val="24"/>
        </w:rPr>
      </w:pPr>
    </w:p>
    <w:p w14:paraId="2E8FD437" w14:textId="77777777" w:rsidR="005056AB" w:rsidRPr="001A1CE7" w:rsidRDefault="00D5540F" w:rsidP="005056AB">
      <w:pPr>
        <w:spacing w:line="480" w:lineRule="auto"/>
        <w:ind w:firstLine="851"/>
        <w:rPr>
          <w:rFonts w:ascii="Arial Narrow" w:hAnsi="Arial Narrow"/>
          <w:sz w:val="24"/>
          <w:szCs w:val="24"/>
        </w:rPr>
      </w:pPr>
      <w:r w:rsidRPr="001A1CE7">
        <w:rPr>
          <w:rFonts w:ascii="Arial Narrow" w:hAnsi="Arial Narrow"/>
          <w:sz w:val="24"/>
          <w:szCs w:val="24"/>
        </w:rPr>
        <w:t>1.</w:t>
      </w:r>
      <w:r w:rsidRPr="001A1CE7">
        <w:rPr>
          <w:rFonts w:ascii="Arial Narrow" w:hAnsi="Arial Narrow"/>
          <w:sz w:val="24"/>
          <w:szCs w:val="24"/>
        </w:rPr>
        <w:tab/>
        <w:t>Patients under the age of 18 years of age.</w:t>
      </w:r>
    </w:p>
    <w:p w14:paraId="4D0B1E25" w14:textId="79196DDA" w:rsidR="00D5540F" w:rsidRPr="001A1CE7" w:rsidRDefault="005056AB" w:rsidP="005056AB">
      <w:pPr>
        <w:spacing w:line="480" w:lineRule="auto"/>
        <w:ind w:firstLine="851"/>
        <w:rPr>
          <w:rFonts w:ascii="Arial Narrow" w:hAnsi="Arial Narrow"/>
          <w:sz w:val="24"/>
          <w:szCs w:val="24"/>
        </w:rPr>
      </w:pPr>
      <w:r w:rsidRPr="001A1CE7">
        <w:rPr>
          <w:rFonts w:ascii="Arial Narrow" w:hAnsi="Arial Narrow"/>
          <w:sz w:val="24"/>
          <w:szCs w:val="24"/>
        </w:rPr>
        <w:t>2.</w:t>
      </w:r>
      <w:r w:rsidRPr="001A1CE7">
        <w:rPr>
          <w:rFonts w:ascii="Arial Narrow" w:hAnsi="Arial Narrow"/>
          <w:sz w:val="24"/>
          <w:szCs w:val="24"/>
        </w:rPr>
        <w:tab/>
      </w:r>
      <w:r w:rsidR="007D671D" w:rsidRPr="001A1CE7">
        <w:rPr>
          <w:rFonts w:ascii="Arial Narrow" w:hAnsi="Arial Narrow"/>
          <w:sz w:val="24"/>
          <w:szCs w:val="24"/>
        </w:rPr>
        <w:t>Comorbidities</w:t>
      </w:r>
      <w:r w:rsidR="00D5540F" w:rsidRPr="001A1CE7">
        <w:rPr>
          <w:rFonts w:ascii="Arial Narrow" w:hAnsi="Arial Narrow"/>
          <w:sz w:val="24"/>
          <w:szCs w:val="24"/>
        </w:rPr>
        <w:t xml:space="preserve"> requiring prolonged antibiotic therapy –</w:t>
      </w:r>
      <w:r w:rsidR="000E0F87" w:rsidRPr="001A1CE7">
        <w:rPr>
          <w:rFonts w:ascii="Arial Narrow" w:hAnsi="Arial Narrow"/>
          <w:sz w:val="24"/>
          <w:szCs w:val="24"/>
        </w:rPr>
        <w:t xml:space="preserve"> such as infective endocarditis.</w:t>
      </w:r>
    </w:p>
    <w:p w14:paraId="67CAA548" w14:textId="0572E3D4" w:rsidR="00D5540F" w:rsidRPr="001A1CE7" w:rsidRDefault="00D5540F" w:rsidP="00D5540F">
      <w:pPr>
        <w:pStyle w:val="ListParagraph"/>
        <w:numPr>
          <w:ilvl w:val="0"/>
          <w:numId w:val="43"/>
        </w:numPr>
        <w:spacing w:line="480" w:lineRule="auto"/>
        <w:ind w:left="1418" w:hanging="567"/>
        <w:rPr>
          <w:rFonts w:ascii="Arial Narrow" w:hAnsi="Arial Narrow"/>
          <w:sz w:val="24"/>
          <w:szCs w:val="24"/>
        </w:rPr>
      </w:pPr>
      <w:r w:rsidRPr="001A1CE7">
        <w:rPr>
          <w:rFonts w:ascii="Arial Narrow" w:hAnsi="Arial Narrow"/>
          <w:sz w:val="24"/>
          <w:szCs w:val="24"/>
        </w:rPr>
        <w:t xml:space="preserve">Severely </w:t>
      </w:r>
      <w:r w:rsidR="001B5F36" w:rsidRPr="001A1CE7">
        <w:rPr>
          <w:rFonts w:ascii="Arial Narrow" w:hAnsi="Arial Narrow"/>
          <w:sz w:val="24"/>
          <w:szCs w:val="24"/>
        </w:rPr>
        <w:t>i</w:t>
      </w:r>
      <w:r w:rsidRPr="001A1CE7">
        <w:rPr>
          <w:rFonts w:ascii="Arial Narrow" w:hAnsi="Arial Narrow"/>
          <w:sz w:val="24"/>
          <w:szCs w:val="24"/>
        </w:rPr>
        <w:t>mmunocompromised patients – such as those with human immunodeficiency virus and with a CD4 count of less than 200 cells/mm</w:t>
      </w:r>
      <w:r w:rsidRPr="001A1CE7">
        <w:rPr>
          <w:rFonts w:ascii="Arial Narrow" w:hAnsi="Arial Narrow"/>
          <w:sz w:val="24"/>
          <w:szCs w:val="24"/>
          <w:vertAlign w:val="superscript"/>
        </w:rPr>
        <w:t>3</w:t>
      </w:r>
      <w:r w:rsidRPr="001A1CE7">
        <w:rPr>
          <w:rFonts w:ascii="Arial Narrow" w:hAnsi="Arial Narrow"/>
          <w:sz w:val="24"/>
          <w:szCs w:val="24"/>
        </w:rPr>
        <w:t>; neutropenic patients</w:t>
      </w:r>
      <w:r w:rsidR="00AD1E9D" w:rsidRPr="001A1CE7">
        <w:rPr>
          <w:rFonts w:ascii="Arial Narrow" w:hAnsi="Arial Narrow"/>
          <w:sz w:val="24"/>
          <w:szCs w:val="24"/>
        </w:rPr>
        <w:t xml:space="preserve"> (&lt;500 </w:t>
      </w:r>
      <w:r w:rsidRPr="001A1CE7">
        <w:rPr>
          <w:rFonts w:ascii="Arial Narrow" w:hAnsi="Arial Narrow"/>
          <w:sz w:val="24"/>
          <w:szCs w:val="24"/>
        </w:rPr>
        <w:t>neutrophils/mm</w:t>
      </w:r>
      <w:r w:rsidR="00AD1E9D" w:rsidRPr="001A1CE7">
        <w:rPr>
          <w:rFonts w:ascii="Arial Narrow" w:hAnsi="Arial Narrow"/>
          <w:sz w:val="24"/>
          <w:szCs w:val="24"/>
          <w:vertAlign w:val="superscript"/>
        </w:rPr>
        <w:t>3</w:t>
      </w:r>
      <w:r w:rsidR="00AD1E9D" w:rsidRPr="001A1CE7">
        <w:rPr>
          <w:rFonts w:ascii="Arial Narrow" w:hAnsi="Arial Narrow"/>
          <w:sz w:val="24"/>
          <w:szCs w:val="24"/>
        </w:rPr>
        <w:t>).</w:t>
      </w:r>
    </w:p>
    <w:p w14:paraId="6FCFE156" w14:textId="19209CF0" w:rsidR="00AD1E9D" w:rsidRPr="001A1CE7" w:rsidRDefault="00AD1E9D" w:rsidP="00D5540F">
      <w:pPr>
        <w:pStyle w:val="ListParagraph"/>
        <w:numPr>
          <w:ilvl w:val="0"/>
          <w:numId w:val="43"/>
        </w:numPr>
        <w:spacing w:line="480" w:lineRule="auto"/>
        <w:ind w:left="1418" w:hanging="567"/>
        <w:rPr>
          <w:rFonts w:ascii="Arial Narrow" w:hAnsi="Arial Narrow"/>
          <w:sz w:val="24"/>
          <w:szCs w:val="24"/>
        </w:rPr>
      </w:pPr>
      <w:r w:rsidRPr="001A1CE7">
        <w:rPr>
          <w:rFonts w:ascii="Arial Narrow" w:hAnsi="Arial Narrow"/>
          <w:sz w:val="24"/>
          <w:szCs w:val="24"/>
        </w:rPr>
        <w:t>Patients</w:t>
      </w:r>
      <w:r w:rsidR="0009659E" w:rsidRPr="001A1CE7">
        <w:rPr>
          <w:rFonts w:ascii="Arial Narrow" w:hAnsi="Arial Narrow"/>
          <w:sz w:val="24"/>
          <w:szCs w:val="24"/>
        </w:rPr>
        <w:t xml:space="preserve"> on immunosuppressive therapy.</w:t>
      </w:r>
    </w:p>
    <w:p w14:paraId="4101EE9A" w14:textId="022B5387" w:rsidR="00771465" w:rsidRPr="001A1CE7" w:rsidRDefault="00771465" w:rsidP="00D5540F">
      <w:pPr>
        <w:pStyle w:val="ListParagraph"/>
        <w:numPr>
          <w:ilvl w:val="0"/>
          <w:numId w:val="43"/>
        </w:numPr>
        <w:spacing w:line="480" w:lineRule="auto"/>
        <w:ind w:left="1418" w:hanging="567"/>
        <w:rPr>
          <w:rFonts w:ascii="Arial Narrow" w:hAnsi="Arial Narrow"/>
          <w:sz w:val="24"/>
          <w:szCs w:val="24"/>
        </w:rPr>
      </w:pPr>
      <w:r w:rsidRPr="001A1CE7">
        <w:rPr>
          <w:rFonts w:ascii="Arial Narrow" w:hAnsi="Arial Narrow"/>
          <w:sz w:val="24"/>
          <w:szCs w:val="24"/>
        </w:rPr>
        <w:t>Previous thyroid surgery.</w:t>
      </w:r>
    </w:p>
    <w:p w14:paraId="4C2BE0CC" w14:textId="77777777" w:rsidR="005564BF" w:rsidRPr="001A1CE7" w:rsidRDefault="005564BF" w:rsidP="005564BF">
      <w:pPr>
        <w:spacing w:line="480" w:lineRule="auto"/>
        <w:rPr>
          <w:rFonts w:ascii="Arial Narrow" w:hAnsi="Arial Narrow"/>
          <w:sz w:val="24"/>
          <w:szCs w:val="24"/>
        </w:rPr>
      </w:pPr>
    </w:p>
    <w:p w14:paraId="007DC5EE" w14:textId="77777777" w:rsidR="008267D1" w:rsidRPr="001A1CE7" w:rsidRDefault="008267D1" w:rsidP="008267D1">
      <w:pPr>
        <w:pStyle w:val="ListParagraph"/>
        <w:spacing w:line="480" w:lineRule="auto"/>
        <w:ind w:left="1418"/>
        <w:rPr>
          <w:rFonts w:ascii="Arial Narrow" w:hAnsi="Arial Narrow"/>
          <w:sz w:val="24"/>
          <w:szCs w:val="24"/>
        </w:rPr>
      </w:pPr>
    </w:p>
    <w:p w14:paraId="611EAF51" w14:textId="77777777" w:rsidR="00D82BFC" w:rsidRPr="001A1CE7" w:rsidRDefault="00D82BFC" w:rsidP="009B54DB">
      <w:pPr>
        <w:spacing w:line="480" w:lineRule="auto"/>
        <w:outlineLvl w:val="0"/>
        <w:rPr>
          <w:rFonts w:ascii="Arial Narrow" w:hAnsi="Arial Narrow"/>
          <w:b/>
          <w:i/>
          <w:sz w:val="24"/>
          <w:szCs w:val="24"/>
        </w:rPr>
      </w:pPr>
      <w:r w:rsidRPr="001A1CE7">
        <w:rPr>
          <w:rFonts w:ascii="Arial Narrow" w:hAnsi="Arial Narrow"/>
          <w:b/>
          <w:i/>
          <w:sz w:val="24"/>
          <w:szCs w:val="24"/>
        </w:rPr>
        <w:t xml:space="preserve">Intervention </w:t>
      </w:r>
    </w:p>
    <w:p w14:paraId="7138A28B" w14:textId="2742B5F5" w:rsidR="00D82BFC" w:rsidRPr="001A1CE7" w:rsidRDefault="00D82BFC" w:rsidP="00D82BFC">
      <w:pPr>
        <w:spacing w:line="480" w:lineRule="auto"/>
        <w:rPr>
          <w:rFonts w:ascii="Arial Narrow" w:hAnsi="Arial Narrow"/>
          <w:sz w:val="24"/>
          <w:szCs w:val="24"/>
        </w:rPr>
      </w:pPr>
      <w:r w:rsidRPr="001A1CE7">
        <w:rPr>
          <w:rFonts w:ascii="Arial Narrow" w:hAnsi="Arial Narrow"/>
          <w:sz w:val="24"/>
          <w:szCs w:val="24"/>
        </w:rPr>
        <w:t xml:space="preserve">The intervention is the use of a procalcitonin-based algorithm to guide antibiotic use.  The algorithm is shown in Table </w:t>
      </w:r>
      <w:r w:rsidR="002470B1" w:rsidRPr="001A1CE7">
        <w:rPr>
          <w:rFonts w:ascii="Arial Narrow" w:hAnsi="Arial Narrow"/>
          <w:sz w:val="24"/>
          <w:szCs w:val="24"/>
        </w:rPr>
        <w:t>1</w:t>
      </w:r>
      <w:r w:rsidRPr="001A1CE7">
        <w:rPr>
          <w:rFonts w:ascii="Arial Narrow" w:hAnsi="Arial Narrow"/>
          <w:sz w:val="24"/>
          <w:szCs w:val="24"/>
        </w:rPr>
        <w:t>. Patients will be randomised in a 1:1 ratio to receive algorithm-guided or standard care.</w:t>
      </w:r>
      <w:r w:rsidR="007D671D" w:rsidRPr="001A1CE7">
        <w:rPr>
          <w:rFonts w:ascii="Arial Narrow" w:hAnsi="Arial Narrow"/>
          <w:sz w:val="24"/>
          <w:szCs w:val="24"/>
        </w:rPr>
        <w:t xml:space="preserve">  The randomisation will be stratified by </w:t>
      </w:r>
      <w:r w:rsidR="00095642" w:rsidRPr="001A1CE7">
        <w:rPr>
          <w:rFonts w:ascii="Arial Narrow" w:hAnsi="Arial Narrow"/>
          <w:sz w:val="24"/>
          <w:szCs w:val="24"/>
        </w:rPr>
        <w:t xml:space="preserve">patient </w:t>
      </w:r>
      <w:r w:rsidR="007D671D" w:rsidRPr="001A1CE7">
        <w:rPr>
          <w:rFonts w:ascii="Arial Narrow" w:hAnsi="Arial Narrow"/>
          <w:sz w:val="24"/>
          <w:szCs w:val="24"/>
        </w:rPr>
        <w:t>admission route (direct or tertiary referral).</w:t>
      </w:r>
    </w:p>
    <w:p w14:paraId="43731598" w14:textId="77777777" w:rsidR="005056AB" w:rsidRPr="001A1CE7" w:rsidRDefault="005056AB" w:rsidP="009146E6">
      <w:pPr>
        <w:spacing w:line="480" w:lineRule="auto"/>
        <w:rPr>
          <w:rFonts w:ascii="Arial Narrow" w:hAnsi="Arial Narrow"/>
          <w:b/>
          <w:i/>
          <w:sz w:val="24"/>
          <w:szCs w:val="24"/>
        </w:rPr>
      </w:pPr>
    </w:p>
    <w:p w14:paraId="64F1F27D" w14:textId="5AC4903E" w:rsidR="00F27934" w:rsidRPr="001A1CE7" w:rsidRDefault="00F53F65" w:rsidP="009B54DB">
      <w:pPr>
        <w:spacing w:line="480" w:lineRule="auto"/>
        <w:outlineLvl w:val="0"/>
        <w:rPr>
          <w:rFonts w:ascii="Arial Narrow" w:hAnsi="Arial Narrow"/>
          <w:b/>
          <w:i/>
          <w:sz w:val="24"/>
          <w:szCs w:val="24"/>
        </w:rPr>
      </w:pPr>
      <w:r w:rsidRPr="001A1CE7">
        <w:rPr>
          <w:rFonts w:ascii="Arial Narrow" w:hAnsi="Arial Narrow"/>
          <w:b/>
          <w:i/>
          <w:sz w:val="24"/>
          <w:szCs w:val="24"/>
        </w:rPr>
        <w:t xml:space="preserve"> </w:t>
      </w:r>
      <w:proofErr w:type="spellStart"/>
      <w:r w:rsidR="00FA6617" w:rsidRPr="001A1CE7">
        <w:rPr>
          <w:rFonts w:ascii="Arial Narrow" w:hAnsi="Arial Narrow"/>
          <w:b/>
          <w:i/>
          <w:sz w:val="24"/>
          <w:szCs w:val="24"/>
        </w:rPr>
        <w:t>i</w:t>
      </w:r>
      <w:proofErr w:type="spellEnd"/>
      <w:r w:rsidR="00FA6617" w:rsidRPr="001A1CE7">
        <w:rPr>
          <w:rFonts w:ascii="Arial Narrow" w:hAnsi="Arial Narrow"/>
          <w:b/>
          <w:i/>
          <w:sz w:val="24"/>
          <w:szCs w:val="24"/>
        </w:rPr>
        <w:t xml:space="preserve">) </w:t>
      </w:r>
      <w:r w:rsidR="008A115C" w:rsidRPr="001A1CE7">
        <w:rPr>
          <w:rFonts w:ascii="Arial Narrow" w:hAnsi="Arial Narrow"/>
          <w:b/>
          <w:i/>
          <w:sz w:val="24"/>
          <w:szCs w:val="24"/>
        </w:rPr>
        <w:t xml:space="preserve">Intervention </w:t>
      </w:r>
      <w:r w:rsidR="007360AB" w:rsidRPr="001A1CE7">
        <w:rPr>
          <w:rFonts w:ascii="Arial Narrow" w:hAnsi="Arial Narrow"/>
          <w:b/>
          <w:i/>
          <w:sz w:val="24"/>
          <w:szCs w:val="24"/>
        </w:rPr>
        <w:t xml:space="preserve">arm </w:t>
      </w:r>
      <w:r w:rsidR="008A115C" w:rsidRPr="001A1CE7">
        <w:rPr>
          <w:rFonts w:ascii="Arial Narrow" w:hAnsi="Arial Narrow"/>
          <w:b/>
          <w:i/>
          <w:sz w:val="24"/>
          <w:szCs w:val="24"/>
        </w:rPr>
        <w:t>protocol</w:t>
      </w:r>
      <w:r w:rsidR="00D82BFC" w:rsidRPr="001A1CE7">
        <w:rPr>
          <w:rFonts w:ascii="Arial Narrow" w:hAnsi="Arial Narrow"/>
          <w:b/>
          <w:i/>
          <w:sz w:val="24"/>
          <w:szCs w:val="24"/>
        </w:rPr>
        <w:t xml:space="preserve"> </w:t>
      </w:r>
      <w:r w:rsidR="004C2C73" w:rsidRPr="001A1CE7">
        <w:rPr>
          <w:rFonts w:ascii="Arial Narrow" w:hAnsi="Arial Narrow"/>
          <w:b/>
          <w:i/>
          <w:sz w:val="24"/>
          <w:szCs w:val="24"/>
        </w:rPr>
        <w:t>in detail</w:t>
      </w:r>
      <w:r w:rsidR="008A115C" w:rsidRPr="001A1CE7">
        <w:rPr>
          <w:rFonts w:ascii="Arial Narrow" w:hAnsi="Arial Narrow"/>
          <w:b/>
          <w:i/>
          <w:sz w:val="24"/>
          <w:szCs w:val="24"/>
        </w:rPr>
        <w:t>.</w:t>
      </w:r>
    </w:p>
    <w:p w14:paraId="43FF5863" w14:textId="31B8B2E8" w:rsidR="005E7AAC" w:rsidRPr="001A1CE7" w:rsidRDefault="00A879F4" w:rsidP="00787717">
      <w:pPr>
        <w:pStyle w:val="ListParagraph"/>
        <w:numPr>
          <w:ilvl w:val="0"/>
          <w:numId w:val="30"/>
        </w:numPr>
        <w:spacing w:line="480" w:lineRule="auto"/>
        <w:rPr>
          <w:rFonts w:ascii="Arial Narrow" w:hAnsi="Arial Narrow"/>
          <w:sz w:val="24"/>
          <w:szCs w:val="24"/>
        </w:rPr>
      </w:pPr>
      <w:r w:rsidRPr="001A1CE7">
        <w:rPr>
          <w:rFonts w:ascii="Arial Narrow" w:hAnsi="Arial Narrow"/>
          <w:sz w:val="24"/>
          <w:szCs w:val="24"/>
        </w:rPr>
        <w:t xml:space="preserve">Identification of patients: </w:t>
      </w:r>
      <w:r w:rsidR="005E7AAC" w:rsidRPr="001A1CE7">
        <w:rPr>
          <w:rFonts w:ascii="Arial Narrow" w:hAnsi="Arial Narrow"/>
          <w:sz w:val="24"/>
          <w:szCs w:val="24"/>
        </w:rPr>
        <w:t xml:space="preserve">Patients randomised to the PCT measurement arm will be identified by a trial sticker in case notes </w:t>
      </w:r>
      <w:r w:rsidR="00360D0B" w:rsidRPr="001A1CE7">
        <w:rPr>
          <w:rFonts w:ascii="Arial Narrow" w:hAnsi="Arial Narrow"/>
          <w:sz w:val="24"/>
          <w:szCs w:val="24"/>
        </w:rPr>
        <w:t xml:space="preserve">and drug kardex </w:t>
      </w:r>
      <w:r w:rsidR="005E7AAC" w:rsidRPr="001A1CE7">
        <w:rPr>
          <w:rFonts w:ascii="Arial Narrow" w:hAnsi="Arial Narrow"/>
          <w:sz w:val="24"/>
          <w:szCs w:val="24"/>
        </w:rPr>
        <w:t>(</w:t>
      </w:r>
      <w:r w:rsidR="00B52724" w:rsidRPr="001A1CE7">
        <w:rPr>
          <w:rFonts w:ascii="Arial Narrow" w:hAnsi="Arial Narrow"/>
          <w:sz w:val="24"/>
          <w:szCs w:val="24"/>
        </w:rPr>
        <w:t>and/</w:t>
      </w:r>
      <w:r w:rsidR="005E7AAC" w:rsidRPr="001A1CE7">
        <w:rPr>
          <w:rFonts w:ascii="Arial Narrow" w:hAnsi="Arial Narrow"/>
          <w:sz w:val="24"/>
          <w:szCs w:val="24"/>
        </w:rPr>
        <w:t>or elect</w:t>
      </w:r>
      <w:r w:rsidR="002D42F4" w:rsidRPr="001A1CE7">
        <w:rPr>
          <w:rFonts w:ascii="Arial Narrow" w:hAnsi="Arial Narrow"/>
          <w:sz w:val="24"/>
          <w:szCs w:val="24"/>
        </w:rPr>
        <w:t>ronic record for patients in the Intensive Care Unit</w:t>
      </w:r>
      <w:r w:rsidR="005E7AAC" w:rsidRPr="001A1CE7">
        <w:rPr>
          <w:rFonts w:ascii="Arial Narrow" w:hAnsi="Arial Narrow"/>
          <w:sz w:val="24"/>
          <w:szCs w:val="24"/>
        </w:rPr>
        <w:t>).</w:t>
      </w:r>
      <w:r w:rsidRPr="001A1CE7">
        <w:rPr>
          <w:rFonts w:ascii="Arial Narrow" w:hAnsi="Arial Narrow"/>
          <w:sz w:val="24"/>
          <w:szCs w:val="24"/>
        </w:rPr>
        <w:t xml:space="preserve"> Patients in the standard care arm will also be identified by a trial sticker.</w:t>
      </w:r>
    </w:p>
    <w:p w14:paraId="54F98C06" w14:textId="77777777" w:rsidR="00A879F4" w:rsidRPr="001A1CE7" w:rsidRDefault="00D82BFC" w:rsidP="00A879F4">
      <w:pPr>
        <w:pStyle w:val="ListParagraph"/>
        <w:numPr>
          <w:ilvl w:val="0"/>
          <w:numId w:val="30"/>
        </w:numPr>
        <w:spacing w:line="480" w:lineRule="auto"/>
        <w:rPr>
          <w:rFonts w:ascii="Arial Narrow" w:hAnsi="Arial Narrow"/>
          <w:sz w:val="24"/>
          <w:szCs w:val="24"/>
        </w:rPr>
      </w:pPr>
      <w:r w:rsidRPr="001A1CE7">
        <w:rPr>
          <w:rFonts w:ascii="Arial Narrow" w:hAnsi="Arial Narrow"/>
          <w:sz w:val="24"/>
          <w:szCs w:val="24"/>
        </w:rPr>
        <w:lastRenderedPageBreak/>
        <w:t>Baseline PCT will be measured</w:t>
      </w:r>
      <w:r w:rsidR="00F27934" w:rsidRPr="001A1CE7">
        <w:rPr>
          <w:rFonts w:ascii="Arial Narrow" w:hAnsi="Arial Narrow"/>
          <w:sz w:val="24"/>
          <w:szCs w:val="24"/>
        </w:rPr>
        <w:t xml:space="preserve"> on admission (day 0) </w:t>
      </w:r>
      <w:r w:rsidRPr="001A1CE7">
        <w:rPr>
          <w:rFonts w:ascii="Arial Narrow" w:hAnsi="Arial Narrow"/>
          <w:sz w:val="24"/>
          <w:szCs w:val="24"/>
        </w:rPr>
        <w:t xml:space="preserve">and the algorithm followed.  </w:t>
      </w:r>
    </w:p>
    <w:p w14:paraId="003210FE" w14:textId="047DB041" w:rsidR="00E179B2" w:rsidRPr="001A1CE7" w:rsidRDefault="005056AB" w:rsidP="00A879F4">
      <w:pPr>
        <w:pStyle w:val="ListParagraph"/>
        <w:numPr>
          <w:ilvl w:val="0"/>
          <w:numId w:val="30"/>
        </w:numPr>
        <w:spacing w:line="480" w:lineRule="auto"/>
        <w:rPr>
          <w:rFonts w:ascii="Arial Narrow" w:hAnsi="Arial Narrow"/>
          <w:sz w:val="24"/>
          <w:szCs w:val="24"/>
        </w:rPr>
      </w:pPr>
      <w:r w:rsidRPr="001A1CE7">
        <w:rPr>
          <w:rFonts w:ascii="Arial Narrow" w:hAnsi="Arial Narrow"/>
          <w:sz w:val="24"/>
          <w:szCs w:val="24"/>
        </w:rPr>
        <w:t xml:space="preserve">Patients admitted to surgical wards: </w:t>
      </w:r>
      <w:r w:rsidR="00D82BFC" w:rsidRPr="001A1CE7">
        <w:rPr>
          <w:rFonts w:ascii="Arial Narrow" w:hAnsi="Arial Narrow"/>
          <w:sz w:val="24"/>
          <w:szCs w:val="24"/>
        </w:rPr>
        <w:t xml:space="preserve">PCT </w:t>
      </w:r>
      <w:r w:rsidR="00184406" w:rsidRPr="001A1CE7">
        <w:rPr>
          <w:rFonts w:ascii="Arial Narrow" w:hAnsi="Arial Narrow"/>
          <w:sz w:val="24"/>
          <w:szCs w:val="24"/>
        </w:rPr>
        <w:t xml:space="preserve">will </w:t>
      </w:r>
      <w:r w:rsidR="00D82BFC" w:rsidRPr="001A1CE7">
        <w:rPr>
          <w:rFonts w:ascii="Arial Narrow" w:hAnsi="Arial Narrow"/>
          <w:sz w:val="24"/>
          <w:szCs w:val="24"/>
        </w:rPr>
        <w:t xml:space="preserve">be </w:t>
      </w:r>
      <w:r w:rsidR="00B52724" w:rsidRPr="001A1CE7">
        <w:rPr>
          <w:rFonts w:ascii="Arial Narrow" w:hAnsi="Arial Narrow"/>
          <w:sz w:val="24"/>
          <w:szCs w:val="24"/>
        </w:rPr>
        <w:t xml:space="preserve">routinely </w:t>
      </w:r>
      <w:r w:rsidR="00D82BFC" w:rsidRPr="001A1CE7">
        <w:rPr>
          <w:rFonts w:ascii="Arial Narrow" w:hAnsi="Arial Narrow"/>
          <w:sz w:val="24"/>
          <w:szCs w:val="24"/>
        </w:rPr>
        <w:t xml:space="preserve">re-assayed </w:t>
      </w:r>
      <w:r w:rsidR="009A60D3" w:rsidRPr="001A1CE7">
        <w:rPr>
          <w:rFonts w:ascii="Arial Narrow" w:hAnsi="Arial Narrow"/>
          <w:sz w:val="24"/>
          <w:szCs w:val="24"/>
        </w:rPr>
        <w:t xml:space="preserve">on day 4 </w:t>
      </w:r>
      <w:r w:rsidR="00D82BFC" w:rsidRPr="001A1CE7">
        <w:rPr>
          <w:rFonts w:ascii="Arial Narrow" w:hAnsi="Arial Narrow"/>
          <w:sz w:val="24"/>
          <w:szCs w:val="24"/>
        </w:rPr>
        <w:t xml:space="preserve">and at </w:t>
      </w:r>
      <w:r w:rsidR="008A115C" w:rsidRPr="001A1CE7">
        <w:rPr>
          <w:rFonts w:ascii="Arial Narrow" w:hAnsi="Arial Narrow"/>
          <w:sz w:val="24"/>
          <w:szCs w:val="24"/>
        </w:rPr>
        <w:t>day 7</w:t>
      </w:r>
      <w:r w:rsidR="00D82BFC" w:rsidRPr="001A1CE7">
        <w:rPr>
          <w:rFonts w:ascii="Arial Narrow" w:hAnsi="Arial Narrow"/>
          <w:sz w:val="24"/>
          <w:szCs w:val="24"/>
        </w:rPr>
        <w:t xml:space="preserve"> after admission for those patients remaining in hospital t</w:t>
      </w:r>
      <w:r w:rsidR="00F9336F" w:rsidRPr="001A1CE7">
        <w:rPr>
          <w:rFonts w:ascii="Arial Narrow" w:hAnsi="Arial Narrow"/>
          <w:sz w:val="24"/>
          <w:szCs w:val="24"/>
        </w:rPr>
        <w:t xml:space="preserve">o these </w:t>
      </w:r>
      <w:r w:rsidR="00F47C60" w:rsidRPr="001A1CE7">
        <w:rPr>
          <w:rFonts w:ascii="Arial Narrow" w:hAnsi="Arial Narrow"/>
          <w:sz w:val="24"/>
          <w:szCs w:val="24"/>
        </w:rPr>
        <w:t>time points</w:t>
      </w:r>
      <w:r w:rsidR="00F9336F" w:rsidRPr="001A1CE7">
        <w:rPr>
          <w:rFonts w:ascii="Arial Narrow" w:hAnsi="Arial Narrow"/>
          <w:sz w:val="24"/>
          <w:szCs w:val="24"/>
        </w:rPr>
        <w:t>.</w:t>
      </w:r>
      <w:r w:rsidR="005E7AAC" w:rsidRPr="001A1CE7">
        <w:rPr>
          <w:rFonts w:ascii="Arial Narrow" w:hAnsi="Arial Narrow"/>
          <w:sz w:val="24"/>
          <w:szCs w:val="24"/>
        </w:rPr>
        <w:t xml:space="preserve"> </w:t>
      </w:r>
      <w:r w:rsidR="00E179B2" w:rsidRPr="001A1CE7">
        <w:rPr>
          <w:rFonts w:ascii="Arial Narrow" w:hAnsi="Arial Narrow"/>
          <w:sz w:val="24"/>
          <w:szCs w:val="24"/>
        </w:rPr>
        <w:t xml:space="preserve">Venesection </w:t>
      </w:r>
      <w:r w:rsidR="00360D0B" w:rsidRPr="001A1CE7">
        <w:rPr>
          <w:rFonts w:ascii="Arial Narrow" w:hAnsi="Arial Narrow"/>
          <w:sz w:val="24"/>
          <w:szCs w:val="24"/>
        </w:rPr>
        <w:t xml:space="preserve">for PCT assay </w:t>
      </w:r>
      <w:r w:rsidR="00184406" w:rsidRPr="001A1CE7">
        <w:rPr>
          <w:rFonts w:ascii="Arial Narrow" w:hAnsi="Arial Narrow"/>
          <w:sz w:val="24"/>
          <w:szCs w:val="24"/>
        </w:rPr>
        <w:t xml:space="preserve">will </w:t>
      </w:r>
      <w:r w:rsidR="00E179B2" w:rsidRPr="001A1CE7">
        <w:rPr>
          <w:rFonts w:ascii="Arial Narrow" w:hAnsi="Arial Narrow"/>
          <w:sz w:val="24"/>
          <w:szCs w:val="24"/>
        </w:rPr>
        <w:t>be undertaken at the same time as venesection for routine clinical blood tests.  No additional venesection is required for PCT measurement.</w:t>
      </w:r>
    </w:p>
    <w:p w14:paraId="6F14B3C5" w14:textId="2CA35349" w:rsidR="005056AB" w:rsidRPr="001A1CE7" w:rsidRDefault="005056AB" w:rsidP="00787717">
      <w:pPr>
        <w:pStyle w:val="ListParagraph"/>
        <w:numPr>
          <w:ilvl w:val="0"/>
          <w:numId w:val="30"/>
        </w:numPr>
        <w:spacing w:line="480" w:lineRule="auto"/>
        <w:rPr>
          <w:rFonts w:ascii="Arial Narrow" w:hAnsi="Arial Narrow"/>
          <w:sz w:val="24"/>
          <w:szCs w:val="24"/>
        </w:rPr>
      </w:pPr>
      <w:r w:rsidRPr="001A1CE7">
        <w:rPr>
          <w:rFonts w:ascii="Arial Narrow" w:hAnsi="Arial Narrow"/>
          <w:sz w:val="24"/>
          <w:szCs w:val="24"/>
        </w:rPr>
        <w:t>Patients admitted to the critical care un</w:t>
      </w:r>
      <w:r w:rsidR="00AF28E6" w:rsidRPr="001A1CE7">
        <w:rPr>
          <w:rFonts w:ascii="Arial Narrow" w:hAnsi="Arial Narrow"/>
          <w:sz w:val="24"/>
          <w:szCs w:val="24"/>
        </w:rPr>
        <w:t xml:space="preserve">it: PCT will be measured daily </w:t>
      </w:r>
      <w:r w:rsidRPr="001A1CE7">
        <w:rPr>
          <w:rFonts w:ascii="Arial Narrow" w:hAnsi="Arial Narrow"/>
          <w:sz w:val="24"/>
          <w:szCs w:val="24"/>
        </w:rPr>
        <w:t>during the acute phase of their illness.</w:t>
      </w:r>
    </w:p>
    <w:p w14:paraId="23F5A858" w14:textId="1DB719B0" w:rsidR="00F9336F" w:rsidRPr="001A1CE7" w:rsidRDefault="00AF28E6" w:rsidP="00787717">
      <w:pPr>
        <w:pStyle w:val="ListParagraph"/>
        <w:numPr>
          <w:ilvl w:val="0"/>
          <w:numId w:val="30"/>
        </w:numPr>
        <w:spacing w:line="480" w:lineRule="auto"/>
        <w:rPr>
          <w:rFonts w:ascii="Arial Narrow" w:hAnsi="Arial Narrow"/>
          <w:sz w:val="24"/>
          <w:szCs w:val="24"/>
        </w:rPr>
      </w:pPr>
      <w:r w:rsidRPr="001A1CE7">
        <w:rPr>
          <w:rFonts w:ascii="Arial Narrow" w:hAnsi="Arial Narrow"/>
          <w:sz w:val="24"/>
          <w:szCs w:val="24"/>
        </w:rPr>
        <w:t>PCT intervention arm in patients remaining in hospital beyond day 7:</w:t>
      </w:r>
      <w:r w:rsidR="005E7AAC" w:rsidRPr="001A1CE7">
        <w:rPr>
          <w:rFonts w:ascii="Arial Narrow" w:hAnsi="Arial Narrow"/>
          <w:sz w:val="24"/>
          <w:szCs w:val="24"/>
        </w:rPr>
        <w:t xml:space="preserve"> PCT will be measured weekly on day 14, 21 and continued wee</w:t>
      </w:r>
      <w:r w:rsidR="00E179B2" w:rsidRPr="001A1CE7">
        <w:rPr>
          <w:rFonts w:ascii="Arial Narrow" w:hAnsi="Arial Narrow"/>
          <w:sz w:val="24"/>
          <w:szCs w:val="24"/>
        </w:rPr>
        <w:t xml:space="preserve">kly during the in-patient stay. Venesection </w:t>
      </w:r>
      <w:r w:rsidR="00184406" w:rsidRPr="001A1CE7">
        <w:rPr>
          <w:rFonts w:ascii="Arial Narrow" w:hAnsi="Arial Narrow"/>
          <w:sz w:val="24"/>
          <w:szCs w:val="24"/>
        </w:rPr>
        <w:t xml:space="preserve">will </w:t>
      </w:r>
      <w:r w:rsidR="00E179B2" w:rsidRPr="001A1CE7">
        <w:rPr>
          <w:rFonts w:ascii="Arial Narrow" w:hAnsi="Arial Narrow"/>
          <w:sz w:val="24"/>
          <w:szCs w:val="24"/>
        </w:rPr>
        <w:t>be undertaken at the same time as venesection for routine blood tests.</w:t>
      </w:r>
    </w:p>
    <w:p w14:paraId="149AC767" w14:textId="0D96A94A" w:rsidR="00F9336F" w:rsidRPr="001A1CE7" w:rsidRDefault="00E179B2" w:rsidP="00787717">
      <w:pPr>
        <w:pStyle w:val="ListParagraph"/>
        <w:numPr>
          <w:ilvl w:val="0"/>
          <w:numId w:val="30"/>
        </w:numPr>
        <w:spacing w:line="480" w:lineRule="auto"/>
        <w:rPr>
          <w:rFonts w:ascii="Arial Narrow" w:hAnsi="Arial Narrow"/>
          <w:sz w:val="24"/>
          <w:szCs w:val="24"/>
        </w:rPr>
      </w:pPr>
      <w:r w:rsidRPr="001A1CE7">
        <w:rPr>
          <w:rFonts w:ascii="Arial Narrow" w:hAnsi="Arial Narrow"/>
          <w:sz w:val="24"/>
          <w:szCs w:val="24"/>
        </w:rPr>
        <w:t>Patients who are asymptomatic in terms of infection:  Follow the PCT algorithm</w:t>
      </w:r>
      <w:r w:rsidR="00B52724" w:rsidRPr="001A1CE7">
        <w:rPr>
          <w:rFonts w:ascii="Arial Narrow" w:hAnsi="Arial Narrow"/>
          <w:sz w:val="24"/>
          <w:szCs w:val="24"/>
        </w:rPr>
        <w:t xml:space="preserve"> with sampling at the time points above</w:t>
      </w:r>
      <w:r w:rsidRPr="001A1CE7">
        <w:rPr>
          <w:rFonts w:ascii="Arial Narrow" w:hAnsi="Arial Narrow"/>
          <w:sz w:val="24"/>
          <w:szCs w:val="24"/>
        </w:rPr>
        <w:t xml:space="preserve">. </w:t>
      </w:r>
      <w:r w:rsidR="00F9336F" w:rsidRPr="001A1CE7">
        <w:rPr>
          <w:rFonts w:ascii="Arial Narrow" w:hAnsi="Arial Narrow"/>
          <w:sz w:val="24"/>
          <w:szCs w:val="24"/>
        </w:rPr>
        <w:t xml:space="preserve">It </w:t>
      </w:r>
      <w:r w:rsidR="00D82BFC" w:rsidRPr="001A1CE7">
        <w:rPr>
          <w:rFonts w:ascii="Arial Narrow" w:hAnsi="Arial Narrow"/>
          <w:sz w:val="24"/>
          <w:szCs w:val="24"/>
        </w:rPr>
        <w:t>i</w:t>
      </w:r>
      <w:r w:rsidR="00AC1D8A" w:rsidRPr="001A1CE7">
        <w:rPr>
          <w:rFonts w:ascii="Arial Narrow" w:hAnsi="Arial Narrow"/>
          <w:sz w:val="24"/>
          <w:szCs w:val="24"/>
        </w:rPr>
        <w:t>s possible that any one of the above</w:t>
      </w:r>
      <w:r w:rsidR="00D82BFC" w:rsidRPr="001A1CE7">
        <w:rPr>
          <w:rFonts w:ascii="Arial Narrow" w:hAnsi="Arial Narrow"/>
          <w:sz w:val="24"/>
          <w:szCs w:val="24"/>
        </w:rPr>
        <w:t xml:space="preserve"> PCT assay points may yield a result above threshold for antibiotic use in a setting when </w:t>
      </w:r>
      <w:r w:rsidRPr="001A1CE7">
        <w:rPr>
          <w:rFonts w:ascii="Arial Narrow" w:hAnsi="Arial Narrow"/>
          <w:sz w:val="24"/>
          <w:szCs w:val="24"/>
        </w:rPr>
        <w:t xml:space="preserve">antibiotics are not </w:t>
      </w:r>
      <w:r w:rsidR="00722FD5" w:rsidRPr="001A1CE7">
        <w:rPr>
          <w:rFonts w:ascii="Arial Narrow" w:hAnsi="Arial Narrow"/>
          <w:sz w:val="24"/>
          <w:szCs w:val="24"/>
        </w:rPr>
        <w:t xml:space="preserve">thought to be clinically </w:t>
      </w:r>
      <w:r w:rsidRPr="001A1CE7">
        <w:rPr>
          <w:rFonts w:ascii="Arial Narrow" w:hAnsi="Arial Narrow"/>
          <w:sz w:val="24"/>
          <w:szCs w:val="24"/>
        </w:rPr>
        <w:t>indicated</w:t>
      </w:r>
      <w:r w:rsidR="00D82BFC" w:rsidRPr="001A1CE7">
        <w:rPr>
          <w:rFonts w:ascii="Arial Narrow" w:hAnsi="Arial Narrow"/>
          <w:sz w:val="24"/>
          <w:szCs w:val="24"/>
        </w:rPr>
        <w:t xml:space="preserve">.  In this situation, </w:t>
      </w:r>
      <w:r w:rsidRPr="001A1CE7">
        <w:rPr>
          <w:rFonts w:ascii="Arial Narrow" w:hAnsi="Arial Narrow"/>
          <w:sz w:val="24"/>
          <w:szCs w:val="24"/>
        </w:rPr>
        <w:t>clinical decision making takes priority and the algorithm can be over-ridden</w:t>
      </w:r>
      <w:r w:rsidR="00AC1D8A" w:rsidRPr="001A1CE7">
        <w:rPr>
          <w:rFonts w:ascii="Arial Narrow" w:hAnsi="Arial Narrow"/>
          <w:sz w:val="24"/>
          <w:szCs w:val="24"/>
        </w:rPr>
        <w:t xml:space="preserve"> (see below)</w:t>
      </w:r>
      <w:r w:rsidRPr="001A1CE7">
        <w:rPr>
          <w:rFonts w:ascii="Arial Narrow" w:hAnsi="Arial Narrow"/>
          <w:sz w:val="24"/>
          <w:szCs w:val="24"/>
        </w:rPr>
        <w:t xml:space="preserve">.  </w:t>
      </w:r>
      <w:r w:rsidRPr="007741AC">
        <w:rPr>
          <w:rFonts w:ascii="Arial Narrow" w:hAnsi="Arial Narrow"/>
          <w:sz w:val="24"/>
          <w:szCs w:val="24"/>
        </w:rPr>
        <w:t xml:space="preserve">If </w:t>
      </w:r>
      <w:r w:rsidR="00B52724" w:rsidRPr="00F35B7D">
        <w:rPr>
          <w:rFonts w:ascii="Arial Narrow" w:hAnsi="Arial Narrow"/>
          <w:sz w:val="24"/>
          <w:szCs w:val="24"/>
        </w:rPr>
        <w:t xml:space="preserve">however </w:t>
      </w:r>
      <w:r w:rsidR="00D82BFC" w:rsidRPr="001A1CE7">
        <w:rPr>
          <w:rFonts w:ascii="Arial Narrow" w:hAnsi="Arial Narrow"/>
          <w:sz w:val="24"/>
          <w:szCs w:val="24"/>
        </w:rPr>
        <w:t xml:space="preserve">the recommendation of the PCT algorithm </w:t>
      </w:r>
      <w:r w:rsidRPr="001A1CE7">
        <w:rPr>
          <w:rFonts w:ascii="Arial Narrow" w:hAnsi="Arial Narrow"/>
          <w:sz w:val="24"/>
          <w:szCs w:val="24"/>
        </w:rPr>
        <w:t>is</w:t>
      </w:r>
      <w:r w:rsidR="00D82BFC" w:rsidRPr="001A1CE7">
        <w:rPr>
          <w:rFonts w:ascii="Arial Narrow" w:hAnsi="Arial Narrow"/>
          <w:sz w:val="24"/>
          <w:szCs w:val="24"/>
        </w:rPr>
        <w:t xml:space="preserve"> followed</w:t>
      </w:r>
      <w:r w:rsidR="001059D4" w:rsidRPr="001A1CE7">
        <w:rPr>
          <w:rFonts w:ascii="Arial Narrow" w:hAnsi="Arial Narrow"/>
          <w:sz w:val="24"/>
          <w:szCs w:val="24"/>
        </w:rPr>
        <w:t>,</w:t>
      </w:r>
      <w:r w:rsidR="00D82BFC" w:rsidRPr="001A1CE7">
        <w:rPr>
          <w:rFonts w:ascii="Arial Narrow" w:hAnsi="Arial Narrow"/>
          <w:sz w:val="24"/>
          <w:szCs w:val="24"/>
        </w:rPr>
        <w:t xml:space="preserve"> an appropriate anti</w:t>
      </w:r>
      <w:r w:rsidR="00F9336F" w:rsidRPr="001A1CE7">
        <w:rPr>
          <w:rFonts w:ascii="Arial Narrow" w:hAnsi="Arial Narrow"/>
          <w:sz w:val="24"/>
          <w:szCs w:val="24"/>
        </w:rPr>
        <w:t xml:space="preserve">biotic </w:t>
      </w:r>
      <w:r w:rsidRPr="001A1CE7">
        <w:rPr>
          <w:rFonts w:ascii="Arial Narrow" w:hAnsi="Arial Narrow"/>
          <w:sz w:val="24"/>
          <w:szCs w:val="24"/>
        </w:rPr>
        <w:t xml:space="preserve">should be </w:t>
      </w:r>
      <w:r w:rsidR="00F9336F" w:rsidRPr="001A1CE7">
        <w:rPr>
          <w:rFonts w:ascii="Arial Narrow" w:hAnsi="Arial Narrow"/>
          <w:sz w:val="24"/>
          <w:szCs w:val="24"/>
        </w:rPr>
        <w:t>used in compliance with Manchester University Foundation T</w:t>
      </w:r>
      <w:r w:rsidR="00D82BFC" w:rsidRPr="001A1CE7">
        <w:rPr>
          <w:rFonts w:ascii="Arial Narrow" w:hAnsi="Arial Narrow"/>
          <w:sz w:val="24"/>
          <w:szCs w:val="24"/>
        </w:rPr>
        <w:t xml:space="preserve">rust </w:t>
      </w:r>
      <w:r w:rsidR="00F9336F" w:rsidRPr="001A1CE7">
        <w:rPr>
          <w:rFonts w:ascii="Arial Narrow" w:hAnsi="Arial Narrow"/>
          <w:sz w:val="24"/>
          <w:szCs w:val="24"/>
        </w:rPr>
        <w:t xml:space="preserve">(MFT) </w:t>
      </w:r>
      <w:r w:rsidR="00D82BFC" w:rsidRPr="001A1CE7">
        <w:rPr>
          <w:rFonts w:ascii="Arial Narrow" w:hAnsi="Arial Narrow"/>
          <w:sz w:val="24"/>
          <w:szCs w:val="24"/>
        </w:rPr>
        <w:t xml:space="preserve">guidance for </w:t>
      </w:r>
      <w:r w:rsidR="009A60D3" w:rsidRPr="001A1CE7">
        <w:rPr>
          <w:rFonts w:ascii="Arial Narrow" w:hAnsi="Arial Narrow"/>
          <w:sz w:val="24"/>
          <w:szCs w:val="24"/>
        </w:rPr>
        <w:t xml:space="preserve">treatment of infection in </w:t>
      </w:r>
      <w:r w:rsidR="00D82BFC" w:rsidRPr="001A1CE7">
        <w:rPr>
          <w:rFonts w:ascii="Arial Narrow" w:hAnsi="Arial Narrow"/>
          <w:sz w:val="24"/>
          <w:szCs w:val="24"/>
        </w:rPr>
        <w:t xml:space="preserve">acute pancreatitis.  </w:t>
      </w:r>
    </w:p>
    <w:p w14:paraId="4B8C88A8" w14:textId="2834D330" w:rsidR="00E179B2" w:rsidRPr="001A1CE7" w:rsidRDefault="00A861DE" w:rsidP="00E179B2">
      <w:pPr>
        <w:pStyle w:val="ListParagraph"/>
        <w:numPr>
          <w:ilvl w:val="0"/>
          <w:numId w:val="30"/>
        </w:numPr>
        <w:spacing w:line="480" w:lineRule="auto"/>
        <w:rPr>
          <w:rFonts w:ascii="Arial Narrow" w:hAnsi="Arial Narrow"/>
          <w:sz w:val="24"/>
          <w:szCs w:val="24"/>
        </w:rPr>
      </w:pPr>
      <w:r w:rsidRPr="001A1CE7">
        <w:rPr>
          <w:rFonts w:ascii="Arial Narrow" w:hAnsi="Arial Narrow"/>
          <w:sz w:val="24"/>
          <w:szCs w:val="24"/>
        </w:rPr>
        <w:t xml:space="preserve">Patients who become </w:t>
      </w:r>
      <w:r w:rsidR="00E179B2" w:rsidRPr="001A1CE7">
        <w:rPr>
          <w:rFonts w:ascii="Arial Narrow" w:hAnsi="Arial Narrow"/>
          <w:sz w:val="24"/>
          <w:szCs w:val="24"/>
        </w:rPr>
        <w:t xml:space="preserve">symptomatic </w:t>
      </w:r>
      <w:r w:rsidRPr="001A1CE7">
        <w:rPr>
          <w:rFonts w:ascii="Arial Narrow" w:hAnsi="Arial Narrow"/>
          <w:sz w:val="24"/>
          <w:szCs w:val="24"/>
        </w:rPr>
        <w:t xml:space="preserve">(at any point) </w:t>
      </w:r>
      <w:r w:rsidR="007360AB" w:rsidRPr="001A1CE7">
        <w:rPr>
          <w:rFonts w:ascii="Arial Narrow" w:hAnsi="Arial Narrow"/>
          <w:sz w:val="24"/>
          <w:szCs w:val="24"/>
        </w:rPr>
        <w:t>for</w:t>
      </w:r>
      <w:r w:rsidR="00E179B2" w:rsidRPr="001A1CE7">
        <w:rPr>
          <w:rFonts w:ascii="Arial Narrow" w:hAnsi="Arial Narrow"/>
          <w:sz w:val="24"/>
          <w:szCs w:val="24"/>
        </w:rPr>
        <w:t xml:space="preserve"> infec</w:t>
      </w:r>
      <w:r w:rsidR="00360D0B" w:rsidRPr="001A1CE7">
        <w:rPr>
          <w:rFonts w:ascii="Arial Narrow" w:hAnsi="Arial Narrow"/>
          <w:sz w:val="24"/>
          <w:szCs w:val="24"/>
        </w:rPr>
        <w:t>tion:  Assay PC</w:t>
      </w:r>
      <w:r w:rsidR="008D6549" w:rsidRPr="001A1CE7">
        <w:rPr>
          <w:rFonts w:ascii="Arial Narrow" w:hAnsi="Arial Narrow"/>
          <w:sz w:val="24"/>
          <w:szCs w:val="24"/>
        </w:rPr>
        <w:t xml:space="preserve">T and follow the PCT algorithm. In specific terms, this means repeating the </w:t>
      </w:r>
      <w:r w:rsidRPr="001A1CE7">
        <w:rPr>
          <w:rFonts w:ascii="Arial Narrow" w:hAnsi="Arial Narrow"/>
          <w:sz w:val="24"/>
          <w:szCs w:val="24"/>
        </w:rPr>
        <w:t xml:space="preserve">PCT </w:t>
      </w:r>
      <w:r w:rsidR="008D6549" w:rsidRPr="001A1CE7">
        <w:rPr>
          <w:rFonts w:ascii="Arial Narrow" w:hAnsi="Arial Narrow"/>
          <w:sz w:val="24"/>
          <w:szCs w:val="24"/>
        </w:rPr>
        <w:t>assay at the time of assessment of infection.</w:t>
      </w:r>
      <w:r w:rsidR="00360D0B" w:rsidRPr="001A1CE7">
        <w:rPr>
          <w:rFonts w:ascii="Arial Narrow" w:hAnsi="Arial Narrow"/>
          <w:sz w:val="24"/>
          <w:szCs w:val="24"/>
        </w:rPr>
        <w:t xml:space="preserve"> </w:t>
      </w:r>
      <w:r w:rsidR="00AC1D8A" w:rsidRPr="001A1CE7">
        <w:rPr>
          <w:rFonts w:ascii="Arial Narrow" w:hAnsi="Arial Narrow"/>
          <w:sz w:val="24"/>
          <w:szCs w:val="24"/>
        </w:rPr>
        <w:t>Clinically symptomatic patients with a low PCT will not receive antibiotics.  If there is persisting concern</w:t>
      </w:r>
      <w:r w:rsidRPr="001A1CE7">
        <w:rPr>
          <w:rFonts w:ascii="Arial Narrow" w:hAnsi="Arial Narrow"/>
          <w:sz w:val="24"/>
          <w:szCs w:val="24"/>
        </w:rPr>
        <w:t xml:space="preserve"> of infection in patients with a low PCT</w:t>
      </w:r>
      <w:r w:rsidR="00AC1D8A" w:rsidRPr="001A1CE7">
        <w:rPr>
          <w:rFonts w:ascii="Arial Narrow" w:hAnsi="Arial Narrow"/>
          <w:sz w:val="24"/>
          <w:szCs w:val="24"/>
        </w:rPr>
        <w:t xml:space="preserve">, the </w:t>
      </w:r>
      <w:r w:rsidRPr="001A1CE7">
        <w:rPr>
          <w:rFonts w:ascii="Arial Narrow" w:hAnsi="Arial Narrow"/>
          <w:sz w:val="24"/>
          <w:szCs w:val="24"/>
        </w:rPr>
        <w:t>test</w:t>
      </w:r>
      <w:r w:rsidR="00AC1D8A" w:rsidRPr="001A1CE7">
        <w:rPr>
          <w:rFonts w:ascii="Arial Narrow" w:hAnsi="Arial Narrow"/>
          <w:sz w:val="24"/>
          <w:szCs w:val="24"/>
        </w:rPr>
        <w:t xml:space="preserve"> should be </w:t>
      </w:r>
      <w:r w:rsidRPr="001A1CE7">
        <w:rPr>
          <w:rFonts w:ascii="Arial Narrow" w:hAnsi="Arial Narrow"/>
          <w:sz w:val="24"/>
          <w:szCs w:val="24"/>
        </w:rPr>
        <w:t>repeated</w:t>
      </w:r>
      <w:r w:rsidR="00AC1D8A" w:rsidRPr="001A1CE7">
        <w:rPr>
          <w:rFonts w:ascii="Arial Narrow" w:hAnsi="Arial Narrow"/>
          <w:sz w:val="24"/>
          <w:szCs w:val="24"/>
        </w:rPr>
        <w:t xml:space="preserve"> at 24h. Symptomatic patients with a raised PCT will receive antibiotics according to MFT guidance.  Use the PCT algorithm to guide continuance and discontinuation of antibiotics.</w:t>
      </w:r>
    </w:p>
    <w:p w14:paraId="1CAA47AD" w14:textId="536862DE" w:rsidR="00E179B2" w:rsidRPr="001A1CE7" w:rsidRDefault="00E179B2" w:rsidP="00E179B2">
      <w:pPr>
        <w:pStyle w:val="ListParagraph"/>
        <w:numPr>
          <w:ilvl w:val="0"/>
          <w:numId w:val="30"/>
        </w:numPr>
        <w:spacing w:line="480" w:lineRule="auto"/>
        <w:rPr>
          <w:rFonts w:ascii="Arial Narrow" w:hAnsi="Arial Narrow"/>
          <w:sz w:val="24"/>
          <w:szCs w:val="24"/>
        </w:rPr>
      </w:pPr>
      <w:r w:rsidRPr="001A1CE7">
        <w:rPr>
          <w:rFonts w:ascii="Arial Narrow" w:hAnsi="Arial Narrow"/>
          <w:sz w:val="24"/>
          <w:szCs w:val="24"/>
        </w:rPr>
        <w:t xml:space="preserve">Asymptomatic or symptomatic patients with positive microbiology results.  It is appropriate to </w:t>
      </w:r>
      <w:r w:rsidR="005056AB" w:rsidRPr="001A1CE7">
        <w:rPr>
          <w:rFonts w:ascii="Arial Narrow" w:hAnsi="Arial Narrow"/>
          <w:sz w:val="24"/>
          <w:szCs w:val="24"/>
        </w:rPr>
        <w:t>treat patients with positive microbiology results with antibiotics</w:t>
      </w:r>
      <w:r w:rsidRPr="001A1CE7">
        <w:rPr>
          <w:rFonts w:ascii="Arial Narrow" w:hAnsi="Arial Narrow"/>
          <w:sz w:val="24"/>
          <w:szCs w:val="24"/>
        </w:rPr>
        <w:t xml:space="preserve">.  PCT should be measured </w:t>
      </w:r>
      <w:r w:rsidRPr="001A1CE7">
        <w:rPr>
          <w:rFonts w:ascii="Arial Narrow" w:hAnsi="Arial Narrow"/>
          <w:sz w:val="24"/>
          <w:szCs w:val="24"/>
        </w:rPr>
        <w:lastRenderedPageBreak/>
        <w:t>before commencing anti</w:t>
      </w:r>
      <w:r w:rsidR="00722FD5" w:rsidRPr="001A1CE7">
        <w:rPr>
          <w:rFonts w:ascii="Arial Narrow" w:hAnsi="Arial Narrow"/>
          <w:sz w:val="24"/>
          <w:szCs w:val="24"/>
        </w:rPr>
        <w:t>b</w:t>
      </w:r>
      <w:r w:rsidRPr="001A1CE7">
        <w:rPr>
          <w:rFonts w:ascii="Arial Narrow" w:hAnsi="Arial Narrow"/>
          <w:sz w:val="24"/>
          <w:szCs w:val="24"/>
        </w:rPr>
        <w:t>iotics.   PCT measurement should be used to guide cessation of therapy, either after 48h, 72h or 96h as clinically appropriate.</w:t>
      </w:r>
    </w:p>
    <w:p w14:paraId="0E638992" w14:textId="358E827C" w:rsidR="00722FD5" w:rsidRPr="001A1CE7" w:rsidRDefault="00D82BFC" w:rsidP="00E179B2">
      <w:pPr>
        <w:pStyle w:val="ListParagraph"/>
        <w:numPr>
          <w:ilvl w:val="0"/>
          <w:numId w:val="30"/>
        </w:numPr>
        <w:spacing w:line="480" w:lineRule="auto"/>
        <w:rPr>
          <w:rFonts w:ascii="Arial Narrow" w:hAnsi="Arial Narrow"/>
          <w:sz w:val="24"/>
          <w:szCs w:val="24"/>
        </w:rPr>
      </w:pPr>
      <w:r w:rsidRPr="001A1CE7">
        <w:rPr>
          <w:rFonts w:ascii="Arial Narrow" w:hAnsi="Arial Narrow"/>
          <w:sz w:val="24"/>
          <w:szCs w:val="24"/>
        </w:rPr>
        <w:t xml:space="preserve">To avoid repeated short courses of antibiotics, if antibiotic use is triggered by the algorithm, continue use for at least 48h and then re-assay PCT. If there is no clinical evidence of infection </w:t>
      </w:r>
      <w:r w:rsidR="002B5017" w:rsidRPr="001A1CE7">
        <w:rPr>
          <w:rFonts w:ascii="Arial Narrow" w:hAnsi="Arial Narrow"/>
          <w:sz w:val="24"/>
          <w:szCs w:val="24"/>
        </w:rPr>
        <w:t>at this point with this</w:t>
      </w:r>
      <w:r w:rsidR="00F9336F" w:rsidRPr="001A1CE7">
        <w:rPr>
          <w:rFonts w:ascii="Arial Narrow" w:hAnsi="Arial Narrow"/>
          <w:sz w:val="24"/>
          <w:szCs w:val="24"/>
        </w:rPr>
        <w:t xml:space="preserve"> second PCT measurement </w:t>
      </w:r>
      <w:r w:rsidRPr="001A1CE7">
        <w:rPr>
          <w:rFonts w:ascii="Arial Narrow" w:hAnsi="Arial Narrow"/>
          <w:sz w:val="24"/>
          <w:szCs w:val="24"/>
        </w:rPr>
        <w:t>below threshold</w:t>
      </w:r>
      <w:r w:rsidR="00A861DE" w:rsidRPr="001A1CE7">
        <w:rPr>
          <w:rFonts w:ascii="Arial Narrow" w:hAnsi="Arial Narrow"/>
          <w:sz w:val="24"/>
          <w:szCs w:val="24"/>
        </w:rPr>
        <w:t>,</w:t>
      </w:r>
      <w:r w:rsidRPr="001A1CE7">
        <w:rPr>
          <w:rFonts w:ascii="Arial Narrow" w:hAnsi="Arial Narrow"/>
          <w:sz w:val="24"/>
          <w:szCs w:val="24"/>
        </w:rPr>
        <w:t xml:space="preserve"> antibiotic use </w:t>
      </w:r>
      <w:r w:rsidR="00E47BB6" w:rsidRPr="001A1CE7">
        <w:rPr>
          <w:rFonts w:ascii="Arial Narrow" w:hAnsi="Arial Narrow"/>
          <w:sz w:val="24"/>
          <w:szCs w:val="24"/>
        </w:rPr>
        <w:t>will</w:t>
      </w:r>
      <w:r w:rsidRPr="001A1CE7">
        <w:rPr>
          <w:rFonts w:ascii="Arial Narrow" w:hAnsi="Arial Narrow"/>
          <w:sz w:val="24"/>
          <w:szCs w:val="24"/>
        </w:rPr>
        <w:t xml:space="preserve"> be disc</w:t>
      </w:r>
      <w:r w:rsidR="00F9336F" w:rsidRPr="001A1CE7">
        <w:rPr>
          <w:rFonts w:ascii="Arial Narrow" w:hAnsi="Arial Narrow"/>
          <w:sz w:val="24"/>
          <w:szCs w:val="24"/>
        </w:rPr>
        <w:t>ontinued</w:t>
      </w:r>
      <w:r w:rsidRPr="001A1CE7">
        <w:rPr>
          <w:rFonts w:ascii="Arial Narrow" w:hAnsi="Arial Narrow"/>
          <w:sz w:val="24"/>
          <w:szCs w:val="24"/>
        </w:rPr>
        <w:t xml:space="preserve">.  </w:t>
      </w:r>
    </w:p>
    <w:p w14:paraId="63DAF432" w14:textId="3B89CC4B" w:rsidR="00E179B2" w:rsidRPr="007741AC" w:rsidRDefault="00E179B2" w:rsidP="00E179B2">
      <w:pPr>
        <w:pStyle w:val="ListParagraph"/>
        <w:numPr>
          <w:ilvl w:val="0"/>
          <w:numId w:val="30"/>
        </w:numPr>
        <w:spacing w:line="480" w:lineRule="auto"/>
        <w:rPr>
          <w:rFonts w:ascii="Arial Narrow" w:hAnsi="Arial Narrow"/>
          <w:sz w:val="24"/>
          <w:szCs w:val="24"/>
        </w:rPr>
      </w:pPr>
      <w:r w:rsidRPr="001A1CE7">
        <w:rPr>
          <w:rFonts w:ascii="Arial Narrow" w:hAnsi="Arial Narrow"/>
          <w:sz w:val="24"/>
          <w:szCs w:val="24"/>
        </w:rPr>
        <w:t xml:space="preserve">If antibiotics have been prescribed </w:t>
      </w:r>
      <w:proofErr w:type="spellStart"/>
      <w:r w:rsidR="00E47BB6" w:rsidRPr="001A1CE7">
        <w:rPr>
          <w:rFonts w:ascii="Arial Narrow" w:hAnsi="Arial Narrow"/>
          <w:sz w:val="24"/>
          <w:szCs w:val="24"/>
        </w:rPr>
        <w:t>outwith</w:t>
      </w:r>
      <w:proofErr w:type="spellEnd"/>
      <w:r w:rsidR="00E47BB6" w:rsidRPr="001A1CE7">
        <w:rPr>
          <w:rFonts w:ascii="Arial Narrow" w:hAnsi="Arial Narrow"/>
          <w:sz w:val="24"/>
          <w:szCs w:val="24"/>
        </w:rPr>
        <w:t xml:space="preserve"> the algorithm then continued</w:t>
      </w:r>
      <w:r w:rsidRPr="001A1CE7">
        <w:rPr>
          <w:rFonts w:ascii="Arial Narrow" w:hAnsi="Arial Narrow"/>
          <w:sz w:val="24"/>
          <w:szCs w:val="24"/>
        </w:rPr>
        <w:t xml:space="preserve"> use will be discussed with the consultant HPB surgeon under whose care the patient is being treated or with the Chief Investigator.  </w:t>
      </w:r>
      <w:r w:rsidRPr="007741AC">
        <w:rPr>
          <w:rFonts w:ascii="Arial Narrow" w:hAnsi="Arial Narrow"/>
          <w:sz w:val="24"/>
          <w:szCs w:val="24"/>
        </w:rPr>
        <w:t>After this discussion, antibiotic therapy may be stopped.</w:t>
      </w:r>
    </w:p>
    <w:p w14:paraId="667EB11B" w14:textId="496E485F" w:rsidR="00E179B2" w:rsidRPr="007741AC" w:rsidRDefault="00E179B2" w:rsidP="00E179B2">
      <w:pPr>
        <w:pStyle w:val="ListParagraph"/>
        <w:numPr>
          <w:ilvl w:val="0"/>
          <w:numId w:val="30"/>
        </w:numPr>
        <w:spacing w:line="480" w:lineRule="auto"/>
        <w:rPr>
          <w:rFonts w:ascii="Arial Narrow" w:hAnsi="Arial Narrow"/>
          <w:sz w:val="24"/>
          <w:szCs w:val="24"/>
        </w:rPr>
      </w:pPr>
      <w:r w:rsidRPr="001A1CE7">
        <w:rPr>
          <w:rFonts w:ascii="Arial Narrow" w:hAnsi="Arial Narrow"/>
          <w:sz w:val="24"/>
          <w:szCs w:val="24"/>
        </w:rPr>
        <w:t>The Clinician over-ride can be used to either start or stop antibiotics in situations of clinical urgency.  The clinician MUST be either a consultant HPB surgeon or a consultant Intensive Care Physician</w:t>
      </w:r>
      <w:r w:rsidRPr="007741AC">
        <w:rPr>
          <w:rFonts w:ascii="Arial Narrow" w:hAnsi="Arial Narrow"/>
          <w:sz w:val="24"/>
          <w:szCs w:val="24"/>
        </w:rPr>
        <w:t>.</w:t>
      </w:r>
      <w:r w:rsidR="001C0C62">
        <w:rPr>
          <w:rFonts w:ascii="Arial Narrow" w:hAnsi="Arial Narrow"/>
          <w:sz w:val="24"/>
          <w:szCs w:val="24"/>
        </w:rPr>
        <w:t xml:space="preserve"> The reason for over-ride will be documented.</w:t>
      </w:r>
    </w:p>
    <w:p w14:paraId="761DD978" w14:textId="77777777" w:rsidR="00E7018C" w:rsidRPr="001A1CE7" w:rsidRDefault="00E7018C" w:rsidP="00E179B2">
      <w:pPr>
        <w:pStyle w:val="ListParagraph"/>
        <w:numPr>
          <w:ilvl w:val="0"/>
          <w:numId w:val="30"/>
        </w:numPr>
        <w:spacing w:line="480" w:lineRule="auto"/>
        <w:rPr>
          <w:rFonts w:ascii="Arial Narrow" w:hAnsi="Arial Narrow"/>
          <w:sz w:val="24"/>
          <w:szCs w:val="24"/>
        </w:rPr>
      </w:pPr>
      <w:r w:rsidRPr="001A1CE7">
        <w:rPr>
          <w:rFonts w:ascii="Arial Narrow" w:hAnsi="Arial Narrow"/>
          <w:sz w:val="24"/>
          <w:szCs w:val="24"/>
        </w:rPr>
        <w:t>Patients in the intervention arm undergoing procedures requiring antibiotic prophylaxis: If patients undergo endoscopic, radiological or surgical procedures which would normally be undertaken under the cover of antibiotic prophylaxis it is appropriate to do this without PCT measurement.  If prophylaxis is merged with therapy then the PCT measurement for discontinuance is triggered.</w:t>
      </w:r>
    </w:p>
    <w:p w14:paraId="2FF0132F" w14:textId="64574450" w:rsidR="00D82BFC" w:rsidRPr="001A1CE7" w:rsidRDefault="00D82BFC" w:rsidP="005056AB">
      <w:pPr>
        <w:spacing w:line="480" w:lineRule="auto"/>
        <w:rPr>
          <w:rFonts w:ascii="Arial Narrow" w:hAnsi="Arial Narrow"/>
          <w:sz w:val="24"/>
          <w:szCs w:val="24"/>
        </w:rPr>
      </w:pPr>
      <w:r w:rsidRPr="001A1CE7">
        <w:rPr>
          <w:rFonts w:ascii="Arial Narrow" w:hAnsi="Arial Narrow"/>
          <w:sz w:val="24"/>
          <w:szCs w:val="24"/>
        </w:rPr>
        <w:t>.</w:t>
      </w:r>
    </w:p>
    <w:p w14:paraId="56813A7F" w14:textId="41DE7F14" w:rsidR="001258F8" w:rsidRPr="001A1CE7" w:rsidRDefault="00FA6617" w:rsidP="009B54DB">
      <w:pPr>
        <w:spacing w:line="480" w:lineRule="auto"/>
        <w:outlineLvl w:val="0"/>
        <w:rPr>
          <w:rFonts w:ascii="Arial Narrow" w:hAnsi="Arial Narrow"/>
          <w:b/>
          <w:i/>
          <w:sz w:val="24"/>
          <w:szCs w:val="24"/>
        </w:rPr>
      </w:pPr>
      <w:r w:rsidRPr="001A1CE7">
        <w:rPr>
          <w:rFonts w:ascii="Arial Narrow" w:hAnsi="Arial Narrow"/>
          <w:b/>
          <w:i/>
          <w:sz w:val="24"/>
          <w:szCs w:val="24"/>
        </w:rPr>
        <w:t xml:space="preserve">ii) </w:t>
      </w:r>
      <w:r w:rsidR="001258F8" w:rsidRPr="001A1CE7">
        <w:rPr>
          <w:rFonts w:ascii="Arial Narrow" w:hAnsi="Arial Narrow"/>
          <w:b/>
          <w:i/>
          <w:sz w:val="24"/>
          <w:szCs w:val="24"/>
        </w:rPr>
        <w:t>Selection of PCT cut-off threshold</w:t>
      </w:r>
    </w:p>
    <w:p w14:paraId="36ADF5DA" w14:textId="14385DD2" w:rsidR="001258F8" w:rsidRPr="007741AC" w:rsidRDefault="001258F8" w:rsidP="001258F8">
      <w:pPr>
        <w:spacing w:line="480" w:lineRule="auto"/>
        <w:rPr>
          <w:rFonts w:ascii="Arial Narrow" w:hAnsi="Arial Narrow"/>
          <w:sz w:val="24"/>
          <w:szCs w:val="24"/>
        </w:rPr>
      </w:pPr>
      <w:r w:rsidRPr="001A1CE7">
        <w:rPr>
          <w:rFonts w:ascii="Arial Narrow" w:hAnsi="Arial Narrow"/>
          <w:sz w:val="24"/>
          <w:szCs w:val="24"/>
        </w:rPr>
        <w:t>As with other biomarkers of severity, the usefulness of PCT is influenced by the c</w:t>
      </w:r>
      <w:r w:rsidR="00E05DA4" w:rsidRPr="001A1CE7">
        <w:rPr>
          <w:rFonts w:ascii="Arial Narrow" w:hAnsi="Arial Narrow"/>
          <w:sz w:val="24"/>
          <w:szCs w:val="24"/>
        </w:rPr>
        <w:t>ut-off values, the timing and accuracy of the assay</w:t>
      </w:r>
      <w:r w:rsidRPr="001A1CE7">
        <w:rPr>
          <w:rFonts w:ascii="Arial Narrow" w:hAnsi="Arial Narrow"/>
          <w:sz w:val="24"/>
          <w:szCs w:val="24"/>
        </w:rPr>
        <w:t xml:space="preserve">.  Although no absolute consensus exists regarding the most appropriate cut-off value for identification of </w:t>
      </w:r>
      <w:r w:rsidR="00E05DA4" w:rsidRPr="001A1CE7">
        <w:rPr>
          <w:rFonts w:ascii="Arial Narrow" w:hAnsi="Arial Narrow"/>
          <w:sz w:val="24"/>
          <w:szCs w:val="24"/>
        </w:rPr>
        <w:t>sepsis in</w:t>
      </w:r>
      <w:r w:rsidRPr="001A1CE7">
        <w:rPr>
          <w:rFonts w:ascii="Arial Narrow" w:hAnsi="Arial Narrow"/>
          <w:sz w:val="24"/>
          <w:szCs w:val="24"/>
        </w:rPr>
        <w:t xml:space="preserve"> acute pancreatitis, </w:t>
      </w:r>
      <w:proofErr w:type="spellStart"/>
      <w:r w:rsidRPr="001A1CE7">
        <w:rPr>
          <w:rFonts w:ascii="Arial Narrow" w:hAnsi="Arial Narrow"/>
          <w:sz w:val="24"/>
          <w:szCs w:val="24"/>
        </w:rPr>
        <w:t>Mofidi</w:t>
      </w:r>
      <w:proofErr w:type="spellEnd"/>
      <w:r w:rsidRPr="001A1CE7">
        <w:rPr>
          <w:rFonts w:ascii="Arial Narrow" w:hAnsi="Arial Narrow"/>
          <w:sz w:val="24"/>
          <w:szCs w:val="24"/>
        </w:rPr>
        <w:t xml:space="preserve"> reports a </w:t>
      </w:r>
      <w:r w:rsidR="00DF23C2" w:rsidRPr="001A1CE7">
        <w:rPr>
          <w:rFonts w:ascii="Arial Narrow" w:hAnsi="Arial Narrow"/>
          <w:sz w:val="24"/>
          <w:szCs w:val="24"/>
        </w:rPr>
        <w:t>meta-analysis</w:t>
      </w:r>
      <w:r w:rsidRPr="001A1CE7">
        <w:rPr>
          <w:rFonts w:ascii="Arial Narrow" w:hAnsi="Arial Narrow"/>
          <w:sz w:val="24"/>
          <w:szCs w:val="24"/>
        </w:rPr>
        <w:t xml:space="preserve"> of 8 studies usin</w:t>
      </w:r>
      <w:r w:rsidR="002D42F4" w:rsidRPr="001A1CE7">
        <w:rPr>
          <w:rFonts w:ascii="Arial Narrow" w:hAnsi="Arial Narrow"/>
          <w:sz w:val="24"/>
          <w:szCs w:val="24"/>
        </w:rPr>
        <w:t>g PCT cut-off values &gt;0.5ng/mL (25).</w:t>
      </w:r>
      <w:r w:rsidRPr="001A1CE7">
        <w:rPr>
          <w:rFonts w:ascii="Arial Narrow" w:hAnsi="Arial Narrow"/>
          <w:sz w:val="24"/>
          <w:szCs w:val="24"/>
        </w:rPr>
        <w:t xml:space="preserve"> Taken together with the recommendations of Schuetz and colleagues for PCT algorithm</w:t>
      </w:r>
      <w:r w:rsidR="002D42F4" w:rsidRPr="001A1CE7">
        <w:rPr>
          <w:rFonts w:ascii="Arial Narrow" w:hAnsi="Arial Narrow"/>
          <w:sz w:val="24"/>
          <w:szCs w:val="24"/>
        </w:rPr>
        <w:t>s in critical care settings (23)</w:t>
      </w:r>
      <w:r w:rsidRPr="001A1CE7">
        <w:rPr>
          <w:rFonts w:ascii="Arial Narrow" w:hAnsi="Arial Narrow"/>
          <w:sz w:val="24"/>
          <w:szCs w:val="24"/>
        </w:rPr>
        <w:t xml:space="preserve">, the optimum threshold for PCT </w:t>
      </w:r>
      <w:r w:rsidR="005056AB" w:rsidRPr="001A1CE7">
        <w:rPr>
          <w:rFonts w:ascii="Arial Narrow" w:hAnsi="Arial Narrow"/>
          <w:sz w:val="24"/>
          <w:szCs w:val="24"/>
        </w:rPr>
        <w:t xml:space="preserve">for this study </w:t>
      </w:r>
      <w:r w:rsidRPr="001A1CE7">
        <w:rPr>
          <w:rFonts w:ascii="Arial Narrow" w:hAnsi="Arial Narrow"/>
          <w:sz w:val="24"/>
          <w:szCs w:val="24"/>
        </w:rPr>
        <w:t>is 1.0 ng/</w:t>
      </w:r>
      <w:proofErr w:type="spellStart"/>
      <w:r w:rsidRPr="001A1CE7">
        <w:rPr>
          <w:rFonts w:ascii="Arial Narrow" w:hAnsi="Arial Narrow"/>
          <w:sz w:val="24"/>
          <w:szCs w:val="24"/>
        </w:rPr>
        <w:t>mL.</w:t>
      </w:r>
      <w:proofErr w:type="spellEnd"/>
    </w:p>
    <w:p w14:paraId="69174E26" w14:textId="77777777" w:rsidR="005056AB" w:rsidRPr="001A1CE7" w:rsidRDefault="005056AB" w:rsidP="001258F8">
      <w:pPr>
        <w:spacing w:line="480" w:lineRule="auto"/>
        <w:rPr>
          <w:rFonts w:ascii="Arial Narrow" w:hAnsi="Arial Narrow"/>
          <w:sz w:val="24"/>
          <w:szCs w:val="24"/>
        </w:rPr>
      </w:pPr>
    </w:p>
    <w:p w14:paraId="5FEF056E" w14:textId="0FBDF2F7" w:rsidR="001258F8" w:rsidRPr="001A1CE7" w:rsidRDefault="00FA6617" w:rsidP="009B54DB">
      <w:pPr>
        <w:spacing w:line="480" w:lineRule="auto"/>
        <w:outlineLvl w:val="0"/>
        <w:rPr>
          <w:rFonts w:ascii="Arial Narrow" w:hAnsi="Arial Narrow"/>
          <w:b/>
          <w:i/>
          <w:sz w:val="24"/>
          <w:szCs w:val="24"/>
        </w:rPr>
      </w:pPr>
      <w:r w:rsidRPr="001A1CE7">
        <w:rPr>
          <w:rFonts w:ascii="Arial Narrow" w:hAnsi="Arial Narrow"/>
          <w:b/>
          <w:i/>
          <w:sz w:val="24"/>
          <w:szCs w:val="24"/>
        </w:rPr>
        <w:t xml:space="preserve">iii) </w:t>
      </w:r>
      <w:r w:rsidR="001258F8" w:rsidRPr="001A1CE7">
        <w:rPr>
          <w:rFonts w:ascii="Arial Narrow" w:hAnsi="Arial Narrow"/>
          <w:b/>
          <w:i/>
          <w:sz w:val="24"/>
          <w:szCs w:val="24"/>
        </w:rPr>
        <w:t>PCT assay</w:t>
      </w:r>
    </w:p>
    <w:p w14:paraId="6FB0248D" w14:textId="2174377D" w:rsidR="001258F8" w:rsidRPr="001A1CE7" w:rsidRDefault="001258F8" w:rsidP="001258F8">
      <w:pPr>
        <w:spacing w:line="480" w:lineRule="auto"/>
        <w:rPr>
          <w:rFonts w:ascii="Arial Narrow" w:hAnsi="Arial Narrow"/>
          <w:sz w:val="24"/>
          <w:szCs w:val="24"/>
        </w:rPr>
      </w:pPr>
      <w:r w:rsidRPr="001A1CE7">
        <w:rPr>
          <w:rFonts w:ascii="Arial Narrow" w:hAnsi="Arial Narrow"/>
          <w:sz w:val="24"/>
          <w:szCs w:val="24"/>
        </w:rPr>
        <w:t>The Elecys® BRAHMS fully automated PCT assay immunoassay (Roche Diagnostics Ltd, Rotkreutz, Switzerland will be used for the quantitative</w:t>
      </w:r>
      <w:r w:rsidR="00A861DE" w:rsidRPr="001A1CE7">
        <w:rPr>
          <w:rFonts w:ascii="Arial Narrow" w:hAnsi="Arial Narrow"/>
          <w:sz w:val="24"/>
          <w:szCs w:val="24"/>
        </w:rPr>
        <w:t xml:space="preserve"> determination of procalcitonin in serum.</w:t>
      </w:r>
    </w:p>
    <w:p w14:paraId="1F4054ED" w14:textId="77777777" w:rsidR="00AC1D8A" w:rsidRPr="001A1CE7" w:rsidRDefault="00AC1D8A" w:rsidP="005E7AAC">
      <w:pPr>
        <w:spacing w:line="480" w:lineRule="auto"/>
        <w:rPr>
          <w:rFonts w:ascii="Arial Narrow" w:hAnsi="Arial Narrow"/>
          <w:sz w:val="24"/>
          <w:szCs w:val="24"/>
        </w:rPr>
      </w:pPr>
    </w:p>
    <w:p w14:paraId="572D2D7F" w14:textId="051EB943" w:rsidR="00D82BFC" w:rsidRPr="001A1CE7" w:rsidRDefault="00FA6617" w:rsidP="009B54DB">
      <w:pPr>
        <w:spacing w:line="480" w:lineRule="auto"/>
        <w:outlineLvl w:val="0"/>
        <w:rPr>
          <w:rFonts w:ascii="Arial Narrow" w:hAnsi="Arial Narrow"/>
          <w:b/>
          <w:i/>
          <w:sz w:val="24"/>
          <w:szCs w:val="24"/>
        </w:rPr>
      </w:pPr>
      <w:r w:rsidRPr="001A1CE7">
        <w:rPr>
          <w:rFonts w:ascii="Arial Narrow" w:hAnsi="Arial Narrow"/>
          <w:b/>
          <w:i/>
          <w:sz w:val="24"/>
          <w:szCs w:val="24"/>
        </w:rPr>
        <w:t xml:space="preserve">iv) </w:t>
      </w:r>
      <w:r w:rsidR="00591E7F" w:rsidRPr="001A1CE7">
        <w:rPr>
          <w:rFonts w:ascii="Arial Narrow" w:hAnsi="Arial Narrow"/>
          <w:b/>
          <w:i/>
          <w:sz w:val="24"/>
          <w:szCs w:val="24"/>
        </w:rPr>
        <w:t xml:space="preserve">Antibiotic use </w:t>
      </w:r>
      <w:r w:rsidR="003C094E" w:rsidRPr="001A1CE7">
        <w:rPr>
          <w:rFonts w:ascii="Arial Narrow" w:hAnsi="Arial Narrow"/>
          <w:b/>
          <w:i/>
          <w:sz w:val="24"/>
          <w:szCs w:val="24"/>
        </w:rPr>
        <w:t xml:space="preserve">for patients </w:t>
      </w:r>
      <w:r w:rsidR="00591E7F" w:rsidRPr="001A1CE7">
        <w:rPr>
          <w:rFonts w:ascii="Arial Narrow" w:hAnsi="Arial Narrow"/>
          <w:b/>
          <w:i/>
          <w:sz w:val="24"/>
          <w:szCs w:val="24"/>
        </w:rPr>
        <w:t xml:space="preserve">in the control </w:t>
      </w:r>
      <w:r w:rsidR="00D82BFC" w:rsidRPr="001A1CE7">
        <w:rPr>
          <w:rFonts w:ascii="Arial Narrow" w:hAnsi="Arial Narrow"/>
          <w:b/>
          <w:i/>
          <w:sz w:val="24"/>
          <w:szCs w:val="24"/>
        </w:rPr>
        <w:t>arm.</w:t>
      </w:r>
    </w:p>
    <w:p w14:paraId="07A98C70" w14:textId="7FFBDFDE" w:rsidR="00A042E3" w:rsidRPr="001A1CE7" w:rsidRDefault="00D82BFC" w:rsidP="00A042E3">
      <w:pPr>
        <w:spacing w:line="480" w:lineRule="auto"/>
        <w:rPr>
          <w:rFonts w:ascii="Arial Narrow" w:hAnsi="Arial Narrow"/>
          <w:sz w:val="24"/>
          <w:szCs w:val="24"/>
        </w:rPr>
      </w:pPr>
      <w:r w:rsidRPr="001A1CE7">
        <w:rPr>
          <w:rFonts w:ascii="Arial Narrow" w:hAnsi="Arial Narrow"/>
          <w:sz w:val="24"/>
          <w:szCs w:val="24"/>
        </w:rPr>
        <w:t xml:space="preserve">Standard clinical care (defined below) will be applied.  PCT measurement is currently not used </w:t>
      </w:r>
      <w:r w:rsidRPr="007741AC">
        <w:rPr>
          <w:rFonts w:ascii="Arial Narrow" w:hAnsi="Arial Narrow"/>
          <w:sz w:val="24"/>
          <w:szCs w:val="24"/>
        </w:rPr>
        <w:t>regularly in this or other hospitals in the NHS in patients with acute pa</w:t>
      </w:r>
      <w:r w:rsidRPr="001A1CE7">
        <w:rPr>
          <w:rFonts w:ascii="Arial Narrow" w:hAnsi="Arial Narrow"/>
          <w:sz w:val="24"/>
          <w:szCs w:val="24"/>
        </w:rPr>
        <w:t xml:space="preserve">ncreatitis and thus the control arm will represent current standard care.  There will </w:t>
      </w:r>
      <w:r w:rsidRPr="001A1CE7">
        <w:rPr>
          <w:rFonts w:ascii="Arial Narrow" w:hAnsi="Arial Narrow"/>
          <w:sz w:val="24"/>
          <w:szCs w:val="24"/>
          <w:u w:val="single"/>
        </w:rPr>
        <w:t>be</w:t>
      </w:r>
      <w:r w:rsidR="009146E6" w:rsidRPr="001A1CE7">
        <w:rPr>
          <w:rFonts w:ascii="Arial Narrow" w:hAnsi="Arial Narrow"/>
          <w:sz w:val="24"/>
          <w:szCs w:val="24"/>
          <w:u w:val="single"/>
        </w:rPr>
        <w:t xml:space="preserve"> no procalcitonin measurement</w:t>
      </w:r>
      <w:r w:rsidRPr="001A1CE7">
        <w:rPr>
          <w:rFonts w:ascii="Arial Narrow" w:hAnsi="Arial Narrow"/>
          <w:sz w:val="24"/>
          <w:szCs w:val="24"/>
        </w:rPr>
        <w:t xml:space="preserve"> in patients allocated to this arm.  </w:t>
      </w:r>
      <w:r w:rsidR="00A042E3" w:rsidRPr="007741AC">
        <w:rPr>
          <w:rFonts w:ascii="Arial Narrow" w:hAnsi="Arial Narrow"/>
          <w:sz w:val="24"/>
          <w:szCs w:val="24"/>
        </w:rPr>
        <w:t>In current clinical practice, decisions on antibiotic use are made after clinical assessment includin</w:t>
      </w:r>
      <w:r w:rsidR="00A042E3" w:rsidRPr="00F35B7D">
        <w:rPr>
          <w:rFonts w:ascii="Arial Narrow" w:hAnsi="Arial Narrow"/>
          <w:sz w:val="24"/>
          <w:szCs w:val="24"/>
        </w:rPr>
        <w:t xml:space="preserve">g assessments of blood test results and microbiology reports.  </w:t>
      </w:r>
      <w:r w:rsidR="003C094E" w:rsidRPr="001A1CE7">
        <w:rPr>
          <w:rFonts w:ascii="Arial Narrow" w:hAnsi="Arial Narrow"/>
          <w:sz w:val="24"/>
          <w:szCs w:val="24"/>
        </w:rPr>
        <w:t xml:space="preserve">Decision making on antibiotic use </w:t>
      </w:r>
      <w:r w:rsidR="00BD5265" w:rsidRPr="001A1CE7">
        <w:rPr>
          <w:rFonts w:ascii="Arial Narrow" w:hAnsi="Arial Narrow"/>
          <w:sz w:val="24"/>
          <w:szCs w:val="24"/>
        </w:rPr>
        <w:t xml:space="preserve">typically </w:t>
      </w:r>
      <w:r w:rsidR="003C094E" w:rsidRPr="001A1CE7">
        <w:rPr>
          <w:rFonts w:ascii="Arial Narrow" w:hAnsi="Arial Narrow"/>
          <w:sz w:val="24"/>
          <w:szCs w:val="24"/>
        </w:rPr>
        <w:t>involves consultant hepatobiliary surgeons, intensive care physicians and interaction with microbiologists</w:t>
      </w:r>
      <w:r w:rsidR="00EC0F1A" w:rsidRPr="001A1CE7">
        <w:rPr>
          <w:rFonts w:ascii="Arial Narrow" w:hAnsi="Arial Narrow"/>
          <w:sz w:val="24"/>
          <w:szCs w:val="24"/>
        </w:rPr>
        <w:t xml:space="preserve"> and pharmacists</w:t>
      </w:r>
      <w:r w:rsidR="003C094E" w:rsidRPr="001A1CE7">
        <w:rPr>
          <w:rFonts w:ascii="Arial Narrow" w:hAnsi="Arial Narrow"/>
          <w:sz w:val="24"/>
          <w:szCs w:val="24"/>
        </w:rPr>
        <w:t>.  All current standards of care and oversight in antibiotic use decision</w:t>
      </w:r>
      <w:r w:rsidR="008A59A8" w:rsidRPr="001A1CE7">
        <w:rPr>
          <w:rFonts w:ascii="Arial Narrow" w:hAnsi="Arial Narrow"/>
          <w:sz w:val="24"/>
          <w:szCs w:val="24"/>
        </w:rPr>
        <w:t>-making</w:t>
      </w:r>
      <w:r w:rsidR="003C094E" w:rsidRPr="001A1CE7">
        <w:rPr>
          <w:rFonts w:ascii="Arial Narrow" w:hAnsi="Arial Narrow"/>
          <w:sz w:val="24"/>
          <w:szCs w:val="24"/>
        </w:rPr>
        <w:t xml:space="preserve"> </w:t>
      </w:r>
      <w:r w:rsidR="00A042E3" w:rsidRPr="001A1CE7">
        <w:rPr>
          <w:rFonts w:ascii="Arial Narrow" w:hAnsi="Arial Narrow"/>
          <w:sz w:val="24"/>
          <w:szCs w:val="24"/>
        </w:rPr>
        <w:t>will continue to apply to patients in the control arm.</w:t>
      </w:r>
      <w:r w:rsidR="008A59A8" w:rsidRPr="001A1CE7">
        <w:rPr>
          <w:rFonts w:ascii="Arial Narrow" w:hAnsi="Arial Narrow"/>
          <w:sz w:val="24"/>
          <w:szCs w:val="24"/>
        </w:rPr>
        <w:t xml:space="preserve">  The grade and specialty of clinician </w:t>
      </w:r>
      <w:r w:rsidR="00F37671" w:rsidRPr="001A1CE7">
        <w:rPr>
          <w:rFonts w:ascii="Arial Narrow" w:hAnsi="Arial Narrow"/>
          <w:sz w:val="24"/>
          <w:szCs w:val="24"/>
        </w:rPr>
        <w:t xml:space="preserve">will be recorded </w:t>
      </w:r>
      <w:r w:rsidR="006C6BFE" w:rsidRPr="001A1CE7">
        <w:rPr>
          <w:rFonts w:ascii="Arial Narrow" w:hAnsi="Arial Narrow"/>
          <w:sz w:val="24"/>
          <w:szCs w:val="24"/>
        </w:rPr>
        <w:t>for each ins</w:t>
      </w:r>
      <w:r w:rsidR="004C2C73" w:rsidRPr="001A1CE7">
        <w:rPr>
          <w:rFonts w:ascii="Arial Narrow" w:hAnsi="Arial Narrow"/>
          <w:sz w:val="24"/>
          <w:szCs w:val="24"/>
        </w:rPr>
        <w:t>tance of antibiotic prescribing</w:t>
      </w:r>
      <w:r w:rsidR="006C6BFE" w:rsidRPr="001A1CE7">
        <w:rPr>
          <w:rFonts w:ascii="Arial Narrow" w:hAnsi="Arial Narrow"/>
          <w:sz w:val="24"/>
          <w:szCs w:val="24"/>
        </w:rPr>
        <w:t xml:space="preserve"> </w:t>
      </w:r>
      <w:r w:rsidR="00F37671" w:rsidRPr="001A1CE7">
        <w:rPr>
          <w:rFonts w:ascii="Arial Narrow" w:hAnsi="Arial Narrow"/>
          <w:sz w:val="24"/>
          <w:szCs w:val="24"/>
        </w:rPr>
        <w:t>in both arms.</w:t>
      </w:r>
    </w:p>
    <w:p w14:paraId="130EE147" w14:textId="77777777" w:rsidR="00D82BFC" w:rsidRPr="001A1CE7" w:rsidRDefault="00D82BFC" w:rsidP="00D82BFC">
      <w:pPr>
        <w:spacing w:line="480" w:lineRule="auto"/>
        <w:rPr>
          <w:rFonts w:ascii="Arial Narrow" w:hAnsi="Arial Narrow"/>
          <w:sz w:val="24"/>
          <w:szCs w:val="24"/>
        </w:rPr>
      </w:pPr>
    </w:p>
    <w:p w14:paraId="3CE515EB" w14:textId="06B5F66A" w:rsidR="00D82BFC" w:rsidRPr="001A1CE7" w:rsidRDefault="00FA6617" w:rsidP="009B54DB">
      <w:pPr>
        <w:spacing w:line="480" w:lineRule="auto"/>
        <w:outlineLvl w:val="0"/>
        <w:rPr>
          <w:rFonts w:ascii="Arial Narrow" w:hAnsi="Arial Narrow"/>
          <w:b/>
          <w:i/>
          <w:sz w:val="24"/>
          <w:szCs w:val="24"/>
        </w:rPr>
      </w:pPr>
      <w:r w:rsidRPr="001A1CE7">
        <w:rPr>
          <w:rFonts w:ascii="Arial Narrow" w:hAnsi="Arial Narrow"/>
          <w:b/>
          <w:i/>
          <w:sz w:val="24"/>
          <w:szCs w:val="24"/>
        </w:rPr>
        <w:t xml:space="preserve">v) </w:t>
      </w:r>
      <w:r w:rsidR="00D82BFC" w:rsidRPr="001A1CE7">
        <w:rPr>
          <w:rFonts w:ascii="Arial Narrow" w:hAnsi="Arial Narrow"/>
          <w:b/>
          <w:i/>
          <w:sz w:val="24"/>
          <w:szCs w:val="24"/>
        </w:rPr>
        <w:t>Standard</w:t>
      </w:r>
      <w:r w:rsidR="00AC1D8A" w:rsidRPr="001A1CE7">
        <w:rPr>
          <w:rFonts w:ascii="Arial Narrow" w:hAnsi="Arial Narrow"/>
          <w:b/>
          <w:i/>
          <w:sz w:val="24"/>
          <w:szCs w:val="24"/>
        </w:rPr>
        <w:t>s</w:t>
      </w:r>
      <w:r w:rsidR="00D82BFC" w:rsidRPr="001A1CE7">
        <w:rPr>
          <w:rFonts w:ascii="Arial Narrow" w:hAnsi="Arial Narrow"/>
          <w:b/>
          <w:i/>
          <w:sz w:val="24"/>
          <w:szCs w:val="24"/>
        </w:rPr>
        <w:t xml:space="preserve"> </w:t>
      </w:r>
      <w:r w:rsidR="00AC1D8A" w:rsidRPr="001A1CE7">
        <w:rPr>
          <w:rFonts w:ascii="Arial Narrow" w:hAnsi="Arial Narrow"/>
          <w:b/>
          <w:i/>
          <w:sz w:val="24"/>
          <w:szCs w:val="24"/>
        </w:rPr>
        <w:t xml:space="preserve">of </w:t>
      </w:r>
      <w:r w:rsidR="008A59A8" w:rsidRPr="001A1CE7">
        <w:rPr>
          <w:rFonts w:ascii="Arial Narrow" w:hAnsi="Arial Narrow"/>
          <w:b/>
          <w:i/>
          <w:sz w:val="24"/>
          <w:szCs w:val="24"/>
        </w:rPr>
        <w:t xml:space="preserve">general </w:t>
      </w:r>
      <w:r w:rsidR="00D82BFC" w:rsidRPr="001A1CE7">
        <w:rPr>
          <w:rFonts w:ascii="Arial Narrow" w:hAnsi="Arial Narrow"/>
          <w:b/>
          <w:i/>
          <w:sz w:val="24"/>
          <w:szCs w:val="24"/>
        </w:rPr>
        <w:t xml:space="preserve">care for </w:t>
      </w:r>
      <w:r w:rsidR="003C094E" w:rsidRPr="001A1CE7">
        <w:rPr>
          <w:rFonts w:ascii="Arial Narrow" w:hAnsi="Arial Narrow"/>
          <w:b/>
          <w:i/>
          <w:sz w:val="24"/>
          <w:szCs w:val="24"/>
        </w:rPr>
        <w:t xml:space="preserve">all </w:t>
      </w:r>
      <w:r w:rsidR="00D82BFC" w:rsidRPr="001A1CE7">
        <w:rPr>
          <w:rFonts w:ascii="Arial Narrow" w:hAnsi="Arial Narrow"/>
          <w:b/>
          <w:i/>
          <w:sz w:val="24"/>
          <w:szCs w:val="24"/>
        </w:rPr>
        <w:t xml:space="preserve">patients with acute pancreatitis </w:t>
      </w:r>
    </w:p>
    <w:p w14:paraId="7D0224D2" w14:textId="37D1667D" w:rsidR="00D82BFC" w:rsidRPr="001A1CE7" w:rsidRDefault="00D82BFC" w:rsidP="00D82BFC">
      <w:pPr>
        <w:spacing w:line="480" w:lineRule="auto"/>
        <w:rPr>
          <w:rFonts w:ascii="Arial Narrow" w:hAnsi="Arial Narrow"/>
          <w:sz w:val="24"/>
          <w:szCs w:val="24"/>
        </w:rPr>
      </w:pPr>
      <w:r w:rsidRPr="001A1CE7">
        <w:rPr>
          <w:rFonts w:ascii="Arial Narrow" w:hAnsi="Arial Narrow"/>
          <w:sz w:val="24"/>
          <w:szCs w:val="24"/>
        </w:rPr>
        <w:t xml:space="preserve">Standard care will follow the current </w:t>
      </w:r>
      <w:r w:rsidR="00AC1D8A" w:rsidRPr="001A1CE7">
        <w:rPr>
          <w:rFonts w:ascii="Arial Narrow" w:hAnsi="Arial Narrow"/>
          <w:sz w:val="24"/>
          <w:szCs w:val="24"/>
        </w:rPr>
        <w:t>IAP/APA (</w:t>
      </w:r>
      <w:r w:rsidR="005E7AAC" w:rsidRPr="001A1CE7">
        <w:rPr>
          <w:rFonts w:ascii="Arial Narrow" w:hAnsi="Arial Narrow"/>
          <w:sz w:val="24"/>
          <w:szCs w:val="24"/>
        </w:rPr>
        <w:t>International Association of Pancreatology</w:t>
      </w:r>
      <w:r w:rsidR="00AC1D8A" w:rsidRPr="001A1CE7">
        <w:rPr>
          <w:rFonts w:ascii="Arial Narrow" w:hAnsi="Arial Narrow"/>
          <w:sz w:val="24"/>
          <w:szCs w:val="24"/>
        </w:rPr>
        <w:t xml:space="preserve">/American Pancreatic Association) </w:t>
      </w:r>
      <w:r w:rsidRPr="001A1CE7">
        <w:rPr>
          <w:rFonts w:ascii="Arial Narrow" w:hAnsi="Arial Narrow"/>
          <w:sz w:val="24"/>
          <w:szCs w:val="24"/>
        </w:rPr>
        <w:t>guidelines for the care of patients with acute pancreatitis</w:t>
      </w:r>
      <w:r w:rsidR="002D42F4" w:rsidRPr="001A1CE7">
        <w:rPr>
          <w:rFonts w:ascii="Arial Narrow" w:hAnsi="Arial Narrow"/>
          <w:sz w:val="24"/>
          <w:szCs w:val="24"/>
        </w:rPr>
        <w:t xml:space="preserve"> (11)</w:t>
      </w:r>
      <w:r w:rsidRPr="001A1CE7">
        <w:rPr>
          <w:rFonts w:ascii="Arial Narrow" w:hAnsi="Arial Narrow"/>
          <w:sz w:val="24"/>
          <w:szCs w:val="24"/>
        </w:rPr>
        <w:t xml:space="preserve">.  </w:t>
      </w:r>
      <w:r w:rsidR="008A59A8" w:rsidRPr="001A1CE7">
        <w:rPr>
          <w:rFonts w:ascii="Arial Narrow" w:hAnsi="Arial Narrow"/>
          <w:sz w:val="24"/>
          <w:szCs w:val="24"/>
        </w:rPr>
        <w:t xml:space="preserve">All aspects of care with the sole exception of antibiotic use will be the </w:t>
      </w:r>
      <w:r w:rsidR="0051666E" w:rsidRPr="001A1CE7">
        <w:rPr>
          <w:rFonts w:ascii="Arial Narrow" w:hAnsi="Arial Narrow"/>
          <w:sz w:val="24"/>
          <w:szCs w:val="24"/>
        </w:rPr>
        <w:t>same for patients in both arms of the trial.</w:t>
      </w:r>
    </w:p>
    <w:p w14:paraId="564B9662" w14:textId="77777777" w:rsidR="00D82BFC" w:rsidRDefault="00D82BFC" w:rsidP="00D82BFC">
      <w:pPr>
        <w:spacing w:line="480" w:lineRule="auto"/>
        <w:rPr>
          <w:rFonts w:ascii="Arial Narrow" w:hAnsi="Arial Narrow"/>
          <w:sz w:val="24"/>
          <w:szCs w:val="24"/>
        </w:rPr>
      </w:pPr>
    </w:p>
    <w:p w14:paraId="4F795252" w14:textId="77777777" w:rsidR="006B4BE9" w:rsidRDefault="006B4BE9" w:rsidP="00D82BFC">
      <w:pPr>
        <w:spacing w:line="480" w:lineRule="auto"/>
        <w:rPr>
          <w:rFonts w:ascii="Arial Narrow" w:hAnsi="Arial Narrow"/>
          <w:sz w:val="24"/>
          <w:szCs w:val="24"/>
        </w:rPr>
      </w:pPr>
    </w:p>
    <w:p w14:paraId="7C580407" w14:textId="77777777" w:rsidR="006B4BE9" w:rsidRDefault="006B4BE9" w:rsidP="00D82BFC">
      <w:pPr>
        <w:spacing w:line="480" w:lineRule="auto"/>
        <w:rPr>
          <w:rFonts w:ascii="Arial Narrow" w:hAnsi="Arial Narrow"/>
          <w:sz w:val="24"/>
          <w:szCs w:val="24"/>
        </w:rPr>
      </w:pPr>
    </w:p>
    <w:p w14:paraId="579F847E" w14:textId="77777777" w:rsidR="006B4BE9" w:rsidRDefault="006B4BE9" w:rsidP="00D82BFC">
      <w:pPr>
        <w:spacing w:line="480" w:lineRule="auto"/>
        <w:rPr>
          <w:rFonts w:ascii="Arial Narrow" w:hAnsi="Arial Narrow"/>
          <w:sz w:val="24"/>
          <w:szCs w:val="24"/>
        </w:rPr>
      </w:pPr>
    </w:p>
    <w:p w14:paraId="1DAAAAAB" w14:textId="77777777" w:rsidR="006B4BE9" w:rsidRPr="001A1CE7" w:rsidRDefault="006B4BE9" w:rsidP="00D82BFC">
      <w:pPr>
        <w:spacing w:line="480" w:lineRule="auto"/>
        <w:rPr>
          <w:rFonts w:ascii="Arial Narrow" w:hAnsi="Arial Narrow"/>
          <w:sz w:val="24"/>
          <w:szCs w:val="24"/>
        </w:rPr>
      </w:pPr>
    </w:p>
    <w:p w14:paraId="655D6B30" w14:textId="77777777" w:rsidR="001258F8" w:rsidRPr="001A1CE7" w:rsidRDefault="00AC1D8A" w:rsidP="009B54DB">
      <w:pPr>
        <w:spacing w:line="480" w:lineRule="auto"/>
        <w:outlineLvl w:val="0"/>
        <w:rPr>
          <w:rFonts w:ascii="Arial Narrow" w:hAnsi="Arial Narrow"/>
          <w:b/>
          <w:i/>
          <w:sz w:val="24"/>
          <w:szCs w:val="24"/>
        </w:rPr>
      </w:pPr>
      <w:r w:rsidRPr="001A1CE7">
        <w:rPr>
          <w:rFonts w:ascii="Arial Narrow" w:hAnsi="Arial Narrow"/>
          <w:b/>
          <w:i/>
          <w:sz w:val="24"/>
          <w:szCs w:val="24"/>
        </w:rPr>
        <w:lastRenderedPageBreak/>
        <w:t>Outcome</w:t>
      </w:r>
      <w:r w:rsidR="001258F8" w:rsidRPr="001A1CE7">
        <w:rPr>
          <w:rFonts w:ascii="Arial Narrow" w:hAnsi="Arial Narrow"/>
          <w:b/>
          <w:i/>
          <w:sz w:val="24"/>
          <w:szCs w:val="24"/>
        </w:rPr>
        <w:t>s</w:t>
      </w:r>
      <w:r w:rsidRPr="001A1CE7">
        <w:rPr>
          <w:rFonts w:ascii="Arial Narrow" w:hAnsi="Arial Narrow"/>
          <w:b/>
          <w:i/>
          <w:sz w:val="24"/>
          <w:szCs w:val="24"/>
        </w:rPr>
        <w:t xml:space="preserve"> </w:t>
      </w:r>
    </w:p>
    <w:p w14:paraId="02325B3F" w14:textId="6A0DE775" w:rsidR="00D82BFC" w:rsidRPr="001A1CE7" w:rsidRDefault="00F53F65" w:rsidP="009B54DB">
      <w:pPr>
        <w:spacing w:line="480" w:lineRule="auto"/>
        <w:outlineLvl w:val="0"/>
        <w:rPr>
          <w:rFonts w:ascii="Arial Narrow" w:hAnsi="Arial Narrow"/>
          <w:b/>
          <w:i/>
          <w:sz w:val="24"/>
          <w:szCs w:val="24"/>
        </w:rPr>
      </w:pPr>
      <w:proofErr w:type="spellStart"/>
      <w:r w:rsidRPr="001A1CE7">
        <w:rPr>
          <w:rFonts w:ascii="Arial Narrow" w:hAnsi="Arial Narrow"/>
          <w:b/>
          <w:i/>
          <w:sz w:val="24"/>
          <w:szCs w:val="24"/>
        </w:rPr>
        <w:t>i</w:t>
      </w:r>
      <w:proofErr w:type="spellEnd"/>
      <w:r w:rsidRPr="001A1CE7">
        <w:rPr>
          <w:rFonts w:ascii="Arial Narrow" w:hAnsi="Arial Narrow"/>
          <w:b/>
          <w:i/>
          <w:sz w:val="24"/>
          <w:szCs w:val="24"/>
        </w:rPr>
        <w:t xml:space="preserve">) </w:t>
      </w:r>
      <w:r w:rsidR="00D82BFC" w:rsidRPr="001A1CE7">
        <w:rPr>
          <w:rFonts w:ascii="Arial Narrow" w:hAnsi="Arial Narrow"/>
          <w:b/>
          <w:i/>
          <w:sz w:val="24"/>
          <w:szCs w:val="24"/>
        </w:rPr>
        <w:t>Primary outcome measure</w:t>
      </w:r>
    </w:p>
    <w:p w14:paraId="60E32EB7" w14:textId="01712EFF" w:rsidR="00D82BFC" w:rsidRPr="000C5768" w:rsidRDefault="00D82BFC" w:rsidP="00D82BFC">
      <w:pPr>
        <w:spacing w:line="480" w:lineRule="auto"/>
        <w:rPr>
          <w:rFonts w:ascii="Arial Narrow" w:hAnsi="Arial Narrow"/>
          <w:sz w:val="24"/>
          <w:szCs w:val="24"/>
        </w:rPr>
      </w:pPr>
      <w:r w:rsidRPr="000C5768">
        <w:rPr>
          <w:rFonts w:ascii="Arial Narrow" w:hAnsi="Arial Narrow"/>
          <w:sz w:val="24"/>
          <w:szCs w:val="24"/>
        </w:rPr>
        <w:t xml:space="preserve">The primary outcome measure will be </w:t>
      </w:r>
      <w:r w:rsidR="00A856CB" w:rsidRPr="000C5768">
        <w:rPr>
          <w:rFonts w:ascii="Arial Narrow" w:hAnsi="Arial Narrow"/>
          <w:sz w:val="24"/>
          <w:szCs w:val="24"/>
        </w:rPr>
        <w:t xml:space="preserve">the binary outcome: whether </w:t>
      </w:r>
      <w:r w:rsidRPr="000C5768">
        <w:rPr>
          <w:rFonts w:ascii="Arial Narrow" w:hAnsi="Arial Narrow"/>
          <w:sz w:val="24"/>
          <w:szCs w:val="24"/>
        </w:rPr>
        <w:t xml:space="preserve">antibiotic use </w:t>
      </w:r>
      <w:r w:rsidR="00A856CB" w:rsidRPr="000C5768">
        <w:rPr>
          <w:rFonts w:ascii="Arial Narrow" w:hAnsi="Arial Narrow"/>
          <w:sz w:val="24"/>
          <w:szCs w:val="24"/>
        </w:rPr>
        <w:t>is initiated during the index stay</w:t>
      </w:r>
      <w:r w:rsidRPr="000C5768">
        <w:rPr>
          <w:rFonts w:ascii="Arial Narrow" w:hAnsi="Arial Narrow"/>
          <w:sz w:val="24"/>
          <w:szCs w:val="24"/>
        </w:rPr>
        <w:t>.</w:t>
      </w:r>
      <w:r w:rsidR="006B4BE9">
        <w:rPr>
          <w:rFonts w:ascii="Arial Narrow" w:hAnsi="Arial Narrow"/>
          <w:sz w:val="24"/>
          <w:szCs w:val="24"/>
        </w:rPr>
        <w:t xml:space="preserve">  </w:t>
      </w:r>
      <w:r w:rsidR="006B4BE9" w:rsidRPr="006B4BE9">
        <w:rPr>
          <w:rFonts w:ascii="Arial Narrow" w:hAnsi="Arial Narrow"/>
          <w:sz w:val="24"/>
          <w:szCs w:val="24"/>
        </w:rPr>
        <w:t>Trial antibiotic use will exclude mandated routi</w:t>
      </w:r>
      <w:r w:rsidR="006B4BE9">
        <w:rPr>
          <w:rFonts w:ascii="Arial Narrow" w:hAnsi="Arial Narrow"/>
          <w:sz w:val="24"/>
          <w:szCs w:val="24"/>
        </w:rPr>
        <w:t xml:space="preserve">ne antibiotic use, specifically prophylaxis </w:t>
      </w:r>
      <w:r w:rsidR="006B4BE9" w:rsidRPr="006B4BE9">
        <w:rPr>
          <w:rFonts w:ascii="Arial Narrow" w:hAnsi="Arial Narrow"/>
          <w:sz w:val="24"/>
          <w:szCs w:val="24"/>
        </w:rPr>
        <w:t>before procedures such as laparoscopic cholecystectomy or ERCP</w:t>
      </w:r>
      <w:r w:rsidR="006B4BE9">
        <w:rPr>
          <w:rFonts w:ascii="Arial Narrow" w:hAnsi="Arial Narrow"/>
          <w:sz w:val="24"/>
          <w:szCs w:val="24"/>
        </w:rPr>
        <w:t>.</w:t>
      </w:r>
    </w:p>
    <w:p w14:paraId="0684107B" w14:textId="32755EA7" w:rsidR="00D82BFC" w:rsidRPr="007741AC" w:rsidRDefault="00F53F65" w:rsidP="009B54DB">
      <w:pPr>
        <w:spacing w:line="480" w:lineRule="auto"/>
        <w:outlineLvl w:val="0"/>
        <w:rPr>
          <w:rFonts w:ascii="Arial Narrow" w:hAnsi="Arial Narrow"/>
          <w:b/>
          <w:i/>
          <w:sz w:val="24"/>
          <w:szCs w:val="24"/>
        </w:rPr>
      </w:pPr>
      <w:r w:rsidRPr="001A1CE7">
        <w:rPr>
          <w:rFonts w:ascii="Arial Narrow" w:hAnsi="Arial Narrow"/>
          <w:b/>
          <w:i/>
          <w:sz w:val="24"/>
          <w:szCs w:val="24"/>
        </w:rPr>
        <w:t xml:space="preserve">ii) </w:t>
      </w:r>
      <w:r w:rsidR="00D82BFC" w:rsidRPr="001A1CE7">
        <w:rPr>
          <w:rFonts w:ascii="Arial Narrow" w:hAnsi="Arial Narrow"/>
          <w:b/>
          <w:i/>
          <w:sz w:val="24"/>
          <w:szCs w:val="24"/>
        </w:rPr>
        <w:t>Secondary outcome measures</w:t>
      </w:r>
      <w:r w:rsidR="00D82BFC" w:rsidRPr="007741AC">
        <w:rPr>
          <w:rFonts w:ascii="Arial Narrow" w:hAnsi="Arial Narrow"/>
          <w:b/>
          <w:i/>
          <w:sz w:val="24"/>
          <w:szCs w:val="24"/>
        </w:rPr>
        <w:t>:</w:t>
      </w:r>
    </w:p>
    <w:p w14:paraId="1378FBAE" w14:textId="5D96B2CA" w:rsidR="00D82BFC" w:rsidRPr="001A1CE7" w:rsidRDefault="00670B06" w:rsidP="005E7AAC">
      <w:pPr>
        <w:pStyle w:val="ListParagraph"/>
        <w:numPr>
          <w:ilvl w:val="0"/>
          <w:numId w:val="31"/>
        </w:numPr>
        <w:spacing w:line="480" w:lineRule="auto"/>
        <w:rPr>
          <w:rFonts w:ascii="Arial Narrow" w:hAnsi="Arial Narrow"/>
          <w:sz w:val="24"/>
          <w:szCs w:val="24"/>
        </w:rPr>
      </w:pPr>
      <w:r>
        <w:rPr>
          <w:rFonts w:ascii="Arial Narrow" w:hAnsi="Arial Narrow"/>
          <w:sz w:val="24"/>
          <w:szCs w:val="24"/>
        </w:rPr>
        <w:t>Safety non-inferiority endpoint</w:t>
      </w:r>
      <w:r w:rsidR="008B79F1">
        <w:rPr>
          <w:rFonts w:ascii="Arial Narrow" w:hAnsi="Arial Narrow"/>
          <w:sz w:val="24"/>
          <w:szCs w:val="24"/>
        </w:rPr>
        <w:t xml:space="preserve"> all</w:t>
      </w:r>
      <w:r w:rsidR="00D470E4">
        <w:rPr>
          <w:rFonts w:ascii="Arial Narrow" w:hAnsi="Arial Narrow"/>
          <w:sz w:val="24"/>
          <w:szCs w:val="24"/>
        </w:rPr>
        <w:t>-</w:t>
      </w:r>
      <w:r w:rsidR="008B79F1">
        <w:rPr>
          <w:rFonts w:ascii="Arial Narrow" w:hAnsi="Arial Narrow"/>
          <w:sz w:val="24"/>
          <w:szCs w:val="24"/>
        </w:rPr>
        <w:t>cause m</w:t>
      </w:r>
      <w:r w:rsidR="00D470E4">
        <w:rPr>
          <w:rFonts w:ascii="Arial Narrow" w:hAnsi="Arial Narrow"/>
          <w:sz w:val="24"/>
          <w:szCs w:val="24"/>
        </w:rPr>
        <w:t>o</w:t>
      </w:r>
      <w:r w:rsidR="008B79F1">
        <w:rPr>
          <w:rFonts w:ascii="Arial Narrow" w:hAnsi="Arial Narrow"/>
          <w:sz w:val="24"/>
          <w:szCs w:val="24"/>
        </w:rPr>
        <w:t>rtality</w:t>
      </w:r>
      <w:r>
        <w:rPr>
          <w:rFonts w:ascii="Arial Narrow" w:hAnsi="Arial Narrow"/>
          <w:sz w:val="24"/>
          <w:szCs w:val="24"/>
        </w:rPr>
        <w:t xml:space="preserve">.  </w:t>
      </w:r>
    </w:p>
    <w:p w14:paraId="03BD24E9" w14:textId="22B00641" w:rsidR="00A856CB" w:rsidRPr="000C5768" w:rsidRDefault="00A856CB" w:rsidP="005E7AAC">
      <w:pPr>
        <w:pStyle w:val="ListParagraph"/>
        <w:numPr>
          <w:ilvl w:val="0"/>
          <w:numId w:val="31"/>
        </w:numPr>
        <w:spacing w:line="480" w:lineRule="auto"/>
        <w:rPr>
          <w:rFonts w:ascii="Arial Narrow" w:hAnsi="Arial Narrow"/>
          <w:sz w:val="24"/>
          <w:szCs w:val="24"/>
        </w:rPr>
      </w:pPr>
      <w:r w:rsidRPr="000C5768">
        <w:rPr>
          <w:rFonts w:ascii="Arial Narrow" w:hAnsi="Arial Narrow"/>
          <w:sz w:val="24"/>
          <w:szCs w:val="24"/>
        </w:rPr>
        <w:t>Days of antibiotic use (for antibiotics initiated during the index stay) defined as any day (24 hour period) when antibiotics were prescribed on the patient’s drug prescription chart and administered</w:t>
      </w:r>
    </w:p>
    <w:p w14:paraId="225CDF9B" w14:textId="7C282D68" w:rsidR="001957C4" w:rsidRPr="001957C4" w:rsidRDefault="001957C4" w:rsidP="001957C4">
      <w:pPr>
        <w:pStyle w:val="ListParagraph"/>
        <w:numPr>
          <w:ilvl w:val="0"/>
          <w:numId w:val="31"/>
        </w:numPr>
        <w:spacing w:line="480" w:lineRule="auto"/>
        <w:rPr>
          <w:rFonts w:ascii="Arial Narrow" w:hAnsi="Arial Narrow"/>
          <w:color w:val="000000" w:themeColor="text1"/>
          <w:sz w:val="24"/>
          <w:szCs w:val="24"/>
        </w:rPr>
      </w:pPr>
      <w:r w:rsidRPr="001957C4">
        <w:rPr>
          <w:rFonts w:ascii="Arial Narrow" w:hAnsi="Arial Narrow"/>
          <w:color w:val="000000" w:themeColor="text1"/>
          <w:sz w:val="24"/>
          <w:szCs w:val="24"/>
        </w:rPr>
        <w:t>Clinical infections as defined according to the Centers for Disease Control (29).</w:t>
      </w:r>
    </w:p>
    <w:p w14:paraId="235BF025" w14:textId="48601356" w:rsidR="00D82BFC" w:rsidRPr="001A1CE7" w:rsidRDefault="00D82BFC" w:rsidP="005E7AAC">
      <w:pPr>
        <w:pStyle w:val="ListParagraph"/>
        <w:numPr>
          <w:ilvl w:val="0"/>
          <w:numId w:val="31"/>
        </w:numPr>
        <w:spacing w:line="480" w:lineRule="auto"/>
        <w:rPr>
          <w:rFonts w:ascii="Arial Narrow" w:hAnsi="Arial Narrow"/>
          <w:sz w:val="24"/>
          <w:szCs w:val="24"/>
        </w:rPr>
      </w:pPr>
      <w:r w:rsidRPr="001A1CE7">
        <w:rPr>
          <w:rFonts w:ascii="Arial Narrow" w:hAnsi="Arial Narrow"/>
          <w:sz w:val="24"/>
          <w:szCs w:val="24"/>
        </w:rPr>
        <w:t>New isolate</w:t>
      </w:r>
      <w:r w:rsidR="005E7AAC" w:rsidRPr="001A1CE7">
        <w:rPr>
          <w:rFonts w:ascii="Arial Narrow" w:hAnsi="Arial Narrow"/>
          <w:sz w:val="24"/>
          <w:szCs w:val="24"/>
        </w:rPr>
        <w:t>s</w:t>
      </w:r>
      <w:r w:rsidRPr="001A1CE7">
        <w:rPr>
          <w:rFonts w:ascii="Arial Narrow" w:hAnsi="Arial Narrow"/>
          <w:sz w:val="24"/>
          <w:szCs w:val="24"/>
        </w:rPr>
        <w:t xml:space="preserve"> of multi-resistant bacteria (Clostridium diffic</w:t>
      </w:r>
      <w:r w:rsidR="00417E51" w:rsidRPr="001A1CE7">
        <w:rPr>
          <w:rFonts w:ascii="Arial Narrow" w:hAnsi="Arial Narrow"/>
          <w:sz w:val="24"/>
          <w:szCs w:val="24"/>
        </w:rPr>
        <w:t>i</w:t>
      </w:r>
      <w:r w:rsidRPr="001A1CE7">
        <w:rPr>
          <w:rFonts w:ascii="Arial Narrow" w:hAnsi="Arial Narrow"/>
          <w:sz w:val="24"/>
          <w:szCs w:val="24"/>
        </w:rPr>
        <w:t xml:space="preserve">le, vancomycin resistant enterococcus [VRE], methicillin resistant staphylococcus aureus [MRSA], carbapenemase producing enterobacteriaceae [CPE]). </w:t>
      </w:r>
    </w:p>
    <w:p w14:paraId="19187C2F" w14:textId="77777777" w:rsidR="00D82BFC" w:rsidRPr="001A1CE7" w:rsidRDefault="00D82BFC" w:rsidP="005E7AAC">
      <w:pPr>
        <w:pStyle w:val="ListParagraph"/>
        <w:numPr>
          <w:ilvl w:val="0"/>
          <w:numId w:val="31"/>
        </w:numPr>
        <w:spacing w:line="480" w:lineRule="auto"/>
        <w:rPr>
          <w:rFonts w:ascii="Arial Narrow" w:hAnsi="Arial Narrow"/>
          <w:sz w:val="24"/>
          <w:szCs w:val="24"/>
        </w:rPr>
      </w:pPr>
      <w:r w:rsidRPr="001A1CE7">
        <w:rPr>
          <w:rFonts w:ascii="Arial Narrow" w:hAnsi="Arial Narrow"/>
          <w:sz w:val="24"/>
          <w:szCs w:val="24"/>
        </w:rPr>
        <w:t>Incidence of multi-resistant organism bacteraemia.</w:t>
      </w:r>
    </w:p>
    <w:p w14:paraId="5B60C827" w14:textId="48BBDFB2" w:rsidR="00D82BFC" w:rsidRPr="001A1CE7" w:rsidRDefault="00D82BFC" w:rsidP="005E7AAC">
      <w:pPr>
        <w:pStyle w:val="ListParagraph"/>
        <w:numPr>
          <w:ilvl w:val="0"/>
          <w:numId w:val="31"/>
        </w:numPr>
        <w:spacing w:line="480" w:lineRule="auto"/>
        <w:rPr>
          <w:rFonts w:ascii="Arial Narrow" w:hAnsi="Arial Narrow"/>
          <w:sz w:val="24"/>
          <w:szCs w:val="24"/>
        </w:rPr>
      </w:pPr>
      <w:r w:rsidRPr="001A1CE7">
        <w:rPr>
          <w:rFonts w:ascii="Arial Narrow" w:hAnsi="Arial Narrow"/>
          <w:sz w:val="24"/>
          <w:szCs w:val="24"/>
        </w:rPr>
        <w:t>Infection of pancreatic necrosis – defined either as a result of fine needle aspiration (FNA), radiological evidence of gas in a peri-pancreatic collection or positive microbiological cultures from surgical or post-mortem specimens</w:t>
      </w:r>
      <w:r w:rsidR="00F47C60" w:rsidRPr="001A1CE7">
        <w:rPr>
          <w:rFonts w:ascii="Arial Narrow" w:hAnsi="Arial Narrow"/>
          <w:sz w:val="24"/>
          <w:szCs w:val="24"/>
        </w:rPr>
        <w:t>.</w:t>
      </w:r>
    </w:p>
    <w:p w14:paraId="2AEB5909" w14:textId="4477D400" w:rsidR="00D82BFC" w:rsidRPr="001A1CE7" w:rsidRDefault="00D82BFC" w:rsidP="005E7AAC">
      <w:pPr>
        <w:pStyle w:val="ListParagraph"/>
        <w:numPr>
          <w:ilvl w:val="0"/>
          <w:numId w:val="31"/>
        </w:numPr>
        <w:spacing w:line="480" w:lineRule="auto"/>
        <w:rPr>
          <w:rFonts w:ascii="Arial Narrow" w:hAnsi="Arial Narrow"/>
          <w:sz w:val="24"/>
          <w:szCs w:val="24"/>
        </w:rPr>
      </w:pPr>
      <w:r w:rsidRPr="001A1CE7">
        <w:rPr>
          <w:rFonts w:ascii="Arial Narrow" w:hAnsi="Arial Narrow"/>
          <w:sz w:val="24"/>
          <w:szCs w:val="24"/>
        </w:rPr>
        <w:t>Use of radiological, endoscopic or surgical intervention</w:t>
      </w:r>
      <w:r w:rsidR="00882AEB" w:rsidRPr="001A1CE7">
        <w:rPr>
          <w:rFonts w:ascii="Arial Narrow" w:hAnsi="Arial Narrow"/>
          <w:sz w:val="24"/>
          <w:szCs w:val="24"/>
        </w:rPr>
        <w:t xml:space="preserve"> (30).</w:t>
      </w:r>
    </w:p>
    <w:p w14:paraId="7710052F" w14:textId="1F90C65C" w:rsidR="001D1AE0" w:rsidRPr="001A1CE7" w:rsidRDefault="001D1AE0" w:rsidP="005E7AAC">
      <w:pPr>
        <w:pStyle w:val="ListParagraph"/>
        <w:numPr>
          <w:ilvl w:val="0"/>
          <w:numId w:val="31"/>
        </w:numPr>
        <w:spacing w:line="480" w:lineRule="auto"/>
        <w:rPr>
          <w:rFonts w:ascii="Arial Narrow" w:hAnsi="Arial Narrow"/>
          <w:sz w:val="24"/>
          <w:szCs w:val="24"/>
        </w:rPr>
      </w:pPr>
      <w:r w:rsidRPr="001A1CE7">
        <w:rPr>
          <w:rFonts w:ascii="Arial Narrow" w:hAnsi="Arial Narrow"/>
          <w:sz w:val="24"/>
          <w:szCs w:val="24"/>
        </w:rPr>
        <w:t xml:space="preserve">Survival at 90 days; </w:t>
      </w:r>
      <w:r w:rsidR="002230D3" w:rsidRPr="001A1CE7">
        <w:rPr>
          <w:rFonts w:ascii="Arial Narrow" w:hAnsi="Arial Narrow"/>
          <w:sz w:val="24"/>
          <w:szCs w:val="24"/>
        </w:rPr>
        <w:t xml:space="preserve">time-to-event </w:t>
      </w:r>
      <w:r w:rsidR="00016D6A">
        <w:rPr>
          <w:rFonts w:ascii="Arial Narrow" w:hAnsi="Arial Narrow"/>
          <w:sz w:val="24"/>
          <w:szCs w:val="24"/>
        </w:rPr>
        <w:t xml:space="preserve">(mortality) </w:t>
      </w:r>
      <w:r w:rsidR="002230D3" w:rsidRPr="001A1CE7">
        <w:rPr>
          <w:rFonts w:ascii="Arial Narrow" w:hAnsi="Arial Narrow"/>
          <w:sz w:val="24"/>
          <w:szCs w:val="24"/>
        </w:rPr>
        <w:t>survival (Kaplan-Maier)</w:t>
      </w:r>
    </w:p>
    <w:p w14:paraId="21C37215" w14:textId="35C21639" w:rsidR="00D82BFC" w:rsidRPr="001A1CE7" w:rsidRDefault="002230D3" w:rsidP="005E7AAC">
      <w:pPr>
        <w:pStyle w:val="ListParagraph"/>
        <w:numPr>
          <w:ilvl w:val="0"/>
          <w:numId w:val="31"/>
        </w:numPr>
        <w:spacing w:line="480" w:lineRule="auto"/>
        <w:rPr>
          <w:rFonts w:ascii="Arial Narrow" w:hAnsi="Arial Narrow"/>
          <w:sz w:val="24"/>
          <w:szCs w:val="24"/>
        </w:rPr>
      </w:pPr>
      <w:r w:rsidRPr="001A1CE7">
        <w:rPr>
          <w:rFonts w:ascii="Arial Narrow" w:hAnsi="Arial Narrow"/>
          <w:sz w:val="24"/>
          <w:szCs w:val="24"/>
        </w:rPr>
        <w:t xml:space="preserve">Length </w:t>
      </w:r>
      <w:r w:rsidR="00D82BFC" w:rsidRPr="001A1CE7">
        <w:rPr>
          <w:rFonts w:ascii="Arial Narrow" w:hAnsi="Arial Narrow"/>
          <w:sz w:val="24"/>
          <w:szCs w:val="24"/>
        </w:rPr>
        <w:t>of inpatient stay (</w:t>
      </w:r>
      <w:r w:rsidRPr="001A1CE7">
        <w:rPr>
          <w:rFonts w:ascii="Arial Narrow" w:hAnsi="Arial Narrow"/>
          <w:sz w:val="24"/>
          <w:szCs w:val="24"/>
        </w:rPr>
        <w:t xml:space="preserve">in total and </w:t>
      </w:r>
      <w:r w:rsidR="00D82BFC" w:rsidRPr="001A1CE7">
        <w:rPr>
          <w:rFonts w:ascii="Arial Narrow" w:hAnsi="Arial Narrow"/>
          <w:sz w:val="24"/>
          <w:szCs w:val="24"/>
        </w:rPr>
        <w:t>by level of care</w:t>
      </w:r>
      <w:r w:rsidR="00080522" w:rsidRPr="001A1CE7">
        <w:rPr>
          <w:rFonts w:ascii="Arial Narrow" w:hAnsi="Arial Narrow"/>
          <w:sz w:val="24"/>
          <w:szCs w:val="24"/>
        </w:rPr>
        <w:t>: critical care levels II/III, ward-based care</w:t>
      </w:r>
      <w:r w:rsidR="00D82BFC" w:rsidRPr="001A1CE7">
        <w:rPr>
          <w:rFonts w:ascii="Arial Narrow" w:hAnsi="Arial Narrow"/>
          <w:sz w:val="24"/>
          <w:szCs w:val="24"/>
        </w:rPr>
        <w:t>)</w:t>
      </w:r>
    </w:p>
    <w:p w14:paraId="61FC51DD" w14:textId="77777777" w:rsidR="00D82BFC" w:rsidRPr="001A1CE7" w:rsidRDefault="00D82BFC" w:rsidP="005E7AAC">
      <w:pPr>
        <w:pStyle w:val="ListParagraph"/>
        <w:numPr>
          <w:ilvl w:val="0"/>
          <w:numId w:val="31"/>
        </w:numPr>
        <w:spacing w:line="480" w:lineRule="auto"/>
        <w:rPr>
          <w:rFonts w:ascii="Arial Narrow" w:hAnsi="Arial Narrow"/>
          <w:sz w:val="24"/>
          <w:szCs w:val="24"/>
        </w:rPr>
      </w:pPr>
      <w:r w:rsidRPr="001A1CE7">
        <w:rPr>
          <w:rFonts w:ascii="Arial Narrow" w:hAnsi="Arial Narrow"/>
          <w:sz w:val="24"/>
          <w:szCs w:val="24"/>
        </w:rPr>
        <w:t>Re-admission to hospital within 6 weeks of onset of index episode.</w:t>
      </w:r>
    </w:p>
    <w:p w14:paraId="27DD7B01" w14:textId="71B5A187" w:rsidR="00D82BFC" w:rsidRPr="001A1CE7" w:rsidRDefault="00080522" w:rsidP="005E7AAC">
      <w:pPr>
        <w:pStyle w:val="ListParagraph"/>
        <w:numPr>
          <w:ilvl w:val="0"/>
          <w:numId w:val="31"/>
        </w:numPr>
        <w:spacing w:line="480" w:lineRule="auto"/>
        <w:rPr>
          <w:rFonts w:ascii="Arial Narrow" w:hAnsi="Arial Narrow"/>
          <w:sz w:val="24"/>
          <w:szCs w:val="24"/>
        </w:rPr>
      </w:pPr>
      <w:r w:rsidRPr="001A1CE7">
        <w:rPr>
          <w:rFonts w:ascii="Arial Narrow" w:hAnsi="Arial Narrow"/>
          <w:sz w:val="24"/>
          <w:szCs w:val="24"/>
        </w:rPr>
        <w:t>Episode-related mortality and cause</w:t>
      </w:r>
      <w:r w:rsidR="00D82BFC" w:rsidRPr="001A1CE7">
        <w:rPr>
          <w:rFonts w:ascii="Arial Narrow" w:hAnsi="Arial Narrow"/>
          <w:sz w:val="24"/>
          <w:szCs w:val="24"/>
        </w:rPr>
        <w:t>.</w:t>
      </w:r>
    </w:p>
    <w:p w14:paraId="49EB6F02" w14:textId="7CEBEA0F" w:rsidR="002E6266" w:rsidRPr="001A1CE7" w:rsidRDefault="002E6266" w:rsidP="005E7AAC">
      <w:pPr>
        <w:pStyle w:val="ListParagraph"/>
        <w:numPr>
          <w:ilvl w:val="0"/>
          <w:numId w:val="31"/>
        </w:numPr>
        <w:spacing w:line="480" w:lineRule="auto"/>
        <w:rPr>
          <w:rFonts w:ascii="Arial Narrow" w:hAnsi="Arial Narrow"/>
          <w:sz w:val="24"/>
          <w:szCs w:val="24"/>
        </w:rPr>
      </w:pPr>
      <w:r w:rsidRPr="001A1CE7">
        <w:rPr>
          <w:rFonts w:ascii="Arial Narrow" w:hAnsi="Arial Narrow"/>
          <w:sz w:val="24"/>
          <w:szCs w:val="24"/>
        </w:rPr>
        <w:t>Quality of life assesse</w:t>
      </w:r>
      <w:r w:rsidR="00754265" w:rsidRPr="001A1CE7">
        <w:rPr>
          <w:rFonts w:ascii="Arial Narrow" w:hAnsi="Arial Narrow"/>
          <w:sz w:val="24"/>
          <w:szCs w:val="24"/>
        </w:rPr>
        <w:t>d by the EQ</w:t>
      </w:r>
      <w:r w:rsidR="00EF1F46" w:rsidRPr="001A1CE7">
        <w:rPr>
          <w:rFonts w:ascii="Arial Narrow" w:hAnsi="Arial Narrow"/>
          <w:sz w:val="24"/>
          <w:szCs w:val="24"/>
        </w:rPr>
        <w:t>-5D-5L questionnaire</w:t>
      </w:r>
      <w:r w:rsidR="00D72116" w:rsidRPr="001A1CE7">
        <w:rPr>
          <w:rFonts w:ascii="Arial Narrow" w:hAnsi="Arial Narrow"/>
          <w:sz w:val="24"/>
          <w:szCs w:val="24"/>
        </w:rPr>
        <w:t xml:space="preserve">, at </w:t>
      </w:r>
      <w:r w:rsidR="00BF7842">
        <w:rPr>
          <w:rFonts w:ascii="Arial Narrow" w:hAnsi="Arial Narrow"/>
          <w:sz w:val="24"/>
          <w:szCs w:val="24"/>
        </w:rPr>
        <w:t>baseline</w:t>
      </w:r>
      <w:r w:rsidR="00D72116" w:rsidRPr="001A1CE7">
        <w:rPr>
          <w:rFonts w:ascii="Arial Narrow" w:hAnsi="Arial Narrow"/>
          <w:sz w:val="24"/>
          <w:szCs w:val="24"/>
        </w:rPr>
        <w:t>, discharge and 90 days</w:t>
      </w:r>
      <w:r w:rsidR="00C42448">
        <w:rPr>
          <w:rFonts w:ascii="Arial Narrow" w:hAnsi="Arial Narrow"/>
          <w:sz w:val="24"/>
          <w:szCs w:val="24"/>
        </w:rPr>
        <w:t xml:space="preserve"> after enrolment</w:t>
      </w:r>
      <w:r w:rsidR="00323897">
        <w:rPr>
          <w:rFonts w:ascii="Arial Narrow" w:hAnsi="Arial Narrow"/>
          <w:sz w:val="24"/>
          <w:szCs w:val="24"/>
        </w:rPr>
        <w:t>, completed by the patient or by telephone if discharged</w:t>
      </w:r>
      <w:r w:rsidR="00EF1F46" w:rsidRPr="001A1CE7">
        <w:rPr>
          <w:rFonts w:ascii="Arial Narrow" w:hAnsi="Arial Narrow"/>
          <w:sz w:val="24"/>
          <w:szCs w:val="24"/>
        </w:rPr>
        <w:t xml:space="preserve"> (31).</w:t>
      </w:r>
      <w:r w:rsidR="001D04D0">
        <w:rPr>
          <w:rFonts w:ascii="Arial Narrow" w:hAnsi="Arial Narrow"/>
          <w:sz w:val="24"/>
          <w:szCs w:val="24"/>
        </w:rPr>
        <w:t xml:space="preserve"> </w:t>
      </w:r>
    </w:p>
    <w:p w14:paraId="4D068BBF" w14:textId="71C1DE62" w:rsidR="00A879F4" w:rsidRPr="00A856CB" w:rsidRDefault="00D82BFC" w:rsidP="00030D47">
      <w:pPr>
        <w:pStyle w:val="ListParagraph"/>
        <w:numPr>
          <w:ilvl w:val="0"/>
          <w:numId w:val="31"/>
        </w:numPr>
        <w:spacing w:line="480" w:lineRule="auto"/>
        <w:rPr>
          <w:rFonts w:ascii="Arial Narrow" w:hAnsi="Arial Narrow"/>
          <w:sz w:val="24"/>
          <w:szCs w:val="24"/>
        </w:rPr>
      </w:pPr>
      <w:r w:rsidRPr="001A1CE7">
        <w:rPr>
          <w:rFonts w:ascii="Arial Narrow" w:hAnsi="Arial Narrow"/>
          <w:sz w:val="24"/>
          <w:szCs w:val="24"/>
        </w:rPr>
        <w:lastRenderedPageBreak/>
        <w:t>Cost analysis (from an NHS perspective, including inpatient resource use).</w:t>
      </w:r>
    </w:p>
    <w:p w14:paraId="0F2BEE1D" w14:textId="77777777" w:rsidR="00A879F4" w:rsidRPr="001A1CE7" w:rsidRDefault="00A879F4" w:rsidP="00030D47">
      <w:pPr>
        <w:spacing w:line="480" w:lineRule="auto"/>
        <w:rPr>
          <w:rFonts w:ascii="Arial Narrow" w:hAnsi="Arial Narrow"/>
          <w:sz w:val="24"/>
          <w:szCs w:val="24"/>
        </w:rPr>
      </w:pPr>
    </w:p>
    <w:p w14:paraId="0C6D9FFC" w14:textId="5BBCFCC4" w:rsidR="00030D47" w:rsidRPr="001A1CE7" w:rsidRDefault="00F53F65" w:rsidP="009B54DB">
      <w:pPr>
        <w:spacing w:line="480" w:lineRule="auto"/>
        <w:outlineLvl w:val="0"/>
        <w:rPr>
          <w:rFonts w:ascii="Arial Narrow" w:hAnsi="Arial Narrow"/>
          <w:b/>
          <w:i/>
          <w:sz w:val="24"/>
          <w:szCs w:val="24"/>
        </w:rPr>
      </w:pPr>
      <w:r w:rsidRPr="001A1CE7">
        <w:rPr>
          <w:rFonts w:ascii="Arial Narrow" w:hAnsi="Arial Narrow"/>
          <w:b/>
          <w:i/>
          <w:sz w:val="24"/>
          <w:szCs w:val="24"/>
        </w:rPr>
        <w:t xml:space="preserve">iii) </w:t>
      </w:r>
      <w:r w:rsidR="00D56446" w:rsidRPr="001A1CE7">
        <w:rPr>
          <w:rFonts w:ascii="Arial Narrow" w:hAnsi="Arial Narrow"/>
          <w:b/>
          <w:i/>
          <w:sz w:val="24"/>
          <w:szCs w:val="24"/>
        </w:rPr>
        <w:t>Measurement of outcomes</w:t>
      </w:r>
    </w:p>
    <w:p w14:paraId="046FA44A" w14:textId="77777777" w:rsidR="006B4BE9" w:rsidRPr="006B4BE9" w:rsidRDefault="00030D47" w:rsidP="006B4BE9">
      <w:pPr>
        <w:spacing w:line="480" w:lineRule="auto"/>
        <w:rPr>
          <w:rFonts w:ascii="Arial Narrow" w:hAnsi="Arial Narrow"/>
          <w:sz w:val="24"/>
          <w:szCs w:val="24"/>
        </w:rPr>
      </w:pPr>
      <w:r w:rsidRPr="000C5768">
        <w:rPr>
          <w:rFonts w:ascii="Arial Narrow" w:hAnsi="Arial Narrow"/>
          <w:sz w:val="24"/>
          <w:szCs w:val="24"/>
        </w:rPr>
        <w:t xml:space="preserve">The primary (superiority) outcome measure will be </w:t>
      </w:r>
      <w:r w:rsidR="002E6266" w:rsidRPr="000C5768">
        <w:rPr>
          <w:rFonts w:ascii="Arial Narrow" w:hAnsi="Arial Narrow"/>
          <w:sz w:val="24"/>
          <w:szCs w:val="24"/>
        </w:rPr>
        <w:t>antibiotic use</w:t>
      </w:r>
      <w:r w:rsidRPr="000C5768">
        <w:rPr>
          <w:rFonts w:ascii="Arial Narrow" w:hAnsi="Arial Narrow"/>
          <w:sz w:val="24"/>
          <w:szCs w:val="24"/>
        </w:rPr>
        <w:t xml:space="preserve"> (binary endpoint</w:t>
      </w:r>
      <w:r w:rsidR="00A856CB" w:rsidRPr="000C5768">
        <w:rPr>
          <w:rFonts w:ascii="Arial Narrow" w:hAnsi="Arial Narrow"/>
          <w:sz w:val="24"/>
          <w:szCs w:val="24"/>
        </w:rPr>
        <w:t>: yes or no</w:t>
      </w:r>
      <w:r w:rsidRPr="000C5768">
        <w:rPr>
          <w:rFonts w:ascii="Arial Narrow" w:hAnsi="Arial Narrow"/>
          <w:sz w:val="24"/>
          <w:szCs w:val="24"/>
        </w:rPr>
        <w:t>)</w:t>
      </w:r>
      <w:r w:rsidR="00A856CB" w:rsidRPr="000C5768">
        <w:rPr>
          <w:rFonts w:ascii="Arial Narrow" w:hAnsi="Arial Narrow"/>
          <w:sz w:val="24"/>
          <w:szCs w:val="24"/>
        </w:rPr>
        <w:t>, initiated during the index stay</w:t>
      </w:r>
      <w:r w:rsidR="00D470E4" w:rsidRPr="000C5768">
        <w:rPr>
          <w:rFonts w:ascii="Arial Narrow" w:hAnsi="Arial Narrow"/>
          <w:sz w:val="24"/>
          <w:szCs w:val="24"/>
        </w:rPr>
        <w:t>.</w:t>
      </w:r>
      <w:r w:rsidRPr="000C5768">
        <w:rPr>
          <w:rFonts w:ascii="Arial Narrow" w:hAnsi="Arial Narrow"/>
          <w:sz w:val="24"/>
          <w:szCs w:val="24"/>
        </w:rPr>
        <w:t xml:space="preserve"> </w:t>
      </w:r>
      <w:r w:rsidR="006B4BE9" w:rsidRPr="006B4BE9">
        <w:rPr>
          <w:rFonts w:ascii="Arial Narrow" w:hAnsi="Arial Narrow"/>
          <w:sz w:val="24"/>
          <w:szCs w:val="24"/>
        </w:rPr>
        <w:t>Trial antibiotic use will exclude mandated routine antibiotic use, specifically prophylaxis before procedures such as laparoscopic cholecystectomy or ERCP.</w:t>
      </w:r>
    </w:p>
    <w:p w14:paraId="25797437" w14:textId="1FC47997" w:rsidR="00D82BFC" w:rsidRDefault="00A856CB" w:rsidP="00030D47">
      <w:pPr>
        <w:spacing w:line="480" w:lineRule="auto"/>
        <w:rPr>
          <w:rFonts w:ascii="Arial Narrow" w:hAnsi="Arial Narrow"/>
          <w:sz w:val="24"/>
          <w:szCs w:val="24"/>
        </w:rPr>
      </w:pPr>
      <w:r w:rsidRPr="000C5768">
        <w:rPr>
          <w:rFonts w:ascii="Arial Narrow" w:hAnsi="Arial Narrow"/>
          <w:sz w:val="24"/>
          <w:szCs w:val="24"/>
        </w:rPr>
        <w:t>Antibiotics prescribed before the index admission (from the referring hospital or community)</w:t>
      </w:r>
      <w:r w:rsidR="00BF2C33" w:rsidRPr="000C5768">
        <w:rPr>
          <w:rFonts w:ascii="Arial Narrow" w:hAnsi="Arial Narrow"/>
          <w:sz w:val="24"/>
          <w:szCs w:val="24"/>
        </w:rPr>
        <w:t xml:space="preserve"> will be recorded at admission but not included in the primary endpoint</w:t>
      </w:r>
      <w:r w:rsidR="006B4BE9">
        <w:rPr>
          <w:rFonts w:ascii="Arial Narrow" w:hAnsi="Arial Narrow"/>
          <w:sz w:val="24"/>
          <w:szCs w:val="24"/>
        </w:rPr>
        <w:t>.</w:t>
      </w:r>
    </w:p>
    <w:p w14:paraId="5D653462" w14:textId="77777777" w:rsidR="006B4BE9" w:rsidRDefault="006B4BE9" w:rsidP="00030D47">
      <w:pPr>
        <w:spacing w:line="480" w:lineRule="auto"/>
        <w:rPr>
          <w:rFonts w:ascii="Arial Narrow" w:hAnsi="Arial Narrow"/>
          <w:sz w:val="24"/>
          <w:szCs w:val="24"/>
        </w:rPr>
      </w:pPr>
      <w:bookmarkStart w:id="0" w:name="_GoBack"/>
      <w:bookmarkEnd w:id="0"/>
    </w:p>
    <w:p w14:paraId="0E128A30" w14:textId="79AAA046" w:rsidR="001D04D0" w:rsidRDefault="001D04D0" w:rsidP="00030D47">
      <w:pPr>
        <w:spacing w:line="480" w:lineRule="auto"/>
        <w:rPr>
          <w:rFonts w:ascii="Arial Narrow" w:hAnsi="Arial Narrow"/>
          <w:b/>
          <w:i/>
          <w:sz w:val="24"/>
          <w:szCs w:val="24"/>
        </w:rPr>
      </w:pPr>
      <w:proofErr w:type="gramStart"/>
      <w:r>
        <w:rPr>
          <w:rFonts w:ascii="Arial Narrow" w:hAnsi="Arial Narrow"/>
          <w:b/>
          <w:i/>
          <w:sz w:val="24"/>
          <w:szCs w:val="24"/>
        </w:rPr>
        <w:t>iv) Amendment</w:t>
      </w:r>
      <w:proofErr w:type="gramEnd"/>
      <w:r>
        <w:rPr>
          <w:rFonts w:ascii="Arial Narrow" w:hAnsi="Arial Narrow"/>
          <w:b/>
          <w:i/>
          <w:sz w:val="24"/>
          <w:szCs w:val="24"/>
        </w:rPr>
        <w:t xml:space="preserve"> to </w:t>
      </w:r>
      <w:r w:rsidR="00244F69">
        <w:rPr>
          <w:rFonts w:ascii="Arial Narrow" w:hAnsi="Arial Narrow"/>
          <w:b/>
          <w:i/>
          <w:sz w:val="24"/>
          <w:szCs w:val="24"/>
        </w:rPr>
        <w:t xml:space="preserve">method of </w:t>
      </w:r>
      <w:r>
        <w:rPr>
          <w:rFonts w:ascii="Arial Narrow" w:hAnsi="Arial Narrow"/>
          <w:b/>
          <w:i/>
          <w:sz w:val="24"/>
          <w:szCs w:val="24"/>
        </w:rPr>
        <w:t>measurement of outcomes</w:t>
      </w:r>
    </w:p>
    <w:p w14:paraId="784C0184" w14:textId="5DEC1328" w:rsidR="001D04D0" w:rsidRPr="001D04D0" w:rsidRDefault="00287FBA" w:rsidP="00287FBA">
      <w:pPr>
        <w:spacing w:line="480" w:lineRule="auto"/>
        <w:rPr>
          <w:rFonts w:ascii="Arial Narrow" w:hAnsi="Arial Narrow"/>
          <w:sz w:val="24"/>
          <w:szCs w:val="24"/>
        </w:rPr>
      </w:pPr>
      <w:r>
        <w:rPr>
          <w:rFonts w:ascii="Arial Narrow" w:hAnsi="Arial Narrow"/>
          <w:sz w:val="24"/>
          <w:szCs w:val="24"/>
        </w:rPr>
        <w:t>The Data Monitoring Committee meeting on the 26</w:t>
      </w:r>
      <w:r w:rsidRPr="008F04D1">
        <w:rPr>
          <w:rFonts w:ascii="Arial Narrow" w:hAnsi="Arial Narrow"/>
          <w:sz w:val="24"/>
          <w:szCs w:val="24"/>
          <w:vertAlign w:val="superscript"/>
        </w:rPr>
        <w:t>th</w:t>
      </w:r>
      <w:r>
        <w:rPr>
          <w:rFonts w:ascii="Arial Narrow" w:hAnsi="Arial Narrow"/>
          <w:sz w:val="24"/>
          <w:szCs w:val="24"/>
        </w:rPr>
        <w:t xml:space="preserve"> November 2019 reported that completion of EQ-5D-5L </w:t>
      </w:r>
      <w:r w:rsidR="007C4DCC">
        <w:rPr>
          <w:rFonts w:ascii="Arial Narrow" w:hAnsi="Arial Narrow"/>
          <w:sz w:val="24"/>
          <w:szCs w:val="24"/>
        </w:rPr>
        <w:t xml:space="preserve">quality of life scores </w:t>
      </w:r>
      <w:r>
        <w:rPr>
          <w:rFonts w:ascii="Arial Narrow" w:hAnsi="Arial Narrow"/>
          <w:sz w:val="24"/>
          <w:szCs w:val="24"/>
        </w:rPr>
        <w:t xml:space="preserve">at </w:t>
      </w:r>
      <w:r w:rsidR="007C4DCC">
        <w:rPr>
          <w:rFonts w:ascii="Arial Narrow" w:hAnsi="Arial Narrow"/>
          <w:sz w:val="24"/>
          <w:szCs w:val="24"/>
        </w:rPr>
        <w:t>recruitment  was 93%</w:t>
      </w:r>
      <w:r>
        <w:rPr>
          <w:rFonts w:ascii="Arial Narrow" w:hAnsi="Arial Narrow"/>
          <w:sz w:val="24"/>
          <w:szCs w:val="24"/>
        </w:rPr>
        <w:t>, d</w:t>
      </w:r>
      <w:r w:rsidR="007C4DCC">
        <w:rPr>
          <w:rFonts w:ascii="Arial Narrow" w:hAnsi="Arial Narrow"/>
          <w:sz w:val="24"/>
          <w:szCs w:val="24"/>
        </w:rPr>
        <w:t>ischarge 52% and 3% at 90-days</w:t>
      </w:r>
      <w:r>
        <w:rPr>
          <w:rFonts w:ascii="Arial Narrow" w:hAnsi="Arial Narrow"/>
          <w:sz w:val="24"/>
          <w:szCs w:val="24"/>
        </w:rPr>
        <w:t>.  In order to improve</w:t>
      </w:r>
      <w:r w:rsidR="007D3298">
        <w:rPr>
          <w:rFonts w:ascii="Arial Narrow" w:hAnsi="Arial Narrow"/>
          <w:sz w:val="24"/>
          <w:szCs w:val="24"/>
        </w:rPr>
        <w:t xml:space="preserve"> data collection the protocol was amended to permit a trial investigator to contact a trial patient within 5 days of discharge in order to conduct a telephone conversation for completion of the dis</w:t>
      </w:r>
      <w:r w:rsidR="007C4DCC">
        <w:rPr>
          <w:rFonts w:ascii="Arial Narrow" w:hAnsi="Arial Narrow"/>
          <w:sz w:val="24"/>
          <w:szCs w:val="24"/>
        </w:rPr>
        <w:t>charge time point form and to contact the patient at 90 days (or within 5 days of this time point) to complete the final questionnaire.  The patient information sheet</w:t>
      </w:r>
      <w:r w:rsidR="00244F69">
        <w:rPr>
          <w:rFonts w:ascii="Arial Narrow" w:hAnsi="Arial Narrow"/>
          <w:sz w:val="24"/>
          <w:szCs w:val="24"/>
        </w:rPr>
        <w:t>, GP letter and trial consent form were</w:t>
      </w:r>
      <w:r w:rsidR="007C4DCC">
        <w:rPr>
          <w:rFonts w:ascii="Arial Narrow" w:hAnsi="Arial Narrow"/>
          <w:sz w:val="24"/>
          <w:szCs w:val="24"/>
        </w:rPr>
        <w:t xml:space="preserve"> modified to reflect this additional contact.  If clinical concerns or issues were brought to the investigator’s attention during either of these conversations, the patient will be referred to the next available out-patient appointment of their consultant.</w:t>
      </w:r>
    </w:p>
    <w:p w14:paraId="3F6C3467" w14:textId="77777777" w:rsidR="00D82BFC" w:rsidRPr="001A1CE7" w:rsidRDefault="00D82BFC" w:rsidP="00030D47">
      <w:pPr>
        <w:spacing w:line="480" w:lineRule="auto"/>
        <w:rPr>
          <w:rFonts w:ascii="Arial Narrow" w:hAnsi="Arial Narrow"/>
          <w:sz w:val="24"/>
          <w:szCs w:val="24"/>
        </w:rPr>
      </w:pPr>
    </w:p>
    <w:p w14:paraId="51973406" w14:textId="77777777" w:rsidR="00F53F65" w:rsidRPr="001A1CE7" w:rsidRDefault="00F53F65" w:rsidP="009B54DB">
      <w:pPr>
        <w:spacing w:line="480" w:lineRule="auto"/>
        <w:outlineLvl w:val="0"/>
        <w:rPr>
          <w:rFonts w:ascii="Arial Narrow" w:hAnsi="Arial Narrow"/>
          <w:b/>
          <w:i/>
          <w:sz w:val="24"/>
          <w:szCs w:val="24"/>
        </w:rPr>
      </w:pPr>
      <w:r w:rsidRPr="001A1CE7">
        <w:rPr>
          <w:rFonts w:ascii="Arial Narrow" w:hAnsi="Arial Narrow"/>
          <w:b/>
          <w:i/>
          <w:sz w:val="24"/>
          <w:szCs w:val="24"/>
        </w:rPr>
        <w:t xml:space="preserve">Sample size </w:t>
      </w:r>
    </w:p>
    <w:p w14:paraId="359876DF" w14:textId="29BF293E" w:rsidR="001957C4" w:rsidRPr="00C50567" w:rsidRDefault="001957C4" w:rsidP="00F53F65">
      <w:pPr>
        <w:spacing w:line="480" w:lineRule="auto"/>
        <w:rPr>
          <w:rFonts w:ascii="Arial Narrow" w:hAnsi="Arial Narrow"/>
          <w:sz w:val="24"/>
          <w:szCs w:val="24"/>
        </w:rPr>
      </w:pPr>
      <w:r w:rsidRPr="00C50567">
        <w:rPr>
          <w:rFonts w:ascii="Arial Narrow" w:hAnsi="Arial Narrow"/>
          <w:sz w:val="24"/>
          <w:szCs w:val="24"/>
        </w:rPr>
        <w:t xml:space="preserve">On </w:t>
      </w:r>
      <w:r w:rsidR="008077AC" w:rsidRPr="00C50567">
        <w:rPr>
          <w:rFonts w:ascii="Arial Narrow" w:hAnsi="Arial Narrow"/>
          <w:sz w:val="24"/>
          <w:szCs w:val="24"/>
        </w:rPr>
        <w:t xml:space="preserve">retrospective </w:t>
      </w:r>
      <w:r w:rsidRPr="00C50567">
        <w:rPr>
          <w:rFonts w:ascii="Arial Narrow" w:hAnsi="Arial Narrow"/>
          <w:sz w:val="24"/>
          <w:szCs w:val="24"/>
        </w:rPr>
        <w:t>audit data, 60% of patients admitted with acute pancreatitis receive antibiotics</w:t>
      </w:r>
      <w:r w:rsidR="000C5768" w:rsidRPr="00C50567">
        <w:rPr>
          <w:rFonts w:ascii="Arial Narrow" w:hAnsi="Arial Narrow"/>
          <w:sz w:val="24"/>
          <w:szCs w:val="24"/>
        </w:rPr>
        <w:t xml:space="preserve"> (13</w:t>
      </w:r>
      <w:r w:rsidRPr="00C50567">
        <w:rPr>
          <w:rFonts w:ascii="Arial Narrow" w:hAnsi="Arial Narrow"/>
          <w:sz w:val="24"/>
          <w:szCs w:val="24"/>
        </w:rPr>
        <w:t>).  A 20% absolute change in antibiotic use would be a clinically important difference. This effect of intervention has been observed in other studies evaluating a procalcitonin algor</w:t>
      </w:r>
      <w:r w:rsidR="000C5768" w:rsidRPr="00C50567">
        <w:rPr>
          <w:rFonts w:ascii="Arial Narrow" w:hAnsi="Arial Narrow"/>
          <w:sz w:val="24"/>
          <w:szCs w:val="24"/>
        </w:rPr>
        <w:t>ithm to guide antibiotic use (23</w:t>
      </w:r>
      <w:r w:rsidRPr="00C50567">
        <w:rPr>
          <w:rFonts w:ascii="Arial Narrow" w:hAnsi="Arial Narrow"/>
          <w:sz w:val="24"/>
          <w:szCs w:val="24"/>
        </w:rPr>
        <w:t>, 32).  A study with 80% power and 5% significance (2-sided) require</w:t>
      </w:r>
      <w:r w:rsidR="00C835A8" w:rsidRPr="00C50567">
        <w:rPr>
          <w:rFonts w:ascii="Arial Narrow" w:hAnsi="Arial Narrow"/>
          <w:sz w:val="24"/>
          <w:szCs w:val="24"/>
        </w:rPr>
        <w:t>s</w:t>
      </w:r>
      <w:r w:rsidRPr="00C50567">
        <w:rPr>
          <w:rFonts w:ascii="Arial Narrow" w:hAnsi="Arial Narrow"/>
          <w:sz w:val="24"/>
          <w:szCs w:val="24"/>
        </w:rPr>
        <w:t xml:space="preserve"> 97 patients in each arm </w:t>
      </w:r>
      <w:r w:rsidRPr="00C50567">
        <w:rPr>
          <w:rFonts w:ascii="Arial Narrow" w:hAnsi="Arial Narrow"/>
          <w:sz w:val="24"/>
          <w:szCs w:val="24"/>
        </w:rPr>
        <w:lastRenderedPageBreak/>
        <w:t>(194 patients in total)</w:t>
      </w:r>
      <w:r w:rsidR="0079444E" w:rsidRPr="00C50567">
        <w:rPr>
          <w:rFonts w:ascii="Arial Narrow" w:hAnsi="Arial Narrow"/>
          <w:sz w:val="24"/>
          <w:szCs w:val="24"/>
        </w:rPr>
        <w:t>, leading to a target</w:t>
      </w:r>
      <w:r w:rsidRPr="00C50567">
        <w:rPr>
          <w:rFonts w:ascii="Arial Narrow" w:hAnsi="Arial Narrow"/>
          <w:sz w:val="24"/>
          <w:szCs w:val="24"/>
        </w:rPr>
        <w:t xml:space="preserve"> recruit</w:t>
      </w:r>
      <w:r w:rsidR="0079444E" w:rsidRPr="00C50567">
        <w:rPr>
          <w:rFonts w:ascii="Arial Narrow" w:hAnsi="Arial Narrow"/>
          <w:sz w:val="24"/>
          <w:szCs w:val="24"/>
        </w:rPr>
        <w:t>ment of</w:t>
      </w:r>
      <w:r w:rsidRPr="00C50567">
        <w:rPr>
          <w:rFonts w:ascii="Arial Narrow" w:hAnsi="Arial Narrow"/>
          <w:sz w:val="24"/>
          <w:szCs w:val="24"/>
        </w:rPr>
        <w:t xml:space="preserve"> 200 patients.  </w:t>
      </w:r>
      <w:r w:rsidR="00BF2C33" w:rsidRPr="00C50567">
        <w:rPr>
          <w:rFonts w:ascii="Arial Narrow" w:hAnsi="Arial Narrow"/>
          <w:sz w:val="24"/>
          <w:szCs w:val="24"/>
        </w:rPr>
        <w:t xml:space="preserve">Assuming a 3.6% mortality rate </w:t>
      </w:r>
      <w:r w:rsidR="001D47CA" w:rsidRPr="00C50567">
        <w:rPr>
          <w:rFonts w:ascii="Arial Narrow" w:hAnsi="Arial Narrow"/>
          <w:sz w:val="24"/>
          <w:szCs w:val="24"/>
        </w:rPr>
        <w:t>based on unit audit data (13</w:t>
      </w:r>
      <w:r w:rsidR="00BF2C33" w:rsidRPr="00C50567">
        <w:rPr>
          <w:rFonts w:ascii="Arial Narrow" w:hAnsi="Arial Narrow"/>
          <w:sz w:val="24"/>
          <w:szCs w:val="24"/>
        </w:rPr>
        <w:t>), th</w:t>
      </w:r>
      <w:r w:rsidR="0079444E" w:rsidRPr="00C50567">
        <w:rPr>
          <w:rFonts w:ascii="Arial Narrow" w:hAnsi="Arial Narrow"/>
          <w:sz w:val="24"/>
          <w:szCs w:val="24"/>
        </w:rPr>
        <w:t>is</w:t>
      </w:r>
      <w:r w:rsidR="00BF2C33" w:rsidRPr="00C50567">
        <w:rPr>
          <w:rFonts w:ascii="Arial Narrow" w:hAnsi="Arial Narrow"/>
          <w:sz w:val="24"/>
          <w:szCs w:val="24"/>
        </w:rPr>
        <w:t xml:space="preserve"> sample size provides a 6.6% non-inferiority margin for the safety measure of overall mortality, assuming no change in mortality, 80% power and 95%CI (one-sided).</w:t>
      </w:r>
    </w:p>
    <w:p w14:paraId="3470D7A8" w14:textId="77777777" w:rsidR="0079444E" w:rsidRPr="00C50567" w:rsidRDefault="0079444E" w:rsidP="00F53F65">
      <w:pPr>
        <w:spacing w:line="480" w:lineRule="auto"/>
        <w:rPr>
          <w:rFonts w:ascii="Arial Narrow" w:hAnsi="Arial Narrow"/>
          <w:sz w:val="24"/>
          <w:szCs w:val="24"/>
        </w:rPr>
      </w:pPr>
    </w:p>
    <w:p w14:paraId="782492DF" w14:textId="4BFCB37E" w:rsidR="009A4264" w:rsidRPr="00C50567" w:rsidRDefault="009A4264" w:rsidP="009A4264">
      <w:pPr>
        <w:spacing w:line="480" w:lineRule="auto"/>
        <w:rPr>
          <w:rFonts w:ascii="Arial Narrow" w:hAnsi="Arial Narrow"/>
          <w:sz w:val="24"/>
          <w:szCs w:val="24"/>
        </w:rPr>
      </w:pPr>
      <w:r w:rsidRPr="00C50567">
        <w:rPr>
          <w:rFonts w:ascii="Arial Narrow" w:hAnsi="Arial Narrow"/>
          <w:sz w:val="24"/>
          <w:szCs w:val="24"/>
        </w:rPr>
        <w:t xml:space="preserve">The study was designed </w:t>
      </w:r>
      <w:r w:rsidR="0079444E" w:rsidRPr="00C50567">
        <w:rPr>
          <w:rFonts w:ascii="Arial Narrow" w:hAnsi="Arial Narrow"/>
          <w:sz w:val="24"/>
          <w:szCs w:val="24"/>
        </w:rPr>
        <w:t xml:space="preserve">originally </w:t>
      </w:r>
      <w:r w:rsidRPr="00C50567">
        <w:rPr>
          <w:rFonts w:ascii="Arial Narrow" w:hAnsi="Arial Narrow"/>
          <w:sz w:val="24"/>
          <w:szCs w:val="24"/>
        </w:rPr>
        <w:t xml:space="preserve">with 80% power on a pragmatic basis as </w:t>
      </w:r>
      <w:r w:rsidR="00303E75" w:rsidRPr="00C50567">
        <w:rPr>
          <w:rFonts w:ascii="Arial Narrow" w:hAnsi="Arial Narrow"/>
          <w:sz w:val="24"/>
          <w:szCs w:val="24"/>
        </w:rPr>
        <w:t>b</w:t>
      </w:r>
      <w:r w:rsidR="008077AC" w:rsidRPr="00C50567">
        <w:rPr>
          <w:rFonts w:ascii="Arial Narrow" w:hAnsi="Arial Narrow"/>
          <w:sz w:val="24"/>
          <w:szCs w:val="24"/>
        </w:rPr>
        <w:t>oth</w:t>
      </w:r>
      <w:r w:rsidRPr="00C50567">
        <w:rPr>
          <w:rFonts w:ascii="Arial Narrow" w:hAnsi="Arial Narrow"/>
          <w:sz w:val="24"/>
          <w:szCs w:val="24"/>
        </w:rPr>
        <w:t xml:space="preserve"> methodologically acceptable and achievable with the available time and resources.  However 90% power is desirable (when achievable) to further reduce the risk of a type II error (missing a real treatment effect).  </w:t>
      </w:r>
      <w:r w:rsidR="008077AC" w:rsidRPr="00C50567">
        <w:rPr>
          <w:rFonts w:ascii="Arial Narrow" w:hAnsi="Arial Narrow"/>
          <w:sz w:val="24"/>
          <w:szCs w:val="24"/>
        </w:rPr>
        <w:t>An increased study size would also reduce the non-inferiority safety margin.  Since r</w:t>
      </w:r>
      <w:r w:rsidRPr="00C50567">
        <w:rPr>
          <w:rFonts w:ascii="Arial Narrow" w:hAnsi="Arial Narrow"/>
          <w:sz w:val="24"/>
          <w:szCs w:val="24"/>
        </w:rPr>
        <w:t xml:space="preserve">ecruitment to PROCAP </w:t>
      </w:r>
      <w:r w:rsidR="008077AC" w:rsidRPr="00C50567">
        <w:rPr>
          <w:rFonts w:ascii="Arial Narrow" w:hAnsi="Arial Narrow"/>
          <w:sz w:val="24"/>
          <w:szCs w:val="24"/>
        </w:rPr>
        <w:t>has</w:t>
      </w:r>
      <w:r w:rsidRPr="00C50567">
        <w:rPr>
          <w:rFonts w:ascii="Arial Narrow" w:hAnsi="Arial Narrow"/>
          <w:sz w:val="24"/>
          <w:szCs w:val="24"/>
        </w:rPr>
        <w:t xml:space="preserve"> occurr</w:t>
      </w:r>
      <w:r w:rsidR="0079444E" w:rsidRPr="00C50567">
        <w:rPr>
          <w:rFonts w:ascii="Arial Narrow" w:hAnsi="Arial Narrow"/>
          <w:sz w:val="24"/>
          <w:szCs w:val="24"/>
        </w:rPr>
        <w:t>ed</w:t>
      </w:r>
      <w:r w:rsidRPr="00C50567">
        <w:rPr>
          <w:rFonts w:ascii="Arial Narrow" w:hAnsi="Arial Narrow"/>
          <w:sz w:val="24"/>
          <w:szCs w:val="24"/>
        </w:rPr>
        <w:t xml:space="preserve"> steadily at a faster rate than expected and consistent with achieving 90% power in the trial time frame</w:t>
      </w:r>
      <w:r w:rsidR="0079444E" w:rsidRPr="00C50567">
        <w:rPr>
          <w:rFonts w:ascii="Arial Narrow" w:hAnsi="Arial Narrow"/>
          <w:sz w:val="24"/>
          <w:szCs w:val="24"/>
        </w:rPr>
        <w:t xml:space="preserve">, the </w:t>
      </w:r>
      <w:r w:rsidRPr="00C50567">
        <w:rPr>
          <w:rFonts w:ascii="Arial Narrow" w:hAnsi="Arial Narrow"/>
          <w:sz w:val="24"/>
          <w:szCs w:val="24"/>
        </w:rPr>
        <w:t>sample size</w:t>
      </w:r>
      <w:r w:rsidR="0079444E" w:rsidRPr="00C50567">
        <w:rPr>
          <w:rFonts w:ascii="Arial Narrow" w:hAnsi="Arial Narrow"/>
          <w:sz w:val="24"/>
          <w:szCs w:val="24"/>
        </w:rPr>
        <w:t xml:space="preserve"> has been revised prospectively </w:t>
      </w:r>
      <w:r w:rsidR="00FB7230" w:rsidRPr="00C50567">
        <w:rPr>
          <w:rFonts w:ascii="Arial Narrow" w:hAnsi="Arial Narrow"/>
          <w:sz w:val="24"/>
          <w:szCs w:val="24"/>
        </w:rPr>
        <w:t>during trial recruitment and following discussion with the TSC and DMC</w:t>
      </w:r>
      <w:r w:rsidRPr="00C50567">
        <w:rPr>
          <w:rFonts w:ascii="Arial Narrow" w:hAnsi="Arial Narrow"/>
          <w:sz w:val="24"/>
          <w:szCs w:val="24"/>
        </w:rPr>
        <w:t>.</w:t>
      </w:r>
    </w:p>
    <w:p w14:paraId="2E235BAA" w14:textId="77777777" w:rsidR="009A4264" w:rsidRPr="00C50567" w:rsidRDefault="009A4264" w:rsidP="009A4264">
      <w:pPr>
        <w:spacing w:line="480" w:lineRule="auto"/>
        <w:rPr>
          <w:rFonts w:ascii="Arial Narrow" w:hAnsi="Arial Narrow"/>
          <w:sz w:val="24"/>
          <w:szCs w:val="24"/>
        </w:rPr>
      </w:pPr>
    </w:p>
    <w:p w14:paraId="134AB8AB" w14:textId="1AE349BB" w:rsidR="00BA5769" w:rsidRPr="00C50567" w:rsidRDefault="009A4264" w:rsidP="009A4264">
      <w:pPr>
        <w:spacing w:line="480" w:lineRule="auto"/>
        <w:rPr>
          <w:rFonts w:ascii="Arial Narrow" w:hAnsi="Arial Narrow"/>
          <w:sz w:val="24"/>
          <w:szCs w:val="24"/>
        </w:rPr>
      </w:pPr>
      <w:r w:rsidRPr="00C50567">
        <w:rPr>
          <w:rFonts w:ascii="Arial Narrow" w:hAnsi="Arial Narrow"/>
          <w:sz w:val="24"/>
          <w:szCs w:val="24"/>
        </w:rPr>
        <w:t>A study with 90% power and 5% significance (2-sided) would require 130 patients in each arm (260 patients in total)</w:t>
      </w:r>
      <w:r w:rsidR="00C12737" w:rsidRPr="00C50567">
        <w:rPr>
          <w:rFonts w:ascii="Arial Narrow" w:hAnsi="Arial Narrow"/>
          <w:sz w:val="24"/>
          <w:szCs w:val="24"/>
        </w:rPr>
        <w:t xml:space="preserve">. The </w:t>
      </w:r>
      <w:r w:rsidR="00FB7230" w:rsidRPr="00C50567">
        <w:rPr>
          <w:rFonts w:ascii="Arial Narrow" w:hAnsi="Arial Narrow"/>
          <w:sz w:val="24"/>
          <w:szCs w:val="24"/>
        </w:rPr>
        <w:t xml:space="preserve">revised </w:t>
      </w:r>
      <w:r w:rsidR="00B434E4" w:rsidRPr="00C50567">
        <w:rPr>
          <w:rFonts w:ascii="Arial Narrow" w:hAnsi="Arial Narrow"/>
          <w:sz w:val="24"/>
          <w:szCs w:val="24"/>
        </w:rPr>
        <w:t xml:space="preserve">trial target recruitment will be </w:t>
      </w:r>
      <w:r w:rsidRPr="00C50567">
        <w:rPr>
          <w:rFonts w:ascii="Arial Narrow" w:hAnsi="Arial Narrow"/>
          <w:sz w:val="24"/>
          <w:szCs w:val="24"/>
        </w:rPr>
        <w:t>260 patients</w:t>
      </w:r>
      <w:r w:rsidR="00C12737" w:rsidRPr="00C50567">
        <w:rPr>
          <w:rFonts w:ascii="Arial Narrow" w:hAnsi="Arial Narrow"/>
          <w:sz w:val="24"/>
          <w:szCs w:val="24"/>
        </w:rPr>
        <w:t xml:space="preserve"> (s</w:t>
      </w:r>
      <w:r w:rsidR="00B434E4" w:rsidRPr="00C50567">
        <w:rPr>
          <w:rFonts w:ascii="Arial Narrow" w:hAnsi="Arial Narrow"/>
          <w:sz w:val="24"/>
          <w:szCs w:val="24"/>
        </w:rPr>
        <w:t xml:space="preserve">ince loss to follow-up is 0% </w:t>
      </w:r>
      <w:r w:rsidR="00C12737" w:rsidRPr="00C50567">
        <w:rPr>
          <w:rFonts w:ascii="Arial Narrow" w:hAnsi="Arial Narrow"/>
          <w:sz w:val="24"/>
          <w:szCs w:val="24"/>
        </w:rPr>
        <w:t xml:space="preserve">at the midway point </w:t>
      </w:r>
      <w:r w:rsidR="00B434E4" w:rsidRPr="00C50567">
        <w:rPr>
          <w:rFonts w:ascii="Arial Narrow" w:hAnsi="Arial Narrow"/>
          <w:sz w:val="24"/>
          <w:szCs w:val="24"/>
        </w:rPr>
        <w:t>the sample size has not been inflated further</w:t>
      </w:r>
      <w:r w:rsidR="00C12737" w:rsidRPr="00C50567">
        <w:rPr>
          <w:rFonts w:ascii="Arial Narrow" w:hAnsi="Arial Narrow"/>
          <w:sz w:val="24"/>
          <w:szCs w:val="24"/>
        </w:rPr>
        <w:t>)</w:t>
      </w:r>
      <w:r w:rsidR="00B434E4" w:rsidRPr="00C50567">
        <w:rPr>
          <w:rFonts w:ascii="Arial Narrow" w:hAnsi="Arial Narrow"/>
          <w:sz w:val="24"/>
          <w:szCs w:val="24"/>
        </w:rPr>
        <w:t xml:space="preserve">. </w:t>
      </w:r>
      <w:r w:rsidRPr="00C50567">
        <w:rPr>
          <w:rFonts w:ascii="Arial Narrow" w:hAnsi="Arial Narrow"/>
          <w:sz w:val="24"/>
          <w:szCs w:val="24"/>
        </w:rPr>
        <w:t xml:space="preserve">Assuming a 3.6% mortality rate based on unit audit data (13), the sample size provides a 5.8% non-inferiority margin for the safety measure of overall mortality, assuming no change in mortality, 80% power and 95%CI (one-sided). </w:t>
      </w:r>
    </w:p>
    <w:p w14:paraId="59B5FD01" w14:textId="77777777" w:rsidR="004F621E" w:rsidRDefault="004F621E" w:rsidP="009A4264">
      <w:pPr>
        <w:spacing w:line="480" w:lineRule="auto"/>
        <w:rPr>
          <w:rFonts w:ascii="Arial Narrow" w:hAnsi="Arial Narrow"/>
          <w:sz w:val="24"/>
          <w:szCs w:val="24"/>
        </w:rPr>
      </w:pPr>
    </w:p>
    <w:p w14:paraId="52969F11" w14:textId="77777777" w:rsidR="00A042E3" w:rsidRPr="001A1CE7" w:rsidRDefault="00A042E3" w:rsidP="00A042E3">
      <w:pPr>
        <w:spacing w:line="480" w:lineRule="auto"/>
        <w:rPr>
          <w:rFonts w:ascii="Arial Narrow" w:hAnsi="Arial Narrow"/>
          <w:b/>
          <w:i/>
          <w:sz w:val="24"/>
          <w:szCs w:val="24"/>
        </w:rPr>
      </w:pPr>
    </w:p>
    <w:p w14:paraId="1631AD36" w14:textId="77777777" w:rsidR="00A042E3" w:rsidRPr="007741AC" w:rsidRDefault="00A042E3" w:rsidP="009B54DB">
      <w:pPr>
        <w:spacing w:line="480" w:lineRule="auto"/>
        <w:outlineLvl w:val="0"/>
        <w:rPr>
          <w:rFonts w:ascii="Arial Narrow" w:hAnsi="Arial Narrow"/>
          <w:b/>
          <w:i/>
          <w:sz w:val="24"/>
          <w:szCs w:val="24"/>
        </w:rPr>
      </w:pPr>
      <w:r w:rsidRPr="001A1CE7">
        <w:rPr>
          <w:rFonts w:ascii="Arial Narrow" w:hAnsi="Arial Narrow"/>
          <w:b/>
          <w:i/>
          <w:sz w:val="24"/>
          <w:szCs w:val="24"/>
        </w:rPr>
        <w:t>Consent process</w:t>
      </w:r>
      <w:r w:rsidRPr="007741AC">
        <w:rPr>
          <w:rFonts w:ascii="Arial Narrow" w:hAnsi="Arial Narrow"/>
          <w:b/>
          <w:i/>
          <w:sz w:val="24"/>
          <w:szCs w:val="24"/>
        </w:rPr>
        <w:t>.</w:t>
      </w:r>
    </w:p>
    <w:p w14:paraId="0ACEA080" w14:textId="74E4AAC6" w:rsidR="00A042E3" w:rsidRPr="00637F17" w:rsidRDefault="007741AC" w:rsidP="00986440">
      <w:pPr>
        <w:autoSpaceDE w:val="0"/>
        <w:autoSpaceDN w:val="0"/>
        <w:adjustRightInd w:val="0"/>
        <w:spacing w:line="480" w:lineRule="auto"/>
        <w:rPr>
          <w:rFonts w:ascii="Arial Narrow" w:eastAsia="MS Mincho" w:hAnsi="Arial Narrow" w:cs="Arial"/>
          <w:sz w:val="24"/>
          <w:szCs w:val="24"/>
          <w:lang w:eastAsia="ja-JP"/>
        </w:rPr>
      </w:pPr>
      <w:r w:rsidRPr="007741AC">
        <w:rPr>
          <w:rFonts w:ascii="Arial Narrow" w:hAnsi="Arial Narrow"/>
          <w:sz w:val="24"/>
          <w:szCs w:val="24"/>
        </w:rPr>
        <w:t xml:space="preserve">Valid </w:t>
      </w:r>
      <w:r w:rsidR="00A042E3" w:rsidRPr="007741AC">
        <w:rPr>
          <w:rFonts w:ascii="Arial Narrow" w:hAnsi="Arial Narrow"/>
          <w:sz w:val="24"/>
          <w:szCs w:val="24"/>
        </w:rPr>
        <w:t>consent will be obtained f</w:t>
      </w:r>
      <w:r w:rsidR="00A7436C">
        <w:rPr>
          <w:rFonts w:ascii="Arial Narrow" w:hAnsi="Arial Narrow"/>
          <w:sz w:val="24"/>
          <w:szCs w:val="24"/>
        </w:rPr>
        <w:t>or</w:t>
      </w:r>
      <w:r w:rsidR="00A042E3" w:rsidRPr="007741AC">
        <w:rPr>
          <w:rFonts w:ascii="Arial Narrow" w:hAnsi="Arial Narrow"/>
          <w:sz w:val="24"/>
          <w:szCs w:val="24"/>
        </w:rPr>
        <w:t xml:space="preserve"> all patients.</w:t>
      </w:r>
      <w:r w:rsidR="00986440">
        <w:rPr>
          <w:rFonts w:ascii="Arial Narrow" w:hAnsi="Arial Narrow"/>
          <w:sz w:val="24"/>
          <w:szCs w:val="24"/>
        </w:rPr>
        <w:t xml:space="preserve">  </w:t>
      </w:r>
      <w:r w:rsidR="00986440" w:rsidRPr="00986440">
        <w:rPr>
          <w:rFonts w:ascii="Arial Narrow" w:eastAsia="MS Mincho" w:hAnsi="Arial Narrow" w:cs="Arial"/>
          <w:sz w:val="24"/>
          <w:szCs w:val="24"/>
          <w:lang w:eastAsia="ja-JP"/>
        </w:rPr>
        <w:t>C</w:t>
      </w:r>
      <w:r w:rsidR="00986440" w:rsidRPr="00A834D7">
        <w:rPr>
          <w:rFonts w:ascii="Arial Narrow" w:eastAsia="MS Mincho" w:hAnsi="Arial Narrow" w:cs="Arial"/>
          <w:sz w:val="24"/>
          <w:szCs w:val="24"/>
          <w:lang w:eastAsia="ja-JP"/>
        </w:rPr>
        <w:t>onsent procedure</w:t>
      </w:r>
      <w:r w:rsidR="00986440">
        <w:rPr>
          <w:rFonts w:ascii="Arial Narrow" w:eastAsia="MS Mincho" w:hAnsi="Arial Narrow" w:cs="Arial"/>
          <w:sz w:val="24"/>
          <w:szCs w:val="24"/>
          <w:lang w:eastAsia="ja-JP"/>
        </w:rPr>
        <w:t>s</w:t>
      </w:r>
      <w:r w:rsidR="00986440" w:rsidRPr="00A834D7">
        <w:rPr>
          <w:rFonts w:ascii="Arial Narrow" w:eastAsia="MS Mincho" w:hAnsi="Arial Narrow" w:cs="Arial"/>
          <w:sz w:val="24"/>
          <w:szCs w:val="24"/>
          <w:lang w:eastAsia="ja-JP"/>
        </w:rPr>
        <w:t xml:space="preserve"> will be governed by the Medicines for Human Use (Clinical Trials) Regulations (2004); Schedule 1, part 5 and by The Medicines for Human Use (Clinical Trials) Amendment (No</w:t>
      </w:r>
      <w:r w:rsidR="00986440">
        <w:rPr>
          <w:rFonts w:ascii="Arial Narrow" w:eastAsia="MS Mincho" w:hAnsi="Arial Narrow" w:cs="Arial"/>
          <w:sz w:val="24"/>
          <w:szCs w:val="24"/>
          <w:lang w:eastAsia="ja-JP"/>
        </w:rPr>
        <w:t>.2) Regulations 2006, No. 2984</w:t>
      </w:r>
      <w:r w:rsidR="00F01E08">
        <w:rPr>
          <w:rFonts w:ascii="Arial Narrow" w:eastAsia="MS Mincho" w:hAnsi="Arial Narrow" w:cs="Arial"/>
          <w:sz w:val="24"/>
          <w:szCs w:val="24"/>
          <w:lang w:eastAsia="ja-JP"/>
        </w:rPr>
        <w:t xml:space="preserve"> (33, 34)</w:t>
      </w:r>
      <w:r w:rsidR="00986440">
        <w:rPr>
          <w:rFonts w:ascii="Arial Narrow" w:eastAsia="MS Mincho" w:hAnsi="Arial Narrow" w:cs="Arial"/>
          <w:sz w:val="24"/>
          <w:szCs w:val="24"/>
          <w:lang w:eastAsia="ja-JP"/>
        </w:rPr>
        <w:t xml:space="preserve">.  </w:t>
      </w:r>
      <w:r w:rsidRPr="00986440">
        <w:rPr>
          <w:rFonts w:ascii="Arial Narrow" w:hAnsi="Arial Narrow"/>
          <w:sz w:val="24"/>
          <w:szCs w:val="24"/>
        </w:rPr>
        <w:t xml:space="preserve">Where available, </w:t>
      </w:r>
      <w:r w:rsidR="00A042E3" w:rsidRPr="00986440">
        <w:rPr>
          <w:rFonts w:ascii="Arial Narrow" w:hAnsi="Arial Narrow"/>
          <w:sz w:val="24"/>
          <w:szCs w:val="24"/>
        </w:rPr>
        <w:t>Trust-appointed translator services will be used for those patients who are unable to speak or comprehend English.</w:t>
      </w:r>
    </w:p>
    <w:p w14:paraId="22D662E2" w14:textId="77777777" w:rsidR="007741AC" w:rsidRPr="00637F17" w:rsidRDefault="007741AC" w:rsidP="00A042E3">
      <w:pPr>
        <w:spacing w:line="480" w:lineRule="auto"/>
        <w:rPr>
          <w:rFonts w:ascii="Arial Narrow" w:hAnsi="Arial Narrow"/>
          <w:sz w:val="24"/>
          <w:szCs w:val="24"/>
        </w:rPr>
      </w:pPr>
    </w:p>
    <w:p w14:paraId="27261190" w14:textId="56212718" w:rsidR="007741AC" w:rsidRPr="00F35B7D" w:rsidRDefault="007741AC" w:rsidP="007741AC">
      <w:pPr>
        <w:spacing w:line="480" w:lineRule="auto"/>
        <w:rPr>
          <w:rFonts w:ascii="Arial Narrow" w:hAnsi="Arial Narrow" w:cs="Arial"/>
          <w:b/>
          <w:i/>
          <w:sz w:val="24"/>
          <w:szCs w:val="24"/>
        </w:rPr>
      </w:pPr>
      <w:r w:rsidRPr="00F35B7D">
        <w:rPr>
          <w:rFonts w:ascii="Arial Narrow" w:hAnsi="Arial Narrow" w:cs="Arial"/>
          <w:b/>
          <w:i/>
          <w:sz w:val="24"/>
          <w:szCs w:val="24"/>
        </w:rPr>
        <w:t>Informed consent for patients with capacity</w:t>
      </w:r>
    </w:p>
    <w:p w14:paraId="06AC2312" w14:textId="46A3B425" w:rsidR="00986440" w:rsidRPr="00986440" w:rsidRDefault="00F35B7D" w:rsidP="007741AC">
      <w:pPr>
        <w:autoSpaceDE w:val="0"/>
        <w:autoSpaceDN w:val="0"/>
        <w:adjustRightInd w:val="0"/>
        <w:spacing w:line="480" w:lineRule="auto"/>
        <w:rPr>
          <w:rFonts w:ascii="Arial Narrow" w:eastAsia="MS Mincho" w:hAnsi="Arial Narrow" w:cs="Arial"/>
          <w:sz w:val="24"/>
          <w:szCs w:val="24"/>
          <w:lang w:eastAsia="ja-JP"/>
        </w:rPr>
      </w:pPr>
      <w:r>
        <w:rPr>
          <w:rFonts w:ascii="Arial Narrow" w:eastAsia="MS Mincho" w:hAnsi="Arial Narrow" w:cs="Arial"/>
          <w:sz w:val="24"/>
          <w:szCs w:val="24"/>
          <w:lang w:eastAsia="ja-JP"/>
        </w:rPr>
        <w:t>For</w:t>
      </w:r>
      <w:r w:rsidR="00A7436C">
        <w:rPr>
          <w:rFonts w:ascii="Arial Narrow" w:eastAsia="MS Mincho" w:hAnsi="Arial Narrow" w:cs="Arial"/>
          <w:sz w:val="24"/>
          <w:szCs w:val="24"/>
          <w:lang w:eastAsia="ja-JP"/>
        </w:rPr>
        <w:t xml:space="preserve"> eligible</w:t>
      </w:r>
      <w:r w:rsidR="007741AC">
        <w:rPr>
          <w:rFonts w:ascii="Arial Narrow" w:eastAsia="MS Mincho" w:hAnsi="Arial Narrow" w:cs="Arial"/>
          <w:sz w:val="24"/>
          <w:szCs w:val="24"/>
          <w:lang w:eastAsia="ja-JP"/>
        </w:rPr>
        <w:t xml:space="preserve"> patients who possess mental capacity</w:t>
      </w:r>
      <w:r w:rsidR="007741AC" w:rsidRPr="00637F17">
        <w:rPr>
          <w:rFonts w:ascii="Arial Narrow" w:eastAsia="MS Mincho" w:hAnsi="Arial Narrow" w:cs="Arial"/>
          <w:sz w:val="24"/>
          <w:szCs w:val="24"/>
          <w:lang w:eastAsia="ja-JP"/>
        </w:rPr>
        <w:t xml:space="preserve">, </w:t>
      </w:r>
      <w:r w:rsidR="007741AC" w:rsidRPr="007741AC">
        <w:rPr>
          <w:rFonts w:ascii="Arial Narrow" w:eastAsia="MS Mincho" w:hAnsi="Arial Narrow" w:cs="Arial"/>
          <w:sz w:val="24"/>
          <w:szCs w:val="24"/>
          <w:lang w:eastAsia="ja-JP"/>
        </w:rPr>
        <w:t>a member of the research team</w:t>
      </w:r>
      <w:r w:rsidR="007741AC">
        <w:rPr>
          <w:rFonts w:ascii="Arial Narrow" w:eastAsia="MS Mincho" w:hAnsi="Arial Narrow" w:cs="Arial"/>
          <w:sz w:val="24"/>
          <w:szCs w:val="24"/>
          <w:lang w:eastAsia="ja-JP"/>
        </w:rPr>
        <w:t xml:space="preserve"> will make the initial approach and provide a verbal overview of the study and what participation will involve.  The patient will be provided with a written information sheet and given the opportunity to ask questions.</w:t>
      </w:r>
      <w:r w:rsidR="007741AC" w:rsidRPr="00637F17">
        <w:rPr>
          <w:rFonts w:ascii="Arial Narrow" w:eastAsia="MS Mincho" w:hAnsi="Arial Narrow" w:cs="Arial"/>
          <w:sz w:val="24"/>
          <w:szCs w:val="24"/>
          <w:lang w:eastAsia="ja-JP"/>
        </w:rPr>
        <w:t xml:space="preserve"> </w:t>
      </w:r>
      <w:r w:rsidR="007741AC">
        <w:rPr>
          <w:rFonts w:ascii="Arial Narrow" w:eastAsia="MS Mincho" w:hAnsi="Arial Narrow" w:cs="Arial"/>
          <w:sz w:val="24"/>
          <w:szCs w:val="24"/>
          <w:lang w:eastAsia="ja-JP"/>
        </w:rPr>
        <w:t xml:space="preserve"> </w:t>
      </w:r>
      <w:r w:rsidR="007741AC" w:rsidRPr="007741AC">
        <w:rPr>
          <w:rFonts w:ascii="Arial Narrow" w:eastAsia="MS Mincho" w:hAnsi="Arial Narrow" w:cs="Arial"/>
          <w:sz w:val="24"/>
          <w:szCs w:val="24"/>
          <w:lang w:eastAsia="ja-JP"/>
        </w:rPr>
        <w:t xml:space="preserve">After </w:t>
      </w:r>
      <w:r w:rsidR="007741AC" w:rsidRPr="00637F17">
        <w:rPr>
          <w:rFonts w:ascii="Arial Narrow" w:eastAsia="MS Mincho" w:hAnsi="Arial Narrow" w:cs="Arial"/>
          <w:sz w:val="24"/>
          <w:szCs w:val="24"/>
          <w:lang w:eastAsia="ja-JP"/>
        </w:rPr>
        <w:t>their</w:t>
      </w:r>
      <w:r w:rsidR="007741AC">
        <w:rPr>
          <w:rFonts w:ascii="Arial Narrow" w:eastAsia="MS Mincho" w:hAnsi="Arial Narrow" w:cs="Arial"/>
          <w:sz w:val="24"/>
          <w:szCs w:val="24"/>
          <w:lang w:eastAsia="ja-JP"/>
        </w:rPr>
        <w:t xml:space="preserve"> questions</w:t>
      </w:r>
      <w:r w:rsidR="007741AC" w:rsidRPr="007741AC">
        <w:rPr>
          <w:rFonts w:ascii="Arial Narrow" w:eastAsia="MS Mincho" w:hAnsi="Arial Narrow" w:cs="Arial"/>
          <w:sz w:val="24"/>
          <w:szCs w:val="24"/>
          <w:lang w:eastAsia="ja-JP"/>
        </w:rPr>
        <w:t xml:space="preserve"> </w:t>
      </w:r>
      <w:r w:rsidR="007741AC">
        <w:rPr>
          <w:rFonts w:ascii="Arial Narrow" w:eastAsia="MS Mincho" w:hAnsi="Arial Narrow" w:cs="Arial"/>
          <w:sz w:val="24"/>
          <w:szCs w:val="24"/>
          <w:lang w:eastAsia="ja-JP"/>
        </w:rPr>
        <w:t>have been</w:t>
      </w:r>
      <w:r w:rsidR="00986440">
        <w:rPr>
          <w:rFonts w:ascii="Arial Narrow" w:eastAsia="MS Mincho" w:hAnsi="Arial Narrow" w:cs="Arial"/>
          <w:sz w:val="24"/>
          <w:szCs w:val="24"/>
          <w:lang w:eastAsia="ja-JP"/>
        </w:rPr>
        <w:t xml:space="preserve"> answered, </w:t>
      </w:r>
      <w:r w:rsidR="00986440" w:rsidRPr="00986440">
        <w:rPr>
          <w:rFonts w:ascii="Arial Narrow" w:eastAsia="MS Mincho" w:hAnsi="Arial Narrow" w:cs="Arial"/>
          <w:sz w:val="24"/>
          <w:szCs w:val="24"/>
          <w:lang w:eastAsia="ja-JP"/>
        </w:rPr>
        <w:t>they</w:t>
      </w:r>
      <w:r w:rsidR="00EF74A3">
        <w:rPr>
          <w:rFonts w:ascii="Arial Narrow" w:eastAsia="MS Mincho" w:hAnsi="Arial Narrow" w:cs="Arial"/>
          <w:sz w:val="24"/>
          <w:szCs w:val="24"/>
          <w:lang w:eastAsia="ja-JP"/>
        </w:rPr>
        <w:t xml:space="preserve"> ha</w:t>
      </w:r>
      <w:r w:rsidR="00986440">
        <w:rPr>
          <w:rFonts w:ascii="Arial Narrow" w:eastAsia="MS Mincho" w:hAnsi="Arial Narrow" w:cs="Arial"/>
          <w:sz w:val="24"/>
          <w:szCs w:val="24"/>
          <w:lang w:eastAsia="ja-JP"/>
        </w:rPr>
        <w:t xml:space="preserve">ve </w:t>
      </w:r>
      <w:r w:rsidR="007741AC" w:rsidRPr="00637F17">
        <w:rPr>
          <w:rFonts w:ascii="Arial Narrow" w:eastAsia="MS Mincho" w:hAnsi="Arial Narrow" w:cs="Arial"/>
          <w:sz w:val="24"/>
          <w:szCs w:val="24"/>
          <w:lang w:eastAsia="ja-JP"/>
        </w:rPr>
        <w:t>had</w:t>
      </w:r>
      <w:r w:rsidR="00986440">
        <w:rPr>
          <w:rFonts w:ascii="Arial Narrow" w:eastAsia="MS Mincho" w:hAnsi="Arial Narrow" w:cs="Arial"/>
          <w:sz w:val="24"/>
          <w:szCs w:val="24"/>
          <w:lang w:eastAsia="ja-JP"/>
        </w:rPr>
        <w:t xml:space="preserve"> sufficient</w:t>
      </w:r>
      <w:r w:rsidR="007741AC" w:rsidRPr="00637F17">
        <w:rPr>
          <w:rFonts w:ascii="Arial Narrow" w:eastAsia="MS Mincho" w:hAnsi="Arial Narrow" w:cs="Arial"/>
          <w:sz w:val="24"/>
          <w:szCs w:val="24"/>
          <w:lang w:eastAsia="ja-JP"/>
        </w:rPr>
        <w:t xml:space="preserve"> time to consider participation and if they are willing to take part in the study, they will be asked to sign the consent</w:t>
      </w:r>
      <w:r w:rsidR="00986440">
        <w:rPr>
          <w:rFonts w:ascii="Arial Narrow" w:eastAsia="MS Mincho" w:hAnsi="Arial Narrow" w:cs="Arial"/>
          <w:sz w:val="24"/>
          <w:szCs w:val="24"/>
          <w:lang w:eastAsia="ja-JP"/>
        </w:rPr>
        <w:t xml:space="preserve"> form</w:t>
      </w:r>
      <w:r w:rsidR="00986440" w:rsidRPr="00986440">
        <w:rPr>
          <w:rFonts w:ascii="Arial Narrow" w:eastAsia="MS Mincho" w:hAnsi="Arial Narrow" w:cs="Arial"/>
          <w:sz w:val="24"/>
          <w:szCs w:val="24"/>
          <w:lang w:eastAsia="ja-JP"/>
        </w:rPr>
        <w:t>.</w:t>
      </w:r>
    </w:p>
    <w:p w14:paraId="2982CBB8" w14:textId="77777777" w:rsidR="00986440" w:rsidRDefault="00986440" w:rsidP="007741AC">
      <w:pPr>
        <w:autoSpaceDE w:val="0"/>
        <w:autoSpaceDN w:val="0"/>
        <w:adjustRightInd w:val="0"/>
        <w:spacing w:line="480" w:lineRule="auto"/>
        <w:rPr>
          <w:rFonts w:ascii="Arial Narrow" w:eastAsia="MS Mincho" w:hAnsi="Arial Narrow" w:cs="Arial"/>
          <w:sz w:val="24"/>
          <w:szCs w:val="24"/>
          <w:lang w:eastAsia="ja-JP"/>
        </w:rPr>
      </w:pPr>
    </w:p>
    <w:p w14:paraId="17B26BDA" w14:textId="19CE2BE9" w:rsidR="007741AC" w:rsidRPr="00F35B7D" w:rsidRDefault="00986440" w:rsidP="007741AC">
      <w:pPr>
        <w:autoSpaceDE w:val="0"/>
        <w:autoSpaceDN w:val="0"/>
        <w:adjustRightInd w:val="0"/>
        <w:spacing w:line="480" w:lineRule="auto"/>
        <w:rPr>
          <w:rFonts w:ascii="Arial Narrow" w:eastAsia="MS Mincho" w:hAnsi="Arial Narrow" w:cs="Arial"/>
          <w:b/>
          <w:i/>
          <w:sz w:val="24"/>
          <w:szCs w:val="24"/>
          <w:lang w:eastAsia="ja-JP"/>
        </w:rPr>
      </w:pPr>
      <w:r w:rsidRPr="00F35B7D">
        <w:rPr>
          <w:rFonts w:ascii="Arial Narrow" w:eastAsia="MS Mincho" w:hAnsi="Arial Narrow" w:cs="Arial"/>
          <w:b/>
          <w:i/>
          <w:sz w:val="24"/>
          <w:szCs w:val="24"/>
          <w:lang w:eastAsia="ja-JP"/>
        </w:rPr>
        <w:t>Consent procedures for patients who lack capacity</w:t>
      </w:r>
      <w:r w:rsidR="007741AC" w:rsidRPr="00F35B7D">
        <w:rPr>
          <w:rFonts w:ascii="Arial Narrow" w:eastAsia="MS Mincho" w:hAnsi="Arial Narrow" w:cs="Arial"/>
          <w:b/>
          <w:i/>
          <w:sz w:val="24"/>
          <w:szCs w:val="24"/>
          <w:lang w:eastAsia="ja-JP"/>
        </w:rPr>
        <w:t xml:space="preserve"> </w:t>
      </w:r>
    </w:p>
    <w:p w14:paraId="6E249F04" w14:textId="2A4D20FA" w:rsidR="00A7436C" w:rsidRPr="007E2C34" w:rsidRDefault="006E11C6" w:rsidP="001C0C62">
      <w:pPr>
        <w:spacing w:line="480" w:lineRule="auto"/>
        <w:rPr>
          <w:rFonts w:ascii="Arial Narrow" w:hAnsi="Arial Narrow" w:cs="Arial"/>
          <w:sz w:val="24"/>
          <w:szCs w:val="24"/>
        </w:rPr>
      </w:pPr>
      <w:r>
        <w:rPr>
          <w:rFonts w:ascii="Arial Narrow" w:eastAsia="MS Mincho" w:hAnsi="Arial Narrow" w:cs="Arial"/>
          <w:sz w:val="24"/>
          <w:szCs w:val="24"/>
          <w:lang w:eastAsia="ja-JP"/>
        </w:rPr>
        <w:t>As acute pancreatitis maybe severe, causing disruption of a patient’s cognitive state or requiring sedation to facilitate advanced organ support in intensive care</w:t>
      </w:r>
      <w:r w:rsidR="00A7436C">
        <w:rPr>
          <w:rFonts w:ascii="Arial Narrow" w:eastAsia="MS Mincho" w:hAnsi="Arial Narrow" w:cs="Arial"/>
          <w:sz w:val="24"/>
          <w:szCs w:val="24"/>
          <w:lang w:eastAsia="ja-JP"/>
        </w:rPr>
        <w:t>, s</w:t>
      </w:r>
      <w:r>
        <w:rPr>
          <w:rFonts w:ascii="Arial Narrow" w:eastAsia="MS Mincho" w:hAnsi="Arial Narrow" w:cs="Arial"/>
          <w:sz w:val="24"/>
          <w:szCs w:val="24"/>
          <w:lang w:eastAsia="ja-JP"/>
        </w:rPr>
        <w:t>ome potential participants will</w:t>
      </w:r>
      <w:r w:rsidR="00F35B7D">
        <w:rPr>
          <w:rFonts w:ascii="Arial Narrow" w:eastAsia="MS Mincho" w:hAnsi="Arial Narrow" w:cs="Arial"/>
          <w:sz w:val="24"/>
          <w:szCs w:val="24"/>
          <w:lang w:eastAsia="ja-JP"/>
        </w:rPr>
        <w:t xml:space="preserve"> </w:t>
      </w:r>
      <w:r>
        <w:rPr>
          <w:rFonts w:ascii="Arial Narrow" w:eastAsia="MS Mincho" w:hAnsi="Arial Narrow" w:cs="Arial"/>
          <w:sz w:val="24"/>
          <w:szCs w:val="24"/>
          <w:lang w:eastAsia="ja-JP"/>
        </w:rPr>
        <w:t xml:space="preserve">lack capacity to consent </w:t>
      </w:r>
      <w:r w:rsidR="00F35B7D">
        <w:rPr>
          <w:rFonts w:ascii="Arial Narrow" w:eastAsia="MS Mincho" w:hAnsi="Arial Narrow" w:cs="Arial"/>
          <w:sz w:val="24"/>
          <w:szCs w:val="24"/>
          <w:lang w:eastAsia="ja-JP"/>
        </w:rPr>
        <w:t>for enrolment</w:t>
      </w:r>
      <w:r>
        <w:rPr>
          <w:rFonts w:ascii="Arial Narrow" w:eastAsia="MS Mincho" w:hAnsi="Arial Narrow" w:cs="Arial"/>
          <w:sz w:val="24"/>
          <w:szCs w:val="24"/>
          <w:lang w:eastAsia="ja-JP"/>
        </w:rPr>
        <w:t>.  Such p</w:t>
      </w:r>
      <w:r w:rsidR="00986440">
        <w:rPr>
          <w:rFonts w:ascii="Arial Narrow" w:eastAsia="MS Mincho" w:hAnsi="Arial Narrow" w:cs="Arial"/>
          <w:sz w:val="24"/>
          <w:szCs w:val="24"/>
          <w:lang w:eastAsia="ja-JP"/>
        </w:rPr>
        <w:t xml:space="preserve">atients may still be enrolled in this study according to the following procedures.  </w:t>
      </w:r>
      <w:r w:rsidR="00637F17">
        <w:rPr>
          <w:rFonts w:ascii="Arial Narrow" w:eastAsia="MS Mincho" w:hAnsi="Arial Narrow" w:cs="Arial"/>
          <w:sz w:val="24"/>
          <w:szCs w:val="24"/>
          <w:lang w:eastAsia="ja-JP"/>
        </w:rPr>
        <w:t>Firstly, a</w:t>
      </w:r>
      <w:r w:rsidR="00986440" w:rsidRPr="00A834D7">
        <w:rPr>
          <w:rFonts w:ascii="Arial Narrow" w:eastAsia="MS Mincho" w:hAnsi="Arial Narrow" w:cs="Arial"/>
          <w:sz w:val="24"/>
          <w:szCs w:val="24"/>
          <w:lang w:eastAsia="ja-JP"/>
        </w:rPr>
        <w:t xml:space="preserve"> treating clinician who is not part of the study team will assess the competence of a potential participant to consent for research</w:t>
      </w:r>
      <w:r w:rsidR="00986440">
        <w:rPr>
          <w:rFonts w:ascii="Arial Narrow" w:eastAsia="MS Mincho" w:hAnsi="Arial Narrow" w:cs="Arial"/>
          <w:sz w:val="24"/>
          <w:szCs w:val="24"/>
          <w:lang w:eastAsia="ja-JP"/>
        </w:rPr>
        <w:t>.</w:t>
      </w:r>
      <w:r w:rsidR="00637F17">
        <w:rPr>
          <w:rFonts w:ascii="Arial Narrow" w:eastAsia="MS Mincho" w:hAnsi="Arial Narrow" w:cs="Arial"/>
          <w:sz w:val="24"/>
          <w:szCs w:val="24"/>
          <w:lang w:eastAsia="ja-JP"/>
        </w:rPr>
        <w:t xml:space="preserve">  If lack of capacity to consent is confirmed then valid consent for enrolment m</w:t>
      </w:r>
      <w:r w:rsidR="00F35B7D">
        <w:rPr>
          <w:rFonts w:ascii="Arial Narrow" w:eastAsia="MS Mincho" w:hAnsi="Arial Narrow" w:cs="Arial"/>
          <w:sz w:val="24"/>
          <w:szCs w:val="24"/>
          <w:lang w:eastAsia="ja-JP"/>
        </w:rPr>
        <w:t>ay be obtained from a patient’s legal representative</w:t>
      </w:r>
      <w:r w:rsidR="00637F17">
        <w:rPr>
          <w:rFonts w:ascii="Arial Narrow" w:eastAsia="MS Mincho" w:hAnsi="Arial Narrow" w:cs="Arial"/>
          <w:sz w:val="24"/>
          <w:szCs w:val="24"/>
          <w:lang w:eastAsia="ja-JP"/>
        </w:rPr>
        <w:t>.  Ideally this legal representative will be someone who knows the patient and is able to judge whether the patient would have agreed to enrolment in this study.</w:t>
      </w:r>
      <w:r w:rsidR="00637F17">
        <w:rPr>
          <w:rFonts w:ascii="Arial Narrow" w:hAnsi="Arial Narrow" w:cs="Arial"/>
          <w:color w:val="494949"/>
          <w:sz w:val="24"/>
          <w:szCs w:val="24"/>
          <w:lang w:eastAsia="en-GB"/>
        </w:rPr>
        <w:t xml:space="preserve">  This </w:t>
      </w:r>
      <w:r w:rsidR="00F35B7D" w:rsidRPr="00F35B7D">
        <w:rPr>
          <w:rFonts w:ascii="Arial Narrow" w:hAnsi="Arial Narrow" w:cs="Arial"/>
          <w:b/>
          <w:i/>
          <w:color w:val="494949"/>
          <w:sz w:val="24"/>
          <w:szCs w:val="24"/>
          <w:lang w:eastAsia="en-GB"/>
        </w:rPr>
        <w:t>personal legal r</w:t>
      </w:r>
      <w:r w:rsidR="00637F17" w:rsidRPr="00A7436C">
        <w:rPr>
          <w:rFonts w:ascii="Arial Narrow" w:hAnsi="Arial Narrow" w:cs="Arial"/>
          <w:b/>
          <w:i/>
          <w:color w:val="494949"/>
          <w:sz w:val="24"/>
          <w:szCs w:val="24"/>
          <w:lang w:eastAsia="en-GB"/>
        </w:rPr>
        <w:t>epresentative</w:t>
      </w:r>
      <w:r w:rsidR="00637F17">
        <w:rPr>
          <w:rFonts w:ascii="Arial Narrow" w:hAnsi="Arial Narrow" w:cs="Arial"/>
          <w:color w:val="494949"/>
          <w:sz w:val="24"/>
          <w:szCs w:val="24"/>
          <w:lang w:eastAsia="en-GB"/>
        </w:rPr>
        <w:t xml:space="preserve"> would usually be their next of kin or someone with whom they had a significant relationship</w:t>
      </w:r>
      <w:r w:rsidR="00A7436C">
        <w:rPr>
          <w:rFonts w:ascii="Arial Narrow" w:hAnsi="Arial Narrow" w:cs="Arial"/>
          <w:color w:val="494949"/>
          <w:sz w:val="24"/>
          <w:szCs w:val="24"/>
          <w:lang w:eastAsia="en-GB"/>
        </w:rPr>
        <w:t>,</w:t>
      </w:r>
      <w:r w:rsidR="00C37B9B">
        <w:rPr>
          <w:rFonts w:ascii="Arial Narrow" w:hAnsi="Arial Narrow" w:cs="Arial"/>
          <w:color w:val="494949"/>
          <w:sz w:val="24"/>
          <w:szCs w:val="24"/>
          <w:lang w:eastAsia="en-GB"/>
        </w:rPr>
        <w:t xml:space="preserve"> and was willing to engage with the consent process</w:t>
      </w:r>
      <w:r w:rsidR="00F35B7D">
        <w:rPr>
          <w:rFonts w:ascii="Arial Narrow" w:hAnsi="Arial Narrow" w:cs="Arial"/>
          <w:color w:val="494949"/>
          <w:sz w:val="24"/>
          <w:szCs w:val="24"/>
          <w:lang w:eastAsia="en-GB"/>
        </w:rPr>
        <w:t xml:space="preserve"> on the patient’s behalf</w:t>
      </w:r>
      <w:r w:rsidR="00637F17">
        <w:rPr>
          <w:rFonts w:ascii="Arial Narrow" w:hAnsi="Arial Narrow" w:cs="Arial"/>
          <w:color w:val="494949"/>
          <w:sz w:val="24"/>
          <w:szCs w:val="24"/>
          <w:lang w:eastAsia="en-GB"/>
        </w:rPr>
        <w:t>.</w:t>
      </w:r>
      <w:r w:rsidR="00F35B7D">
        <w:rPr>
          <w:rFonts w:ascii="Arial Narrow" w:hAnsi="Arial Narrow" w:cs="Arial"/>
          <w:color w:val="494949"/>
          <w:sz w:val="24"/>
          <w:szCs w:val="24"/>
          <w:lang w:eastAsia="en-GB"/>
        </w:rPr>
        <w:t xml:space="preserve">  If a personal legal representative is not available then the patient’s </w:t>
      </w:r>
      <w:r w:rsidR="00F35B7D" w:rsidRPr="00A7436C">
        <w:rPr>
          <w:rFonts w:ascii="Arial Narrow" w:hAnsi="Arial Narrow" w:cs="Arial"/>
          <w:b/>
          <w:i/>
          <w:color w:val="494949"/>
          <w:sz w:val="24"/>
          <w:szCs w:val="24"/>
          <w:lang w:eastAsia="en-GB"/>
        </w:rPr>
        <w:t>professional legal representative</w:t>
      </w:r>
      <w:r w:rsidR="00F35B7D">
        <w:rPr>
          <w:rFonts w:ascii="Arial Narrow" w:hAnsi="Arial Narrow" w:cs="Arial"/>
          <w:color w:val="494949"/>
          <w:sz w:val="24"/>
          <w:szCs w:val="24"/>
          <w:lang w:eastAsia="en-GB"/>
        </w:rPr>
        <w:t xml:space="preserve"> may provide consent instead.  This person</w:t>
      </w:r>
      <w:r w:rsidR="00435999">
        <w:rPr>
          <w:rFonts w:ascii="Arial Narrow" w:hAnsi="Arial Narrow" w:cs="Arial"/>
          <w:color w:val="494949"/>
          <w:sz w:val="24"/>
          <w:szCs w:val="24"/>
          <w:lang w:eastAsia="en-GB"/>
        </w:rPr>
        <w:t xml:space="preserve"> would be an independent treating clinician who is not part of the study team.</w:t>
      </w:r>
      <w:r w:rsidR="007E2C34">
        <w:rPr>
          <w:rFonts w:ascii="Arial Narrow" w:hAnsi="Arial Narrow" w:cs="Arial"/>
          <w:color w:val="494949"/>
          <w:sz w:val="24"/>
          <w:szCs w:val="24"/>
          <w:lang w:eastAsia="en-GB"/>
        </w:rPr>
        <w:t xml:space="preserve">  </w:t>
      </w:r>
      <w:r w:rsidR="007E2C34" w:rsidRPr="00A7436C">
        <w:rPr>
          <w:rFonts w:ascii="Arial Narrow" w:hAnsi="Arial Narrow" w:cs="Arial"/>
          <w:sz w:val="24"/>
          <w:szCs w:val="24"/>
        </w:rPr>
        <w:t>Where a researcher is also the treating health professional, another member of the research team independent of any responsibility for the clinical care of that patient, will be asked to make the initial approach and/or seek consent from participants or their legal representative.</w:t>
      </w:r>
    </w:p>
    <w:p w14:paraId="170AA0B6" w14:textId="77777777" w:rsidR="00A7436C" w:rsidRDefault="00A7436C" w:rsidP="00A7436C">
      <w:pPr>
        <w:autoSpaceDE w:val="0"/>
        <w:autoSpaceDN w:val="0"/>
        <w:adjustRightInd w:val="0"/>
        <w:spacing w:line="480" w:lineRule="auto"/>
        <w:rPr>
          <w:rFonts w:ascii="Arial Narrow" w:hAnsi="Arial Narrow" w:cs="Arial"/>
          <w:color w:val="494949"/>
          <w:sz w:val="24"/>
          <w:szCs w:val="24"/>
          <w:lang w:eastAsia="en-GB"/>
        </w:rPr>
      </w:pPr>
    </w:p>
    <w:p w14:paraId="5A130631" w14:textId="77777777" w:rsidR="007741AC" w:rsidRPr="00A7436C" w:rsidRDefault="007741AC" w:rsidP="00A7436C">
      <w:pPr>
        <w:autoSpaceDE w:val="0"/>
        <w:autoSpaceDN w:val="0"/>
        <w:adjustRightInd w:val="0"/>
        <w:spacing w:line="480" w:lineRule="auto"/>
        <w:rPr>
          <w:rFonts w:ascii="Arial Narrow" w:eastAsia="MS Mincho" w:hAnsi="Arial Narrow" w:cs="Arial"/>
          <w:sz w:val="24"/>
          <w:szCs w:val="24"/>
          <w:lang w:eastAsia="ja-JP"/>
        </w:rPr>
      </w:pPr>
      <w:r w:rsidRPr="00A7436C">
        <w:rPr>
          <w:rFonts w:ascii="Arial Narrow" w:eastAsia="MS Mincho" w:hAnsi="Arial Narrow" w:cs="Arial"/>
          <w:sz w:val="24"/>
          <w:szCs w:val="24"/>
          <w:lang w:eastAsia="ja-JP"/>
        </w:rPr>
        <w:lastRenderedPageBreak/>
        <w:t>Patients who recover sufficiently to understand the explanation of the study will be asked to consent to continue in the study procedures as soon as possible or be offered the chance to withdraw.  If the patient chooses to withdraw from the study procedures, they will be asked for permission to use their study-related data and for permission to collect and use outcome data.</w:t>
      </w:r>
    </w:p>
    <w:p w14:paraId="26E17991" w14:textId="77777777" w:rsidR="007741AC" w:rsidRPr="00A7436C" w:rsidRDefault="007741AC" w:rsidP="007E2C34">
      <w:pPr>
        <w:autoSpaceDE w:val="0"/>
        <w:autoSpaceDN w:val="0"/>
        <w:adjustRightInd w:val="0"/>
        <w:spacing w:line="480" w:lineRule="auto"/>
        <w:rPr>
          <w:rFonts w:ascii="Arial Narrow" w:eastAsia="MS Mincho" w:hAnsi="Arial Narrow" w:cs="Arial"/>
          <w:sz w:val="24"/>
          <w:szCs w:val="24"/>
          <w:lang w:eastAsia="ja-JP"/>
        </w:rPr>
      </w:pPr>
    </w:p>
    <w:p w14:paraId="27B17543" w14:textId="77777777" w:rsidR="007741AC" w:rsidRPr="00A7436C" w:rsidRDefault="007741AC" w:rsidP="007E2C34">
      <w:pPr>
        <w:spacing w:line="480" w:lineRule="auto"/>
        <w:rPr>
          <w:rFonts w:ascii="Arial Narrow" w:hAnsi="Arial Narrow" w:cs="Arial"/>
          <w:sz w:val="24"/>
          <w:szCs w:val="24"/>
        </w:rPr>
      </w:pPr>
    </w:p>
    <w:p w14:paraId="159C4595" w14:textId="2896925D" w:rsidR="007741AC" w:rsidRPr="007741AC" w:rsidRDefault="007E2C34" w:rsidP="007E2C34">
      <w:pPr>
        <w:spacing w:line="480" w:lineRule="auto"/>
        <w:rPr>
          <w:rFonts w:ascii="Arial Narrow" w:hAnsi="Arial Narrow"/>
          <w:sz w:val="24"/>
          <w:szCs w:val="24"/>
        </w:rPr>
      </w:pPr>
      <w:r>
        <w:rPr>
          <w:rFonts w:ascii="Arial Narrow" w:hAnsi="Arial Narrow" w:cs="Arial"/>
          <w:sz w:val="24"/>
          <w:szCs w:val="24"/>
        </w:rPr>
        <w:t>For all participants</w:t>
      </w:r>
      <w:r w:rsidR="001A1CE7">
        <w:rPr>
          <w:rFonts w:ascii="Arial Narrow" w:hAnsi="Arial Narrow" w:cs="Arial"/>
          <w:sz w:val="24"/>
          <w:szCs w:val="24"/>
        </w:rPr>
        <w:t xml:space="preserve"> written</w:t>
      </w:r>
      <w:r w:rsidR="007741AC" w:rsidRPr="00A7436C">
        <w:rPr>
          <w:rFonts w:ascii="Arial Narrow" w:hAnsi="Arial Narrow" w:cs="Arial"/>
          <w:sz w:val="24"/>
          <w:szCs w:val="24"/>
        </w:rPr>
        <w:t xml:space="preserve"> consent form</w:t>
      </w:r>
      <w:r>
        <w:rPr>
          <w:rFonts w:ascii="Arial Narrow" w:hAnsi="Arial Narrow" w:cs="Arial"/>
          <w:sz w:val="24"/>
          <w:szCs w:val="24"/>
        </w:rPr>
        <w:t>s</w:t>
      </w:r>
      <w:r w:rsidR="007741AC" w:rsidRPr="00A7436C">
        <w:rPr>
          <w:rFonts w:ascii="Arial Narrow" w:hAnsi="Arial Narrow" w:cs="Arial"/>
          <w:sz w:val="24"/>
          <w:szCs w:val="24"/>
        </w:rPr>
        <w:t xml:space="preserve"> </w:t>
      </w:r>
      <w:r w:rsidR="001A1CE7">
        <w:rPr>
          <w:rFonts w:ascii="Arial Narrow" w:hAnsi="Arial Narrow" w:cs="Arial"/>
          <w:sz w:val="24"/>
          <w:szCs w:val="24"/>
        </w:rPr>
        <w:t>will</w:t>
      </w:r>
      <w:r w:rsidR="007741AC" w:rsidRPr="00A7436C">
        <w:rPr>
          <w:rFonts w:ascii="Arial Narrow" w:hAnsi="Arial Narrow" w:cs="Arial"/>
          <w:sz w:val="24"/>
          <w:szCs w:val="24"/>
        </w:rPr>
        <w:t xml:space="preserve"> be </w:t>
      </w:r>
      <w:r w:rsidR="001A1CE7" w:rsidRPr="00A7436C">
        <w:rPr>
          <w:rFonts w:ascii="Arial Narrow" w:hAnsi="Arial Narrow" w:cs="Arial"/>
          <w:sz w:val="24"/>
          <w:szCs w:val="24"/>
        </w:rPr>
        <w:t>signed;</w:t>
      </w:r>
      <w:r w:rsidR="007741AC" w:rsidRPr="00A7436C">
        <w:rPr>
          <w:rFonts w:ascii="Arial Narrow" w:hAnsi="Arial Narrow" w:cs="Arial"/>
          <w:sz w:val="24"/>
          <w:szCs w:val="24"/>
        </w:rPr>
        <w:t xml:space="preserve"> name filled in and personally dated by the patient or by their legal representative and by the Investi</w:t>
      </w:r>
      <w:r w:rsidR="001A1CE7">
        <w:rPr>
          <w:rFonts w:ascii="Arial Narrow" w:hAnsi="Arial Narrow" w:cs="Arial"/>
          <w:sz w:val="24"/>
          <w:szCs w:val="24"/>
        </w:rPr>
        <w:t>gator who conducted the</w:t>
      </w:r>
      <w:r w:rsidR="007741AC" w:rsidRPr="00A7436C">
        <w:rPr>
          <w:rFonts w:ascii="Arial Narrow" w:hAnsi="Arial Narrow" w:cs="Arial"/>
          <w:sz w:val="24"/>
          <w:szCs w:val="24"/>
        </w:rPr>
        <w:t xml:space="preserve"> consent discussion. </w:t>
      </w:r>
      <w:r w:rsidR="001A1CE7">
        <w:rPr>
          <w:rFonts w:ascii="Arial Narrow" w:hAnsi="Arial Narrow" w:cs="Arial"/>
          <w:sz w:val="24"/>
          <w:szCs w:val="24"/>
        </w:rPr>
        <w:t xml:space="preserve"> </w:t>
      </w:r>
      <w:r w:rsidR="007741AC" w:rsidRPr="00A7436C">
        <w:rPr>
          <w:rFonts w:ascii="Arial Narrow" w:hAnsi="Arial Narrow" w:cs="Arial"/>
          <w:sz w:val="24"/>
          <w:szCs w:val="24"/>
        </w:rPr>
        <w:t>A copy of the s</w:t>
      </w:r>
      <w:r w:rsidR="001A1CE7">
        <w:rPr>
          <w:rFonts w:ascii="Arial Narrow" w:hAnsi="Arial Narrow" w:cs="Arial"/>
          <w:sz w:val="24"/>
          <w:szCs w:val="24"/>
        </w:rPr>
        <w:t>igned and dated</w:t>
      </w:r>
      <w:r w:rsidR="007741AC" w:rsidRPr="00A7436C">
        <w:rPr>
          <w:rFonts w:ascii="Arial Narrow" w:hAnsi="Arial Narrow" w:cs="Arial"/>
          <w:sz w:val="24"/>
          <w:szCs w:val="24"/>
        </w:rPr>
        <w:t xml:space="preserve"> Consent Form will be provided to the patient and/or the</w:t>
      </w:r>
      <w:r w:rsidR="001A1CE7">
        <w:rPr>
          <w:rFonts w:ascii="Arial Narrow" w:hAnsi="Arial Narrow" w:cs="Arial"/>
          <w:sz w:val="24"/>
          <w:szCs w:val="24"/>
        </w:rPr>
        <w:t>ir legal representative and another copy filed in the patient’s medical record.</w:t>
      </w:r>
    </w:p>
    <w:p w14:paraId="33F00499" w14:textId="77777777" w:rsidR="00A042E3" w:rsidRPr="007741AC" w:rsidRDefault="00A042E3" w:rsidP="007E2C34">
      <w:pPr>
        <w:spacing w:line="480" w:lineRule="auto"/>
        <w:rPr>
          <w:rFonts w:ascii="Arial Narrow" w:hAnsi="Arial Narrow"/>
          <w:b/>
          <w:i/>
          <w:sz w:val="24"/>
          <w:szCs w:val="24"/>
        </w:rPr>
      </w:pPr>
    </w:p>
    <w:p w14:paraId="19ED40F8" w14:textId="77777777" w:rsidR="00A042E3" w:rsidRPr="007741AC" w:rsidRDefault="00A042E3">
      <w:pPr>
        <w:spacing w:line="480" w:lineRule="auto"/>
        <w:outlineLvl w:val="0"/>
        <w:rPr>
          <w:rFonts w:ascii="Arial Narrow" w:hAnsi="Arial Narrow"/>
          <w:b/>
          <w:i/>
          <w:sz w:val="24"/>
          <w:szCs w:val="24"/>
        </w:rPr>
      </w:pPr>
      <w:r w:rsidRPr="007741AC">
        <w:rPr>
          <w:rFonts w:ascii="Arial Narrow" w:hAnsi="Arial Narrow"/>
          <w:b/>
          <w:i/>
          <w:sz w:val="24"/>
          <w:szCs w:val="24"/>
        </w:rPr>
        <w:t>Withdrawal of consent</w:t>
      </w:r>
    </w:p>
    <w:p w14:paraId="3DE22656" w14:textId="4A8416DF" w:rsidR="00A042E3" w:rsidRPr="007741AC" w:rsidRDefault="00A042E3">
      <w:pPr>
        <w:spacing w:line="480" w:lineRule="auto"/>
        <w:rPr>
          <w:rFonts w:ascii="Arial Narrow" w:hAnsi="Arial Narrow"/>
          <w:sz w:val="24"/>
          <w:szCs w:val="24"/>
        </w:rPr>
      </w:pPr>
      <w:r w:rsidRPr="007741AC">
        <w:rPr>
          <w:rFonts w:ascii="Arial Narrow" w:hAnsi="Arial Narrow"/>
          <w:sz w:val="24"/>
          <w:szCs w:val="24"/>
        </w:rPr>
        <w:t>Patients can withdraw consent for participation at any time after enrolment.  They do not need to give a reason and their clinical care will be unaffected.  Patients allocated to the procalcitonin arm will not continue to undergo PCT monitoring of antibiotic use</w:t>
      </w:r>
      <w:r w:rsidR="00F37671" w:rsidRPr="007741AC">
        <w:rPr>
          <w:rFonts w:ascii="Arial Narrow" w:hAnsi="Arial Narrow"/>
          <w:sz w:val="24"/>
          <w:szCs w:val="24"/>
        </w:rPr>
        <w:t xml:space="preserve"> after withdrawal</w:t>
      </w:r>
      <w:r w:rsidRPr="007741AC">
        <w:rPr>
          <w:rFonts w:ascii="Arial Narrow" w:hAnsi="Arial Narrow"/>
          <w:sz w:val="24"/>
          <w:szCs w:val="24"/>
        </w:rPr>
        <w:t>.  Data provided up until the time of withdrawal will be retained for use in analyses.</w:t>
      </w:r>
    </w:p>
    <w:p w14:paraId="27E58C95" w14:textId="77777777" w:rsidR="00A042E3" w:rsidRPr="007741AC" w:rsidRDefault="00A042E3">
      <w:pPr>
        <w:spacing w:line="480" w:lineRule="auto"/>
        <w:rPr>
          <w:rFonts w:ascii="Arial Narrow" w:hAnsi="Arial Narrow"/>
          <w:sz w:val="24"/>
          <w:szCs w:val="24"/>
        </w:rPr>
      </w:pPr>
    </w:p>
    <w:p w14:paraId="2C4EF3B7" w14:textId="77777777" w:rsidR="00A042E3" w:rsidRPr="007741AC" w:rsidRDefault="00A042E3">
      <w:pPr>
        <w:spacing w:line="480" w:lineRule="auto"/>
        <w:outlineLvl w:val="0"/>
        <w:rPr>
          <w:rFonts w:ascii="Arial Narrow" w:hAnsi="Arial Narrow"/>
          <w:b/>
          <w:i/>
          <w:sz w:val="24"/>
          <w:szCs w:val="24"/>
        </w:rPr>
      </w:pPr>
      <w:r w:rsidRPr="007741AC">
        <w:rPr>
          <w:rFonts w:ascii="Arial Narrow" w:hAnsi="Arial Narrow"/>
          <w:b/>
          <w:i/>
          <w:sz w:val="24"/>
          <w:szCs w:val="24"/>
        </w:rPr>
        <w:t>Ethics review.</w:t>
      </w:r>
    </w:p>
    <w:p w14:paraId="6BE8872C" w14:textId="77777777" w:rsidR="00A042E3" w:rsidRPr="007741AC" w:rsidRDefault="00A042E3" w:rsidP="009B54DB">
      <w:pPr>
        <w:spacing w:line="480" w:lineRule="auto"/>
        <w:outlineLvl w:val="0"/>
        <w:rPr>
          <w:rFonts w:ascii="Arial Narrow" w:hAnsi="Arial Narrow"/>
          <w:color w:val="0070C0"/>
          <w:sz w:val="24"/>
          <w:szCs w:val="24"/>
        </w:rPr>
      </w:pPr>
      <w:r w:rsidRPr="007741AC">
        <w:rPr>
          <w:rFonts w:ascii="Arial Narrow" w:hAnsi="Arial Narrow"/>
          <w:sz w:val="24"/>
          <w:szCs w:val="24"/>
        </w:rPr>
        <w:t xml:space="preserve">Formal ethical review will be sought through the integrated research application system (IRAS).  </w:t>
      </w:r>
    </w:p>
    <w:p w14:paraId="6956FC0E" w14:textId="77777777" w:rsidR="004C2C73" w:rsidRPr="007741AC" w:rsidRDefault="004C2C73" w:rsidP="00030D47">
      <w:pPr>
        <w:spacing w:line="480" w:lineRule="auto"/>
        <w:rPr>
          <w:rFonts w:ascii="Arial Narrow" w:hAnsi="Arial Narrow"/>
          <w:sz w:val="24"/>
          <w:szCs w:val="24"/>
        </w:rPr>
      </w:pPr>
    </w:p>
    <w:p w14:paraId="4E87F9C2" w14:textId="77777777" w:rsidR="00030D47" w:rsidRPr="007741AC" w:rsidRDefault="00030D47" w:rsidP="009B54DB">
      <w:pPr>
        <w:spacing w:line="480" w:lineRule="auto"/>
        <w:outlineLvl w:val="0"/>
        <w:rPr>
          <w:rFonts w:ascii="Arial Narrow" w:hAnsi="Arial Narrow"/>
          <w:b/>
          <w:i/>
          <w:color w:val="000000" w:themeColor="text1"/>
          <w:sz w:val="24"/>
          <w:szCs w:val="24"/>
        </w:rPr>
      </w:pPr>
      <w:r w:rsidRPr="007741AC">
        <w:rPr>
          <w:rFonts w:ascii="Arial Narrow" w:hAnsi="Arial Narrow"/>
          <w:b/>
          <w:i/>
          <w:color w:val="000000" w:themeColor="text1"/>
          <w:sz w:val="24"/>
          <w:szCs w:val="24"/>
        </w:rPr>
        <w:t xml:space="preserve">Randomization </w:t>
      </w:r>
    </w:p>
    <w:p w14:paraId="4BAEDA13" w14:textId="3AA1F0FE" w:rsidR="00D82BFC" w:rsidRPr="007E2C34" w:rsidRDefault="00210907" w:rsidP="00D82BFC">
      <w:pPr>
        <w:spacing w:line="480" w:lineRule="auto"/>
        <w:rPr>
          <w:rFonts w:ascii="Arial Narrow" w:hAnsi="Arial Narrow"/>
          <w:sz w:val="24"/>
          <w:szCs w:val="24"/>
        </w:rPr>
      </w:pPr>
      <w:r w:rsidRPr="007741AC">
        <w:rPr>
          <w:rFonts w:ascii="Arial Narrow" w:hAnsi="Arial Narrow"/>
          <w:sz w:val="24"/>
          <w:szCs w:val="24"/>
        </w:rPr>
        <w:t>Web-based randomisation will be provided by the Clinical Trials Unit of the University of Edinburgh (</w:t>
      </w:r>
      <w:hyperlink r:id="rId8" w:history="1">
        <w:r w:rsidRPr="007E2C34">
          <w:rPr>
            <w:rStyle w:val="Hyperlink"/>
            <w:rFonts w:ascii="Arial Narrow" w:hAnsi="Arial Narrow"/>
            <w:sz w:val="24"/>
            <w:szCs w:val="24"/>
          </w:rPr>
          <w:t>https://www.ed.ac.uk/usher/edinburgh-clinical-trials</w:t>
        </w:r>
      </w:hyperlink>
      <w:r w:rsidRPr="007741AC">
        <w:rPr>
          <w:rFonts w:ascii="Arial Narrow" w:hAnsi="Arial Narrow"/>
          <w:sz w:val="24"/>
          <w:szCs w:val="24"/>
        </w:rPr>
        <w:t xml:space="preserve">).  </w:t>
      </w:r>
      <w:r w:rsidR="00D82BFC" w:rsidRPr="007741AC">
        <w:rPr>
          <w:rFonts w:ascii="Arial Narrow" w:hAnsi="Arial Narrow"/>
          <w:sz w:val="24"/>
          <w:szCs w:val="24"/>
        </w:rPr>
        <w:t>Allocation will be in a ratio of 1:1 to routine or algorithm-guided care. Randomization will be stratified by severity (</w:t>
      </w:r>
      <w:r w:rsidR="00080522" w:rsidRPr="007741AC">
        <w:rPr>
          <w:rFonts w:ascii="Arial Narrow" w:hAnsi="Arial Narrow"/>
          <w:sz w:val="24"/>
          <w:szCs w:val="24"/>
        </w:rPr>
        <w:t xml:space="preserve">mild </w:t>
      </w:r>
      <w:r w:rsidR="00D82BFC" w:rsidRPr="007741AC">
        <w:rPr>
          <w:rFonts w:ascii="Arial Narrow" w:hAnsi="Arial Narrow"/>
          <w:sz w:val="24"/>
          <w:szCs w:val="24"/>
        </w:rPr>
        <w:t xml:space="preserve">or </w:t>
      </w:r>
      <w:r w:rsidR="00080522" w:rsidRPr="00986440">
        <w:rPr>
          <w:rFonts w:ascii="Arial Narrow" w:hAnsi="Arial Narrow"/>
          <w:sz w:val="24"/>
          <w:szCs w:val="24"/>
        </w:rPr>
        <w:t>moderately severe/</w:t>
      </w:r>
      <w:r w:rsidR="00D82BFC" w:rsidRPr="00986440">
        <w:rPr>
          <w:rFonts w:ascii="Arial Narrow" w:hAnsi="Arial Narrow"/>
          <w:sz w:val="24"/>
          <w:szCs w:val="24"/>
        </w:rPr>
        <w:t xml:space="preserve">severe) and admission pathway (whether or not the patient has their index </w:t>
      </w:r>
      <w:r w:rsidR="00FB3121" w:rsidRPr="00A7436C">
        <w:rPr>
          <w:rFonts w:ascii="Arial Narrow" w:hAnsi="Arial Narrow"/>
          <w:sz w:val="24"/>
          <w:szCs w:val="24"/>
        </w:rPr>
        <w:t>(</w:t>
      </w:r>
      <w:r w:rsidR="00D82BFC" w:rsidRPr="001A1CE7">
        <w:rPr>
          <w:rFonts w:ascii="Arial Narrow" w:hAnsi="Arial Narrow"/>
          <w:sz w:val="24"/>
          <w:szCs w:val="24"/>
        </w:rPr>
        <w:t>firs</w:t>
      </w:r>
      <w:r w:rsidR="00FB3121" w:rsidRPr="001A1CE7">
        <w:rPr>
          <w:rFonts w:ascii="Arial Narrow" w:hAnsi="Arial Narrow"/>
          <w:sz w:val="24"/>
          <w:szCs w:val="24"/>
        </w:rPr>
        <w:t>t)</w:t>
      </w:r>
      <w:r w:rsidR="00D82BFC" w:rsidRPr="001A1CE7">
        <w:rPr>
          <w:rFonts w:ascii="Arial Narrow" w:hAnsi="Arial Narrow"/>
          <w:sz w:val="24"/>
          <w:szCs w:val="24"/>
        </w:rPr>
        <w:t xml:space="preserve"> admission with acute </w:t>
      </w:r>
      <w:r w:rsidR="00D82BFC" w:rsidRPr="001A1CE7">
        <w:rPr>
          <w:rFonts w:ascii="Arial Narrow" w:hAnsi="Arial Narrow"/>
          <w:sz w:val="24"/>
          <w:szCs w:val="24"/>
        </w:rPr>
        <w:lastRenderedPageBreak/>
        <w:t>pancreatitis to the Manchester Royal Infirmary</w:t>
      </w:r>
      <w:r w:rsidR="000773EB" w:rsidRPr="001A1CE7">
        <w:rPr>
          <w:rFonts w:ascii="Arial Narrow" w:hAnsi="Arial Narrow"/>
          <w:sz w:val="24"/>
          <w:szCs w:val="24"/>
        </w:rPr>
        <w:t xml:space="preserve"> [</w:t>
      </w:r>
      <w:r w:rsidR="00FB3121" w:rsidRPr="001A1CE7">
        <w:rPr>
          <w:rFonts w:ascii="Arial Narrow" w:hAnsi="Arial Narrow"/>
          <w:sz w:val="24"/>
          <w:szCs w:val="24"/>
        </w:rPr>
        <w:t>direct</w:t>
      </w:r>
      <w:r w:rsidR="00FB3121" w:rsidRPr="007E2C34">
        <w:rPr>
          <w:rFonts w:ascii="Arial Narrow" w:hAnsi="Arial Narrow"/>
          <w:sz w:val="24"/>
          <w:szCs w:val="24"/>
        </w:rPr>
        <w:t>]</w:t>
      </w:r>
      <w:r w:rsidR="00D82BFC" w:rsidRPr="007E2C34">
        <w:rPr>
          <w:rFonts w:ascii="Arial Narrow" w:hAnsi="Arial Narrow"/>
          <w:sz w:val="24"/>
          <w:szCs w:val="24"/>
        </w:rPr>
        <w:t xml:space="preserve"> or is transferred from another hospital [tertiary transfer]). A random block size of 4, 6 or 8 will be applied to each stratum.  Patients allocated to either arm will be separately identified by a label placed inside and on the front of the case notes with copy labels used for ward folders.</w:t>
      </w:r>
    </w:p>
    <w:p w14:paraId="54160072" w14:textId="77777777" w:rsidR="00080522" w:rsidRPr="007E2C34" w:rsidRDefault="00080522" w:rsidP="00030D47">
      <w:pPr>
        <w:spacing w:line="480" w:lineRule="auto"/>
        <w:rPr>
          <w:rFonts w:ascii="Arial Narrow" w:hAnsi="Arial Narrow"/>
          <w:b/>
          <w:i/>
          <w:sz w:val="24"/>
          <w:szCs w:val="24"/>
        </w:rPr>
      </w:pPr>
    </w:p>
    <w:p w14:paraId="1F9FC705" w14:textId="77777777" w:rsidR="0051666E" w:rsidRPr="007E2C34" w:rsidRDefault="0051666E" w:rsidP="009B54DB">
      <w:pPr>
        <w:spacing w:line="480" w:lineRule="auto"/>
        <w:outlineLvl w:val="0"/>
        <w:rPr>
          <w:rFonts w:ascii="Arial Narrow" w:hAnsi="Arial Narrow"/>
          <w:b/>
          <w:i/>
          <w:sz w:val="24"/>
          <w:szCs w:val="24"/>
        </w:rPr>
      </w:pPr>
      <w:r w:rsidRPr="007E2C34">
        <w:rPr>
          <w:rFonts w:ascii="Arial Narrow" w:hAnsi="Arial Narrow"/>
          <w:b/>
          <w:i/>
          <w:sz w:val="24"/>
          <w:szCs w:val="24"/>
        </w:rPr>
        <w:t>Data collection</w:t>
      </w:r>
    </w:p>
    <w:p w14:paraId="4FA2DCCA" w14:textId="3A50B96F" w:rsidR="0051666E" w:rsidRPr="007741AC" w:rsidRDefault="0051666E" w:rsidP="0051666E">
      <w:pPr>
        <w:spacing w:line="480" w:lineRule="auto"/>
        <w:rPr>
          <w:rFonts w:ascii="Arial Narrow" w:hAnsi="Arial Narrow"/>
          <w:sz w:val="24"/>
          <w:szCs w:val="24"/>
        </w:rPr>
      </w:pPr>
      <w:r w:rsidRPr="007741AC">
        <w:rPr>
          <w:rFonts w:ascii="Arial Narrow" w:hAnsi="Arial Narrow"/>
          <w:sz w:val="24"/>
          <w:szCs w:val="24"/>
        </w:rPr>
        <w:t xml:space="preserve">Data collection will use </w:t>
      </w:r>
      <w:r w:rsidR="00F37671" w:rsidRPr="007741AC">
        <w:rPr>
          <w:rFonts w:ascii="Arial Narrow" w:hAnsi="Arial Narrow"/>
          <w:sz w:val="24"/>
          <w:szCs w:val="24"/>
        </w:rPr>
        <w:t>a</w:t>
      </w:r>
      <w:r w:rsidRPr="007741AC">
        <w:rPr>
          <w:rFonts w:ascii="Arial Narrow" w:hAnsi="Arial Narrow"/>
          <w:sz w:val="24"/>
          <w:szCs w:val="24"/>
        </w:rPr>
        <w:t xml:space="preserve"> case report form (CRF) and include source verifiable data from patient records, including procalcitonin test findings and the list of primary and secondary endpoints. CRFs will be anonymised and contain no individual patient identifiable information.  Patient-level data will be stored by screening and trial log numbers.  Patients who are discharged and re-admitted within six weeks will be regarded as a re-admission for the same episode of care and treatment will be summated.  </w:t>
      </w:r>
      <w:r w:rsidR="00807BF3">
        <w:rPr>
          <w:rFonts w:ascii="Arial Narrow" w:hAnsi="Arial Narrow"/>
          <w:sz w:val="24"/>
          <w:szCs w:val="24"/>
        </w:rPr>
        <w:t xml:space="preserve">Patients who are re-admitted will be in the same arm as their original allocation.  </w:t>
      </w:r>
      <w:r w:rsidRPr="007741AC">
        <w:rPr>
          <w:rFonts w:ascii="Arial Narrow" w:hAnsi="Arial Narrow"/>
          <w:sz w:val="24"/>
          <w:szCs w:val="24"/>
        </w:rPr>
        <w:t xml:space="preserve">Re-admission elsewhere will be a specific question sought at follow-up (typically at 6 weeks and 90 days).  Patients discharged but subsequently admitted elsewhere within 6 weeks will have their pharmacy charts reviewed wherever possible and antibiotic use summated.  The trial process and data collection is designed to be minimally burdensome to patients.  Clinically, the </w:t>
      </w:r>
      <w:r w:rsidR="001D1AE0" w:rsidRPr="007741AC">
        <w:rPr>
          <w:rFonts w:ascii="Arial Narrow" w:hAnsi="Arial Narrow"/>
          <w:sz w:val="24"/>
          <w:szCs w:val="24"/>
        </w:rPr>
        <w:t>90-day</w:t>
      </w:r>
      <w:r w:rsidRPr="007741AC">
        <w:rPr>
          <w:rFonts w:ascii="Arial Narrow" w:hAnsi="Arial Narrow"/>
          <w:sz w:val="24"/>
          <w:szCs w:val="24"/>
        </w:rPr>
        <w:t xml:space="preserve"> follow-up </w:t>
      </w:r>
      <w:r w:rsidR="002230D3" w:rsidRPr="007741AC">
        <w:rPr>
          <w:rFonts w:ascii="Arial Narrow" w:hAnsi="Arial Narrow"/>
          <w:sz w:val="24"/>
          <w:szCs w:val="24"/>
        </w:rPr>
        <w:t xml:space="preserve">period </w:t>
      </w:r>
      <w:r w:rsidRPr="007741AC">
        <w:rPr>
          <w:rFonts w:ascii="Arial Narrow" w:hAnsi="Arial Narrow"/>
          <w:sz w:val="24"/>
          <w:szCs w:val="24"/>
        </w:rPr>
        <w:t>will complete the involvement of the patient in the trial.</w:t>
      </w:r>
    </w:p>
    <w:p w14:paraId="35FD0049" w14:textId="77777777" w:rsidR="0051666E" w:rsidRPr="007741AC" w:rsidRDefault="0051666E" w:rsidP="0051666E">
      <w:pPr>
        <w:spacing w:line="480" w:lineRule="auto"/>
        <w:rPr>
          <w:rFonts w:ascii="Arial Narrow" w:hAnsi="Arial Narrow"/>
          <w:sz w:val="24"/>
          <w:szCs w:val="24"/>
        </w:rPr>
      </w:pPr>
    </w:p>
    <w:p w14:paraId="4600AE43" w14:textId="77777777" w:rsidR="0051666E" w:rsidRPr="007741AC" w:rsidRDefault="0051666E" w:rsidP="009B54DB">
      <w:pPr>
        <w:spacing w:line="480" w:lineRule="auto"/>
        <w:outlineLvl w:val="0"/>
        <w:rPr>
          <w:rFonts w:ascii="Arial Narrow" w:hAnsi="Arial Narrow"/>
          <w:b/>
          <w:i/>
          <w:sz w:val="24"/>
          <w:szCs w:val="24"/>
        </w:rPr>
      </w:pPr>
      <w:r w:rsidRPr="007741AC">
        <w:rPr>
          <w:rFonts w:ascii="Arial Narrow" w:hAnsi="Arial Narrow"/>
          <w:b/>
          <w:i/>
          <w:sz w:val="24"/>
          <w:szCs w:val="24"/>
        </w:rPr>
        <w:t>Data storage and transfer</w:t>
      </w:r>
    </w:p>
    <w:p w14:paraId="232A0D98" w14:textId="77777777" w:rsidR="0051666E" w:rsidRPr="007741AC" w:rsidRDefault="0051666E" w:rsidP="0051666E">
      <w:pPr>
        <w:spacing w:line="480" w:lineRule="auto"/>
        <w:rPr>
          <w:rFonts w:ascii="Arial Narrow" w:hAnsi="Arial Narrow"/>
          <w:sz w:val="24"/>
          <w:szCs w:val="24"/>
        </w:rPr>
      </w:pPr>
      <w:r w:rsidRPr="007741AC">
        <w:rPr>
          <w:rFonts w:ascii="Arial Narrow" w:hAnsi="Arial Narrow"/>
          <w:sz w:val="24"/>
          <w:szCs w:val="24"/>
        </w:rPr>
        <w:t>Paper copies of the Case Report Forms will be stored in a locked cabinet in the Chief Investigator’s office within Manchester University Foundation Trust.  These copies will be stored for five years after completion of the trial and then destroyed.</w:t>
      </w:r>
    </w:p>
    <w:p w14:paraId="1F583E1D" w14:textId="235A8C34" w:rsidR="0051666E" w:rsidRPr="007741AC" w:rsidRDefault="0051666E" w:rsidP="0051666E">
      <w:pPr>
        <w:spacing w:line="480" w:lineRule="auto"/>
        <w:rPr>
          <w:rFonts w:ascii="Arial Narrow" w:hAnsi="Arial Narrow"/>
          <w:sz w:val="24"/>
          <w:szCs w:val="24"/>
        </w:rPr>
      </w:pPr>
      <w:r w:rsidRPr="007741AC">
        <w:rPr>
          <w:rFonts w:ascii="Arial Narrow" w:hAnsi="Arial Narrow"/>
          <w:sz w:val="24"/>
          <w:szCs w:val="24"/>
        </w:rPr>
        <w:t>Data will be contemporaneously stored in a password-protected database</w:t>
      </w:r>
      <w:r w:rsidR="00865BE4" w:rsidRPr="007741AC">
        <w:rPr>
          <w:rFonts w:ascii="Arial Narrow" w:hAnsi="Arial Narrow"/>
          <w:sz w:val="24"/>
          <w:szCs w:val="24"/>
        </w:rPr>
        <w:t xml:space="preserve">, </w:t>
      </w:r>
      <w:r w:rsidR="00050C93" w:rsidRPr="007741AC">
        <w:rPr>
          <w:rFonts w:ascii="Arial Narrow" w:hAnsi="Arial Narrow"/>
          <w:sz w:val="24"/>
          <w:szCs w:val="24"/>
        </w:rPr>
        <w:t xml:space="preserve">allowing ongoing </w:t>
      </w:r>
      <w:r w:rsidR="00865BE4" w:rsidRPr="007741AC">
        <w:rPr>
          <w:rFonts w:ascii="Arial Narrow" w:hAnsi="Arial Narrow"/>
          <w:sz w:val="24"/>
          <w:szCs w:val="24"/>
        </w:rPr>
        <w:t>monitoring</w:t>
      </w:r>
      <w:r w:rsidR="00050C93" w:rsidRPr="007741AC">
        <w:rPr>
          <w:rFonts w:ascii="Arial Narrow" w:hAnsi="Arial Narrow"/>
          <w:sz w:val="24"/>
          <w:szCs w:val="24"/>
        </w:rPr>
        <w:t xml:space="preserve"> of data quality and completeness</w:t>
      </w:r>
      <w:r w:rsidRPr="007741AC">
        <w:rPr>
          <w:rFonts w:ascii="Arial Narrow" w:hAnsi="Arial Narrow"/>
          <w:sz w:val="24"/>
          <w:szCs w:val="24"/>
        </w:rPr>
        <w:t>.  These data will be stored on a desktop computer maintained in the office of the Principal Investigator.</w:t>
      </w:r>
    </w:p>
    <w:p w14:paraId="1753935D" w14:textId="0ED49980" w:rsidR="0051666E" w:rsidRPr="007741AC" w:rsidRDefault="00A12FA9" w:rsidP="0051666E">
      <w:pPr>
        <w:spacing w:line="480" w:lineRule="auto"/>
        <w:rPr>
          <w:rFonts w:ascii="Arial Narrow" w:hAnsi="Arial Narrow"/>
          <w:sz w:val="24"/>
          <w:szCs w:val="24"/>
        </w:rPr>
      </w:pPr>
      <w:r w:rsidRPr="007741AC">
        <w:rPr>
          <w:rFonts w:ascii="Arial Narrow" w:hAnsi="Arial Narrow"/>
          <w:sz w:val="24"/>
          <w:szCs w:val="24"/>
        </w:rPr>
        <w:lastRenderedPageBreak/>
        <w:t xml:space="preserve">Anonymised data </w:t>
      </w:r>
      <w:r w:rsidR="0051666E" w:rsidRPr="007741AC">
        <w:rPr>
          <w:rFonts w:ascii="Arial Narrow" w:hAnsi="Arial Narrow"/>
          <w:sz w:val="24"/>
          <w:szCs w:val="24"/>
        </w:rPr>
        <w:t>transfer for analysis will be sent electronically only to National Health Service and University email addresses as anonymised password-protected data.</w:t>
      </w:r>
    </w:p>
    <w:p w14:paraId="7C490C6E" w14:textId="77777777" w:rsidR="0051666E" w:rsidRPr="007741AC" w:rsidRDefault="0051666E" w:rsidP="0051666E">
      <w:pPr>
        <w:spacing w:line="480" w:lineRule="auto"/>
        <w:rPr>
          <w:rFonts w:ascii="Arial Narrow" w:hAnsi="Arial Narrow"/>
          <w:sz w:val="24"/>
          <w:szCs w:val="24"/>
        </w:rPr>
      </w:pPr>
    </w:p>
    <w:p w14:paraId="196EDA44" w14:textId="401EEDB9" w:rsidR="0051666E" w:rsidRPr="007741AC" w:rsidRDefault="0081559F" w:rsidP="009B54DB">
      <w:pPr>
        <w:spacing w:line="480" w:lineRule="auto"/>
        <w:outlineLvl w:val="0"/>
        <w:rPr>
          <w:rFonts w:ascii="Arial Narrow" w:hAnsi="Arial Narrow"/>
          <w:b/>
          <w:i/>
          <w:sz w:val="24"/>
          <w:szCs w:val="24"/>
        </w:rPr>
      </w:pPr>
      <w:r>
        <w:rPr>
          <w:rFonts w:ascii="Arial Narrow" w:hAnsi="Arial Narrow"/>
          <w:b/>
          <w:i/>
          <w:sz w:val="24"/>
          <w:szCs w:val="24"/>
        </w:rPr>
        <w:t>Analysis plan</w:t>
      </w:r>
    </w:p>
    <w:p w14:paraId="4C7FBCA9" w14:textId="282CD66E" w:rsidR="0051666E" w:rsidRPr="007741AC" w:rsidRDefault="0051666E" w:rsidP="0051666E">
      <w:pPr>
        <w:spacing w:line="480" w:lineRule="auto"/>
        <w:rPr>
          <w:rFonts w:ascii="Arial Narrow" w:hAnsi="Arial Narrow"/>
          <w:sz w:val="24"/>
          <w:szCs w:val="24"/>
        </w:rPr>
      </w:pPr>
      <w:r w:rsidRPr="007741AC">
        <w:rPr>
          <w:rFonts w:ascii="Arial Narrow" w:hAnsi="Arial Narrow"/>
          <w:sz w:val="24"/>
          <w:szCs w:val="24"/>
        </w:rPr>
        <w:t xml:space="preserve">Analysis will follow intention to treat principles.  </w:t>
      </w:r>
      <w:r w:rsidRPr="00F01E08">
        <w:rPr>
          <w:rFonts w:ascii="Arial Narrow" w:hAnsi="Arial Narrow"/>
          <w:sz w:val="24"/>
          <w:szCs w:val="24"/>
        </w:rPr>
        <w:t xml:space="preserve">Endpoints will be assessed using </w:t>
      </w:r>
      <w:r w:rsidR="00ED2A62" w:rsidRPr="00F01E08">
        <w:rPr>
          <w:rFonts w:ascii="Arial Narrow" w:hAnsi="Arial Narrow"/>
          <w:sz w:val="24"/>
          <w:szCs w:val="24"/>
        </w:rPr>
        <w:t xml:space="preserve">appropriate </w:t>
      </w:r>
      <w:r w:rsidR="00BF2C33" w:rsidRPr="00F01E08">
        <w:rPr>
          <w:rFonts w:ascii="Arial Narrow" w:hAnsi="Arial Narrow"/>
          <w:sz w:val="24"/>
          <w:szCs w:val="24"/>
        </w:rPr>
        <w:t>general linear model</w:t>
      </w:r>
      <w:r w:rsidRPr="00F01E08">
        <w:rPr>
          <w:rFonts w:ascii="Arial Narrow" w:hAnsi="Arial Narrow"/>
          <w:sz w:val="24"/>
          <w:szCs w:val="24"/>
        </w:rPr>
        <w:t xml:space="preserve"> adjusted for stratification factors</w:t>
      </w:r>
      <w:r w:rsidR="00BF2C33" w:rsidRPr="00F01E08">
        <w:rPr>
          <w:rFonts w:ascii="Arial Narrow" w:hAnsi="Arial Narrow"/>
          <w:sz w:val="24"/>
          <w:szCs w:val="24"/>
        </w:rPr>
        <w:t>; for the primary endpoint a general linear regression with logit link will be employed</w:t>
      </w:r>
      <w:r w:rsidR="00ED2A62" w:rsidRPr="001957C4">
        <w:rPr>
          <w:rFonts w:ascii="Arial Narrow" w:hAnsi="Arial Narrow"/>
          <w:color w:val="FF0000"/>
          <w:sz w:val="24"/>
          <w:szCs w:val="24"/>
        </w:rPr>
        <w:t xml:space="preserve">.  </w:t>
      </w:r>
      <w:r w:rsidR="00ED2A62" w:rsidRPr="007741AC">
        <w:rPr>
          <w:rFonts w:ascii="Arial Narrow" w:hAnsi="Arial Narrow"/>
          <w:sz w:val="24"/>
          <w:szCs w:val="24"/>
        </w:rPr>
        <w:t>Missing values with be addressed by multiple imputation, having appropriately explored the missingness mechanism, and in accordance with good practice</w:t>
      </w:r>
      <w:r w:rsidR="00F01E08">
        <w:rPr>
          <w:rFonts w:ascii="Arial Narrow" w:hAnsi="Arial Narrow"/>
          <w:sz w:val="24"/>
          <w:szCs w:val="24"/>
        </w:rPr>
        <w:t xml:space="preserve"> (35)</w:t>
      </w:r>
      <w:r w:rsidR="00ED2A62" w:rsidRPr="007741AC">
        <w:rPr>
          <w:rFonts w:ascii="Arial Narrow" w:hAnsi="Arial Narrow"/>
          <w:sz w:val="24"/>
          <w:szCs w:val="24"/>
        </w:rPr>
        <w:t>. C</w:t>
      </w:r>
      <w:r w:rsidRPr="007741AC">
        <w:rPr>
          <w:rFonts w:ascii="Arial Narrow" w:hAnsi="Arial Narrow"/>
          <w:sz w:val="24"/>
          <w:szCs w:val="24"/>
        </w:rPr>
        <w:t>hance</w:t>
      </w:r>
      <w:r w:rsidR="00ED2A62" w:rsidRPr="007741AC">
        <w:rPr>
          <w:rFonts w:ascii="Arial Narrow" w:hAnsi="Arial Narrow"/>
          <w:sz w:val="24"/>
          <w:szCs w:val="24"/>
        </w:rPr>
        <w:t xml:space="preserve"> </w:t>
      </w:r>
      <w:r w:rsidRPr="007741AC">
        <w:rPr>
          <w:rFonts w:ascii="Arial Narrow" w:hAnsi="Arial Narrow"/>
          <w:sz w:val="24"/>
          <w:szCs w:val="24"/>
        </w:rPr>
        <w:t xml:space="preserve">baseline imbalances </w:t>
      </w:r>
      <w:r w:rsidR="00ED2A62" w:rsidRPr="007741AC">
        <w:rPr>
          <w:rFonts w:ascii="Arial Narrow" w:hAnsi="Arial Narrow"/>
          <w:sz w:val="24"/>
          <w:szCs w:val="24"/>
        </w:rPr>
        <w:t xml:space="preserve">and protocol adherence </w:t>
      </w:r>
      <w:r w:rsidRPr="007741AC">
        <w:rPr>
          <w:rFonts w:ascii="Arial Narrow" w:hAnsi="Arial Narrow"/>
          <w:sz w:val="24"/>
          <w:szCs w:val="24"/>
        </w:rPr>
        <w:t xml:space="preserve">will be explored within sensitivity analyses. </w:t>
      </w:r>
    </w:p>
    <w:p w14:paraId="5B7573FD" w14:textId="67951B8E" w:rsidR="0051666E" w:rsidRDefault="0051666E" w:rsidP="0051666E">
      <w:pPr>
        <w:spacing w:line="480" w:lineRule="auto"/>
        <w:rPr>
          <w:rFonts w:ascii="Arial Narrow" w:hAnsi="Arial Narrow"/>
          <w:sz w:val="24"/>
          <w:szCs w:val="24"/>
        </w:rPr>
      </w:pPr>
      <w:r w:rsidRPr="007741AC">
        <w:rPr>
          <w:rFonts w:ascii="Arial Narrow" w:hAnsi="Arial Narrow"/>
          <w:sz w:val="24"/>
          <w:szCs w:val="24"/>
        </w:rPr>
        <w:t xml:space="preserve">The trial will determine if </w:t>
      </w:r>
      <w:r w:rsidR="00A479B5" w:rsidRPr="007741AC">
        <w:rPr>
          <w:rFonts w:ascii="Arial Narrow" w:hAnsi="Arial Narrow"/>
          <w:sz w:val="24"/>
          <w:szCs w:val="24"/>
        </w:rPr>
        <w:t xml:space="preserve">the </w:t>
      </w:r>
      <w:r w:rsidRPr="007741AC">
        <w:rPr>
          <w:rFonts w:ascii="Arial Narrow" w:hAnsi="Arial Narrow"/>
          <w:sz w:val="24"/>
          <w:szCs w:val="24"/>
        </w:rPr>
        <w:t xml:space="preserve">use of a procalcitonin algorithm reduces antibiotic use during acute pancreatitis.  Currently, there is clinical uncertainty about guidelines for reducing antibiotic use in this patient group, since this draws on indirect evidence. Hence a superiority design has been selected, with a null hypothesis that antibiotic use </w:t>
      </w:r>
      <w:r w:rsidR="00BF2C33">
        <w:rPr>
          <w:rFonts w:ascii="Arial Narrow" w:hAnsi="Arial Narrow"/>
          <w:sz w:val="24"/>
          <w:szCs w:val="24"/>
        </w:rPr>
        <w:t>is</w:t>
      </w:r>
      <w:r w:rsidR="00F01E08">
        <w:rPr>
          <w:rFonts w:ascii="Arial Narrow" w:hAnsi="Arial Narrow"/>
          <w:sz w:val="24"/>
          <w:szCs w:val="24"/>
        </w:rPr>
        <w:t xml:space="preserve"> </w:t>
      </w:r>
      <w:r w:rsidRPr="007741AC">
        <w:rPr>
          <w:rFonts w:ascii="Arial Narrow" w:hAnsi="Arial Narrow"/>
          <w:sz w:val="24"/>
          <w:szCs w:val="24"/>
        </w:rPr>
        <w:t>unchanged by use of the algorithm.</w:t>
      </w:r>
    </w:p>
    <w:p w14:paraId="097EBDA7" w14:textId="61B9C246" w:rsidR="00285096" w:rsidRPr="007741AC" w:rsidRDefault="00285096" w:rsidP="0051666E">
      <w:pPr>
        <w:spacing w:line="480" w:lineRule="auto"/>
        <w:rPr>
          <w:rFonts w:ascii="Arial Narrow" w:hAnsi="Arial Narrow"/>
          <w:sz w:val="24"/>
          <w:szCs w:val="24"/>
        </w:rPr>
      </w:pPr>
      <w:r>
        <w:rPr>
          <w:rFonts w:ascii="Arial Narrow" w:hAnsi="Arial Narrow"/>
          <w:sz w:val="24"/>
          <w:szCs w:val="24"/>
        </w:rPr>
        <w:t>Proportion of all</w:t>
      </w:r>
      <w:r w:rsidR="00D52F43">
        <w:rPr>
          <w:rFonts w:ascii="Arial Narrow" w:hAnsi="Arial Narrow"/>
          <w:sz w:val="24"/>
          <w:szCs w:val="24"/>
        </w:rPr>
        <w:t>-</w:t>
      </w:r>
      <w:r>
        <w:rPr>
          <w:rFonts w:ascii="Arial Narrow" w:hAnsi="Arial Narrow"/>
          <w:sz w:val="24"/>
          <w:szCs w:val="24"/>
        </w:rPr>
        <w:t>cause mortality in 90 days</w:t>
      </w:r>
      <w:r w:rsidR="003D2373">
        <w:rPr>
          <w:rFonts w:ascii="Arial Narrow" w:hAnsi="Arial Narrow"/>
          <w:sz w:val="24"/>
          <w:szCs w:val="24"/>
        </w:rPr>
        <w:t xml:space="preserve">, </w:t>
      </w:r>
      <w:r w:rsidR="00D52F43">
        <w:rPr>
          <w:rFonts w:ascii="Arial Narrow" w:hAnsi="Arial Narrow"/>
          <w:sz w:val="24"/>
          <w:szCs w:val="24"/>
        </w:rPr>
        <w:t>re-admiss</w:t>
      </w:r>
      <w:r>
        <w:rPr>
          <w:rFonts w:ascii="Arial Narrow" w:hAnsi="Arial Narrow"/>
          <w:sz w:val="24"/>
          <w:szCs w:val="24"/>
        </w:rPr>
        <w:t xml:space="preserve">ion </w:t>
      </w:r>
      <w:r w:rsidR="00D52F43">
        <w:rPr>
          <w:rFonts w:ascii="Arial Narrow" w:hAnsi="Arial Narrow"/>
          <w:sz w:val="24"/>
          <w:szCs w:val="24"/>
        </w:rPr>
        <w:t>within</w:t>
      </w:r>
      <w:r>
        <w:rPr>
          <w:rFonts w:ascii="Arial Narrow" w:hAnsi="Arial Narrow"/>
          <w:sz w:val="24"/>
          <w:szCs w:val="24"/>
        </w:rPr>
        <w:t xml:space="preserve"> 6 weeks</w:t>
      </w:r>
      <w:r w:rsidR="003D2373">
        <w:rPr>
          <w:rFonts w:ascii="Arial Narrow" w:hAnsi="Arial Narrow"/>
          <w:sz w:val="24"/>
          <w:szCs w:val="24"/>
        </w:rPr>
        <w:t>, AE’</w:t>
      </w:r>
      <w:r w:rsidR="00593643">
        <w:rPr>
          <w:rFonts w:ascii="Arial Narrow" w:hAnsi="Arial Narrow"/>
          <w:sz w:val="24"/>
          <w:szCs w:val="24"/>
        </w:rPr>
        <w:t xml:space="preserve">s, </w:t>
      </w:r>
      <w:r w:rsidR="003D2373">
        <w:rPr>
          <w:rFonts w:ascii="Arial Narrow" w:hAnsi="Arial Narrow"/>
          <w:sz w:val="24"/>
          <w:szCs w:val="24"/>
        </w:rPr>
        <w:t>SAE’s</w:t>
      </w:r>
      <w:r>
        <w:rPr>
          <w:rFonts w:ascii="Arial Narrow" w:hAnsi="Arial Narrow"/>
          <w:sz w:val="24"/>
          <w:szCs w:val="24"/>
        </w:rPr>
        <w:t xml:space="preserve"> along with their 95% confidence interval will be reported and compared between the two groups.</w:t>
      </w:r>
      <w:r w:rsidR="003D2373">
        <w:rPr>
          <w:rFonts w:ascii="Arial Narrow" w:hAnsi="Arial Narrow"/>
          <w:sz w:val="24"/>
          <w:szCs w:val="24"/>
        </w:rPr>
        <w:t xml:space="preserve"> </w:t>
      </w:r>
      <w:r w:rsidR="00593643">
        <w:rPr>
          <w:rFonts w:ascii="Arial Narrow" w:hAnsi="Arial Narrow"/>
          <w:sz w:val="24"/>
          <w:szCs w:val="24"/>
        </w:rPr>
        <w:t>Length of s</w:t>
      </w:r>
      <w:r w:rsidR="000125EF">
        <w:rPr>
          <w:rFonts w:ascii="Arial Narrow" w:hAnsi="Arial Narrow"/>
          <w:sz w:val="24"/>
          <w:szCs w:val="24"/>
        </w:rPr>
        <w:t>ta</w:t>
      </w:r>
      <w:r w:rsidR="00593643">
        <w:rPr>
          <w:rFonts w:ascii="Arial Narrow" w:hAnsi="Arial Narrow"/>
          <w:sz w:val="24"/>
          <w:szCs w:val="24"/>
        </w:rPr>
        <w:t xml:space="preserve">y in hospital will be reported and compared using suitable method (according to its distribution). </w:t>
      </w:r>
      <w:r w:rsidR="003D2373">
        <w:rPr>
          <w:rFonts w:ascii="Arial Narrow" w:hAnsi="Arial Narrow"/>
          <w:sz w:val="24"/>
          <w:szCs w:val="24"/>
        </w:rPr>
        <w:t>Other secondary outcomes will be reported using appropriate summary statistics.</w:t>
      </w:r>
    </w:p>
    <w:p w14:paraId="24F6F61A" w14:textId="30563250" w:rsidR="0051666E" w:rsidRPr="007741AC" w:rsidRDefault="0051666E">
      <w:pPr>
        <w:spacing w:line="480" w:lineRule="auto"/>
        <w:rPr>
          <w:rFonts w:ascii="Arial Narrow" w:hAnsi="Arial Narrow"/>
          <w:sz w:val="24"/>
          <w:szCs w:val="24"/>
        </w:rPr>
      </w:pPr>
      <w:r w:rsidRPr="007741AC">
        <w:rPr>
          <w:rFonts w:ascii="Arial Narrow" w:hAnsi="Arial Narrow"/>
          <w:sz w:val="24"/>
          <w:szCs w:val="24"/>
        </w:rPr>
        <w:t xml:space="preserve">Data cleaning and analysis will be provided by </w:t>
      </w:r>
      <w:r w:rsidR="00BF2C33">
        <w:rPr>
          <w:rFonts w:ascii="Arial Narrow" w:hAnsi="Arial Narrow"/>
          <w:sz w:val="24"/>
          <w:szCs w:val="24"/>
        </w:rPr>
        <w:t>the study statistician</w:t>
      </w:r>
      <w:r w:rsidRPr="007741AC">
        <w:rPr>
          <w:rFonts w:ascii="Arial Narrow" w:hAnsi="Arial Narrow"/>
          <w:sz w:val="24"/>
          <w:szCs w:val="24"/>
        </w:rPr>
        <w:t>. Analysis will follow intention to treat principles with patients analysed according to randomisation and irrespective of actual use or compliance with the algorithm. Every effort will be made to retain and include all patients who are part of the trial.</w:t>
      </w:r>
      <w:r w:rsidR="00351251" w:rsidRPr="007741AC">
        <w:rPr>
          <w:rFonts w:ascii="Arial Narrow" w:hAnsi="Arial Narrow"/>
          <w:sz w:val="24"/>
          <w:szCs w:val="24"/>
        </w:rPr>
        <w:t xml:space="preserve"> D</w:t>
      </w:r>
      <w:r w:rsidRPr="007741AC">
        <w:rPr>
          <w:rFonts w:ascii="Arial Narrow" w:hAnsi="Arial Narrow"/>
          <w:sz w:val="24"/>
          <w:szCs w:val="24"/>
        </w:rPr>
        <w:t xml:space="preserve">ata will be analysed using </w:t>
      </w:r>
      <w:r w:rsidR="00351251" w:rsidRPr="007741AC">
        <w:rPr>
          <w:rFonts w:ascii="Arial Narrow" w:hAnsi="Arial Narrow"/>
          <w:sz w:val="24"/>
          <w:szCs w:val="24"/>
        </w:rPr>
        <w:t>STATA</w:t>
      </w:r>
      <w:r w:rsidR="00AD7C74" w:rsidRPr="007741AC">
        <w:rPr>
          <w:rFonts w:ascii="Arial Narrow" w:hAnsi="Arial Narrow"/>
          <w:sz w:val="24"/>
          <w:szCs w:val="24"/>
        </w:rPr>
        <w:t xml:space="preserve"> (StataCorp)</w:t>
      </w:r>
      <w:r w:rsidR="008A3357" w:rsidRPr="007741AC">
        <w:rPr>
          <w:rFonts w:ascii="Arial Narrow" w:hAnsi="Arial Narrow"/>
          <w:sz w:val="24"/>
          <w:szCs w:val="24"/>
        </w:rPr>
        <w:t xml:space="preserve"> SE</w:t>
      </w:r>
      <w:r w:rsidR="000C7A2E" w:rsidRPr="007741AC">
        <w:rPr>
          <w:rFonts w:ascii="Arial Narrow" w:hAnsi="Arial Narrow"/>
          <w:sz w:val="24"/>
          <w:szCs w:val="24"/>
        </w:rPr>
        <w:t xml:space="preserve"> 15</w:t>
      </w:r>
      <w:r w:rsidRPr="007741AC">
        <w:rPr>
          <w:rFonts w:ascii="Arial Narrow" w:hAnsi="Arial Narrow"/>
          <w:sz w:val="24"/>
          <w:szCs w:val="24"/>
        </w:rPr>
        <w:t xml:space="preserve">. </w:t>
      </w:r>
    </w:p>
    <w:p w14:paraId="314C144B" w14:textId="04732F8B" w:rsidR="0051666E" w:rsidRPr="007741AC" w:rsidRDefault="0051666E" w:rsidP="0051666E">
      <w:pPr>
        <w:spacing w:line="480" w:lineRule="auto"/>
        <w:rPr>
          <w:rFonts w:ascii="Arial Narrow" w:hAnsi="Arial Narrow"/>
          <w:sz w:val="24"/>
          <w:szCs w:val="24"/>
        </w:rPr>
      </w:pPr>
      <w:r w:rsidRPr="007741AC">
        <w:rPr>
          <w:rFonts w:ascii="Arial Narrow" w:hAnsi="Arial Narrow"/>
          <w:sz w:val="24"/>
          <w:szCs w:val="24"/>
        </w:rPr>
        <w:t>Economic analysis will be conducted from an NHS perspective</w:t>
      </w:r>
      <w:r w:rsidR="00AD7C74" w:rsidRPr="007741AC">
        <w:rPr>
          <w:rFonts w:ascii="Arial Narrow" w:hAnsi="Arial Narrow"/>
          <w:sz w:val="24"/>
          <w:szCs w:val="24"/>
        </w:rPr>
        <w:t>, following similar principles and practices to the analysis of clinical outco</w:t>
      </w:r>
      <w:r w:rsidR="00590D06" w:rsidRPr="007741AC">
        <w:rPr>
          <w:rFonts w:ascii="Arial Narrow" w:hAnsi="Arial Narrow"/>
          <w:sz w:val="24"/>
          <w:szCs w:val="24"/>
        </w:rPr>
        <w:t>m</w:t>
      </w:r>
      <w:r w:rsidR="00AD7C74" w:rsidRPr="007741AC">
        <w:rPr>
          <w:rFonts w:ascii="Arial Narrow" w:hAnsi="Arial Narrow"/>
          <w:sz w:val="24"/>
          <w:szCs w:val="24"/>
        </w:rPr>
        <w:t>es</w:t>
      </w:r>
      <w:r w:rsidR="003D3F23" w:rsidRPr="007741AC">
        <w:rPr>
          <w:rFonts w:ascii="Arial Narrow" w:hAnsi="Arial Narrow"/>
          <w:sz w:val="24"/>
          <w:szCs w:val="24"/>
        </w:rPr>
        <w:t>.  Analysis of costs will be</w:t>
      </w:r>
      <w:r w:rsidRPr="007741AC">
        <w:rPr>
          <w:rFonts w:ascii="Arial Narrow" w:hAnsi="Arial Narrow"/>
          <w:sz w:val="24"/>
          <w:szCs w:val="24"/>
        </w:rPr>
        <w:t xml:space="preserve"> limited to hospital activity since</w:t>
      </w:r>
    </w:p>
    <w:p w14:paraId="51ABCD4F" w14:textId="1BBC6720" w:rsidR="0051666E" w:rsidRPr="007741AC" w:rsidRDefault="0051666E" w:rsidP="00AD7C74">
      <w:pPr>
        <w:spacing w:line="480" w:lineRule="auto"/>
        <w:rPr>
          <w:rFonts w:ascii="Arial Narrow" w:hAnsi="Arial Narrow"/>
          <w:sz w:val="24"/>
          <w:szCs w:val="24"/>
        </w:rPr>
      </w:pPr>
      <w:r w:rsidRPr="007741AC">
        <w:rPr>
          <w:rFonts w:ascii="Arial Narrow" w:hAnsi="Arial Narrow"/>
          <w:sz w:val="24"/>
          <w:szCs w:val="24"/>
        </w:rPr>
        <w:t xml:space="preserve">these will effectively determine patient costs during severe disease. </w:t>
      </w:r>
      <w:r w:rsidR="00AD7C74" w:rsidRPr="007741AC">
        <w:rPr>
          <w:rFonts w:ascii="Arial Narrow" w:hAnsi="Arial Narrow"/>
          <w:sz w:val="24"/>
          <w:szCs w:val="24"/>
        </w:rPr>
        <w:t xml:space="preserve">A within-trial economic analysis will use bootstrapped, adjusted, bivariate regression modelling of costs and QALYs (Quality Adjusted Life </w:t>
      </w:r>
      <w:r w:rsidR="00AD7C74" w:rsidRPr="007741AC">
        <w:rPr>
          <w:rFonts w:ascii="Arial Narrow" w:hAnsi="Arial Narrow"/>
          <w:sz w:val="24"/>
          <w:szCs w:val="24"/>
        </w:rPr>
        <w:lastRenderedPageBreak/>
        <w:t>Years),</w:t>
      </w:r>
      <w:r w:rsidRPr="007741AC">
        <w:rPr>
          <w:rFonts w:ascii="Arial Narrow" w:hAnsi="Arial Narrow"/>
          <w:sz w:val="24"/>
          <w:szCs w:val="24"/>
        </w:rPr>
        <w:t xml:space="preserve"> adjusted for baseline scores and stratifying variables</w:t>
      </w:r>
      <w:r w:rsidR="00576E7E">
        <w:rPr>
          <w:rFonts w:ascii="Arial Narrow" w:hAnsi="Arial Narrow"/>
          <w:sz w:val="24"/>
          <w:szCs w:val="24"/>
        </w:rPr>
        <w:t xml:space="preserve"> (36)</w:t>
      </w:r>
      <w:r w:rsidRPr="007741AC">
        <w:rPr>
          <w:rFonts w:ascii="Arial Narrow" w:hAnsi="Arial Narrow"/>
          <w:sz w:val="24"/>
          <w:szCs w:val="24"/>
        </w:rPr>
        <w:t xml:space="preserve">. </w:t>
      </w:r>
      <w:r w:rsidR="00AD7C74" w:rsidRPr="007741AC">
        <w:rPr>
          <w:rFonts w:ascii="Arial Narrow" w:hAnsi="Arial Narrow"/>
          <w:sz w:val="24"/>
          <w:szCs w:val="24"/>
        </w:rPr>
        <w:t>Analyses will be presented as</w:t>
      </w:r>
      <w:r w:rsidRPr="007741AC">
        <w:rPr>
          <w:rFonts w:ascii="Arial Narrow" w:hAnsi="Arial Narrow"/>
          <w:sz w:val="24"/>
          <w:szCs w:val="24"/>
        </w:rPr>
        <w:t xml:space="preserve"> </w:t>
      </w:r>
      <w:r w:rsidR="00AD7C74" w:rsidRPr="007741AC">
        <w:rPr>
          <w:rFonts w:ascii="Arial Narrow" w:hAnsi="Arial Narrow"/>
          <w:sz w:val="24"/>
          <w:szCs w:val="24"/>
        </w:rPr>
        <w:t xml:space="preserve">an </w:t>
      </w:r>
      <w:r w:rsidRPr="007741AC">
        <w:rPr>
          <w:rFonts w:ascii="Arial Narrow" w:hAnsi="Arial Narrow"/>
          <w:sz w:val="24"/>
          <w:szCs w:val="24"/>
        </w:rPr>
        <w:t>incremental cost-effectiveness plane, cost-effectiveness acceptability curve and by net monetary benefit</w:t>
      </w:r>
      <w:r w:rsidR="003D3F23" w:rsidRPr="007741AC">
        <w:rPr>
          <w:rFonts w:ascii="Arial Narrow" w:hAnsi="Arial Narrow"/>
          <w:sz w:val="24"/>
          <w:szCs w:val="24"/>
        </w:rPr>
        <w:t>.  An</w:t>
      </w:r>
      <w:r w:rsidR="00AD7C74" w:rsidRPr="007741AC">
        <w:rPr>
          <w:rFonts w:ascii="Arial Narrow" w:hAnsi="Arial Narrow"/>
          <w:sz w:val="24"/>
          <w:szCs w:val="24"/>
        </w:rPr>
        <w:t xml:space="preserve"> expected value of perfect information (EVPI) analysis will also be provided</w:t>
      </w:r>
      <w:r w:rsidRPr="007741AC">
        <w:rPr>
          <w:rFonts w:ascii="Arial Narrow" w:hAnsi="Arial Narrow"/>
          <w:sz w:val="24"/>
          <w:szCs w:val="24"/>
        </w:rPr>
        <w:t xml:space="preserve">. Given the timeframe of 6 weeks, discounting of future costs and benefits will not be applied. </w:t>
      </w:r>
    </w:p>
    <w:p w14:paraId="3157F058" w14:textId="77777777" w:rsidR="00030D47" w:rsidRPr="007741AC" w:rsidRDefault="00030D47" w:rsidP="00030D47">
      <w:pPr>
        <w:spacing w:line="480" w:lineRule="auto"/>
        <w:rPr>
          <w:rFonts w:ascii="Arial Narrow" w:hAnsi="Arial Narrow"/>
          <w:sz w:val="24"/>
          <w:szCs w:val="24"/>
        </w:rPr>
      </w:pPr>
    </w:p>
    <w:p w14:paraId="51E79180" w14:textId="51A35474" w:rsidR="0051018C" w:rsidRPr="007741AC" w:rsidRDefault="0051018C" w:rsidP="009B54DB">
      <w:pPr>
        <w:spacing w:line="480" w:lineRule="auto"/>
        <w:outlineLvl w:val="0"/>
        <w:rPr>
          <w:rFonts w:ascii="Arial Narrow" w:hAnsi="Arial Narrow"/>
          <w:b/>
          <w:i/>
          <w:sz w:val="24"/>
          <w:szCs w:val="24"/>
        </w:rPr>
      </w:pPr>
      <w:r w:rsidRPr="007741AC">
        <w:rPr>
          <w:rFonts w:ascii="Arial Narrow" w:hAnsi="Arial Narrow"/>
          <w:b/>
          <w:i/>
          <w:sz w:val="24"/>
          <w:szCs w:val="24"/>
        </w:rPr>
        <w:t>Data Monitoring</w:t>
      </w:r>
      <w:r w:rsidR="005564BF" w:rsidRPr="007741AC">
        <w:rPr>
          <w:rFonts w:ascii="Arial Narrow" w:hAnsi="Arial Narrow"/>
          <w:b/>
          <w:i/>
          <w:sz w:val="24"/>
          <w:szCs w:val="24"/>
        </w:rPr>
        <w:t xml:space="preserve"> Committee (DMC)</w:t>
      </w:r>
    </w:p>
    <w:p w14:paraId="384C5B9E" w14:textId="5E2A386B" w:rsidR="00345ED5" w:rsidRPr="007741AC" w:rsidRDefault="005564BF" w:rsidP="00345ED5">
      <w:pPr>
        <w:spacing w:line="480" w:lineRule="auto"/>
        <w:rPr>
          <w:rFonts w:ascii="Arial Narrow" w:hAnsi="Arial Narrow"/>
          <w:sz w:val="24"/>
          <w:szCs w:val="24"/>
        </w:rPr>
      </w:pPr>
      <w:r w:rsidRPr="007741AC">
        <w:rPr>
          <w:rFonts w:ascii="Arial Narrow" w:hAnsi="Arial Narrow"/>
          <w:sz w:val="24"/>
          <w:szCs w:val="24"/>
        </w:rPr>
        <w:t>There will be an independent Da</w:t>
      </w:r>
      <w:r w:rsidR="00EF1F46" w:rsidRPr="007741AC">
        <w:rPr>
          <w:rFonts w:ascii="Arial Narrow" w:hAnsi="Arial Narrow"/>
          <w:sz w:val="24"/>
          <w:szCs w:val="24"/>
        </w:rPr>
        <w:t>ta Monitoring Committee (DMC)</w:t>
      </w:r>
      <w:r w:rsidR="00835EFE" w:rsidRPr="007741AC">
        <w:rPr>
          <w:rFonts w:ascii="Arial Narrow" w:hAnsi="Arial Narrow"/>
          <w:sz w:val="24"/>
          <w:szCs w:val="24"/>
        </w:rPr>
        <w:t>, working to a DAMOCLES charter, agreed before trial commencement</w:t>
      </w:r>
      <w:r w:rsidR="00576E7E">
        <w:rPr>
          <w:rFonts w:ascii="Arial Narrow" w:hAnsi="Arial Narrow"/>
          <w:sz w:val="24"/>
          <w:szCs w:val="24"/>
        </w:rPr>
        <w:t xml:space="preserve"> (37)</w:t>
      </w:r>
      <w:r w:rsidR="00835EFE" w:rsidRPr="007741AC">
        <w:rPr>
          <w:rFonts w:ascii="Arial Narrow" w:hAnsi="Arial Narrow"/>
          <w:sz w:val="24"/>
          <w:szCs w:val="24"/>
        </w:rPr>
        <w:t xml:space="preserve">. </w:t>
      </w:r>
      <w:r w:rsidR="001B0165" w:rsidRPr="007741AC">
        <w:rPr>
          <w:rFonts w:ascii="Arial Narrow" w:hAnsi="Arial Narrow"/>
          <w:sz w:val="24"/>
          <w:szCs w:val="24"/>
        </w:rPr>
        <w:t>It is anticipated that t</w:t>
      </w:r>
      <w:r w:rsidRPr="007741AC">
        <w:rPr>
          <w:rFonts w:ascii="Arial Narrow" w:hAnsi="Arial Narrow"/>
          <w:sz w:val="24"/>
          <w:szCs w:val="24"/>
        </w:rPr>
        <w:t>he committee will be constituted with an indep</w:t>
      </w:r>
      <w:r w:rsidR="00345ED5" w:rsidRPr="007741AC">
        <w:rPr>
          <w:rFonts w:ascii="Arial Narrow" w:hAnsi="Arial Narrow"/>
          <w:sz w:val="24"/>
          <w:szCs w:val="24"/>
        </w:rPr>
        <w:t>endent chair</w:t>
      </w:r>
      <w:r w:rsidR="001B0165" w:rsidRPr="007741AC">
        <w:rPr>
          <w:rFonts w:ascii="Arial Narrow" w:hAnsi="Arial Narrow"/>
          <w:sz w:val="24"/>
          <w:szCs w:val="24"/>
        </w:rPr>
        <w:t>, a statistician and a patient advocate</w:t>
      </w:r>
      <w:r w:rsidRPr="007741AC">
        <w:rPr>
          <w:rFonts w:ascii="Arial Narrow" w:hAnsi="Arial Narrow"/>
          <w:sz w:val="24"/>
          <w:szCs w:val="24"/>
        </w:rPr>
        <w:t xml:space="preserve">.  </w:t>
      </w:r>
      <w:r w:rsidR="00345ED5" w:rsidRPr="007741AC">
        <w:rPr>
          <w:rFonts w:ascii="Arial Narrow" w:hAnsi="Arial Narrow"/>
          <w:sz w:val="24"/>
          <w:szCs w:val="24"/>
        </w:rPr>
        <w:t>The DMC will consider protocol adherence, trial withdrawal, safety monitoring</w:t>
      </w:r>
      <w:r w:rsidR="00E71459" w:rsidRPr="007741AC">
        <w:rPr>
          <w:rFonts w:ascii="Arial Narrow" w:hAnsi="Arial Narrow"/>
          <w:sz w:val="24"/>
          <w:szCs w:val="24"/>
        </w:rPr>
        <w:t xml:space="preserve"> and make recommendations around the continuance of the trial.</w:t>
      </w:r>
    </w:p>
    <w:p w14:paraId="5E0C7C11" w14:textId="7264EBC8" w:rsidR="00345ED5" w:rsidRPr="007741AC" w:rsidRDefault="00E71459" w:rsidP="0031221A">
      <w:pPr>
        <w:spacing w:line="480" w:lineRule="auto"/>
        <w:rPr>
          <w:rFonts w:ascii="Arial Narrow" w:hAnsi="Arial Narrow"/>
          <w:sz w:val="24"/>
          <w:szCs w:val="24"/>
        </w:rPr>
      </w:pPr>
      <w:r w:rsidRPr="007741AC">
        <w:rPr>
          <w:rFonts w:ascii="Arial Narrow" w:hAnsi="Arial Narrow"/>
          <w:sz w:val="24"/>
          <w:szCs w:val="24"/>
        </w:rPr>
        <w:t xml:space="preserve">The DMC will convene prior to commencement of the trial and at 6 monthly intervals.  </w:t>
      </w:r>
      <w:r w:rsidR="0031221A" w:rsidRPr="007741AC">
        <w:rPr>
          <w:rFonts w:ascii="Arial Narrow" w:hAnsi="Arial Narrow"/>
          <w:sz w:val="24"/>
          <w:szCs w:val="24"/>
        </w:rPr>
        <w:t>R</w:t>
      </w:r>
      <w:r w:rsidRPr="007741AC">
        <w:rPr>
          <w:rFonts w:ascii="Arial Narrow" w:hAnsi="Arial Narrow"/>
          <w:sz w:val="24"/>
          <w:szCs w:val="24"/>
        </w:rPr>
        <w:t>ecommend</w:t>
      </w:r>
      <w:r w:rsidR="00A31317" w:rsidRPr="007741AC">
        <w:rPr>
          <w:rFonts w:ascii="Arial Narrow" w:hAnsi="Arial Narrow"/>
          <w:sz w:val="24"/>
          <w:szCs w:val="24"/>
        </w:rPr>
        <w:t>ations for</w:t>
      </w:r>
      <w:r w:rsidRPr="007741AC">
        <w:rPr>
          <w:rFonts w:ascii="Arial Narrow" w:hAnsi="Arial Narrow"/>
          <w:sz w:val="24"/>
          <w:szCs w:val="24"/>
        </w:rPr>
        <w:t xml:space="preserve"> study continuation</w:t>
      </w:r>
      <w:r w:rsidR="00A31317" w:rsidRPr="007741AC">
        <w:rPr>
          <w:rFonts w:ascii="Arial Narrow" w:hAnsi="Arial Narrow"/>
          <w:sz w:val="24"/>
          <w:szCs w:val="24"/>
        </w:rPr>
        <w:t>,</w:t>
      </w:r>
      <w:r w:rsidRPr="007741AC">
        <w:rPr>
          <w:rFonts w:ascii="Arial Narrow" w:hAnsi="Arial Narrow"/>
          <w:sz w:val="24"/>
          <w:szCs w:val="24"/>
        </w:rPr>
        <w:t xml:space="preserve"> </w:t>
      </w:r>
      <w:r w:rsidR="00A31317" w:rsidRPr="007741AC">
        <w:rPr>
          <w:rFonts w:ascii="Arial Narrow" w:hAnsi="Arial Narrow"/>
          <w:sz w:val="24"/>
          <w:szCs w:val="24"/>
        </w:rPr>
        <w:t xml:space="preserve">modification </w:t>
      </w:r>
      <w:r w:rsidRPr="007741AC">
        <w:rPr>
          <w:rFonts w:ascii="Arial Narrow" w:hAnsi="Arial Narrow"/>
          <w:sz w:val="24"/>
          <w:szCs w:val="24"/>
        </w:rPr>
        <w:t xml:space="preserve">or termination will be provided in a confidential report to the </w:t>
      </w:r>
      <w:r w:rsidR="001704F3" w:rsidRPr="007741AC">
        <w:rPr>
          <w:rFonts w:ascii="Arial Narrow" w:hAnsi="Arial Narrow"/>
          <w:sz w:val="24"/>
          <w:szCs w:val="24"/>
        </w:rPr>
        <w:t>Trial Steering Committee</w:t>
      </w:r>
      <w:r w:rsidRPr="007741AC">
        <w:rPr>
          <w:rFonts w:ascii="Arial Narrow" w:hAnsi="Arial Narrow"/>
          <w:sz w:val="24"/>
          <w:szCs w:val="24"/>
        </w:rPr>
        <w:t xml:space="preserve">. </w:t>
      </w:r>
    </w:p>
    <w:p w14:paraId="71AF4AC2" w14:textId="77777777" w:rsidR="00FB418E" w:rsidRPr="007741AC" w:rsidRDefault="00FB418E" w:rsidP="0031221A">
      <w:pPr>
        <w:spacing w:line="480" w:lineRule="auto"/>
        <w:rPr>
          <w:rFonts w:ascii="Arial Narrow" w:hAnsi="Arial Narrow"/>
          <w:sz w:val="24"/>
          <w:szCs w:val="24"/>
        </w:rPr>
      </w:pPr>
    </w:p>
    <w:p w14:paraId="6CD3E2C5" w14:textId="19B02B84" w:rsidR="00FB418E" w:rsidRPr="007741AC" w:rsidRDefault="001704F3" w:rsidP="0031221A">
      <w:pPr>
        <w:spacing w:line="480" w:lineRule="auto"/>
        <w:rPr>
          <w:rFonts w:ascii="Arial Narrow" w:hAnsi="Arial Narrow"/>
          <w:b/>
          <w:i/>
          <w:sz w:val="24"/>
          <w:szCs w:val="24"/>
        </w:rPr>
      </w:pPr>
      <w:r w:rsidRPr="007741AC">
        <w:rPr>
          <w:rFonts w:ascii="Arial Narrow" w:hAnsi="Arial Narrow"/>
          <w:b/>
          <w:i/>
          <w:sz w:val="24"/>
          <w:szCs w:val="24"/>
        </w:rPr>
        <w:t>Trial Steering C</w:t>
      </w:r>
      <w:r w:rsidR="00FB418E" w:rsidRPr="007741AC">
        <w:rPr>
          <w:rFonts w:ascii="Arial Narrow" w:hAnsi="Arial Narrow"/>
          <w:b/>
          <w:i/>
          <w:sz w:val="24"/>
          <w:szCs w:val="24"/>
        </w:rPr>
        <w:t>ommittee</w:t>
      </w:r>
    </w:p>
    <w:p w14:paraId="356C318E" w14:textId="28701FD7" w:rsidR="001B0165" w:rsidRDefault="001B0165" w:rsidP="0031221A">
      <w:pPr>
        <w:spacing w:line="480" w:lineRule="auto"/>
        <w:rPr>
          <w:rFonts w:ascii="Arial Narrow" w:hAnsi="Arial Narrow"/>
          <w:sz w:val="24"/>
          <w:szCs w:val="24"/>
        </w:rPr>
      </w:pPr>
      <w:r w:rsidRPr="007741AC">
        <w:rPr>
          <w:rFonts w:ascii="Arial Narrow" w:hAnsi="Arial Narrow"/>
          <w:sz w:val="24"/>
          <w:szCs w:val="24"/>
        </w:rPr>
        <w:t xml:space="preserve">The Trial Steering Committee will have an independent chairperson and an independent member together with the principal investigator, trial co-ordinator and statistician.  The TSC will meet </w:t>
      </w:r>
      <w:r w:rsidR="00576E7E">
        <w:rPr>
          <w:rFonts w:ascii="Arial Narrow" w:hAnsi="Arial Narrow"/>
          <w:sz w:val="24"/>
          <w:szCs w:val="24"/>
        </w:rPr>
        <w:t>6 monthly</w:t>
      </w:r>
      <w:r w:rsidRPr="007741AC">
        <w:rPr>
          <w:rFonts w:ascii="Arial Narrow" w:hAnsi="Arial Narrow"/>
          <w:sz w:val="24"/>
          <w:szCs w:val="24"/>
        </w:rPr>
        <w:t>.</w:t>
      </w:r>
    </w:p>
    <w:p w14:paraId="7A0BED7F" w14:textId="77777777" w:rsidR="008E3651" w:rsidRDefault="008E3651" w:rsidP="0031221A">
      <w:pPr>
        <w:spacing w:line="480" w:lineRule="auto"/>
        <w:rPr>
          <w:rFonts w:ascii="Arial Narrow" w:hAnsi="Arial Narrow"/>
          <w:sz w:val="24"/>
          <w:szCs w:val="24"/>
        </w:rPr>
      </w:pPr>
    </w:p>
    <w:p w14:paraId="36A31401" w14:textId="117D3485" w:rsidR="008E3651" w:rsidRDefault="008E3651" w:rsidP="0031221A">
      <w:pPr>
        <w:spacing w:line="480" w:lineRule="auto"/>
        <w:rPr>
          <w:rFonts w:ascii="Arial Narrow" w:hAnsi="Arial Narrow"/>
          <w:b/>
          <w:i/>
          <w:sz w:val="24"/>
          <w:szCs w:val="24"/>
        </w:rPr>
      </w:pPr>
      <w:r>
        <w:rPr>
          <w:rFonts w:ascii="Arial Narrow" w:hAnsi="Arial Narrow"/>
          <w:b/>
          <w:i/>
          <w:sz w:val="24"/>
          <w:szCs w:val="24"/>
        </w:rPr>
        <w:t>Governance arrangements</w:t>
      </w:r>
    </w:p>
    <w:p w14:paraId="29432F60" w14:textId="0B54801A" w:rsidR="008E3651" w:rsidRPr="008E3651" w:rsidRDefault="008E3651" w:rsidP="0031221A">
      <w:pPr>
        <w:spacing w:line="480" w:lineRule="auto"/>
        <w:rPr>
          <w:rFonts w:ascii="Arial Narrow" w:hAnsi="Arial Narrow"/>
          <w:sz w:val="24"/>
          <w:szCs w:val="24"/>
        </w:rPr>
      </w:pPr>
      <w:r>
        <w:rPr>
          <w:rFonts w:ascii="Arial Narrow" w:hAnsi="Arial Narrow"/>
          <w:sz w:val="24"/>
          <w:szCs w:val="24"/>
        </w:rPr>
        <w:t>The sponsor will put in place monitoring and oversight arrangements appropriate to the needs of the trial.</w:t>
      </w:r>
    </w:p>
    <w:p w14:paraId="6F2C1980" w14:textId="77777777" w:rsidR="00FB3EC1" w:rsidRPr="007741AC" w:rsidRDefault="00FB3EC1" w:rsidP="00FB3EC1">
      <w:pPr>
        <w:spacing w:line="480" w:lineRule="auto"/>
        <w:rPr>
          <w:rFonts w:ascii="Arial Narrow" w:hAnsi="Arial Narrow"/>
          <w:b/>
          <w:bCs/>
          <w:i/>
          <w:iCs/>
          <w:sz w:val="24"/>
          <w:szCs w:val="24"/>
        </w:rPr>
      </w:pPr>
    </w:p>
    <w:p w14:paraId="40546549" w14:textId="4CE66216" w:rsidR="00FB3EC1" w:rsidRPr="007741AC" w:rsidRDefault="00FB3EC1" w:rsidP="009B54DB">
      <w:pPr>
        <w:spacing w:line="480" w:lineRule="auto"/>
        <w:outlineLvl w:val="0"/>
        <w:rPr>
          <w:rFonts w:ascii="Arial Narrow" w:hAnsi="Arial Narrow"/>
          <w:b/>
          <w:bCs/>
          <w:i/>
          <w:iCs/>
          <w:sz w:val="24"/>
          <w:szCs w:val="24"/>
        </w:rPr>
      </w:pPr>
      <w:r w:rsidRPr="007741AC">
        <w:rPr>
          <w:rFonts w:ascii="Arial Narrow" w:hAnsi="Arial Narrow"/>
          <w:b/>
          <w:bCs/>
          <w:i/>
          <w:iCs/>
          <w:sz w:val="24"/>
          <w:szCs w:val="24"/>
        </w:rPr>
        <w:t xml:space="preserve">Adverse </w:t>
      </w:r>
      <w:r w:rsidR="00016535" w:rsidRPr="007741AC">
        <w:rPr>
          <w:rFonts w:ascii="Arial Narrow" w:hAnsi="Arial Narrow"/>
          <w:b/>
          <w:bCs/>
          <w:i/>
          <w:iCs/>
          <w:sz w:val="24"/>
          <w:szCs w:val="24"/>
        </w:rPr>
        <w:t>event reporting</w:t>
      </w:r>
    </w:p>
    <w:p w14:paraId="00BE8208" w14:textId="725D795F" w:rsidR="00FB3EC1" w:rsidRPr="007741AC" w:rsidRDefault="00FB3EC1" w:rsidP="00FB3EC1">
      <w:pPr>
        <w:spacing w:line="480" w:lineRule="auto"/>
        <w:rPr>
          <w:rFonts w:ascii="Arial Narrow" w:hAnsi="Arial Narrow"/>
          <w:sz w:val="24"/>
          <w:szCs w:val="24"/>
        </w:rPr>
      </w:pPr>
      <w:r w:rsidRPr="007741AC">
        <w:rPr>
          <w:rFonts w:ascii="Arial Narrow" w:hAnsi="Arial Narrow"/>
          <w:sz w:val="24"/>
          <w:szCs w:val="24"/>
        </w:rPr>
        <w:t>An adverse event is defined as “any untoward medical occurrence that may present during the conduct of the trial, not necessarily have a causal relationship with the intervention being investigated”</w:t>
      </w:r>
      <w:r w:rsidR="00EF74A3">
        <w:rPr>
          <w:rFonts w:ascii="Arial Narrow" w:hAnsi="Arial Narrow"/>
          <w:sz w:val="24"/>
          <w:szCs w:val="24"/>
        </w:rPr>
        <w:t xml:space="preserve"> (38,</w:t>
      </w:r>
      <w:r w:rsidR="001327BC">
        <w:rPr>
          <w:rFonts w:ascii="Arial Narrow" w:hAnsi="Arial Narrow"/>
          <w:sz w:val="24"/>
          <w:szCs w:val="24"/>
        </w:rPr>
        <w:t xml:space="preserve"> </w:t>
      </w:r>
      <w:r w:rsidR="00EF74A3">
        <w:rPr>
          <w:rFonts w:ascii="Arial Narrow" w:hAnsi="Arial Narrow"/>
          <w:sz w:val="24"/>
          <w:szCs w:val="24"/>
        </w:rPr>
        <w:t>39)</w:t>
      </w:r>
      <w:r w:rsidRPr="007741AC">
        <w:rPr>
          <w:rFonts w:ascii="Arial Narrow" w:hAnsi="Arial Narrow"/>
          <w:sz w:val="24"/>
          <w:szCs w:val="24"/>
        </w:rPr>
        <w:t>.</w:t>
      </w:r>
      <w:r w:rsidRPr="007741AC">
        <w:rPr>
          <w:rFonts w:ascii="Arial Narrow" w:hAnsi="Arial Narrow"/>
          <w:sz w:val="24"/>
          <w:szCs w:val="24"/>
          <w:vertAlign w:val="superscript"/>
        </w:rPr>
        <w:t xml:space="preserve"> </w:t>
      </w:r>
      <w:r w:rsidRPr="007741AC">
        <w:rPr>
          <w:rFonts w:ascii="Arial Narrow" w:hAnsi="Arial Narrow"/>
          <w:sz w:val="24"/>
          <w:szCs w:val="24"/>
        </w:rPr>
        <w:t xml:space="preserve"> </w:t>
      </w:r>
      <w:r w:rsidRPr="007741AC">
        <w:rPr>
          <w:rFonts w:ascii="Arial Narrow" w:hAnsi="Arial Narrow"/>
          <w:sz w:val="24"/>
          <w:szCs w:val="24"/>
        </w:rPr>
        <w:lastRenderedPageBreak/>
        <w:t>An adverse event can therefore be any unfavourable and unintended sign, symptom or disease temporally associated with the trial.</w:t>
      </w:r>
    </w:p>
    <w:p w14:paraId="278F1E96" w14:textId="77777777" w:rsidR="00FB3EC1" w:rsidRPr="007741AC" w:rsidRDefault="00FB3EC1" w:rsidP="009B54DB">
      <w:pPr>
        <w:spacing w:line="480" w:lineRule="auto"/>
        <w:outlineLvl w:val="0"/>
        <w:rPr>
          <w:rFonts w:ascii="Arial Narrow" w:hAnsi="Arial Narrow"/>
          <w:sz w:val="24"/>
          <w:szCs w:val="24"/>
        </w:rPr>
      </w:pPr>
      <w:r w:rsidRPr="007741AC">
        <w:rPr>
          <w:rFonts w:ascii="Arial Narrow" w:hAnsi="Arial Narrow"/>
          <w:sz w:val="24"/>
          <w:szCs w:val="24"/>
        </w:rPr>
        <w:t xml:space="preserve">All adverse events will be assessed for </w:t>
      </w:r>
    </w:p>
    <w:p w14:paraId="38952461" w14:textId="77777777" w:rsidR="00FB3EC1" w:rsidRPr="007741AC" w:rsidRDefault="00FB3EC1" w:rsidP="00FB3EC1">
      <w:pPr>
        <w:numPr>
          <w:ilvl w:val="0"/>
          <w:numId w:val="46"/>
        </w:numPr>
        <w:spacing w:line="480" w:lineRule="auto"/>
        <w:rPr>
          <w:rFonts w:ascii="Arial Narrow" w:hAnsi="Arial Narrow"/>
          <w:sz w:val="24"/>
          <w:szCs w:val="24"/>
        </w:rPr>
      </w:pPr>
      <w:r w:rsidRPr="007741AC">
        <w:rPr>
          <w:rFonts w:ascii="Arial Narrow" w:hAnsi="Arial Narrow"/>
          <w:sz w:val="24"/>
          <w:szCs w:val="24"/>
        </w:rPr>
        <w:t>Seriousness</w:t>
      </w:r>
    </w:p>
    <w:p w14:paraId="4CA171F2" w14:textId="77777777" w:rsidR="00FB3EC1" w:rsidRPr="007741AC" w:rsidRDefault="00FB3EC1" w:rsidP="00FB3EC1">
      <w:pPr>
        <w:numPr>
          <w:ilvl w:val="0"/>
          <w:numId w:val="46"/>
        </w:numPr>
        <w:spacing w:line="480" w:lineRule="auto"/>
        <w:rPr>
          <w:rFonts w:ascii="Arial Narrow" w:hAnsi="Arial Narrow"/>
          <w:sz w:val="24"/>
          <w:szCs w:val="24"/>
        </w:rPr>
      </w:pPr>
      <w:r w:rsidRPr="007741AC">
        <w:rPr>
          <w:rFonts w:ascii="Arial Narrow" w:hAnsi="Arial Narrow"/>
          <w:sz w:val="24"/>
          <w:szCs w:val="24"/>
        </w:rPr>
        <w:t>Causality</w:t>
      </w:r>
    </w:p>
    <w:p w14:paraId="689D24D5" w14:textId="77777777" w:rsidR="00FB3EC1" w:rsidRPr="007741AC" w:rsidRDefault="00FB3EC1" w:rsidP="00FB3EC1">
      <w:pPr>
        <w:numPr>
          <w:ilvl w:val="0"/>
          <w:numId w:val="46"/>
        </w:numPr>
        <w:spacing w:line="480" w:lineRule="auto"/>
        <w:rPr>
          <w:rFonts w:ascii="Arial Narrow" w:hAnsi="Arial Narrow"/>
          <w:sz w:val="24"/>
          <w:szCs w:val="24"/>
        </w:rPr>
      </w:pPr>
      <w:r w:rsidRPr="007741AC">
        <w:rPr>
          <w:rFonts w:ascii="Arial Narrow" w:hAnsi="Arial Narrow"/>
          <w:sz w:val="24"/>
          <w:szCs w:val="24"/>
        </w:rPr>
        <w:t xml:space="preserve">Expectedness </w:t>
      </w:r>
    </w:p>
    <w:p w14:paraId="6F9AEA00" w14:textId="6B982D81" w:rsidR="00FB3EC1" w:rsidRPr="007741AC" w:rsidRDefault="00FB3EC1" w:rsidP="00FB3EC1">
      <w:pPr>
        <w:spacing w:line="480" w:lineRule="auto"/>
        <w:rPr>
          <w:rFonts w:ascii="Arial Narrow" w:hAnsi="Arial Narrow"/>
          <w:sz w:val="24"/>
          <w:szCs w:val="24"/>
        </w:rPr>
      </w:pPr>
      <w:r w:rsidRPr="007741AC">
        <w:rPr>
          <w:rFonts w:ascii="Arial Narrow" w:hAnsi="Arial Narrow"/>
          <w:sz w:val="24"/>
          <w:szCs w:val="24"/>
        </w:rPr>
        <w:t>The research fellow will notify the principle in</w:t>
      </w:r>
      <w:r w:rsidR="008E3651">
        <w:rPr>
          <w:rFonts w:ascii="Arial Narrow" w:hAnsi="Arial Narrow"/>
          <w:sz w:val="24"/>
          <w:szCs w:val="24"/>
        </w:rPr>
        <w:t>vestigator of the adverse event</w:t>
      </w:r>
      <w:r w:rsidRPr="007741AC">
        <w:rPr>
          <w:rFonts w:ascii="Arial Narrow" w:hAnsi="Arial Narrow"/>
          <w:sz w:val="24"/>
          <w:szCs w:val="24"/>
        </w:rPr>
        <w:t xml:space="preserve">. The principle investigator will determine whether it is an Adverse event (AE), Serious Adverse Event (SAE) </w:t>
      </w:r>
      <w:r w:rsidR="008E3651">
        <w:rPr>
          <w:rFonts w:ascii="Arial Narrow" w:hAnsi="Arial Narrow"/>
          <w:sz w:val="24"/>
          <w:szCs w:val="24"/>
        </w:rPr>
        <w:t xml:space="preserve">or </w:t>
      </w:r>
      <w:r w:rsidRPr="007741AC">
        <w:rPr>
          <w:rFonts w:ascii="Arial Narrow" w:hAnsi="Arial Narrow"/>
          <w:sz w:val="24"/>
          <w:szCs w:val="24"/>
        </w:rPr>
        <w:t>Serious adverse reactio</w:t>
      </w:r>
      <w:r w:rsidR="008E3651">
        <w:rPr>
          <w:rFonts w:ascii="Arial Narrow" w:hAnsi="Arial Narrow"/>
          <w:sz w:val="24"/>
          <w:szCs w:val="24"/>
        </w:rPr>
        <w:t>n (SAR)</w:t>
      </w:r>
      <w:r w:rsidRPr="007741AC">
        <w:rPr>
          <w:rFonts w:ascii="Arial Narrow" w:hAnsi="Arial Narrow"/>
          <w:sz w:val="24"/>
          <w:szCs w:val="24"/>
        </w:rPr>
        <w:t xml:space="preserve">. He will also keep the sponsor (MFT) informed of the event. </w:t>
      </w:r>
    </w:p>
    <w:p w14:paraId="250FEE0C" w14:textId="41026F27" w:rsidR="00FB3EC1" w:rsidRDefault="00FB3EC1" w:rsidP="00FB3EC1">
      <w:pPr>
        <w:spacing w:line="480" w:lineRule="auto"/>
        <w:rPr>
          <w:rFonts w:ascii="Arial Narrow" w:hAnsi="Arial Narrow"/>
          <w:sz w:val="24"/>
          <w:szCs w:val="24"/>
        </w:rPr>
      </w:pPr>
      <w:r w:rsidRPr="007741AC">
        <w:rPr>
          <w:rFonts w:ascii="Arial Narrow" w:hAnsi="Arial Narrow"/>
          <w:sz w:val="24"/>
          <w:szCs w:val="24"/>
        </w:rPr>
        <w:t>All adverse events will be recorded in line with European Directive 2001/20/EC and reco</w:t>
      </w:r>
      <w:r w:rsidR="001327BC">
        <w:rPr>
          <w:rFonts w:ascii="Arial Narrow" w:hAnsi="Arial Narrow"/>
          <w:sz w:val="24"/>
          <w:szCs w:val="24"/>
        </w:rPr>
        <w:t>rded in the case report form (40</w:t>
      </w:r>
      <w:r w:rsidRPr="007741AC">
        <w:rPr>
          <w:rFonts w:ascii="Arial Narrow" w:hAnsi="Arial Narrow"/>
          <w:sz w:val="24"/>
          <w:szCs w:val="24"/>
        </w:rPr>
        <w:t>)</w:t>
      </w:r>
      <w:r w:rsidR="00386437" w:rsidRPr="007741AC">
        <w:rPr>
          <w:rFonts w:ascii="Arial Narrow" w:hAnsi="Arial Narrow"/>
          <w:sz w:val="24"/>
          <w:szCs w:val="24"/>
        </w:rPr>
        <w:t>.</w:t>
      </w:r>
      <w:r w:rsidRPr="007741AC">
        <w:rPr>
          <w:rFonts w:ascii="Arial Narrow" w:hAnsi="Arial Narrow"/>
          <w:sz w:val="24"/>
          <w:szCs w:val="24"/>
          <w:vertAlign w:val="superscript"/>
        </w:rPr>
        <w:t xml:space="preserve"> </w:t>
      </w:r>
      <w:r w:rsidRPr="007741AC">
        <w:rPr>
          <w:rFonts w:ascii="Arial Narrow" w:hAnsi="Arial Narrow"/>
          <w:sz w:val="24"/>
          <w:szCs w:val="24"/>
        </w:rPr>
        <w:t>An annual safety report to the data monitoring committee will be submitted.</w:t>
      </w:r>
    </w:p>
    <w:p w14:paraId="156F12CC" w14:textId="42F7ABAA" w:rsidR="008E3651" w:rsidRDefault="008E3651" w:rsidP="00FB3EC1">
      <w:pPr>
        <w:spacing w:line="480" w:lineRule="auto"/>
        <w:rPr>
          <w:rFonts w:ascii="Arial Narrow" w:hAnsi="Arial Narrow"/>
          <w:sz w:val="24"/>
          <w:szCs w:val="24"/>
        </w:rPr>
      </w:pPr>
      <w:r>
        <w:rPr>
          <w:rFonts w:ascii="Arial Narrow" w:hAnsi="Arial Narrow"/>
          <w:sz w:val="24"/>
          <w:szCs w:val="24"/>
        </w:rPr>
        <w:t>Serious adverse events (SAEs) will be reported by email to the Trust (</w:t>
      </w:r>
      <w:hyperlink r:id="rId9" w:history="1">
        <w:r w:rsidRPr="008D40DD">
          <w:rPr>
            <w:rStyle w:val="Hyperlink"/>
            <w:rFonts w:ascii="Arial Narrow" w:hAnsi="Arial Narrow"/>
            <w:sz w:val="24"/>
            <w:szCs w:val="24"/>
          </w:rPr>
          <w:t>adverse.events@mft.nhs.uk</w:t>
        </w:r>
      </w:hyperlink>
      <w:r>
        <w:rPr>
          <w:rFonts w:ascii="Arial Narrow" w:hAnsi="Arial Narrow"/>
          <w:sz w:val="24"/>
          <w:szCs w:val="24"/>
        </w:rPr>
        <w:t>).</w:t>
      </w:r>
    </w:p>
    <w:p w14:paraId="76735E5A" w14:textId="32817419" w:rsidR="008E3651" w:rsidRDefault="008E3651" w:rsidP="00FB3EC1">
      <w:pPr>
        <w:spacing w:line="480" w:lineRule="auto"/>
        <w:rPr>
          <w:rFonts w:ascii="Arial Narrow" w:hAnsi="Arial Narrow"/>
          <w:sz w:val="24"/>
          <w:szCs w:val="24"/>
        </w:rPr>
      </w:pPr>
      <w:r>
        <w:rPr>
          <w:rFonts w:ascii="Arial Narrow" w:hAnsi="Arial Narrow"/>
          <w:sz w:val="24"/>
          <w:szCs w:val="24"/>
        </w:rPr>
        <w:t>SAEs will be reported quarterly.</w:t>
      </w:r>
    </w:p>
    <w:p w14:paraId="20B041DD" w14:textId="77777777" w:rsidR="008E3651" w:rsidRPr="007741AC" w:rsidRDefault="008E3651" w:rsidP="00FB3EC1">
      <w:pPr>
        <w:spacing w:line="480" w:lineRule="auto"/>
        <w:rPr>
          <w:rFonts w:ascii="Arial Narrow" w:hAnsi="Arial Narrow"/>
          <w:sz w:val="24"/>
          <w:szCs w:val="24"/>
        </w:rPr>
      </w:pPr>
    </w:p>
    <w:p w14:paraId="2DB9CE4B" w14:textId="77777777" w:rsidR="005564BF" w:rsidRPr="007741AC" w:rsidRDefault="005564BF" w:rsidP="00030D47">
      <w:pPr>
        <w:spacing w:line="480" w:lineRule="auto"/>
        <w:rPr>
          <w:rFonts w:ascii="Arial Narrow" w:hAnsi="Arial Narrow"/>
          <w:sz w:val="24"/>
          <w:szCs w:val="24"/>
        </w:rPr>
      </w:pPr>
    </w:p>
    <w:p w14:paraId="15AC2DD2" w14:textId="65CBD1E9" w:rsidR="00030D47" w:rsidRPr="007741AC" w:rsidRDefault="00080522" w:rsidP="009B54DB">
      <w:pPr>
        <w:spacing w:line="480" w:lineRule="auto"/>
        <w:outlineLvl w:val="0"/>
        <w:rPr>
          <w:rFonts w:ascii="Arial Narrow" w:hAnsi="Arial Narrow"/>
          <w:b/>
          <w:i/>
          <w:sz w:val="24"/>
          <w:szCs w:val="24"/>
        </w:rPr>
      </w:pPr>
      <w:r w:rsidRPr="007741AC">
        <w:rPr>
          <w:rFonts w:ascii="Arial Narrow" w:hAnsi="Arial Narrow"/>
          <w:b/>
          <w:i/>
          <w:sz w:val="24"/>
          <w:szCs w:val="24"/>
        </w:rPr>
        <w:t>Stopping rules</w:t>
      </w:r>
      <w:r w:rsidR="001327BC">
        <w:rPr>
          <w:rFonts w:ascii="Arial Narrow" w:hAnsi="Arial Narrow"/>
          <w:b/>
          <w:i/>
          <w:sz w:val="24"/>
          <w:szCs w:val="24"/>
        </w:rPr>
        <w:t xml:space="preserve"> </w:t>
      </w:r>
    </w:p>
    <w:p w14:paraId="169537AA" w14:textId="74F236AA" w:rsidR="00924B7D" w:rsidRPr="007741AC" w:rsidRDefault="0031221A" w:rsidP="00030D47">
      <w:pPr>
        <w:spacing w:line="480" w:lineRule="auto"/>
        <w:rPr>
          <w:rFonts w:ascii="Arial Narrow" w:hAnsi="Arial Narrow"/>
          <w:sz w:val="24"/>
          <w:szCs w:val="24"/>
        </w:rPr>
      </w:pPr>
      <w:r w:rsidRPr="007741AC">
        <w:rPr>
          <w:rFonts w:ascii="Arial Narrow" w:hAnsi="Arial Narrow"/>
          <w:sz w:val="24"/>
          <w:szCs w:val="24"/>
        </w:rPr>
        <w:t>The trial may</w:t>
      </w:r>
      <w:r w:rsidR="003B6A76" w:rsidRPr="007741AC">
        <w:rPr>
          <w:rFonts w:ascii="Arial Narrow" w:hAnsi="Arial Narrow"/>
          <w:sz w:val="24"/>
          <w:szCs w:val="24"/>
        </w:rPr>
        <w:t xml:space="preserve"> be stopped </w:t>
      </w:r>
      <w:r w:rsidRPr="007741AC">
        <w:rPr>
          <w:rFonts w:ascii="Arial Narrow" w:hAnsi="Arial Narrow"/>
          <w:sz w:val="24"/>
          <w:szCs w:val="24"/>
        </w:rPr>
        <w:t xml:space="preserve">temporarily or permanently (following discussion with the DMC and sponsor) </w:t>
      </w:r>
      <w:r w:rsidR="003B6A76" w:rsidRPr="007741AC">
        <w:rPr>
          <w:rFonts w:ascii="Arial Narrow" w:hAnsi="Arial Narrow"/>
          <w:sz w:val="24"/>
          <w:szCs w:val="24"/>
        </w:rPr>
        <w:t>at any point if</w:t>
      </w:r>
      <w:r w:rsidR="001327BC">
        <w:rPr>
          <w:rFonts w:ascii="Arial Narrow" w:hAnsi="Arial Narrow"/>
          <w:sz w:val="24"/>
          <w:szCs w:val="24"/>
        </w:rPr>
        <w:t xml:space="preserve"> (41)</w:t>
      </w:r>
      <w:r w:rsidR="003B6A76" w:rsidRPr="007741AC">
        <w:rPr>
          <w:rFonts w:ascii="Arial Narrow" w:hAnsi="Arial Narrow"/>
          <w:sz w:val="24"/>
          <w:szCs w:val="24"/>
        </w:rPr>
        <w:t>:</w:t>
      </w:r>
    </w:p>
    <w:p w14:paraId="12F8C6BE" w14:textId="087F9152" w:rsidR="005564BF" w:rsidRPr="007741AC" w:rsidRDefault="005564BF" w:rsidP="003B6A76">
      <w:pPr>
        <w:pStyle w:val="ListParagraph"/>
        <w:numPr>
          <w:ilvl w:val="0"/>
          <w:numId w:val="33"/>
        </w:numPr>
        <w:spacing w:line="480" w:lineRule="auto"/>
        <w:rPr>
          <w:rFonts w:ascii="Arial Narrow" w:hAnsi="Arial Narrow"/>
          <w:sz w:val="24"/>
          <w:szCs w:val="24"/>
        </w:rPr>
      </w:pPr>
      <w:r w:rsidRPr="007741AC">
        <w:rPr>
          <w:rFonts w:ascii="Arial Narrow" w:hAnsi="Arial Narrow"/>
          <w:sz w:val="24"/>
          <w:szCs w:val="24"/>
        </w:rPr>
        <w:t>There is evidence of trial misconduct noted by the DMC or by the MFT Research and Innovation Department.</w:t>
      </w:r>
    </w:p>
    <w:p w14:paraId="08920FFC" w14:textId="77777777" w:rsidR="005564BF" w:rsidRPr="007741AC" w:rsidRDefault="005564BF" w:rsidP="003B6A76">
      <w:pPr>
        <w:pStyle w:val="ListParagraph"/>
        <w:numPr>
          <w:ilvl w:val="0"/>
          <w:numId w:val="33"/>
        </w:numPr>
        <w:spacing w:line="480" w:lineRule="auto"/>
        <w:rPr>
          <w:rFonts w:ascii="Arial Narrow" w:hAnsi="Arial Narrow"/>
          <w:sz w:val="24"/>
          <w:szCs w:val="24"/>
        </w:rPr>
      </w:pPr>
      <w:r w:rsidRPr="007741AC">
        <w:rPr>
          <w:rFonts w:ascii="Arial Narrow" w:hAnsi="Arial Narrow"/>
          <w:sz w:val="24"/>
          <w:szCs w:val="24"/>
        </w:rPr>
        <w:t>If there is evidence of futility or if there is evidence that the safety non-inferiority endpoint is not met.</w:t>
      </w:r>
    </w:p>
    <w:p w14:paraId="621F7561" w14:textId="16934C35" w:rsidR="003B6A76" w:rsidRPr="007741AC" w:rsidRDefault="005564BF" w:rsidP="008B3BD5">
      <w:pPr>
        <w:pStyle w:val="ListParagraph"/>
        <w:numPr>
          <w:ilvl w:val="0"/>
          <w:numId w:val="33"/>
        </w:numPr>
        <w:spacing w:line="480" w:lineRule="auto"/>
        <w:rPr>
          <w:rFonts w:ascii="Arial Narrow" w:hAnsi="Arial Narrow"/>
          <w:sz w:val="24"/>
          <w:szCs w:val="24"/>
        </w:rPr>
      </w:pPr>
      <w:r w:rsidRPr="007741AC">
        <w:rPr>
          <w:rFonts w:ascii="Arial Narrow" w:hAnsi="Arial Narrow"/>
          <w:sz w:val="24"/>
          <w:szCs w:val="24"/>
        </w:rPr>
        <w:t xml:space="preserve">If external scientific evidence emerges </w:t>
      </w:r>
      <w:r w:rsidR="008B3BD5" w:rsidRPr="007741AC">
        <w:rPr>
          <w:rFonts w:ascii="Arial Narrow" w:hAnsi="Arial Narrow"/>
          <w:sz w:val="24"/>
          <w:szCs w:val="24"/>
        </w:rPr>
        <w:t>to render the findings of this trial obsolete or irrelevant.</w:t>
      </w:r>
    </w:p>
    <w:p w14:paraId="2E127EC2" w14:textId="77777777" w:rsidR="003B6A76" w:rsidRPr="007741AC" w:rsidRDefault="003B6A76" w:rsidP="0039190E">
      <w:pPr>
        <w:spacing w:line="480" w:lineRule="auto"/>
        <w:rPr>
          <w:rFonts w:ascii="Arial Narrow" w:hAnsi="Arial Narrow"/>
          <w:sz w:val="24"/>
          <w:szCs w:val="24"/>
        </w:rPr>
      </w:pPr>
    </w:p>
    <w:p w14:paraId="71867544" w14:textId="6804DCE1" w:rsidR="00967B18" w:rsidRPr="007741AC" w:rsidRDefault="00967B18" w:rsidP="009B54DB">
      <w:pPr>
        <w:spacing w:line="480" w:lineRule="auto"/>
        <w:outlineLvl w:val="0"/>
        <w:rPr>
          <w:rFonts w:ascii="Arial Narrow" w:hAnsi="Arial Narrow"/>
          <w:b/>
          <w:i/>
          <w:sz w:val="24"/>
          <w:szCs w:val="24"/>
        </w:rPr>
      </w:pPr>
      <w:r w:rsidRPr="007741AC">
        <w:rPr>
          <w:rFonts w:ascii="Arial Narrow" w:hAnsi="Arial Narrow"/>
          <w:b/>
          <w:i/>
          <w:sz w:val="24"/>
          <w:szCs w:val="24"/>
        </w:rPr>
        <w:lastRenderedPageBreak/>
        <w:t>Patient and Public Involvement</w:t>
      </w:r>
      <w:r w:rsidR="007532D2" w:rsidRPr="007741AC">
        <w:rPr>
          <w:rFonts w:ascii="Arial Narrow" w:hAnsi="Arial Narrow"/>
          <w:b/>
          <w:i/>
          <w:sz w:val="24"/>
          <w:szCs w:val="24"/>
        </w:rPr>
        <w:t xml:space="preserve"> during protocol development</w:t>
      </w:r>
    </w:p>
    <w:p w14:paraId="3F9AED30" w14:textId="32FDD36B" w:rsidR="00E12E81" w:rsidRPr="007741AC" w:rsidRDefault="0007630A" w:rsidP="0039190E">
      <w:pPr>
        <w:spacing w:line="480" w:lineRule="auto"/>
        <w:rPr>
          <w:rFonts w:ascii="Arial Narrow" w:hAnsi="Arial Narrow"/>
          <w:sz w:val="24"/>
          <w:szCs w:val="24"/>
        </w:rPr>
      </w:pPr>
      <w:r w:rsidRPr="007741AC">
        <w:rPr>
          <w:rFonts w:ascii="Arial Narrow" w:hAnsi="Arial Narrow"/>
          <w:sz w:val="24"/>
          <w:szCs w:val="24"/>
        </w:rPr>
        <w:t>The idea for this study was generated by a patient. Mr PD developed severe acute pancreatitis with multi-system organ failure requiring ventilatory support.  He had a prolonged inpatient stay and required surgical debridement of pancreatic necrosis (necrosectomy).  During his prolonged recovery he complained that having been on intravenous broad-spectrum antibiotics almost daily for a period of nearly two months he found that his ap</w:t>
      </w:r>
      <w:r w:rsidR="00A2229D" w:rsidRPr="007741AC">
        <w:rPr>
          <w:rFonts w:ascii="Arial Narrow" w:hAnsi="Arial Narrow"/>
          <w:sz w:val="24"/>
          <w:szCs w:val="24"/>
        </w:rPr>
        <w:t>p</w:t>
      </w:r>
      <w:r w:rsidRPr="007741AC">
        <w:rPr>
          <w:rFonts w:ascii="Arial Narrow" w:hAnsi="Arial Narrow"/>
          <w:sz w:val="24"/>
          <w:szCs w:val="24"/>
        </w:rPr>
        <w:t xml:space="preserve">etite was poor, he could not taste his food and he had a sore mouth and discomfort from swallowing (this was related to secondary infection with candida – a consequence of critical illness and also of antibiotic therapy).  In addition, his arms were sore from the repeated siting of infusion cannulae and he complained of chronic </w:t>
      </w:r>
      <w:r w:rsidR="00651815" w:rsidRPr="007741AC">
        <w:rPr>
          <w:rFonts w:ascii="Arial Narrow" w:hAnsi="Arial Narrow"/>
          <w:sz w:val="24"/>
          <w:szCs w:val="24"/>
        </w:rPr>
        <w:t>diarrhoea</w:t>
      </w:r>
      <w:r w:rsidRPr="007741AC">
        <w:rPr>
          <w:rFonts w:ascii="Arial Narrow" w:hAnsi="Arial Narrow"/>
          <w:sz w:val="24"/>
          <w:szCs w:val="24"/>
        </w:rPr>
        <w:t xml:space="preserve"> and peri-anal discomfort.  He requested that antibiotics be discontinued and stated “by two months, the infection should have been treated”.  Following cessation of antibiotic therapy, his condition improved.</w:t>
      </w:r>
    </w:p>
    <w:p w14:paraId="358A2B2C" w14:textId="39FD3A21" w:rsidR="0007630A" w:rsidRPr="007741AC" w:rsidRDefault="0007630A" w:rsidP="0039190E">
      <w:pPr>
        <w:spacing w:line="480" w:lineRule="auto"/>
        <w:rPr>
          <w:rFonts w:ascii="Arial Narrow" w:hAnsi="Arial Narrow"/>
          <w:sz w:val="24"/>
          <w:szCs w:val="24"/>
        </w:rPr>
      </w:pPr>
      <w:r w:rsidRPr="007741AC">
        <w:rPr>
          <w:rFonts w:ascii="Arial Narrow" w:hAnsi="Arial Narrow"/>
          <w:sz w:val="24"/>
          <w:szCs w:val="24"/>
        </w:rPr>
        <w:t xml:space="preserve">Whilst it is not possible to </w:t>
      </w:r>
      <w:r w:rsidR="00967B18" w:rsidRPr="007741AC">
        <w:rPr>
          <w:rFonts w:ascii="Arial Narrow" w:hAnsi="Arial Narrow"/>
          <w:sz w:val="24"/>
          <w:szCs w:val="24"/>
        </w:rPr>
        <w:t>attribute</w:t>
      </w:r>
      <w:r w:rsidRPr="007741AC">
        <w:rPr>
          <w:rFonts w:ascii="Arial Narrow" w:hAnsi="Arial Narrow"/>
          <w:sz w:val="24"/>
          <w:szCs w:val="24"/>
        </w:rPr>
        <w:t xml:space="preserve"> </w:t>
      </w:r>
      <w:r w:rsidR="00967B18" w:rsidRPr="007741AC">
        <w:rPr>
          <w:rFonts w:ascii="Arial Narrow" w:hAnsi="Arial Narrow"/>
          <w:sz w:val="24"/>
          <w:szCs w:val="24"/>
        </w:rPr>
        <w:t xml:space="preserve">clinical improvement to </w:t>
      </w:r>
      <w:r w:rsidRPr="007741AC">
        <w:rPr>
          <w:rFonts w:ascii="Arial Narrow" w:hAnsi="Arial Narrow"/>
          <w:sz w:val="24"/>
          <w:szCs w:val="24"/>
        </w:rPr>
        <w:t xml:space="preserve">cessation of antibiotic therapy </w:t>
      </w:r>
      <w:r w:rsidR="00967B18" w:rsidRPr="007741AC">
        <w:rPr>
          <w:rFonts w:ascii="Arial Narrow" w:hAnsi="Arial Narrow"/>
          <w:sz w:val="24"/>
          <w:szCs w:val="24"/>
        </w:rPr>
        <w:t>with certainty</w:t>
      </w:r>
      <w:r w:rsidRPr="007741AC">
        <w:rPr>
          <w:rFonts w:ascii="Arial Narrow" w:hAnsi="Arial Narrow"/>
          <w:sz w:val="24"/>
          <w:szCs w:val="24"/>
        </w:rPr>
        <w:t>, the patient’s question about prolonged antibiotic therapy in the absence of infection is at the heart of this study.</w:t>
      </w:r>
    </w:p>
    <w:p w14:paraId="0CB79942" w14:textId="24C84668" w:rsidR="007A0156" w:rsidRPr="007741AC" w:rsidRDefault="00377093" w:rsidP="0039190E">
      <w:pPr>
        <w:spacing w:line="480" w:lineRule="auto"/>
        <w:rPr>
          <w:rFonts w:ascii="Arial Narrow" w:hAnsi="Arial Narrow"/>
          <w:sz w:val="24"/>
          <w:szCs w:val="24"/>
        </w:rPr>
      </w:pPr>
      <w:r w:rsidRPr="007741AC">
        <w:rPr>
          <w:rFonts w:ascii="Arial Narrow" w:hAnsi="Arial Narrow"/>
          <w:sz w:val="24"/>
          <w:szCs w:val="24"/>
        </w:rPr>
        <w:t>Subsequent</w:t>
      </w:r>
      <w:r w:rsidR="007A0156" w:rsidRPr="007741AC">
        <w:rPr>
          <w:rFonts w:ascii="Arial Narrow" w:hAnsi="Arial Narrow"/>
          <w:sz w:val="24"/>
          <w:szCs w:val="24"/>
        </w:rPr>
        <w:t xml:space="preserve"> patient experience has been assessed at the HPB service “patient-listening events”.  These are open sessions to which patients who have been under the care of the HPB service are invited to attend, together with family.  After an informal introduction, break-out sessions listen to aspects of care.  Three of these events have been held in 2013 and 2014 for a total of approximately 70 HPB patients.  Notes are taken on issues and an action plan formulated.  Progress on action plan is feedback at subsequent event.  These events have been attended by HPB patients with cancer and with pancreatitis.  The specific question of algorithm-driven pancreatitis care was discussed at a break-out table and comments from patients were:</w:t>
      </w:r>
    </w:p>
    <w:p w14:paraId="38293BA4" w14:textId="2A754BE3" w:rsidR="001F4707" w:rsidRPr="007741AC" w:rsidRDefault="007A0156" w:rsidP="0039190E">
      <w:pPr>
        <w:pStyle w:val="ListParagraph"/>
        <w:numPr>
          <w:ilvl w:val="0"/>
          <w:numId w:val="9"/>
        </w:numPr>
        <w:spacing w:line="480" w:lineRule="auto"/>
        <w:rPr>
          <w:rFonts w:ascii="Arial Narrow" w:hAnsi="Arial Narrow"/>
          <w:sz w:val="24"/>
          <w:szCs w:val="24"/>
        </w:rPr>
      </w:pPr>
      <w:r w:rsidRPr="007741AC">
        <w:rPr>
          <w:rFonts w:ascii="Arial Narrow" w:hAnsi="Arial Narrow"/>
          <w:sz w:val="24"/>
          <w:szCs w:val="24"/>
        </w:rPr>
        <w:t>The protocol should avoid unnecessary antibiotic use.</w:t>
      </w:r>
    </w:p>
    <w:p w14:paraId="466EF9E3" w14:textId="1929FDF5" w:rsidR="007A0156" w:rsidRPr="007741AC" w:rsidRDefault="007A0156" w:rsidP="0039190E">
      <w:pPr>
        <w:pStyle w:val="ListParagraph"/>
        <w:numPr>
          <w:ilvl w:val="0"/>
          <w:numId w:val="9"/>
        </w:numPr>
        <w:spacing w:line="480" w:lineRule="auto"/>
        <w:rPr>
          <w:rFonts w:ascii="Arial Narrow" w:hAnsi="Arial Narrow"/>
          <w:sz w:val="24"/>
          <w:szCs w:val="24"/>
        </w:rPr>
      </w:pPr>
      <w:r w:rsidRPr="007741AC">
        <w:rPr>
          <w:rFonts w:ascii="Arial Narrow" w:hAnsi="Arial Narrow"/>
          <w:sz w:val="24"/>
          <w:szCs w:val="24"/>
        </w:rPr>
        <w:t>Will my family doctor have to comply with the protocol if I am ill at home? (</w:t>
      </w:r>
      <w:r w:rsidR="00651815" w:rsidRPr="007741AC">
        <w:rPr>
          <w:rFonts w:ascii="Arial Narrow" w:hAnsi="Arial Narrow"/>
          <w:sz w:val="24"/>
          <w:szCs w:val="24"/>
        </w:rPr>
        <w:t>Answer</w:t>
      </w:r>
      <w:r w:rsidRPr="007741AC">
        <w:rPr>
          <w:rFonts w:ascii="Arial Narrow" w:hAnsi="Arial Narrow"/>
          <w:sz w:val="24"/>
          <w:szCs w:val="24"/>
        </w:rPr>
        <w:t>: no).</w:t>
      </w:r>
    </w:p>
    <w:p w14:paraId="3A2DC458" w14:textId="77777777" w:rsidR="00B50B75" w:rsidRPr="007741AC" w:rsidRDefault="00EB30D2" w:rsidP="00F16E85">
      <w:pPr>
        <w:pStyle w:val="ListParagraph"/>
        <w:numPr>
          <w:ilvl w:val="0"/>
          <w:numId w:val="9"/>
        </w:numPr>
        <w:spacing w:line="480" w:lineRule="auto"/>
        <w:rPr>
          <w:rFonts w:ascii="Arial Narrow" w:hAnsi="Arial Narrow"/>
          <w:sz w:val="24"/>
          <w:szCs w:val="24"/>
        </w:rPr>
      </w:pPr>
      <w:r w:rsidRPr="007741AC">
        <w:rPr>
          <w:rFonts w:ascii="Arial Narrow" w:hAnsi="Arial Narrow"/>
          <w:sz w:val="24"/>
          <w:szCs w:val="24"/>
        </w:rPr>
        <w:t>Why can’t more treatments be tested with such algorithms?</w:t>
      </w:r>
    </w:p>
    <w:p w14:paraId="71C748D7" w14:textId="77777777" w:rsidR="00B50B75" w:rsidRPr="007741AC" w:rsidRDefault="00B50B75" w:rsidP="009B54DB">
      <w:pPr>
        <w:spacing w:line="480" w:lineRule="auto"/>
        <w:outlineLvl w:val="0"/>
        <w:rPr>
          <w:rFonts w:ascii="Arial Narrow" w:hAnsi="Arial Narrow"/>
          <w:b/>
          <w:i/>
          <w:sz w:val="24"/>
          <w:szCs w:val="24"/>
        </w:rPr>
      </w:pPr>
      <w:r w:rsidRPr="007741AC">
        <w:rPr>
          <w:rFonts w:ascii="Arial Narrow" w:hAnsi="Arial Narrow"/>
          <w:b/>
          <w:i/>
          <w:sz w:val="24"/>
          <w:szCs w:val="24"/>
        </w:rPr>
        <w:lastRenderedPageBreak/>
        <w:t>Dissemination of results</w:t>
      </w:r>
    </w:p>
    <w:p w14:paraId="05424723" w14:textId="77777777" w:rsidR="00B50B75" w:rsidRPr="007741AC" w:rsidRDefault="00B50B75" w:rsidP="00B50B75">
      <w:pPr>
        <w:spacing w:line="480" w:lineRule="auto"/>
        <w:rPr>
          <w:rFonts w:ascii="Arial Narrow" w:hAnsi="Arial Narrow"/>
          <w:sz w:val="24"/>
          <w:szCs w:val="24"/>
        </w:rPr>
      </w:pPr>
      <w:r w:rsidRPr="007741AC">
        <w:rPr>
          <w:rFonts w:ascii="Arial Narrow" w:hAnsi="Arial Narrow"/>
          <w:sz w:val="24"/>
          <w:szCs w:val="24"/>
        </w:rPr>
        <w:t>Results will be reported at appropriate national and international meetings and published in a peer-reviewed journal.  The authors undertake to report the results of the completed trial.</w:t>
      </w:r>
    </w:p>
    <w:p w14:paraId="5AAFB3E6" w14:textId="77777777" w:rsidR="00B50B75" w:rsidRPr="007741AC" w:rsidRDefault="00B50B75" w:rsidP="00B50B75">
      <w:pPr>
        <w:spacing w:line="480" w:lineRule="auto"/>
        <w:rPr>
          <w:rFonts w:ascii="Arial Narrow" w:hAnsi="Arial Narrow"/>
          <w:sz w:val="24"/>
          <w:szCs w:val="24"/>
        </w:rPr>
      </w:pPr>
    </w:p>
    <w:p w14:paraId="21956283" w14:textId="77777777" w:rsidR="00B50B75" w:rsidRPr="007741AC" w:rsidRDefault="00B50B75" w:rsidP="009B54DB">
      <w:pPr>
        <w:spacing w:line="480" w:lineRule="auto"/>
        <w:outlineLvl w:val="0"/>
        <w:rPr>
          <w:rFonts w:ascii="Arial Narrow" w:hAnsi="Arial Narrow"/>
          <w:b/>
          <w:i/>
          <w:sz w:val="24"/>
          <w:szCs w:val="24"/>
        </w:rPr>
      </w:pPr>
      <w:r w:rsidRPr="007741AC">
        <w:rPr>
          <w:rFonts w:ascii="Arial Narrow" w:hAnsi="Arial Narrow"/>
          <w:b/>
          <w:i/>
          <w:sz w:val="24"/>
          <w:szCs w:val="24"/>
        </w:rPr>
        <w:t>Role of the sponsor and funding</w:t>
      </w:r>
    </w:p>
    <w:p w14:paraId="7AF0FAE7" w14:textId="3EBE684D" w:rsidR="00B50B75" w:rsidRPr="00986440" w:rsidRDefault="00B50B75" w:rsidP="00B50B75">
      <w:pPr>
        <w:spacing w:line="480" w:lineRule="auto"/>
        <w:rPr>
          <w:rFonts w:ascii="Arial Narrow" w:hAnsi="Arial Narrow"/>
          <w:sz w:val="24"/>
          <w:szCs w:val="24"/>
        </w:rPr>
      </w:pPr>
      <w:r w:rsidRPr="007741AC">
        <w:rPr>
          <w:rFonts w:ascii="Arial Narrow" w:hAnsi="Arial Narrow"/>
          <w:sz w:val="24"/>
          <w:szCs w:val="24"/>
        </w:rPr>
        <w:t>There is no external funding for this study.  Costs incurred for registration of the study with ISRCT</w:t>
      </w:r>
      <w:r w:rsidR="00D55F29" w:rsidRPr="007741AC">
        <w:rPr>
          <w:rFonts w:ascii="Arial Narrow" w:hAnsi="Arial Narrow"/>
          <w:sz w:val="24"/>
          <w:szCs w:val="24"/>
        </w:rPr>
        <w:t>N</w:t>
      </w:r>
      <w:r w:rsidRPr="00986440">
        <w:rPr>
          <w:rFonts w:ascii="Arial Narrow" w:hAnsi="Arial Narrow"/>
          <w:sz w:val="24"/>
          <w:szCs w:val="24"/>
        </w:rPr>
        <w:t>, web-based randomisation and the expenses of the Data Monitoring Committee were met from a Pancreatic Research Endowment fund (9033).  The sponsor had no role in the design of the study.</w:t>
      </w:r>
    </w:p>
    <w:p w14:paraId="1FB0A93E" w14:textId="55E743D2" w:rsidR="00B23D6B" w:rsidRPr="00D52F43" w:rsidRDefault="001F4707" w:rsidP="00D52F43">
      <w:pPr>
        <w:pStyle w:val="ListParagraph"/>
        <w:spacing w:after="200" w:line="480" w:lineRule="auto"/>
        <w:jc w:val="center"/>
        <w:outlineLvl w:val="0"/>
        <w:rPr>
          <w:rFonts w:ascii="Arial Narrow" w:hAnsi="Arial Narrow"/>
          <w:b/>
          <w:sz w:val="24"/>
          <w:szCs w:val="24"/>
        </w:rPr>
      </w:pPr>
      <w:r w:rsidRPr="00D52F43">
        <w:rPr>
          <w:rFonts w:ascii="Arial Narrow" w:hAnsi="Arial Narrow"/>
          <w:sz w:val="24"/>
          <w:szCs w:val="24"/>
        </w:rPr>
        <w:br w:type="page"/>
      </w:r>
      <w:r w:rsidR="008E092F" w:rsidRPr="00D52F43">
        <w:rPr>
          <w:rFonts w:ascii="Arial Narrow" w:hAnsi="Arial Narrow"/>
          <w:b/>
          <w:sz w:val="24"/>
          <w:szCs w:val="24"/>
        </w:rPr>
        <w:lastRenderedPageBreak/>
        <w:t xml:space="preserve">Figure </w:t>
      </w:r>
      <w:r w:rsidR="00F16E85" w:rsidRPr="00D52F43">
        <w:rPr>
          <w:rFonts w:ascii="Arial Narrow" w:hAnsi="Arial Narrow"/>
          <w:b/>
          <w:sz w:val="24"/>
          <w:szCs w:val="24"/>
        </w:rPr>
        <w:t>1</w:t>
      </w:r>
      <w:r w:rsidR="008E092F" w:rsidRPr="00D52F43">
        <w:rPr>
          <w:rFonts w:ascii="Arial Narrow" w:hAnsi="Arial Narrow"/>
          <w:b/>
          <w:sz w:val="24"/>
          <w:szCs w:val="24"/>
        </w:rPr>
        <w:t xml:space="preserve">: </w:t>
      </w:r>
      <w:r w:rsidR="00B23D6B" w:rsidRPr="00D52F43">
        <w:rPr>
          <w:rFonts w:ascii="Arial Narrow" w:hAnsi="Arial Narrow"/>
          <w:b/>
          <w:sz w:val="24"/>
          <w:szCs w:val="24"/>
        </w:rPr>
        <w:t>PROCAP flowchart.</w:t>
      </w:r>
    </w:p>
    <w:p w14:paraId="1FD81364" w14:textId="48153E24" w:rsidR="00B23D6B" w:rsidRPr="007741AC" w:rsidRDefault="00B23D6B" w:rsidP="0039190E">
      <w:pPr>
        <w:spacing w:line="480" w:lineRule="auto"/>
        <w:jc w:val="center"/>
        <w:rPr>
          <w:rFonts w:ascii="Arial Narrow" w:hAnsi="Arial Narrow"/>
          <w:b/>
          <w:sz w:val="24"/>
          <w:szCs w:val="24"/>
        </w:rPr>
      </w:pPr>
      <w:r w:rsidRPr="007741AC">
        <w:rPr>
          <w:rFonts w:ascii="Arial Narrow" w:hAnsi="Arial Narrow"/>
          <w:b/>
          <w:noProof/>
          <w:sz w:val="24"/>
          <w:szCs w:val="24"/>
          <w:lang w:eastAsia="en-GB"/>
        </w:rPr>
        <w:drawing>
          <wp:inline distT="0" distB="0" distL="0" distR="0" wp14:anchorId="71FDBDB9" wp14:editId="5862F308">
            <wp:extent cx="5306166" cy="5677693"/>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P Flowchart Draft 1.png"/>
                    <pic:cNvPicPr/>
                  </pic:nvPicPr>
                  <pic:blipFill>
                    <a:blip r:embed="rId10">
                      <a:extLst>
                        <a:ext uri="{28A0092B-C50C-407E-A947-70E740481C1C}">
                          <a14:useLocalDpi xmlns:a14="http://schemas.microsoft.com/office/drawing/2010/main" val="0"/>
                        </a:ext>
                      </a:extLst>
                    </a:blip>
                    <a:stretch>
                      <a:fillRect/>
                    </a:stretch>
                  </pic:blipFill>
                  <pic:spPr>
                    <a:xfrm>
                      <a:off x="0" y="0"/>
                      <a:ext cx="5306166" cy="5677693"/>
                    </a:xfrm>
                    <a:prstGeom prst="rect">
                      <a:avLst/>
                    </a:prstGeom>
                  </pic:spPr>
                </pic:pic>
              </a:graphicData>
            </a:graphic>
          </wp:inline>
        </w:drawing>
      </w:r>
    </w:p>
    <w:p w14:paraId="584B6E4C" w14:textId="77777777" w:rsidR="008E092F" w:rsidRPr="007741AC" w:rsidRDefault="008E092F" w:rsidP="0039190E">
      <w:pPr>
        <w:spacing w:line="480" w:lineRule="auto"/>
        <w:jc w:val="center"/>
        <w:rPr>
          <w:rFonts w:ascii="Arial Narrow" w:hAnsi="Arial Narrow"/>
          <w:b/>
          <w:sz w:val="24"/>
          <w:szCs w:val="24"/>
        </w:rPr>
      </w:pPr>
    </w:p>
    <w:p w14:paraId="60D351A5" w14:textId="77777777" w:rsidR="008E092F" w:rsidRPr="007741AC" w:rsidRDefault="008E092F" w:rsidP="0039190E">
      <w:pPr>
        <w:spacing w:line="480" w:lineRule="auto"/>
        <w:jc w:val="center"/>
        <w:rPr>
          <w:rFonts w:ascii="Arial Narrow" w:hAnsi="Arial Narrow"/>
          <w:b/>
          <w:sz w:val="24"/>
          <w:szCs w:val="24"/>
        </w:rPr>
      </w:pPr>
    </w:p>
    <w:p w14:paraId="25F00055" w14:textId="77777777" w:rsidR="008E092F" w:rsidRPr="007741AC" w:rsidRDefault="008E092F" w:rsidP="0039190E">
      <w:pPr>
        <w:spacing w:line="480" w:lineRule="auto"/>
        <w:jc w:val="center"/>
        <w:rPr>
          <w:rFonts w:ascii="Arial Narrow" w:hAnsi="Arial Narrow"/>
          <w:b/>
          <w:sz w:val="24"/>
          <w:szCs w:val="24"/>
        </w:rPr>
      </w:pPr>
    </w:p>
    <w:p w14:paraId="03498B1C" w14:textId="77777777" w:rsidR="008E092F" w:rsidRPr="007741AC" w:rsidRDefault="008E092F" w:rsidP="0039190E">
      <w:pPr>
        <w:spacing w:line="480" w:lineRule="auto"/>
        <w:jc w:val="center"/>
        <w:rPr>
          <w:rFonts w:ascii="Arial Narrow" w:hAnsi="Arial Narrow"/>
          <w:b/>
          <w:sz w:val="24"/>
          <w:szCs w:val="24"/>
        </w:rPr>
      </w:pPr>
    </w:p>
    <w:tbl>
      <w:tblPr>
        <w:tblStyle w:val="LightGrid"/>
        <w:tblpPr w:leftFromText="180" w:rightFromText="180" w:vertAnchor="text" w:horzAnchor="margin" w:tblpXSpec="center" w:tblpY="-23"/>
        <w:tblW w:w="9701" w:type="dxa"/>
        <w:tblLook w:val="04A0" w:firstRow="1" w:lastRow="0" w:firstColumn="1" w:lastColumn="0" w:noHBand="0" w:noVBand="1"/>
      </w:tblPr>
      <w:tblGrid>
        <w:gridCol w:w="2306"/>
        <w:gridCol w:w="3697"/>
        <w:gridCol w:w="3698"/>
      </w:tblGrid>
      <w:tr w:rsidR="003E5041" w:rsidRPr="007741AC" w14:paraId="07B67D8A" w14:textId="77777777" w:rsidTr="003E5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01" w:type="dxa"/>
            <w:gridSpan w:val="3"/>
          </w:tcPr>
          <w:p w14:paraId="29A2AA07" w14:textId="77777777" w:rsidR="001F0087" w:rsidRPr="001C0C62" w:rsidRDefault="001F0087" w:rsidP="0039190E">
            <w:pPr>
              <w:spacing w:line="480" w:lineRule="auto"/>
              <w:jc w:val="center"/>
              <w:rPr>
                <w:rFonts w:ascii="Arial Narrow" w:hAnsi="Arial Narrow"/>
                <w:sz w:val="24"/>
                <w:szCs w:val="24"/>
              </w:rPr>
            </w:pPr>
          </w:p>
          <w:p w14:paraId="70AF149B" w14:textId="1EDB8536" w:rsidR="003E5041" w:rsidRPr="001C0C62" w:rsidRDefault="003E5041" w:rsidP="00F16E85">
            <w:pPr>
              <w:spacing w:line="480" w:lineRule="auto"/>
              <w:jc w:val="center"/>
              <w:rPr>
                <w:rFonts w:ascii="Arial Narrow" w:hAnsi="Arial Narrow"/>
                <w:sz w:val="24"/>
                <w:szCs w:val="24"/>
              </w:rPr>
            </w:pPr>
            <w:r w:rsidRPr="007741AC">
              <w:rPr>
                <w:rFonts w:ascii="Arial Narrow" w:hAnsi="Arial Narrow"/>
                <w:sz w:val="24"/>
                <w:szCs w:val="24"/>
              </w:rPr>
              <w:t xml:space="preserve">Table </w:t>
            </w:r>
            <w:r w:rsidR="00F16E85" w:rsidRPr="007741AC">
              <w:rPr>
                <w:rFonts w:ascii="Arial Narrow" w:hAnsi="Arial Narrow"/>
                <w:sz w:val="24"/>
                <w:szCs w:val="24"/>
              </w:rPr>
              <w:t>1</w:t>
            </w:r>
            <w:r w:rsidRPr="007741AC">
              <w:rPr>
                <w:rFonts w:ascii="Arial Narrow" w:hAnsi="Arial Narrow"/>
                <w:sz w:val="24"/>
                <w:szCs w:val="24"/>
              </w:rPr>
              <w:t xml:space="preserve">: Procalcitonin-based algorithm to guide antimicrobial use in </w:t>
            </w:r>
            <w:r w:rsidR="001F0087" w:rsidRPr="007741AC">
              <w:rPr>
                <w:rFonts w:ascii="Arial Narrow" w:hAnsi="Arial Narrow"/>
                <w:sz w:val="24"/>
                <w:szCs w:val="24"/>
              </w:rPr>
              <w:t>acute pancreatitis.</w:t>
            </w:r>
          </w:p>
        </w:tc>
      </w:tr>
      <w:tr w:rsidR="003E5041" w:rsidRPr="007741AC" w14:paraId="2B39CD75" w14:textId="77777777" w:rsidTr="00F16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01" w:type="dxa"/>
            <w:gridSpan w:val="3"/>
            <w:shd w:val="clear" w:color="auto" w:fill="C6D9F1" w:themeFill="text2" w:themeFillTint="33"/>
          </w:tcPr>
          <w:p w14:paraId="78B3F7E4" w14:textId="35D15582" w:rsidR="00CF6BD0" w:rsidRPr="00637F17" w:rsidRDefault="003E5041" w:rsidP="0039190E">
            <w:pPr>
              <w:spacing w:line="480" w:lineRule="auto"/>
              <w:jc w:val="center"/>
              <w:rPr>
                <w:rFonts w:ascii="Arial Narrow" w:hAnsi="Arial Narrow"/>
                <w:sz w:val="24"/>
                <w:szCs w:val="24"/>
              </w:rPr>
            </w:pPr>
            <w:r w:rsidRPr="007741AC">
              <w:rPr>
                <w:rFonts w:ascii="Arial Narrow" w:hAnsi="Arial Narrow"/>
                <w:sz w:val="24"/>
                <w:szCs w:val="24"/>
              </w:rPr>
              <w:t xml:space="preserve">Evaluation </w:t>
            </w:r>
            <w:r w:rsidR="00C71FA2" w:rsidRPr="00637F17">
              <w:rPr>
                <w:rFonts w:ascii="Arial Narrow" w:hAnsi="Arial Narrow"/>
                <w:sz w:val="24"/>
                <w:szCs w:val="24"/>
              </w:rPr>
              <w:t xml:space="preserve">only </w:t>
            </w:r>
            <w:r w:rsidR="001F0087" w:rsidRPr="00637F17">
              <w:rPr>
                <w:rFonts w:ascii="Arial Narrow" w:hAnsi="Arial Narrow"/>
                <w:sz w:val="24"/>
                <w:szCs w:val="24"/>
              </w:rPr>
              <w:t xml:space="preserve">after enrolment </w:t>
            </w:r>
            <w:r w:rsidRPr="00637F17">
              <w:rPr>
                <w:rFonts w:ascii="Arial Narrow" w:hAnsi="Arial Narrow"/>
                <w:sz w:val="24"/>
                <w:szCs w:val="24"/>
              </w:rPr>
              <w:t>a</w:t>
            </w:r>
            <w:r w:rsidR="00CF6BD0" w:rsidRPr="00637F17">
              <w:rPr>
                <w:rFonts w:ascii="Arial Narrow" w:hAnsi="Arial Narrow"/>
                <w:sz w:val="24"/>
                <w:szCs w:val="24"/>
              </w:rPr>
              <w:t>t time of admission to hospital</w:t>
            </w:r>
          </w:p>
        </w:tc>
      </w:tr>
      <w:tr w:rsidR="001F0087" w:rsidRPr="007741AC" w14:paraId="535482AF" w14:textId="77777777" w:rsidTr="001F00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tcPr>
          <w:p w14:paraId="638BBD12" w14:textId="77777777" w:rsidR="001F0087" w:rsidRPr="007741AC" w:rsidRDefault="001F0087" w:rsidP="0039190E">
            <w:pPr>
              <w:spacing w:line="480" w:lineRule="auto"/>
              <w:rPr>
                <w:rFonts w:ascii="Arial Narrow" w:hAnsi="Arial Narrow"/>
                <w:sz w:val="24"/>
                <w:szCs w:val="24"/>
              </w:rPr>
            </w:pPr>
          </w:p>
          <w:p w14:paraId="02E144E4" w14:textId="77777777" w:rsidR="001F0087" w:rsidRPr="00C37B9B" w:rsidRDefault="001F0087" w:rsidP="0039190E">
            <w:pPr>
              <w:spacing w:line="480" w:lineRule="auto"/>
              <w:rPr>
                <w:rFonts w:ascii="Arial Narrow" w:hAnsi="Arial Narrow"/>
                <w:sz w:val="24"/>
                <w:szCs w:val="24"/>
              </w:rPr>
            </w:pPr>
            <w:r w:rsidRPr="00C37B9B">
              <w:rPr>
                <w:rFonts w:ascii="Arial Narrow" w:hAnsi="Arial Narrow"/>
                <w:sz w:val="24"/>
                <w:szCs w:val="24"/>
              </w:rPr>
              <w:t>Procalcitonin result</w:t>
            </w:r>
          </w:p>
        </w:tc>
        <w:tc>
          <w:tcPr>
            <w:tcW w:w="3697" w:type="dxa"/>
          </w:tcPr>
          <w:p w14:paraId="0BEEFF79" w14:textId="77777777" w:rsidR="001F0087" w:rsidRPr="007741AC" w:rsidRDefault="001F0087" w:rsidP="0039190E">
            <w:pPr>
              <w:spacing w:line="480" w:lineRule="auto"/>
              <w:cnfStyle w:val="000000010000" w:firstRow="0" w:lastRow="0" w:firstColumn="0" w:lastColumn="0" w:oddVBand="0" w:evenVBand="0" w:oddHBand="0" w:evenHBand="1" w:firstRowFirstColumn="0" w:firstRowLastColumn="0" w:lastRowFirstColumn="0" w:lastRowLastColumn="0"/>
              <w:rPr>
                <w:rFonts w:ascii="Arial Narrow" w:hAnsi="Arial Narrow"/>
                <w:b/>
                <w:sz w:val="24"/>
                <w:szCs w:val="24"/>
              </w:rPr>
            </w:pPr>
          </w:p>
          <w:p w14:paraId="6ACB8791" w14:textId="74BD663C" w:rsidR="001F0087" w:rsidRPr="007741AC" w:rsidRDefault="001F0087" w:rsidP="0039190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24"/>
                <w:szCs w:val="24"/>
              </w:rPr>
            </w:pPr>
            <w:r w:rsidRPr="007741AC">
              <w:rPr>
                <w:rFonts w:ascii="Arial Narrow" w:hAnsi="Arial Narrow"/>
                <w:b/>
                <w:sz w:val="24"/>
                <w:szCs w:val="24"/>
              </w:rPr>
              <w:t xml:space="preserve">&lt; </w:t>
            </w:r>
            <w:r w:rsidR="00C22CFC" w:rsidRPr="007741AC">
              <w:rPr>
                <w:rFonts w:ascii="Arial Narrow" w:hAnsi="Arial Narrow"/>
                <w:b/>
                <w:sz w:val="24"/>
                <w:szCs w:val="24"/>
              </w:rPr>
              <w:t>1.0</w:t>
            </w:r>
            <w:r w:rsidRPr="007741AC">
              <w:rPr>
                <w:rFonts w:ascii="Arial Narrow" w:hAnsi="Arial Narrow"/>
                <w:b/>
                <w:sz w:val="24"/>
                <w:szCs w:val="24"/>
              </w:rPr>
              <w:t xml:space="preserve"> µg/L</w:t>
            </w:r>
          </w:p>
        </w:tc>
        <w:tc>
          <w:tcPr>
            <w:tcW w:w="3698" w:type="dxa"/>
          </w:tcPr>
          <w:p w14:paraId="73F196B9" w14:textId="7CCCD720" w:rsidR="001F0087" w:rsidRPr="007741AC" w:rsidRDefault="001F0087" w:rsidP="0039190E">
            <w:pPr>
              <w:spacing w:line="480" w:lineRule="auto"/>
              <w:cnfStyle w:val="000000010000" w:firstRow="0" w:lastRow="0" w:firstColumn="0" w:lastColumn="0" w:oddVBand="0" w:evenVBand="0" w:oddHBand="0" w:evenHBand="1" w:firstRowFirstColumn="0" w:firstRowLastColumn="0" w:lastRowFirstColumn="0" w:lastRowLastColumn="0"/>
              <w:rPr>
                <w:rFonts w:ascii="Arial Narrow" w:hAnsi="Arial Narrow"/>
                <w:b/>
                <w:sz w:val="24"/>
                <w:szCs w:val="24"/>
              </w:rPr>
            </w:pPr>
          </w:p>
          <w:p w14:paraId="16303B02" w14:textId="64E36764" w:rsidR="001F0087" w:rsidRPr="007741AC" w:rsidRDefault="00D52F99" w:rsidP="0039190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24"/>
                <w:szCs w:val="24"/>
              </w:rPr>
            </w:pPr>
            <w:r w:rsidRPr="007741AC">
              <w:rPr>
                <w:rFonts w:ascii="Arial Narrow" w:hAnsi="Arial Narrow"/>
                <w:b/>
                <w:sz w:val="24"/>
                <w:szCs w:val="24"/>
              </w:rPr>
              <w:t>≥</w:t>
            </w:r>
            <w:r w:rsidR="00C22CFC" w:rsidRPr="007741AC">
              <w:rPr>
                <w:rFonts w:ascii="Arial Narrow" w:hAnsi="Arial Narrow"/>
                <w:b/>
                <w:sz w:val="24"/>
                <w:szCs w:val="24"/>
              </w:rPr>
              <w:t>1.0</w:t>
            </w:r>
            <w:r w:rsidR="001F0087" w:rsidRPr="007741AC">
              <w:rPr>
                <w:rFonts w:ascii="Arial Narrow" w:hAnsi="Arial Narrow"/>
                <w:b/>
                <w:sz w:val="24"/>
                <w:szCs w:val="24"/>
              </w:rPr>
              <w:t xml:space="preserve"> µg/L</w:t>
            </w:r>
          </w:p>
        </w:tc>
      </w:tr>
      <w:tr w:rsidR="001F0087" w:rsidRPr="007741AC" w14:paraId="4705B74D" w14:textId="77777777" w:rsidTr="001F0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14:paraId="18427AEA" w14:textId="320DDE02" w:rsidR="001F0087" w:rsidRPr="007741AC" w:rsidRDefault="001F0087" w:rsidP="0039190E">
            <w:pPr>
              <w:spacing w:line="480" w:lineRule="auto"/>
              <w:rPr>
                <w:rFonts w:ascii="Arial Narrow" w:hAnsi="Arial Narrow"/>
                <w:sz w:val="24"/>
                <w:szCs w:val="24"/>
              </w:rPr>
            </w:pPr>
          </w:p>
          <w:p w14:paraId="03A65E9A" w14:textId="77777777" w:rsidR="001F0087" w:rsidRPr="00C37B9B" w:rsidRDefault="001F0087" w:rsidP="0039190E">
            <w:pPr>
              <w:spacing w:line="480" w:lineRule="auto"/>
              <w:rPr>
                <w:rFonts w:ascii="Arial Narrow" w:hAnsi="Arial Narrow"/>
                <w:sz w:val="24"/>
                <w:szCs w:val="24"/>
              </w:rPr>
            </w:pPr>
          </w:p>
        </w:tc>
        <w:tc>
          <w:tcPr>
            <w:tcW w:w="3697" w:type="dxa"/>
            <w:shd w:val="clear" w:color="auto" w:fill="FFFFFF" w:themeFill="background1"/>
          </w:tcPr>
          <w:p w14:paraId="2087F537" w14:textId="54CACBEC" w:rsidR="001F0087" w:rsidRPr="007741AC" w:rsidRDefault="001F0087" w:rsidP="0039190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741AC">
              <w:rPr>
                <w:rFonts w:ascii="Arial Narrow" w:hAnsi="Arial Narrow"/>
                <w:noProof/>
                <w:sz w:val="24"/>
                <w:szCs w:val="24"/>
                <w:lang w:eastAsia="en-GB"/>
              </w:rPr>
              <mc:AlternateContent>
                <mc:Choice Requires="wps">
                  <w:drawing>
                    <wp:anchor distT="0" distB="0" distL="114300" distR="114300" simplePos="0" relativeHeight="251659264" behindDoc="0" locked="0" layoutInCell="1" allowOverlap="1" wp14:anchorId="02814043" wp14:editId="46B8AA10">
                      <wp:simplePos x="0" y="0"/>
                      <wp:positionH relativeFrom="column">
                        <wp:posOffset>822325</wp:posOffset>
                      </wp:positionH>
                      <wp:positionV relativeFrom="paragraph">
                        <wp:posOffset>66040</wp:posOffset>
                      </wp:positionV>
                      <wp:extent cx="484505" cy="518160"/>
                      <wp:effectExtent l="19050" t="0" r="29845" b="34290"/>
                      <wp:wrapNone/>
                      <wp:docPr id="1" name="Down Arrow 1"/>
                      <wp:cNvGraphicFramePr/>
                      <a:graphic xmlns:a="http://schemas.openxmlformats.org/drawingml/2006/main">
                        <a:graphicData uri="http://schemas.microsoft.com/office/word/2010/wordprocessingShape">
                          <wps:wsp>
                            <wps:cNvSpPr/>
                            <wps:spPr>
                              <a:xfrm>
                                <a:off x="0" y="0"/>
                                <a:ext cx="484505" cy="51816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9F6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64.75pt;margin-top:5.2pt;width:38.15pt;height:4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" adj="11501" fillcolor="red" strokecolor="#243f60 [1604]" strokeweight="2pt"/>
                  </w:pict>
                </mc:Fallback>
              </mc:AlternateContent>
            </w:r>
          </w:p>
        </w:tc>
        <w:tc>
          <w:tcPr>
            <w:tcW w:w="3698" w:type="dxa"/>
            <w:shd w:val="clear" w:color="auto" w:fill="FFFFFF" w:themeFill="background1"/>
          </w:tcPr>
          <w:p w14:paraId="1AD70C75" w14:textId="6240C517" w:rsidR="001F0087" w:rsidRPr="007741AC" w:rsidRDefault="001F0087" w:rsidP="0039190E">
            <w:pPr>
              <w:spacing w:line="48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741AC">
              <w:rPr>
                <w:rFonts w:ascii="Arial Narrow" w:hAnsi="Arial Narrow"/>
                <w:noProof/>
                <w:sz w:val="24"/>
                <w:szCs w:val="24"/>
                <w:lang w:eastAsia="en-GB"/>
              </w:rPr>
              <mc:AlternateContent>
                <mc:Choice Requires="wps">
                  <w:drawing>
                    <wp:anchor distT="0" distB="0" distL="114300" distR="114300" simplePos="0" relativeHeight="251661312" behindDoc="0" locked="0" layoutInCell="1" allowOverlap="1" wp14:anchorId="69D5F4B8" wp14:editId="2FF9FD3F">
                      <wp:simplePos x="0" y="0"/>
                      <wp:positionH relativeFrom="column">
                        <wp:posOffset>875665</wp:posOffset>
                      </wp:positionH>
                      <wp:positionV relativeFrom="paragraph">
                        <wp:posOffset>66040</wp:posOffset>
                      </wp:positionV>
                      <wp:extent cx="484505" cy="518160"/>
                      <wp:effectExtent l="19050" t="0" r="29845" b="34290"/>
                      <wp:wrapNone/>
                      <wp:docPr id="2" name="Down Arrow 2"/>
                      <wp:cNvGraphicFramePr/>
                      <a:graphic xmlns:a="http://schemas.openxmlformats.org/drawingml/2006/main">
                        <a:graphicData uri="http://schemas.microsoft.com/office/word/2010/wordprocessingShape">
                          <wps:wsp>
                            <wps:cNvSpPr/>
                            <wps:spPr>
                              <a:xfrm>
                                <a:off x="0" y="0"/>
                                <a:ext cx="484505" cy="518160"/>
                              </a:xfrm>
                              <a:prstGeom prst="down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908C1" id="Down Arrow 2" o:spid="_x0000_s1026" type="#_x0000_t67" style="position:absolute;margin-left:68.95pt;margin-top:5.2pt;width:38.15pt;height:4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" adj="11501" fillcolor="red" strokecolor="#385d8a" strokeweight="2pt"/>
                  </w:pict>
                </mc:Fallback>
              </mc:AlternateContent>
            </w:r>
          </w:p>
        </w:tc>
      </w:tr>
      <w:tr w:rsidR="001F0087" w:rsidRPr="007741AC" w14:paraId="7B88FE27" w14:textId="77777777" w:rsidTr="00C71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tcPr>
          <w:p w14:paraId="6C264DEF" w14:textId="77777777" w:rsidR="001F0087" w:rsidRPr="007741AC" w:rsidRDefault="001F0087" w:rsidP="0039190E">
            <w:pPr>
              <w:spacing w:line="480" w:lineRule="auto"/>
              <w:rPr>
                <w:rFonts w:ascii="Arial Narrow" w:hAnsi="Arial Narrow"/>
                <w:sz w:val="24"/>
                <w:szCs w:val="24"/>
              </w:rPr>
            </w:pPr>
          </w:p>
          <w:p w14:paraId="1488CC47" w14:textId="77777777" w:rsidR="001F0087" w:rsidRPr="00C37B9B" w:rsidRDefault="001F0087" w:rsidP="0039190E">
            <w:pPr>
              <w:spacing w:line="480" w:lineRule="auto"/>
              <w:rPr>
                <w:rFonts w:ascii="Arial Narrow" w:hAnsi="Arial Narrow"/>
                <w:sz w:val="24"/>
                <w:szCs w:val="24"/>
              </w:rPr>
            </w:pPr>
            <w:r w:rsidRPr="00C37B9B">
              <w:rPr>
                <w:rFonts w:ascii="Arial Narrow" w:hAnsi="Arial Narrow"/>
                <w:sz w:val="24"/>
                <w:szCs w:val="24"/>
              </w:rPr>
              <w:t>Recommendation on antibiotic use</w:t>
            </w:r>
          </w:p>
        </w:tc>
        <w:tc>
          <w:tcPr>
            <w:tcW w:w="3697" w:type="dxa"/>
          </w:tcPr>
          <w:p w14:paraId="16E0089A" w14:textId="77777777" w:rsidR="001F0087" w:rsidRPr="007741AC" w:rsidRDefault="001F0087" w:rsidP="0039190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24"/>
                <w:szCs w:val="24"/>
              </w:rPr>
            </w:pPr>
          </w:p>
          <w:p w14:paraId="1A6EDFAB" w14:textId="6A7C1723" w:rsidR="001F0087" w:rsidRPr="007741AC" w:rsidRDefault="001F0087" w:rsidP="0039190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24"/>
                <w:szCs w:val="24"/>
              </w:rPr>
            </w:pPr>
            <w:r w:rsidRPr="007741AC">
              <w:rPr>
                <w:rFonts w:ascii="Arial Narrow" w:hAnsi="Arial Narrow"/>
                <w:b/>
                <w:sz w:val="24"/>
                <w:szCs w:val="24"/>
              </w:rPr>
              <w:t>Do not start antibiotics.</w:t>
            </w:r>
          </w:p>
          <w:p w14:paraId="23CF9CB0" w14:textId="0A6ECB63" w:rsidR="001F0087" w:rsidRPr="007741AC" w:rsidRDefault="001F0087" w:rsidP="0039190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24"/>
                <w:szCs w:val="24"/>
              </w:rPr>
            </w:pPr>
            <w:r w:rsidRPr="007741AC">
              <w:rPr>
                <w:rFonts w:ascii="Arial Narrow" w:hAnsi="Arial Narrow"/>
                <w:b/>
                <w:sz w:val="24"/>
                <w:szCs w:val="24"/>
              </w:rPr>
              <w:t>Stop antibiotics in patients already on antimicrobial therapy</w:t>
            </w:r>
          </w:p>
        </w:tc>
        <w:tc>
          <w:tcPr>
            <w:tcW w:w="3698" w:type="dxa"/>
          </w:tcPr>
          <w:p w14:paraId="3277D257" w14:textId="77777777" w:rsidR="001F0087" w:rsidRPr="007741AC" w:rsidRDefault="001F0087" w:rsidP="0039190E">
            <w:pPr>
              <w:spacing w:line="480" w:lineRule="auto"/>
              <w:cnfStyle w:val="000000010000" w:firstRow="0" w:lastRow="0" w:firstColumn="0" w:lastColumn="0" w:oddVBand="0" w:evenVBand="0" w:oddHBand="0" w:evenHBand="1" w:firstRowFirstColumn="0" w:firstRowLastColumn="0" w:lastRowFirstColumn="0" w:lastRowLastColumn="0"/>
              <w:rPr>
                <w:rFonts w:ascii="Arial Narrow" w:hAnsi="Arial Narrow"/>
                <w:b/>
                <w:sz w:val="24"/>
                <w:szCs w:val="24"/>
              </w:rPr>
            </w:pPr>
            <w:r w:rsidRPr="007741AC">
              <w:rPr>
                <w:rFonts w:ascii="Arial Narrow" w:hAnsi="Arial Narrow"/>
                <w:b/>
                <w:sz w:val="24"/>
                <w:szCs w:val="24"/>
              </w:rPr>
              <w:t>.</w:t>
            </w:r>
          </w:p>
          <w:p w14:paraId="336F536A" w14:textId="24C2E90E" w:rsidR="00C67AED" w:rsidRPr="007741AC" w:rsidRDefault="001F0087" w:rsidP="0039190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24"/>
                <w:szCs w:val="24"/>
              </w:rPr>
            </w:pPr>
            <w:r w:rsidRPr="007741AC">
              <w:rPr>
                <w:rFonts w:ascii="Arial Narrow" w:hAnsi="Arial Narrow"/>
                <w:b/>
                <w:sz w:val="24"/>
                <w:szCs w:val="24"/>
              </w:rPr>
              <w:t xml:space="preserve">Antibiotic </w:t>
            </w:r>
            <w:r w:rsidR="00C67AED" w:rsidRPr="007741AC">
              <w:rPr>
                <w:rFonts w:ascii="Arial Narrow" w:hAnsi="Arial Narrow"/>
                <w:b/>
                <w:sz w:val="24"/>
                <w:szCs w:val="24"/>
              </w:rPr>
              <w:t>intervention</w:t>
            </w:r>
            <w:r w:rsidR="00A34361" w:rsidRPr="007741AC">
              <w:rPr>
                <w:rFonts w:ascii="Arial Narrow" w:hAnsi="Arial Narrow"/>
                <w:b/>
                <w:sz w:val="24"/>
                <w:szCs w:val="24"/>
              </w:rPr>
              <w:t>.</w:t>
            </w:r>
          </w:p>
          <w:p w14:paraId="7DE955AE" w14:textId="7FCDBE4B" w:rsidR="001F0087" w:rsidRPr="007741AC" w:rsidRDefault="007E4091" w:rsidP="0039190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24"/>
                <w:szCs w:val="24"/>
              </w:rPr>
            </w:pPr>
            <w:r w:rsidRPr="007741AC">
              <w:rPr>
                <w:rFonts w:ascii="Arial Narrow" w:hAnsi="Arial Narrow"/>
                <w:b/>
                <w:sz w:val="24"/>
                <w:szCs w:val="24"/>
              </w:rPr>
              <w:t>(Follow Trust</w:t>
            </w:r>
            <w:r w:rsidR="00C67AED" w:rsidRPr="007741AC">
              <w:rPr>
                <w:rFonts w:ascii="Arial Narrow" w:hAnsi="Arial Narrow"/>
                <w:b/>
                <w:sz w:val="24"/>
                <w:szCs w:val="24"/>
              </w:rPr>
              <w:t xml:space="preserve"> guidelines for prophylaxis or treatment) </w:t>
            </w:r>
          </w:p>
        </w:tc>
      </w:tr>
      <w:tr w:rsidR="001F0087" w:rsidRPr="007741AC" w14:paraId="4680ED8A" w14:textId="77777777" w:rsidTr="00C7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shd w:val="clear" w:color="auto" w:fill="auto"/>
          </w:tcPr>
          <w:p w14:paraId="7FDBF2A0" w14:textId="348175BE" w:rsidR="001F0087" w:rsidRPr="007741AC" w:rsidRDefault="001F0087" w:rsidP="0039190E">
            <w:pPr>
              <w:spacing w:line="480" w:lineRule="auto"/>
              <w:rPr>
                <w:rFonts w:ascii="Arial Narrow" w:hAnsi="Arial Narrow"/>
                <w:sz w:val="24"/>
                <w:szCs w:val="24"/>
              </w:rPr>
            </w:pPr>
          </w:p>
        </w:tc>
        <w:tc>
          <w:tcPr>
            <w:tcW w:w="3697" w:type="dxa"/>
            <w:shd w:val="clear" w:color="auto" w:fill="auto"/>
          </w:tcPr>
          <w:p w14:paraId="2303E544" w14:textId="2ECB32F2" w:rsidR="00D262E0" w:rsidRPr="007741AC" w:rsidRDefault="00D262E0" w:rsidP="0039190E">
            <w:pPr>
              <w:spacing w:line="48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741AC">
              <w:rPr>
                <w:rFonts w:ascii="Arial Narrow" w:hAnsi="Arial Narrow"/>
                <w:noProof/>
                <w:sz w:val="24"/>
                <w:szCs w:val="24"/>
                <w:lang w:eastAsia="en-GB"/>
              </w:rPr>
              <mc:AlternateContent>
                <mc:Choice Requires="wps">
                  <w:drawing>
                    <wp:anchor distT="0" distB="0" distL="114300" distR="114300" simplePos="0" relativeHeight="251663360" behindDoc="0" locked="0" layoutInCell="1" allowOverlap="1" wp14:anchorId="27A1074D" wp14:editId="41880EA4">
                      <wp:simplePos x="0" y="0"/>
                      <wp:positionH relativeFrom="column">
                        <wp:posOffset>776605</wp:posOffset>
                      </wp:positionH>
                      <wp:positionV relativeFrom="paragraph">
                        <wp:posOffset>75565</wp:posOffset>
                      </wp:positionV>
                      <wp:extent cx="484505" cy="518160"/>
                      <wp:effectExtent l="19050" t="0" r="29845" b="34290"/>
                      <wp:wrapNone/>
                      <wp:docPr id="3" name="Down Arrow 3"/>
                      <wp:cNvGraphicFramePr/>
                      <a:graphic xmlns:a="http://schemas.openxmlformats.org/drawingml/2006/main">
                        <a:graphicData uri="http://schemas.microsoft.com/office/word/2010/wordprocessingShape">
                          <wps:wsp>
                            <wps:cNvSpPr/>
                            <wps:spPr>
                              <a:xfrm>
                                <a:off x="0" y="0"/>
                                <a:ext cx="484505" cy="518160"/>
                              </a:xfrm>
                              <a:prstGeom prst="down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0923AE" id="Down Arrow 3" o:spid="_x0000_s1026" type="#_x0000_t67" style="position:absolute;margin-left:61.15pt;margin-top:5.95pt;width:38.15pt;height:4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" adj="11501" fillcolor="red" strokecolor="#385d8a" strokeweight="2pt"/>
                  </w:pict>
                </mc:Fallback>
              </mc:AlternateContent>
            </w:r>
          </w:p>
          <w:p w14:paraId="0382E8A8" w14:textId="626EC726" w:rsidR="001F0087" w:rsidRPr="00C37B9B" w:rsidRDefault="001F0087" w:rsidP="0039190E">
            <w:pPr>
              <w:spacing w:line="48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698" w:type="dxa"/>
            <w:shd w:val="clear" w:color="auto" w:fill="auto"/>
          </w:tcPr>
          <w:p w14:paraId="33F7DA5D" w14:textId="0C8555E6" w:rsidR="001F0087" w:rsidRPr="007741AC" w:rsidRDefault="001F0087" w:rsidP="0039190E">
            <w:pPr>
              <w:spacing w:line="48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741AC">
              <w:rPr>
                <w:rFonts w:ascii="Arial Narrow" w:hAnsi="Arial Narrow"/>
                <w:noProof/>
                <w:sz w:val="24"/>
                <w:szCs w:val="24"/>
                <w:lang w:eastAsia="en-GB"/>
              </w:rPr>
              <mc:AlternateContent>
                <mc:Choice Requires="wps">
                  <w:drawing>
                    <wp:anchor distT="0" distB="0" distL="114300" distR="114300" simplePos="0" relativeHeight="251665408" behindDoc="0" locked="0" layoutInCell="1" allowOverlap="1" wp14:anchorId="723D1ADD" wp14:editId="1A62BFE8">
                      <wp:simplePos x="0" y="0"/>
                      <wp:positionH relativeFrom="column">
                        <wp:posOffset>958850</wp:posOffset>
                      </wp:positionH>
                      <wp:positionV relativeFrom="paragraph">
                        <wp:posOffset>74930</wp:posOffset>
                      </wp:positionV>
                      <wp:extent cx="484505" cy="518160"/>
                      <wp:effectExtent l="19050" t="0" r="29845" b="34290"/>
                      <wp:wrapNone/>
                      <wp:docPr id="4" name="Down Arrow 4"/>
                      <wp:cNvGraphicFramePr/>
                      <a:graphic xmlns:a="http://schemas.openxmlformats.org/drawingml/2006/main">
                        <a:graphicData uri="http://schemas.microsoft.com/office/word/2010/wordprocessingShape">
                          <wps:wsp>
                            <wps:cNvSpPr/>
                            <wps:spPr>
                              <a:xfrm>
                                <a:off x="0" y="0"/>
                                <a:ext cx="484505" cy="518160"/>
                              </a:xfrm>
                              <a:prstGeom prst="down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DD9DA" id="Down Arrow 4" o:spid="_x0000_s1026" type="#_x0000_t67" style="position:absolute;margin-left:75.5pt;margin-top:5.9pt;width:38.15pt;height:4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" adj="11501" fillcolor="red" strokecolor="#385d8a" strokeweight="2pt"/>
                  </w:pict>
                </mc:Fallback>
              </mc:AlternateContent>
            </w:r>
          </w:p>
        </w:tc>
      </w:tr>
      <w:tr w:rsidR="008D6549" w:rsidRPr="007741AC" w14:paraId="543504F5" w14:textId="77777777" w:rsidTr="00712D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tcPr>
          <w:p w14:paraId="1CE40909" w14:textId="77777777" w:rsidR="008D6549" w:rsidRPr="007741AC" w:rsidRDefault="008D6549" w:rsidP="0039190E">
            <w:pPr>
              <w:spacing w:line="480" w:lineRule="auto"/>
              <w:rPr>
                <w:rFonts w:ascii="Arial Narrow" w:hAnsi="Arial Narrow"/>
                <w:sz w:val="24"/>
                <w:szCs w:val="24"/>
              </w:rPr>
            </w:pPr>
          </w:p>
          <w:p w14:paraId="456BB4F4" w14:textId="48E1E3BB" w:rsidR="008D6549" w:rsidRPr="00C37B9B" w:rsidRDefault="008D6549" w:rsidP="0039190E">
            <w:pPr>
              <w:spacing w:line="480" w:lineRule="auto"/>
              <w:rPr>
                <w:rFonts w:ascii="Arial Narrow" w:hAnsi="Arial Narrow"/>
                <w:sz w:val="24"/>
                <w:szCs w:val="24"/>
              </w:rPr>
            </w:pPr>
            <w:r w:rsidRPr="00C37B9B">
              <w:rPr>
                <w:rFonts w:ascii="Arial Narrow" w:hAnsi="Arial Narrow"/>
                <w:sz w:val="24"/>
                <w:szCs w:val="24"/>
              </w:rPr>
              <w:t>Follow-up</w:t>
            </w:r>
          </w:p>
        </w:tc>
        <w:tc>
          <w:tcPr>
            <w:tcW w:w="3697" w:type="dxa"/>
          </w:tcPr>
          <w:p w14:paraId="18834588" w14:textId="7F0F2EA5" w:rsidR="008D6549" w:rsidRPr="007741AC" w:rsidRDefault="008D6549" w:rsidP="0039190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24"/>
                <w:szCs w:val="24"/>
              </w:rPr>
            </w:pPr>
            <w:r w:rsidRPr="007741AC">
              <w:rPr>
                <w:rFonts w:ascii="Arial Narrow" w:hAnsi="Arial Narrow"/>
                <w:b/>
                <w:sz w:val="24"/>
                <w:szCs w:val="24"/>
              </w:rPr>
              <w:t>If there is clinical concern about infection re-check PCT after 24h</w:t>
            </w:r>
          </w:p>
        </w:tc>
        <w:tc>
          <w:tcPr>
            <w:tcW w:w="3698" w:type="dxa"/>
          </w:tcPr>
          <w:p w14:paraId="219109E3" w14:textId="55E1F94F" w:rsidR="008D6549" w:rsidRPr="007741AC" w:rsidRDefault="008D6549" w:rsidP="0039190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24"/>
                <w:szCs w:val="24"/>
              </w:rPr>
            </w:pPr>
            <w:r w:rsidRPr="007741AC">
              <w:rPr>
                <w:rFonts w:ascii="Arial Narrow" w:hAnsi="Arial Narrow"/>
                <w:b/>
                <w:sz w:val="24"/>
                <w:szCs w:val="24"/>
              </w:rPr>
              <w:t>Reassess clinical condition and re-check PCT after 48h</w:t>
            </w:r>
          </w:p>
        </w:tc>
      </w:tr>
      <w:tr w:rsidR="001F0087" w:rsidRPr="007741AC" w14:paraId="66663C5B" w14:textId="77777777" w:rsidTr="00C7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shd w:val="clear" w:color="auto" w:fill="auto"/>
          </w:tcPr>
          <w:p w14:paraId="085AFA02" w14:textId="77777777" w:rsidR="001F0087" w:rsidRPr="007741AC" w:rsidRDefault="001F0087" w:rsidP="0039190E">
            <w:pPr>
              <w:spacing w:line="480" w:lineRule="auto"/>
              <w:rPr>
                <w:rFonts w:ascii="Arial Narrow" w:hAnsi="Arial Narrow"/>
                <w:sz w:val="24"/>
                <w:szCs w:val="24"/>
              </w:rPr>
            </w:pPr>
            <w:r w:rsidRPr="007741AC">
              <w:rPr>
                <w:rFonts w:ascii="Arial Narrow" w:hAnsi="Arial Narrow"/>
                <w:sz w:val="24"/>
                <w:szCs w:val="24"/>
              </w:rPr>
              <w:t>Procalcitonin result</w:t>
            </w:r>
          </w:p>
        </w:tc>
        <w:tc>
          <w:tcPr>
            <w:tcW w:w="3697" w:type="dxa"/>
            <w:shd w:val="clear" w:color="auto" w:fill="auto"/>
          </w:tcPr>
          <w:p w14:paraId="007706CE" w14:textId="3490822F" w:rsidR="001F0087" w:rsidRPr="00A7436C" w:rsidRDefault="001F0087" w:rsidP="0039190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C37B9B">
              <w:rPr>
                <w:rFonts w:ascii="Arial Narrow" w:hAnsi="Arial Narrow"/>
                <w:b/>
                <w:sz w:val="24"/>
                <w:szCs w:val="24"/>
              </w:rPr>
              <w:t xml:space="preserve">&lt; </w:t>
            </w:r>
            <w:r w:rsidR="00C22CFC" w:rsidRPr="006E11C6">
              <w:rPr>
                <w:rFonts w:ascii="Arial Narrow" w:hAnsi="Arial Narrow"/>
                <w:b/>
                <w:sz w:val="24"/>
                <w:szCs w:val="24"/>
              </w:rPr>
              <w:t>1.0</w:t>
            </w:r>
            <w:r w:rsidRPr="00A7436C">
              <w:rPr>
                <w:rFonts w:ascii="Arial Narrow" w:hAnsi="Arial Narrow"/>
                <w:b/>
                <w:sz w:val="24"/>
                <w:szCs w:val="24"/>
              </w:rPr>
              <w:t xml:space="preserve"> µg/L</w:t>
            </w:r>
          </w:p>
          <w:p w14:paraId="1BB7131C" w14:textId="78B57C46" w:rsidR="00D262E0" w:rsidRPr="007741AC" w:rsidRDefault="00D262E0" w:rsidP="0039190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3698" w:type="dxa"/>
            <w:shd w:val="clear" w:color="auto" w:fill="auto"/>
          </w:tcPr>
          <w:p w14:paraId="0D6492F3" w14:textId="58FD1C60" w:rsidR="001F0087" w:rsidRPr="007741AC" w:rsidRDefault="00384F29" w:rsidP="0039190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7741AC">
              <w:rPr>
                <w:rFonts w:ascii="Arial Narrow" w:hAnsi="Arial Narrow"/>
                <w:b/>
                <w:sz w:val="24"/>
                <w:szCs w:val="24"/>
              </w:rPr>
              <w:t>≥</w:t>
            </w:r>
            <w:r w:rsidR="00C22CFC" w:rsidRPr="007741AC">
              <w:rPr>
                <w:rFonts w:ascii="Arial Narrow" w:hAnsi="Arial Narrow"/>
                <w:b/>
                <w:sz w:val="24"/>
                <w:szCs w:val="24"/>
              </w:rPr>
              <w:t xml:space="preserve"> 1.0</w:t>
            </w:r>
            <w:r w:rsidR="001F0087" w:rsidRPr="007741AC">
              <w:rPr>
                <w:rFonts w:ascii="Arial Narrow" w:hAnsi="Arial Narrow"/>
                <w:b/>
                <w:sz w:val="24"/>
                <w:szCs w:val="24"/>
              </w:rPr>
              <w:t xml:space="preserve"> </w:t>
            </w:r>
            <w:proofErr w:type="spellStart"/>
            <w:r w:rsidR="001F0087" w:rsidRPr="007741AC">
              <w:rPr>
                <w:rFonts w:ascii="Arial Narrow" w:hAnsi="Arial Narrow"/>
                <w:b/>
                <w:sz w:val="24"/>
                <w:szCs w:val="24"/>
              </w:rPr>
              <w:t>μg</w:t>
            </w:r>
            <w:proofErr w:type="spellEnd"/>
            <w:r w:rsidR="001F0087" w:rsidRPr="007741AC">
              <w:rPr>
                <w:rFonts w:ascii="Arial Narrow" w:hAnsi="Arial Narrow"/>
                <w:b/>
                <w:sz w:val="24"/>
                <w:szCs w:val="24"/>
              </w:rPr>
              <w:t>/L</w:t>
            </w:r>
          </w:p>
        </w:tc>
      </w:tr>
      <w:tr w:rsidR="001F0087" w:rsidRPr="007741AC" w14:paraId="56A932F4" w14:textId="77777777" w:rsidTr="00C71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tcPr>
          <w:p w14:paraId="7B266538" w14:textId="77777777" w:rsidR="001F0087" w:rsidRPr="007741AC" w:rsidRDefault="001F0087" w:rsidP="0039190E">
            <w:pPr>
              <w:spacing w:line="480" w:lineRule="auto"/>
              <w:rPr>
                <w:rFonts w:ascii="Arial Narrow" w:hAnsi="Arial Narrow"/>
                <w:sz w:val="24"/>
                <w:szCs w:val="24"/>
              </w:rPr>
            </w:pPr>
            <w:r w:rsidRPr="007741AC">
              <w:rPr>
                <w:rFonts w:ascii="Arial Narrow" w:hAnsi="Arial Narrow"/>
                <w:sz w:val="24"/>
                <w:szCs w:val="24"/>
              </w:rPr>
              <w:t>Recommendation on antibiotic use</w:t>
            </w:r>
          </w:p>
        </w:tc>
        <w:tc>
          <w:tcPr>
            <w:tcW w:w="3697" w:type="dxa"/>
          </w:tcPr>
          <w:p w14:paraId="73D623D8" w14:textId="325C8BBA" w:rsidR="001F0087" w:rsidRPr="006E11C6" w:rsidRDefault="007614A7" w:rsidP="0039190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24"/>
                <w:szCs w:val="24"/>
              </w:rPr>
            </w:pPr>
            <w:r w:rsidRPr="00C37B9B">
              <w:rPr>
                <w:rFonts w:ascii="Arial Narrow" w:hAnsi="Arial Narrow"/>
                <w:b/>
                <w:sz w:val="24"/>
                <w:szCs w:val="24"/>
              </w:rPr>
              <w:t>No antibiotics</w:t>
            </w:r>
          </w:p>
          <w:p w14:paraId="0047F222" w14:textId="5E4725A5" w:rsidR="007614A7" w:rsidRPr="007741AC" w:rsidRDefault="00F16E85" w:rsidP="00F16E85">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24"/>
                <w:szCs w:val="24"/>
              </w:rPr>
            </w:pPr>
            <w:r w:rsidRPr="007741AC">
              <w:rPr>
                <w:rFonts w:ascii="Arial Narrow" w:hAnsi="Arial Narrow"/>
                <w:b/>
                <w:sz w:val="24"/>
                <w:szCs w:val="24"/>
              </w:rPr>
              <w:t>(or stop antibiotics).</w:t>
            </w:r>
          </w:p>
        </w:tc>
        <w:tc>
          <w:tcPr>
            <w:tcW w:w="3698" w:type="dxa"/>
          </w:tcPr>
          <w:p w14:paraId="0EF5FFFC" w14:textId="77777777" w:rsidR="001F0087" w:rsidRPr="007741AC" w:rsidRDefault="001F0087" w:rsidP="0039190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24"/>
                <w:szCs w:val="24"/>
              </w:rPr>
            </w:pPr>
            <w:r w:rsidRPr="007741AC">
              <w:rPr>
                <w:rFonts w:ascii="Arial Narrow" w:hAnsi="Arial Narrow"/>
                <w:b/>
                <w:sz w:val="24"/>
                <w:szCs w:val="24"/>
              </w:rPr>
              <w:t xml:space="preserve">Continue </w:t>
            </w:r>
            <w:r w:rsidR="00D52F99" w:rsidRPr="007741AC">
              <w:rPr>
                <w:rFonts w:ascii="Arial Narrow" w:hAnsi="Arial Narrow"/>
                <w:b/>
                <w:sz w:val="24"/>
                <w:szCs w:val="24"/>
              </w:rPr>
              <w:t>antibiotics</w:t>
            </w:r>
          </w:p>
          <w:p w14:paraId="239AFFC1" w14:textId="77777777" w:rsidR="00D52F99" w:rsidRPr="007741AC" w:rsidRDefault="00D52F99" w:rsidP="0039190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24"/>
                <w:szCs w:val="24"/>
              </w:rPr>
            </w:pPr>
            <w:r w:rsidRPr="007741AC">
              <w:rPr>
                <w:rFonts w:ascii="Arial Narrow" w:hAnsi="Arial Narrow"/>
                <w:b/>
                <w:sz w:val="24"/>
                <w:szCs w:val="24"/>
              </w:rPr>
              <w:t>(or start if not already on antibiotics).</w:t>
            </w:r>
          </w:p>
          <w:p w14:paraId="7B285DF3" w14:textId="0C524A63" w:rsidR="001B5F36" w:rsidRPr="007741AC" w:rsidRDefault="001B5F36" w:rsidP="0039190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24"/>
                <w:szCs w:val="24"/>
              </w:rPr>
            </w:pPr>
            <w:r w:rsidRPr="007741AC">
              <w:rPr>
                <w:rFonts w:ascii="Arial Narrow" w:hAnsi="Arial Narrow"/>
                <w:b/>
                <w:sz w:val="24"/>
                <w:szCs w:val="24"/>
              </w:rPr>
              <w:t>(consider change in antibiotics if clinically indicated).</w:t>
            </w:r>
          </w:p>
        </w:tc>
      </w:tr>
      <w:tr w:rsidR="003E5041" w:rsidRPr="007741AC" w14:paraId="52FE2395" w14:textId="77777777" w:rsidTr="00C7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shd w:val="clear" w:color="auto" w:fill="auto"/>
          </w:tcPr>
          <w:p w14:paraId="3414A843" w14:textId="77777777" w:rsidR="003E5041" w:rsidRPr="007741AC" w:rsidRDefault="003E5041" w:rsidP="0039190E">
            <w:pPr>
              <w:spacing w:line="480" w:lineRule="auto"/>
              <w:rPr>
                <w:rFonts w:ascii="Arial Narrow" w:hAnsi="Arial Narrow"/>
                <w:sz w:val="24"/>
                <w:szCs w:val="24"/>
              </w:rPr>
            </w:pPr>
            <w:r w:rsidRPr="007741AC">
              <w:rPr>
                <w:rFonts w:ascii="Arial Narrow" w:hAnsi="Arial Narrow"/>
                <w:sz w:val="24"/>
                <w:szCs w:val="24"/>
              </w:rPr>
              <w:t>Over-ruling the algorithm</w:t>
            </w:r>
          </w:p>
        </w:tc>
        <w:tc>
          <w:tcPr>
            <w:tcW w:w="7395" w:type="dxa"/>
            <w:gridSpan w:val="2"/>
            <w:shd w:val="clear" w:color="auto" w:fill="auto"/>
          </w:tcPr>
          <w:p w14:paraId="1787E237" w14:textId="4061BEBD" w:rsidR="003E5041" w:rsidRPr="007741AC" w:rsidRDefault="00C71FA2" w:rsidP="0039190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C37B9B">
              <w:rPr>
                <w:rFonts w:ascii="Arial Narrow" w:hAnsi="Arial Narrow"/>
                <w:b/>
                <w:sz w:val="24"/>
                <w:szCs w:val="24"/>
              </w:rPr>
              <w:t xml:space="preserve">Empiric antibiotic therapy is permitted in patients not allocated by PCT algorithm to </w:t>
            </w:r>
            <w:r w:rsidR="00D262E0" w:rsidRPr="007741AC">
              <w:rPr>
                <w:rFonts w:ascii="Arial Narrow" w:hAnsi="Arial Narrow"/>
                <w:b/>
                <w:sz w:val="24"/>
                <w:szCs w:val="24"/>
              </w:rPr>
              <w:t xml:space="preserve">receive </w:t>
            </w:r>
            <w:r w:rsidRPr="007741AC">
              <w:rPr>
                <w:rFonts w:ascii="Arial Narrow" w:hAnsi="Arial Narrow"/>
                <w:b/>
                <w:sz w:val="24"/>
                <w:szCs w:val="24"/>
              </w:rPr>
              <w:t>antibiotic BUT decision to be made ONLY by ITU consultant or HPB consultant surgeon</w:t>
            </w:r>
            <w:r w:rsidR="00A34361" w:rsidRPr="007741AC">
              <w:rPr>
                <w:rFonts w:ascii="Arial Narrow" w:hAnsi="Arial Narrow"/>
                <w:b/>
                <w:sz w:val="24"/>
                <w:szCs w:val="24"/>
              </w:rPr>
              <w:t xml:space="preserve"> and documented in case notes.</w:t>
            </w:r>
          </w:p>
        </w:tc>
      </w:tr>
    </w:tbl>
    <w:p w14:paraId="45093F3C" w14:textId="6315D25C" w:rsidR="00877127" w:rsidRPr="007741AC" w:rsidRDefault="00877127" w:rsidP="0039190E">
      <w:pPr>
        <w:spacing w:after="200" w:line="480" w:lineRule="auto"/>
        <w:rPr>
          <w:rFonts w:ascii="Arial Narrow" w:hAnsi="Arial Narrow"/>
          <w:sz w:val="24"/>
          <w:szCs w:val="24"/>
        </w:rPr>
      </w:pPr>
    </w:p>
    <w:p w14:paraId="4213E7E0" w14:textId="77777777" w:rsidR="002E3880" w:rsidRPr="007741AC" w:rsidRDefault="002E3880" w:rsidP="009B54DB">
      <w:pPr>
        <w:spacing w:after="200" w:line="480" w:lineRule="auto"/>
        <w:outlineLvl w:val="0"/>
        <w:rPr>
          <w:rFonts w:ascii="Arial Narrow" w:hAnsi="Arial Narrow"/>
          <w:b/>
          <w:sz w:val="24"/>
          <w:szCs w:val="24"/>
        </w:rPr>
      </w:pPr>
      <w:r w:rsidRPr="007741AC">
        <w:rPr>
          <w:rFonts w:ascii="Arial Narrow" w:hAnsi="Arial Narrow"/>
          <w:b/>
          <w:sz w:val="24"/>
          <w:szCs w:val="24"/>
        </w:rPr>
        <w:t>References</w:t>
      </w:r>
    </w:p>
    <w:p w14:paraId="032372AC" w14:textId="5BEF15F2" w:rsidR="00CD42C3" w:rsidRPr="007741AC" w:rsidRDefault="00CD42C3" w:rsidP="0039190E">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t>Arias CA, Murray BE.  Antibiotic-resistant bugs in the 21</w:t>
      </w:r>
      <w:r w:rsidRPr="007741AC">
        <w:rPr>
          <w:rFonts w:ascii="Arial Narrow" w:hAnsi="Arial Narrow"/>
          <w:sz w:val="24"/>
          <w:szCs w:val="24"/>
          <w:vertAlign w:val="superscript"/>
        </w:rPr>
        <w:t>st</w:t>
      </w:r>
      <w:r w:rsidRPr="007741AC">
        <w:rPr>
          <w:rFonts w:ascii="Arial Narrow" w:hAnsi="Arial Narrow"/>
          <w:sz w:val="24"/>
          <w:szCs w:val="24"/>
        </w:rPr>
        <w:t xml:space="preserve"> century – a clinical super challenge.  </w:t>
      </w:r>
      <w:r w:rsidRPr="007741AC">
        <w:rPr>
          <w:rFonts w:ascii="Arial Narrow" w:hAnsi="Arial Narrow"/>
          <w:i/>
          <w:sz w:val="24"/>
          <w:szCs w:val="24"/>
        </w:rPr>
        <w:t xml:space="preserve">New Engl J Med </w:t>
      </w:r>
      <w:r w:rsidRPr="007741AC">
        <w:rPr>
          <w:rFonts w:ascii="Arial Narrow" w:hAnsi="Arial Narrow"/>
          <w:sz w:val="24"/>
          <w:szCs w:val="24"/>
        </w:rPr>
        <w:t>2009;</w:t>
      </w:r>
      <w:r w:rsidR="0001332C" w:rsidRPr="007741AC">
        <w:rPr>
          <w:rFonts w:ascii="Arial Narrow" w:hAnsi="Arial Narrow"/>
          <w:sz w:val="24"/>
          <w:szCs w:val="24"/>
        </w:rPr>
        <w:t>360:439-443.</w:t>
      </w:r>
    </w:p>
    <w:p w14:paraId="5F5C57D0" w14:textId="34D8ADF3" w:rsidR="00CD42C3" w:rsidRPr="007741AC" w:rsidRDefault="008819A6" w:rsidP="0039190E">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t>World Health Organisation.  Antibiotic resistance.  Fact sheet November 2017.</w:t>
      </w:r>
    </w:p>
    <w:p w14:paraId="74A1BDFE" w14:textId="18675F4F" w:rsidR="00CD42C3" w:rsidRPr="007741AC" w:rsidRDefault="007643A8" w:rsidP="0039190E">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t xml:space="preserve">UK working party on acute pancreatitis.  UK guidelines for the management of acute pancreatitis.  </w:t>
      </w:r>
      <w:r w:rsidRPr="007741AC">
        <w:rPr>
          <w:rFonts w:ascii="Arial Narrow" w:hAnsi="Arial Narrow"/>
          <w:i/>
          <w:sz w:val="24"/>
          <w:szCs w:val="24"/>
        </w:rPr>
        <w:t xml:space="preserve">Gut </w:t>
      </w:r>
      <w:r w:rsidRPr="007741AC">
        <w:rPr>
          <w:rFonts w:ascii="Arial Narrow" w:hAnsi="Arial Narrow"/>
          <w:sz w:val="24"/>
          <w:szCs w:val="24"/>
        </w:rPr>
        <w:t>2005;54 (</w:t>
      </w:r>
      <w:proofErr w:type="spellStart"/>
      <w:r w:rsidRPr="007741AC">
        <w:rPr>
          <w:rFonts w:ascii="Arial Narrow" w:hAnsi="Arial Narrow"/>
          <w:sz w:val="24"/>
          <w:szCs w:val="24"/>
        </w:rPr>
        <w:t>suppl</w:t>
      </w:r>
      <w:proofErr w:type="spellEnd"/>
      <w:r w:rsidRPr="007741AC">
        <w:rPr>
          <w:rFonts w:ascii="Arial Narrow" w:hAnsi="Arial Narrow"/>
          <w:sz w:val="24"/>
          <w:szCs w:val="24"/>
        </w:rPr>
        <w:t xml:space="preserve"> III):1-9.</w:t>
      </w:r>
    </w:p>
    <w:p w14:paraId="7C029FFF" w14:textId="5C367860" w:rsidR="00CD42C3" w:rsidRPr="007741AC" w:rsidRDefault="007643A8" w:rsidP="0039190E">
      <w:pPr>
        <w:pStyle w:val="ListParagraph"/>
        <w:numPr>
          <w:ilvl w:val="0"/>
          <w:numId w:val="25"/>
        </w:numPr>
        <w:spacing w:after="200" w:line="480" w:lineRule="auto"/>
        <w:rPr>
          <w:rFonts w:ascii="Arial Narrow" w:hAnsi="Arial Narrow"/>
          <w:sz w:val="24"/>
          <w:szCs w:val="24"/>
        </w:rPr>
      </w:pPr>
      <w:proofErr w:type="spellStart"/>
      <w:r w:rsidRPr="007741AC">
        <w:rPr>
          <w:rFonts w:ascii="Arial Narrow" w:hAnsi="Arial Narrow"/>
          <w:sz w:val="24"/>
          <w:szCs w:val="24"/>
        </w:rPr>
        <w:t>Omdal</w:t>
      </w:r>
      <w:proofErr w:type="spellEnd"/>
      <w:r w:rsidRPr="007741AC">
        <w:rPr>
          <w:rFonts w:ascii="Arial Narrow" w:hAnsi="Arial Narrow"/>
          <w:sz w:val="24"/>
          <w:szCs w:val="24"/>
        </w:rPr>
        <w:t xml:space="preserve"> T, Dale J, </w:t>
      </w:r>
      <w:proofErr w:type="spellStart"/>
      <w:r w:rsidRPr="007741AC">
        <w:rPr>
          <w:rFonts w:ascii="Arial Narrow" w:hAnsi="Arial Narrow"/>
          <w:sz w:val="24"/>
          <w:szCs w:val="24"/>
        </w:rPr>
        <w:t>Atle</w:t>
      </w:r>
      <w:proofErr w:type="spellEnd"/>
      <w:r w:rsidRPr="007741AC">
        <w:rPr>
          <w:rFonts w:ascii="Arial Narrow" w:hAnsi="Arial Narrow"/>
          <w:sz w:val="24"/>
          <w:szCs w:val="24"/>
        </w:rPr>
        <w:t xml:space="preserve"> Lie </w:t>
      </w:r>
      <w:proofErr w:type="spellStart"/>
      <w:r w:rsidRPr="007741AC">
        <w:rPr>
          <w:rFonts w:ascii="Arial Narrow" w:hAnsi="Arial Narrow"/>
          <w:sz w:val="24"/>
          <w:szCs w:val="24"/>
        </w:rPr>
        <w:t>S et</w:t>
      </w:r>
      <w:proofErr w:type="spellEnd"/>
      <w:r w:rsidRPr="007741AC">
        <w:rPr>
          <w:rFonts w:ascii="Arial Narrow" w:hAnsi="Arial Narrow"/>
          <w:sz w:val="24"/>
          <w:szCs w:val="24"/>
        </w:rPr>
        <w:t xml:space="preserve">. al.  Time trends in incidence, aetiology and case fatality rate of the first attach of acute pancreatitis.  </w:t>
      </w:r>
      <w:proofErr w:type="spellStart"/>
      <w:r w:rsidRPr="007741AC">
        <w:rPr>
          <w:rFonts w:ascii="Arial Narrow" w:hAnsi="Arial Narrow"/>
          <w:i/>
          <w:sz w:val="24"/>
          <w:szCs w:val="24"/>
        </w:rPr>
        <w:t>Scand</w:t>
      </w:r>
      <w:proofErr w:type="spellEnd"/>
      <w:r w:rsidRPr="007741AC">
        <w:rPr>
          <w:rFonts w:ascii="Arial Narrow" w:hAnsi="Arial Narrow"/>
          <w:i/>
          <w:sz w:val="24"/>
          <w:szCs w:val="24"/>
        </w:rPr>
        <w:t xml:space="preserve"> J </w:t>
      </w:r>
      <w:proofErr w:type="spellStart"/>
      <w:r w:rsidRPr="007741AC">
        <w:rPr>
          <w:rFonts w:ascii="Arial Narrow" w:hAnsi="Arial Narrow"/>
          <w:i/>
          <w:sz w:val="24"/>
          <w:szCs w:val="24"/>
        </w:rPr>
        <w:t>Gastroenterol</w:t>
      </w:r>
      <w:proofErr w:type="spellEnd"/>
      <w:r w:rsidRPr="007741AC">
        <w:rPr>
          <w:rFonts w:ascii="Arial Narrow" w:hAnsi="Arial Narrow"/>
          <w:i/>
          <w:sz w:val="24"/>
          <w:szCs w:val="24"/>
        </w:rPr>
        <w:t xml:space="preserve"> </w:t>
      </w:r>
      <w:r w:rsidRPr="007741AC">
        <w:rPr>
          <w:rFonts w:ascii="Arial Narrow" w:hAnsi="Arial Narrow"/>
          <w:sz w:val="24"/>
          <w:szCs w:val="24"/>
        </w:rPr>
        <w:t>2011; 46:1389-1398.</w:t>
      </w:r>
    </w:p>
    <w:p w14:paraId="05ECDF97" w14:textId="6B4A6651" w:rsidR="00507593" w:rsidRPr="007741AC" w:rsidRDefault="00507593" w:rsidP="00507593">
      <w:pPr>
        <w:pStyle w:val="ListParagraph"/>
        <w:numPr>
          <w:ilvl w:val="0"/>
          <w:numId w:val="25"/>
        </w:numPr>
        <w:spacing w:after="200" w:line="480" w:lineRule="auto"/>
        <w:rPr>
          <w:rFonts w:ascii="Arial Narrow" w:hAnsi="Arial Narrow"/>
          <w:sz w:val="24"/>
          <w:szCs w:val="24"/>
        </w:rPr>
      </w:pPr>
      <w:proofErr w:type="spellStart"/>
      <w:r w:rsidRPr="007741AC">
        <w:rPr>
          <w:rFonts w:ascii="Arial Narrow" w:hAnsi="Arial Narrow"/>
          <w:sz w:val="24"/>
          <w:szCs w:val="24"/>
        </w:rPr>
        <w:t>Goldacre</w:t>
      </w:r>
      <w:proofErr w:type="spellEnd"/>
      <w:r w:rsidRPr="007741AC">
        <w:rPr>
          <w:rFonts w:ascii="Arial Narrow" w:hAnsi="Arial Narrow"/>
          <w:sz w:val="24"/>
          <w:szCs w:val="24"/>
        </w:rPr>
        <w:t xml:space="preserve"> MJ, Roberts SE.  Hospital admission for acute pancreatitis in an English population, 1963-1998: database study of incidence and mortality.  </w:t>
      </w:r>
      <w:r w:rsidRPr="007741AC">
        <w:rPr>
          <w:rFonts w:ascii="Arial Narrow" w:hAnsi="Arial Narrow"/>
          <w:i/>
          <w:sz w:val="24"/>
          <w:szCs w:val="24"/>
        </w:rPr>
        <w:t xml:space="preserve">BMJ </w:t>
      </w:r>
      <w:r w:rsidRPr="007741AC">
        <w:rPr>
          <w:rFonts w:ascii="Arial Narrow" w:hAnsi="Arial Narrow"/>
          <w:sz w:val="24"/>
          <w:szCs w:val="24"/>
        </w:rPr>
        <w:t>2004;328:1466-1469.</w:t>
      </w:r>
    </w:p>
    <w:p w14:paraId="0BC0FB0B" w14:textId="6249EBE3" w:rsidR="00CD42C3" w:rsidRPr="007741AC" w:rsidRDefault="00507593" w:rsidP="0039190E">
      <w:pPr>
        <w:pStyle w:val="ListParagraph"/>
        <w:numPr>
          <w:ilvl w:val="0"/>
          <w:numId w:val="25"/>
        </w:numPr>
        <w:spacing w:after="200" w:line="480" w:lineRule="auto"/>
        <w:rPr>
          <w:rFonts w:ascii="Arial Narrow" w:hAnsi="Arial Narrow"/>
          <w:sz w:val="24"/>
          <w:szCs w:val="24"/>
        </w:rPr>
      </w:pPr>
      <w:proofErr w:type="spellStart"/>
      <w:r w:rsidRPr="007741AC">
        <w:rPr>
          <w:rFonts w:ascii="Arial Narrow" w:hAnsi="Arial Narrow"/>
          <w:sz w:val="24"/>
          <w:szCs w:val="24"/>
        </w:rPr>
        <w:t>Singla</w:t>
      </w:r>
      <w:proofErr w:type="spellEnd"/>
      <w:r w:rsidRPr="007741AC">
        <w:rPr>
          <w:rFonts w:ascii="Arial Narrow" w:hAnsi="Arial Narrow"/>
          <w:sz w:val="24"/>
          <w:szCs w:val="24"/>
        </w:rPr>
        <w:t xml:space="preserve"> A, </w:t>
      </w:r>
      <w:proofErr w:type="spellStart"/>
      <w:r w:rsidRPr="007741AC">
        <w:rPr>
          <w:rFonts w:ascii="Arial Narrow" w:hAnsi="Arial Narrow"/>
          <w:sz w:val="24"/>
          <w:szCs w:val="24"/>
        </w:rPr>
        <w:t>Csikesz</w:t>
      </w:r>
      <w:proofErr w:type="spellEnd"/>
      <w:r w:rsidRPr="007741AC">
        <w:rPr>
          <w:rFonts w:ascii="Arial Narrow" w:hAnsi="Arial Narrow"/>
          <w:sz w:val="24"/>
          <w:szCs w:val="24"/>
        </w:rPr>
        <w:t xml:space="preserve"> NG, Simons JP et. al.  National hospital volume in acute pancreatitis: analysis of the nationwide inpatient sample 1998-2006.  </w:t>
      </w:r>
      <w:r w:rsidRPr="007741AC">
        <w:rPr>
          <w:rFonts w:ascii="Arial Narrow" w:hAnsi="Arial Narrow"/>
          <w:i/>
          <w:sz w:val="24"/>
          <w:szCs w:val="24"/>
        </w:rPr>
        <w:t>HPB (Oxford)</w:t>
      </w:r>
      <w:r w:rsidRPr="007741AC">
        <w:rPr>
          <w:rFonts w:ascii="Arial Narrow" w:hAnsi="Arial Narrow"/>
          <w:sz w:val="24"/>
          <w:szCs w:val="24"/>
        </w:rPr>
        <w:t xml:space="preserve"> 2009;11:391-397.</w:t>
      </w:r>
    </w:p>
    <w:p w14:paraId="62E5EA97" w14:textId="77777777" w:rsidR="00507593" w:rsidRPr="00637F17" w:rsidRDefault="00507593" w:rsidP="00507593">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t xml:space="preserve">Banks PA, </w:t>
      </w:r>
      <w:proofErr w:type="spellStart"/>
      <w:r w:rsidRPr="007741AC">
        <w:rPr>
          <w:rFonts w:ascii="Arial Narrow" w:hAnsi="Arial Narrow"/>
          <w:sz w:val="24"/>
          <w:szCs w:val="24"/>
        </w:rPr>
        <w:t>Bollen</w:t>
      </w:r>
      <w:proofErr w:type="spellEnd"/>
      <w:r w:rsidRPr="007741AC">
        <w:rPr>
          <w:rFonts w:ascii="Arial Narrow" w:hAnsi="Arial Narrow"/>
          <w:sz w:val="24"/>
          <w:szCs w:val="24"/>
        </w:rPr>
        <w:t xml:space="preserve"> T, Dervenis C et al.  Classification of acute pancreatitis—2012: revision of the Atlanta classification and definitions by international consensus. </w:t>
      </w:r>
      <w:r w:rsidRPr="007741AC">
        <w:rPr>
          <w:rFonts w:ascii="Arial Narrow" w:hAnsi="Arial Narrow"/>
          <w:i/>
          <w:sz w:val="24"/>
          <w:szCs w:val="24"/>
        </w:rPr>
        <w:t>Gut</w:t>
      </w:r>
      <w:r w:rsidRPr="00637F17">
        <w:rPr>
          <w:rFonts w:ascii="Arial Narrow" w:hAnsi="Arial Narrow"/>
          <w:sz w:val="24"/>
          <w:szCs w:val="24"/>
        </w:rPr>
        <w:t xml:space="preserve"> 2013;62:102–111.</w:t>
      </w:r>
    </w:p>
    <w:p w14:paraId="3A3840F5" w14:textId="2BD14081" w:rsidR="00507593" w:rsidRPr="007741AC" w:rsidRDefault="00F97B12" w:rsidP="0039190E">
      <w:pPr>
        <w:pStyle w:val="ListParagraph"/>
        <w:numPr>
          <w:ilvl w:val="0"/>
          <w:numId w:val="25"/>
        </w:numPr>
        <w:spacing w:after="200" w:line="480" w:lineRule="auto"/>
        <w:rPr>
          <w:rFonts w:ascii="Arial Narrow" w:hAnsi="Arial Narrow"/>
          <w:sz w:val="24"/>
          <w:szCs w:val="24"/>
        </w:rPr>
      </w:pPr>
      <w:proofErr w:type="spellStart"/>
      <w:r w:rsidRPr="007741AC">
        <w:rPr>
          <w:rFonts w:ascii="Arial Narrow" w:hAnsi="Arial Narrow"/>
          <w:sz w:val="24"/>
          <w:szCs w:val="24"/>
        </w:rPr>
        <w:t>Wittau</w:t>
      </w:r>
      <w:proofErr w:type="spellEnd"/>
      <w:r w:rsidRPr="007741AC">
        <w:rPr>
          <w:rFonts w:ascii="Arial Narrow" w:hAnsi="Arial Narrow"/>
          <w:sz w:val="24"/>
          <w:szCs w:val="24"/>
        </w:rPr>
        <w:t xml:space="preserve"> M, Mayer B, Scheele J et. al.  Systematic review and meta-analysis of antibiotic prophylaxis in severe acute pancreatitis.  </w:t>
      </w:r>
      <w:proofErr w:type="spellStart"/>
      <w:r w:rsidRPr="007741AC">
        <w:rPr>
          <w:rFonts w:ascii="Arial Narrow" w:hAnsi="Arial Narrow"/>
          <w:i/>
          <w:sz w:val="24"/>
          <w:szCs w:val="24"/>
        </w:rPr>
        <w:t>Scand</w:t>
      </w:r>
      <w:proofErr w:type="spellEnd"/>
      <w:r w:rsidRPr="007741AC">
        <w:rPr>
          <w:rFonts w:ascii="Arial Narrow" w:hAnsi="Arial Narrow"/>
          <w:i/>
          <w:sz w:val="24"/>
          <w:szCs w:val="24"/>
        </w:rPr>
        <w:t xml:space="preserve"> J </w:t>
      </w:r>
      <w:proofErr w:type="spellStart"/>
      <w:r w:rsidRPr="007741AC">
        <w:rPr>
          <w:rFonts w:ascii="Arial Narrow" w:hAnsi="Arial Narrow"/>
          <w:i/>
          <w:sz w:val="24"/>
          <w:szCs w:val="24"/>
        </w:rPr>
        <w:t>Gastroenterol</w:t>
      </w:r>
      <w:proofErr w:type="spellEnd"/>
      <w:r w:rsidRPr="007741AC">
        <w:rPr>
          <w:rFonts w:ascii="Arial Narrow" w:hAnsi="Arial Narrow"/>
          <w:i/>
          <w:sz w:val="24"/>
          <w:szCs w:val="24"/>
        </w:rPr>
        <w:t xml:space="preserve"> </w:t>
      </w:r>
      <w:r w:rsidRPr="007741AC">
        <w:rPr>
          <w:rFonts w:ascii="Arial Narrow" w:hAnsi="Arial Narrow"/>
          <w:sz w:val="24"/>
          <w:szCs w:val="24"/>
        </w:rPr>
        <w:t>2011;46:261-270.</w:t>
      </w:r>
    </w:p>
    <w:p w14:paraId="1B20D138" w14:textId="34F2069C" w:rsidR="00507593" w:rsidRPr="007741AC" w:rsidRDefault="00F97B12" w:rsidP="0039190E">
      <w:pPr>
        <w:pStyle w:val="ListParagraph"/>
        <w:numPr>
          <w:ilvl w:val="0"/>
          <w:numId w:val="25"/>
        </w:numPr>
        <w:spacing w:after="200" w:line="480" w:lineRule="auto"/>
        <w:rPr>
          <w:rFonts w:ascii="Arial Narrow" w:hAnsi="Arial Narrow"/>
          <w:sz w:val="24"/>
          <w:szCs w:val="24"/>
        </w:rPr>
      </w:pPr>
      <w:proofErr w:type="spellStart"/>
      <w:r w:rsidRPr="007741AC">
        <w:rPr>
          <w:rFonts w:ascii="Arial Narrow" w:hAnsi="Arial Narrow"/>
          <w:sz w:val="24"/>
          <w:szCs w:val="24"/>
        </w:rPr>
        <w:t>Villatoro</w:t>
      </w:r>
      <w:proofErr w:type="spellEnd"/>
      <w:r w:rsidRPr="007741AC">
        <w:rPr>
          <w:rFonts w:ascii="Arial Narrow" w:hAnsi="Arial Narrow"/>
          <w:sz w:val="24"/>
          <w:szCs w:val="24"/>
        </w:rPr>
        <w:t xml:space="preserve"> E, </w:t>
      </w:r>
      <w:proofErr w:type="spellStart"/>
      <w:r w:rsidRPr="007741AC">
        <w:rPr>
          <w:rFonts w:ascii="Arial Narrow" w:hAnsi="Arial Narrow"/>
          <w:sz w:val="24"/>
          <w:szCs w:val="24"/>
        </w:rPr>
        <w:t>Mulla</w:t>
      </w:r>
      <w:proofErr w:type="spellEnd"/>
      <w:r w:rsidRPr="007741AC">
        <w:rPr>
          <w:rFonts w:ascii="Arial Narrow" w:hAnsi="Arial Narrow"/>
          <w:sz w:val="24"/>
          <w:szCs w:val="24"/>
        </w:rPr>
        <w:t xml:space="preserve"> M, </w:t>
      </w:r>
      <w:proofErr w:type="spellStart"/>
      <w:r w:rsidRPr="007741AC">
        <w:rPr>
          <w:rFonts w:ascii="Arial Narrow" w:hAnsi="Arial Narrow"/>
          <w:sz w:val="24"/>
          <w:szCs w:val="24"/>
        </w:rPr>
        <w:t>Larvin</w:t>
      </w:r>
      <w:proofErr w:type="spellEnd"/>
      <w:r w:rsidRPr="007741AC">
        <w:rPr>
          <w:rFonts w:ascii="Arial Narrow" w:hAnsi="Arial Narrow"/>
          <w:sz w:val="24"/>
          <w:szCs w:val="24"/>
        </w:rPr>
        <w:t xml:space="preserve"> M.  Antibiotic therapy for prophylaxis against infection of pancreatic necrosis in acute pancreatitis.  </w:t>
      </w:r>
      <w:r w:rsidR="00131627">
        <w:rPr>
          <w:rFonts w:ascii="Arial Narrow" w:hAnsi="Arial Narrow"/>
          <w:i/>
          <w:sz w:val="24"/>
          <w:szCs w:val="24"/>
        </w:rPr>
        <w:t xml:space="preserve">Cochrane Databases </w:t>
      </w:r>
      <w:proofErr w:type="spellStart"/>
      <w:r w:rsidR="00131627">
        <w:rPr>
          <w:rFonts w:ascii="Arial Narrow" w:hAnsi="Arial Narrow"/>
          <w:i/>
          <w:sz w:val="24"/>
          <w:szCs w:val="24"/>
        </w:rPr>
        <w:t>Syst</w:t>
      </w:r>
      <w:proofErr w:type="spellEnd"/>
      <w:r w:rsidR="00131627">
        <w:rPr>
          <w:rFonts w:ascii="Arial Narrow" w:hAnsi="Arial Narrow"/>
          <w:i/>
          <w:sz w:val="24"/>
          <w:szCs w:val="24"/>
        </w:rPr>
        <w:t xml:space="preserve"> R</w:t>
      </w:r>
      <w:r w:rsidR="00131627" w:rsidRPr="007741AC">
        <w:rPr>
          <w:rFonts w:ascii="Arial Narrow" w:hAnsi="Arial Narrow"/>
          <w:i/>
          <w:sz w:val="24"/>
          <w:szCs w:val="24"/>
        </w:rPr>
        <w:t xml:space="preserve">ev </w:t>
      </w:r>
      <w:r w:rsidR="00131627" w:rsidRPr="007741AC">
        <w:rPr>
          <w:rFonts w:ascii="Arial Narrow" w:hAnsi="Arial Narrow"/>
          <w:sz w:val="24"/>
          <w:szCs w:val="24"/>
        </w:rPr>
        <w:t>2010;5:CD002941.</w:t>
      </w:r>
    </w:p>
    <w:p w14:paraId="55071F7E" w14:textId="792DE0CF" w:rsidR="00507593" w:rsidRPr="007741AC" w:rsidRDefault="001E3231" w:rsidP="0039190E">
      <w:pPr>
        <w:pStyle w:val="ListParagraph"/>
        <w:numPr>
          <w:ilvl w:val="0"/>
          <w:numId w:val="25"/>
        </w:numPr>
        <w:spacing w:after="200" w:line="480" w:lineRule="auto"/>
        <w:rPr>
          <w:rFonts w:ascii="Arial Narrow" w:hAnsi="Arial Narrow"/>
          <w:sz w:val="24"/>
          <w:szCs w:val="24"/>
        </w:rPr>
      </w:pPr>
      <w:proofErr w:type="spellStart"/>
      <w:r w:rsidRPr="007741AC">
        <w:rPr>
          <w:rFonts w:ascii="Arial Narrow" w:hAnsi="Arial Narrow"/>
          <w:sz w:val="24"/>
          <w:szCs w:val="24"/>
        </w:rPr>
        <w:t>Ukai</w:t>
      </w:r>
      <w:proofErr w:type="spellEnd"/>
      <w:r w:rsidRPr="007741AC">
        <w:rPr>
          <w:rFonts w:ascii="Arial Narrow" w:hAnsi="Arial Narrow"/>
          <w:sz w:val="24"/>
          <w:szCs w:val="24"/>
        </w:rPr>
        <w:t xml:space="preserve"> T, </w:t>
      </w:r>
      <w:proofErr w:type="spellStart"/>
      <w:r w:rsidRPr="007741AC">
        <w:rPr>
          <w:rFonts w:ascii="Arial Narrow" w:hAnsi="Arial Narrow"/>
          <w:sz w:val="24"/>
          <w:szCs w:val="24"/>
        </w:rPr>
        <w:t>Shikata</w:t>
      </w:r>
      <w:proofErr w:type="spellEnd"/>
      <w:r w:rsidRPr="007741AC">
        <w:rPr>
          <w:rFonts w:ascii="Arial Narrow" w:hAnsi="Arial Narrow"/>
          <w:sz w:val="24"/>
          <w:szCs w:val="24"/>
        </w:rPr>
        <w:t xml:space="preserve"> T, Inoue </w:t>
      </w:r>
      <w:proofErr w:type="spellStart"/>
      <w:r w:rsidRPr="007741AC">
        <w:rPr>
          <w:rFonts w:ascii="Arial Narrow" w:hAnsi="Arial Narrow"/>
          <w:sz w:val="24"/>
          <w:szCs w:val="24"/>
        </w:rPr>
        <w:t>M et</w:t>
      </w:r>
      <w:proofErr w:type="spellEnd"/>
      <w:r w:rsidRPr="007741AC">
        <w:rPr>
          <w:rFonts w:ascii="Arial Narrow" w:hAnsi="Arial Narrow"/>
          <w:sz w:val="24"/>
          <w:szCs w:val="24"/>
        </w:rPr>
        <w:t xml:space="preserve">. al.  Early prophylactic antibiotics administration for acute necrotizing pancreatitis: a meta-analysis of randomized controlled trials.  </w:t>
      </w:r>
      <w:r w:rsidRPr="007741AC">
        <w:rPr>
          <w:rFonts w:ascii="Arial Narrow" w:hAnsi="Arial Narrow"/>
          <w:i/>
          <w:sz w:val="24"/>
          <w:szCs w:val="24"/>
        </w:rPr>
        <w:t xml:space="preserve">J Hepatobiliary </w:t>
      </w:r>
      <w:proofErr w:type="spellStart"/>
      <w:r w:rsidRPr="007741AC">
        <w:rPr>
          <w:rFonts w:ascii="Arial Narrow" w:hAnsi="Arial Narrow"/>
          <w:i/>
          <w:sz w:val="24"/>
          <w:szCs w:val="24"/>
        </w:rPr>
        <w:t>Pancreat</w:t>
      </w:r>
      <w:proofErr w:type="spellEnd"/>
      <w:r w:rsidRPr="007741AC">
        <w:rPr>
          <w:rFonts w:ascii="Arial Narrow" w:hAnsi="Arial Narrow"/>
          <w:i/>
          <w:sz w:val="24"/>
          <w:szCs w:val="24"/>
        </w:rPr>
        <w:t xml:space="preserve"> Surg </w:t>
      </w:r>
      <w:r w:rsidRPr="007741AC">
        <w:rPr>
          <w:rFonts w:ascii="Arial Narrow" w:hAnsi="Arial Narrow"/>
          <w:sz w:val="24"/>
          <w:szCs w:val="24"/>
        </w:rPr>
        <w:t>2015; 22:316-321.</w:t>
      </w:r>
    </w:p>
    <w:p w14:paraId="147CD079" w14:textId="77777777" w:rsidR="001E3231" w:rsidRPr="007741AC" w:rsidRDefault="001E3231" w:rsidP="001E3231">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t xml:space="preserve">Working Group IAP/APA Acute Pancreatitis Guidelines.  IAP/APA evidence-based guidelines for the management of acute pancreatitis.  </w:t>
      </w:r>
      <w:r w:rsidRPr="007741AC">
        <w:rPr>
          <w:rFonts w:ascii="Arial Narrow" w:hAnsi="Arial Narrow"/>
          <w:i/>
          <w:sz w:val="24"/>
          <w:szCs w:val="24"/>
        </w:rPr>
        <w:t>Pancreatology</w:t>
      </w:r>
      <w:r w:rsidRPr="007741AC">
        <w:rPr>
          <w:rFonts w:ascii="Arial Narrow" w:hAnsi="Arial Narrow"/>
          <w:sz w:val="24"/>
          <w:szCs w:val="24"/>
        </w:rPr>
        <w:t xml:space="preserve"> 2013; 13: e1 - e15.</w:t>
      </w:r>
    </w:p>
    <w:p w14:paraId="233B3281" w14:textId="77777777" w:rsidR="00993621" w:rsidRPr="007741AC" w:rsidRDefault="00993621" w:rsidP="00993621">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lastRenderedPageBreak/>
        <w:t xml:space="preserve">Sun E, </w:t>
      </w:r>
      <w:proofErr w:type="spellStart"/>
      <w:r w:rsidRPr="007741AC">
        <w:rPr>
          <w:rFonts w:ascii="Arial Narrow" w:hAnsi="Arial Narrow"/>
          <w:sz w:val="24"/>
          <w:szCs w:val="24"/>
        </w:rPr>
        <w:t>Tharakan</w:t>
      </w:r>
      <w:proofErr w:type="spellEnd"/>
      <w:r w:rsidRPr="007741AC">
        <w:rPr>
          <w:rFonts w:ascii="Arial Narrow" w:hAnsi="Arial Narrow"/>
          <w:sz w:val="24"/>
          <w:szCs w:val="24"/>
        </w:rPr>
        <w:t xml:space="preserve"> M, Kapoor S et al.  Poor Compliance with ACG Guidelines for Nutrition and Antibiotics in the Management of Acute Pancreatitis: A North American Survey of Gastrointestinal Specialists and Primary Care Physicians.  </w:t>
      </w:r>
      <w:r w:rsidRPr="007741AC">
        <w:rPr>
          <w:rFonts w:ascii="Arial Narrow" w:hAnsi="Arial Narrow"/>
          <w:i/>
          <w:sz w:val="24"/>
          <w:szCs w:val="24"/>
        </w:rPr>
        <w:t>JOP. J Pancreas (Online</w:t>
      </w:r>
      <w:r w:rsidRPr="007741AC">
        <w:rPr>
          <w:rFonts w:ascii="Arial Narrow" w:hAnsi="Arial Narrow"/>
          <w:sz w:val="24"/>
          <w:szCs w:val="24"/>
        </w:rPr>
        <w:t>) 2013; 14:221-227</w:t>
      </w:r>
    </w:p>
    <w:p w14:paraId="0D500FED" w14:textId="1A871193" w:rsidR="00507593" w:rsidRPr="007741AC" w:rsidRDefault="00993621" w:rsidP="0039190E">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t xml:space="preserve">Baltatzis M, Mason JM, Chandrabalan V et. al.  Antibiotic use in acute pancreatitis: an audit </w:t>
      </w:r>
      <w:proofErr w:type="spellStart"/>
      <w:r w:rsidRPr="007741AC">
        <w:rPr>
          <w:rFonts w:ascii="Arial Narrow" w:hAnsi="Arial Narrow"/>
          <w:sz w:val="24"/>
          <w:szCs w:val="24"/>
        </w:rPr>
        <w:t>f</w:t>
      </w:r>
      <w:proofErr w:type="spellEnd"/>
      <w:r w:rsidRPr="007741AC">
        <w:rPr>
          <w:rFonts w:ascii="Arial Narrow" w:hAnsi="Arial Narrow"/>
          <w:sz w:val="24"/>
          <w:szCs w:val="24"/>
        </w:rPr>
        <w:t xml:space="preserve"> current practice in a tertiary centre.  </w:t>
      </w:r>
      <w:r w:rsidRPr="007741AC">
        <w:rPr>
          <w:rFonts w:ascii="Arial Narrow" w:hAnsi="Arial Narrow"/>
          <w:i/>
          <w:sz w:val="24"/>
          <w:szCs w:val="24"/>
        </w:rPr>
        <w:t xml:space="preserve">Pancreatology </w:t>
      </w:r>
      <w:r w:rsidRPr="007741AC">
        <w:rPr>
          <w:rFonts w:ascii="Arial Narrow" w:hAnsi="Arial Narrow"/>
          <w:sz w:val="24"/>
          <w:szCs w:val="24"/>
        </w:rPr>
        <w:t>2016</w:t>
      </w:r>
      <w:r w:rsidRPr="007741AC">
        <w:rPr>
          <w:rFonts w:ascii="Arial Narrow" w:hAnsi="Arial Narrow"/>
          <w:i/>
          <w:sz w:val="24"/>
          <w:szCs w:val="24"/>
        </w:rPr>
        <w:t>;</w:t>
      </w:r>
      <w:r w:rsidRPr="007741AC">
        <w:rPr>
          <w:rFonts w:ascii="Arial Narrow" w:hAnsi="Arial Narrow"/>
          <w:sz w:val="24"/>
          <w:szCs w:val="24"/>
        </w:rPr>
        <w:t>16:946-951.</w:t>
      </w:r>
    </w:p>
    <w:p w14:paraId="1AE33555" w14:textId="77777777" w:rsidR="00F2456D" w:rsidRPr="007741AC" w:rsidRDefault="00F2456D" w:rsidP="00F2456D">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t xml:space="preserve">Barnard J, Siriwardena AK.  Variations in implementation of current national  guidelines for the treatment of acute pancreatitis: implications for acute surgical service provision. </w:t>
      </w:r>
      <w:r w:rsidRPr="007741AC">
        <w:rPr>
          <w:rFonts w:ascii="Arial Narrow" w:hAnsi="Arial Narrow"/>
          <w:i/>
          <w:sz w:val="24"/>
          <w:szCs w:val="24"/>
        </w:rPr>
        <w:t xml:space="preserve">Ann R </w:t>
      </w:r>
      <w:proofErr w:type="spellStart"/>
      <w:r w:rsidRPr="007741AC">
        <w:rPr>
          <w:rFonts w:ascii="Arial Narrow" w:hAnsi="Arial Narrow"/>
          <w:i/>
          <w:sz w:val="24"/>
          <w:szCs w:val="24"/>
        </w:rPr>
        <w:t>Coll</w:t>
      </w:r>
      <w:proofErr w:type="spellEnd"/>
      <w:r w:rsidRPr="007741AC">
        <w:rPr>
          <w:rFonts w:ascii="Arial Narrow" w:hAnsi="Arial Narrow"/>
          <w:i/>
          <w:sz w:val="24"/>
          <w:szCs w:val="24"/>
        </w:rPr>
        <w:t xml:space="preserve"> Surg Engl</w:t>
      </w:r>
      <w:r w:rsidRPr="007741AC">
        <w:rPr>
          <w:rFonts w:ascii="Arial Narrow" w:hAnsi="Arial Narrow"/>
          <w:sz w:val="24"/>
          <w:szCs w:val="24"/>
        </w:rPr>
        <w:t xml:space="preserve"> 2002; 84: 79-81.</w:t>
      </w:r>
    </w:p>
    <w:p w14:paraId="01CFB684" w14:textId="77777777" w:rsidR="00993621" w:rsidRPr="007741AC" w:rsidRDefault="00993621" w:rsidP="00993621">
      <w:pPr>
        <w:pStyle w:val="ListParagraph"/>
        <w:numPr>
          <w:ilvl w:val="0"/>
          <w:numId w:val="25"/>
        </w:numPr>
        <w:spacing w:after="200" w:line="480" w:lineRule="auto"/>
        <w:rPr>
          <w:rFonts w:ascii="Arial Narrow" w:hAnsi="Arial Narrow"/>
          <w:sz w:val="24"/>
          <w:szCs w:val="24"/>
        </w:rPr>
      </w:pPr>
      <w:proofErr w:type="spellStart"/>
      <w:r w:rsidRPr="007741AC">
        <w:rPr>
          <w:rFonts w:ascii="Arial Narrow" w:hAnsi="Arial Narrow"/>
          <w:sz w:val="24"/>
          <w:szCs w:val="24"/>
        </w:rPr>
        <w:t>Talukdar</w:t>
      </w:r>
      <w:proofErr w:type="spellEnd"/>
      <w:r w:rsidRPr="007741AC">
        <w:rPr>
          <w:rFonts w:ascii="Arial Narrow" w:hAnsi="Arial Narrow"/>
          <w:sz w:val="24"/>
          <w:szCs w:val="24"/>
        </w:rPr>
        <w:t xml:space="preserve"> R, </w:t>
      </w:r>
      <w:proofErr w:type="spellStart"/>
      <w:r w:rsidRPr="007741AC">
        <w:rPr>
          <w:rFonts w:ascii="Arial Narrow" w:hAnsi="Arial Narrow"/>
          <w:sz w:val="24"/>
          <w:szCs w:val="24"/>
        </w:rPr>
        <w:t>Ingale</w:t>
      </w:r>
      <w:proofErr w:type="spellEnd"/>
      <w:r w:rsidRPr="007741AC">
        <w:rPr>
          <w:rFonts w:ascii="Arial Narrow" w:hAnsi="Arial Narrow"/>
          <w:sz w:val="24"/>
          <w:szCs w:val="24"/>
        </w:rPr>
        <w:t xml:space="preserve"> P, Choudhury HP et al.  Antibiotic use in acute pancreatitis: an Indian multicenter observational study.  </w:t>
      </w:r>
      <w:r w:rsidRPr="007741AC">
        <w:rPr>
          <w:rFonts w:ascii="Arial Narrow" w:hAnsi="Arial Narrow"/>
          <w:i/>
          <w:sz w:val="24"/>
          <w:szCs w:val="24"/>
        </w:rPr>
        <w:t xml:space="preserve">Indian J Gastroenterol. </w:t>
      </w:r>
      <w:r w:rsidRPr="007741AC">
        <w:rPr>
          <w:rFonts w:ascii="Arial Narrow" w:hAnsi="Arial Narrow"/>
          <w:sz w:val="24"/>
          <w:szCs w:val="24"/>
        </w:rPr>
        <w:t>2014;33:458-65.</w:t>
      </w:r>
    </w:p>
    <w:p w14:paraId="1899990F" w14:textId="77777777" w:rsidR="00993621" w:rsidRPr="00637F17" w:rsidRDefault="00993621" w:rsidP="00993621">
      <w:pPr>
        <w:pStyle w:val="ListParagraph"/>
        <w:numPr>
          <w:ilvl w:val="0"/>
          <w:numId w:val="25"/>
        </w:numPr>
        <w:spacing w:after="200" w:line="480" w:lineRule="auto"/>
        <w:rPr>
          <w:rFonts w:ascii="Arial Narrow" w:hAnsi="Arial Narrow"/>
          <w:sz w:val="24"/>
          <w:szCs w:val="24"/>
        </w:rPr>
      </w:pPr>
      <w:proofErr w:type="spellStart"/>
      <w:r w:rsidRPr="007741AC">
        <w:rPr>
          <w:rFonts w:ascii="Arial Narrow" w:hAnsi="Arial Narrow"/>
          <w:sz w:val="24"/>
          <w:szCs w:val="24"/>
        </w:rPr>
        <w:t>Andersson</w:t>
      </w:r>
      <w:proofErr w:type="spellEnd"/>
      <w:r w:rsidRPr="007741AC">
        <w:rPr>
          <w:rFonts w:ascii="Arial Narrow" w:hAnsi="Arial Narrow"/>
          <w:sz w:val="24"/>
          <w:szCs w:val="24"/>
        </w:rPr>
        <w:t xml:space="preserve"> B1, </w:t>
      </w:r>
      <w:proofErr w:type="spellStart"/>
      <w:r w:rsidRPr="007741AC">
        <w:rPr>
          <w:rFonts w:ascii="Arial Narrow" w:hAnsi="Arial Narrow"/>
          <w:sz w:val="24"/>
          <w:szCs w:val="24"/>
        </w:rPr>
        <w:t>Andrén</w:t>
      </w:r>
      <w:proofErr w:type="spellEnd"/>
      <w:r w:rsidRPr="007741AC">
        <w:rPr>
          <w:rFonts w:ascii="Arial Narrow" w:hAnsi="Arial Narrow"/>
          <w:sz w:val="24"/>
          <w:szCs w:val="24"/>
        </w:rPr>
        <w:t xml:space="preserve">-Sandberg A, Nilsson J, Andersson R.  Survey of the management of acute pancreatitis in surgical departments in Sweden. </w:t>
      </w:r>
      <w:proofErr w:type="spellStart"/>
      <w:r w:rsidRPr="007741AC">
        <w:rPr>
          <w:rFonts w:ascii="Arial Narrow" w:hAnsi="Arial Narrow"/>
          <w:i/>
          <w:sz w:val="24"/>
          <w:szCs w:val="24"/>
        </w:rPr>
        <w:t>Scand</w:t>
      </w:r>
      <w:proofErr w:type="spellEnd"/>
      <w:r w:rsidRPr="007741AC">
        <w:rPr>
          <w:rFonts w:ascii="Arial Narrow" w:hAnsi="Arial Narrow"/>
          <w:i/>
          <w:sz w:val="24"/>
          <w:szCs w:val="24"/>
        </w:rPr>
        <w:t xml:space="preserve"> J </w:t>
      </w:r>
      <w:proofErr w:type="spellStart"/>
      <w:r w:rsidRPr="007741AC">
        <w:rPr>
          <w:rFonts w:ascii="Arial Narrow" w:hAnsi="Arial Narrow"/>
          <w:i/>
          <w:sz w:val="24"/>
          <w:szCs w:val="24"/>
        </w:rPr>
        <w:t>Gastroenterol</w:t>
      </w:r>
      <w:proofErr w:type="spellEnd"/>
      <w:r w:rsidRPr="007741AC">
        <w:rPr>
          <w:rFonts w:ascii="Arial Narrow" w:hAnsi="Arial Narrow"/>
          <w:i/>
          <w:sz w:val="24"/>
          <w:szCs w:val="24"/>
        </w:rPr>
        <w:t>.</w:t>
      </w:r>
      <w:r w:rsidRPr="00637F17">
        <w:rPr>
          <w:rFonts w:ascii="Arial Narrow" w:hAnsi="Arial Narrow"/>
          <w:sz w:val="24"/>
          <w:szCs w:val="24"/>
        </w:rPr>
        <w:t xml:space="preserve"> 2012;47:1064-70.</w:t>
      </w:r>
    </w:p>
    <w:p w14:paraId="57918348" w14:textId="77777777" w:rsidR="00993621" w:rsidRPr="00637F17" w:rsidRDefault="00993621" w:rsidP="00993621">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t xml:space="preserve">Murata A, Matsuda S, Mayumi T et al.  A descriptive study evaluating the circumstances of medical treatment for acute pancreatitis before publication of the new JPN guidelines based on the Japanese administrative database associated with the Diagnosis Procedure Combination system. </w:t>
      </w:r>
      <w:r w:rsidRPr="007741AC">
        <w:rPr>
          <w:rFonts w:ascii="Arial Narrow" w:hAnsi="Arial Narrow"/>
          <w:i/>
          <w:sz w:val="24"/>
          <w:szCs w:val="24"/>
        </w:rPr>
        <w:t xml:space="preserve">J Hepatobiliary </w:t>
      </w:r>
      <w:proofErr w:type="spellStart"/>
      <w:r w:rsidRPr="007741AC">
        <w:rPr>
          <w:rFonts w:ascii="Arial Narrow" w:hAnsi="Arial Narrow"/>
          <w:i/>
          <w:sz w:val="24"/>
          <w:szCs w:val="24"/>
        </w:rPr>
        <w:t>Pancreat</w:t>
      </w:r>
      <w:proofErr w:type="spellEnd"/>
      <w:r w:rsidRPr="007741AC">
        <w:rPr>
          <w:rFonts w:ascii="Arial Narrow" w:hAnsi="Arial Narrow"/>
          <w:i/>
          <w:sz w:val="24"/>
          <w:szCs w:val="24"/>
        </w:rPr>
        <w:t xml:space="preserve"> Sci.</w:t>
      </w:r>
      <w:r w:rsidRPr="00637F17">
        <w:rPr>
          <w:rFonts w:ascii="Arial Narrow" w:hAnsi="Arial Narrow"/>
          <w:sz w:val="24"/>
          <w:szCs w:val="24"/>
        </w:rPr>
        <w:t xml:space="preserve"> 2011;18:678-83.</w:t>
      </w:r>
    </w:p>
    <w:p w14:paraId="61AA1208" w14:textId="0C5FD1B3" w:rsidR="00993621" w:rsidRPr="007741AC" w:rsidRDefault="00993621" w:rsidP="00F2456D">
      <w:pPr>
        <w:pStyle w:val="ListParagraph"/>
        <w:numPr>
          <w:ilvl w:val="0"/>
          <w:numId w:val="25"/>
        </w:numPr>
        <w:spacing w:after="200" w:line="480" w:lineRule="auto"/>
        <w:rPr>
          <w:rFonts w:ascii="Arial Narrow" w:hAnsi="Arial Narrow"/>
          <w:sz w:val="24"/>
          <w:szCs w:val="24"/>
        </w:rPr>
      </w:pPr>
      <w:proofErr w:type="spellStart"/>
      <w:r w:rsidRPr="007741AC">
        <w:rPr>
          <w:rFonts w:ascii="Arial Narrow" w:hAnsi="Arial Narrow"/>
          <w:sz w:val="24"/>
          <w:szCs w:val="24"/>
        </w:rPr>
        <w:t>Vlada</w:t>
      </w:r>
      <w:proofErr w:type="spellEnd"/>
      <w:r w:rsidRPr="007741AC">
        <w:rPr>
          <w:rFonts w:ascii="Arial Narrow" w:hAnsi="Arial Narrow"/>
          <w:sz w:val="24"/>
          <w:szCs w:val="24"/>
        </w:rPr>
        <w:t xml:space="preserve"> AC, </w:t>
      </w:r>
      <w:proofErr w:type="spellStart"/>
      <w:r w:rsidRPr="007741AC">
        <w:rPr>
          <w:rFonts w:ascii="Arial Narrow" w:hAnsi="Arial Narrow"/>
          <w:sz w:val="24"/>
          <w:szCs w:val="24"/>
        </w:rPr>
        <w:t>Schmit</w:t>
      </w:r>
      <w:proofErr w:type="spellEnd"/>
      <w:r w:rsidRPr="007741AC">
        <w:rPr>
          <w:rFonts w:ascii="Arial Narrow" w:hAnsi="Arial Narrow"/>
          <w:sz w:val="24"/>
          <w:szCs w:val="24"/>
        </w:rPr>
        <w:t xml:space="preserve"> B, Perry A et al.  Failure to follow evidence-based best practice guidelines in the</w:t>
      </w:r>
      <w:r w:rsidR="00F2456D" w:rsidRPr="007741AC">
        <w:rPr>
          <w:rFonts w:ascii="Arial Narrow" w:hAnsi="Arial Narrow"/>
          <w:sz w:val="24"/>
          <w:szCs w:val="24"/>
        </w:rPr>
        <w:t xml:space="preserve"> </w:t>
      </w:r>
      <w:r w:rsidRPr="007741AC">
        <w:rPr>
          <w:rFonts w:ascii="Arial Narrow" w:hAnsi="Arial Narrow"/>
          <w:sz w:val="24"/>
          <w:szCs w:val="24"/>
        </w:rPr>
        <w:t xml:space="preserve">treatment of severe acute pancreatitis.  </w:t>
      </w:r>
      <w:r w:rsidRPr="007741AC">
        <w:rPr>
          <w:rFonts w:ascii="Arial Narrow" w:hAnsi="Arial Narrow"/>
          <w:i/>
          <w:sz w:val="24"/>
          <w:szCs w:val="24"/>
        </w:rPr>
        <w:t>HPB</w:t>
      </w:r>
      <w:r w:rsidRPr="007741AC">
        <w:rPr>
          <w:rFonts w:ascii="Arial Narrow" w:hAnsi="Arial Narrow"/>
          <w:sz w:val="24"/>
          <w:szCs w:val="24"/>
        </w:rPr>
        <w:t xml:space="preserve"> (Oxford) 2013, 15, 822–827.</w:t>
      </w:r>
    </w:p>
    <w:p w14:paraId="4AE98B21" w14:textId="6192FEB5" w:rsidR="002F2BA6" w:rsidRPr="007741AC" w:rsidRDefault="002F2BA6" w:rsidP="00F2456D">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t>NCEPOD.  Treat the cause.  A review of the quality of care provided to patients treated for acute pancreatitis. 2016.</w:t>
      </w:r>
    </w:p>
    <w:p w14:paraId="6E61A59D" w14:textId="77777777" w:rsidR="00E5368B" w:rsidRPr="007741AC" w:rsidRDefault="002F2BA6" w:rsidP="00E5368B">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t xml:space="preserve">Schuetz P, Mueller B.  Procalcitonin-guided antibiotic stewardship from </w:t>
      </w:r>
      <w:proofErr w:type="spellStart"/>
      <w:r w:rsidRPr="007741AC">
        <w:rPr>
          <w:rFonts w:ascii="Arial Narrow" w:hAnsi="Arial Narrow"/>
          <w:sz w:val="24"/>
          <w:szCs w:val="24"/>
        </w:rPr>
        <w:t>newborns</w:t>
      </w:r>
      <w:proofErr w:type="spellEnd"/>
      <w:r w:rsidRPr="007741AC">
        <w:rPr>
          <w:rFonts w:ascii="Arial Narrow" w:hAnsi="Arial Narrow"/>
          <w:sz w:val="24"/>
          <w:szCs w:val="24"/>
        </w:rPr>
        <w:t xml:space="preserve"> to centennials. </w:t>
      </w:r>
      <w:r w:rsidRPr="007741AC">
        <w:rPr>
          <w:rFonts w:ascii="Arial Narrow" w:hAnsi="Arial Narrow"/>
          <w:i/>
          <w:sz w:val="24"/>
          <w:szCs w:val="24"/>
        </w:rPr>
        <w:t xml:space="preserve">Lancet </w:t>
      </w:r>
      <w:r w:rsidRPr="007741AC">
        <w:rPr>
          <w:rFonts w:ascii="Arial Narrow" w:hAnsi="Arial Narrow"/>
          <w:sz w:val="24"/>
          <w:szCs w:val="24"/>
        </w:rPr>
        <w:t>2017;</w:t>
      </w:r>
      <w:r w:rsidR="00E5368B" w:rsidRPr="007741AC">
        <w:rPr>
          <w:rFonts w:ascii="Arial Narrow" w:hAnsi="Arial Narrow"/>
          <w:sz w:val="24"/>
          <w:szCs w:val="24"/>
        </w:rPr>
        <w:t>390:826-829.</w:t>
      </w:r>
    </w:p>
    <w:p w14:paraId="021157CB" w14:textId="331B71F2" w:rsidR="00E5368B" w:rsidRPr="007741AC" w:rsidRDefault="00E5368B" w:rsidP="00E5368B">
      <w:pPr>
        <w:pStyle w:val="ListParagraph"/>
        <w:numPr>
          <w:ilvl w:val="0"/>
          <w:numId w:val="25"/>
        </w:numPr>
        <w:spacing w:after="200" w:line="480" w:lineRule="auto"/>
        <w:rPr>
          <w:rFonts w:ascii="Arial Narrow" w:hAnsi="Arial Narrow"/>
          <w:sz w:val="24"/>
          <w:szCs w:val="24"/>
        </w:rPr>
      </w:pPr>
      <w:proofErr w:type="spellStart"/>
      <w:r w:rsidRPr="007741AC">
        <w:rPr>
          <w:rFonts w:ascii="Arial Narrow" w:hAnsi="Arial Narrow"/>
          <w:sz w:val="24"/>
          <w:szCs w:val="24"/>
        </w:rPr>
        <w:lastRenderedPageBreak/>
        <w:t>Schuetz</w:t>
      </w:r>
      <w:proofErr w:type="spellEnd"/>
      <w:r w:rsidRPr="007741AC">
        <w:rPr>
          <w:rFonts w:ascii="Arial Narrow" w:hAnsi="Arial Narrow"/>
          <w:sz w:val="24"/>
          <w:szCs w:val="24"/>
        </w:rPr>
        <w:t xml:space="preserve"> P, </w:t>
      </w:r>
      <w:proofErr w:type="spellStart"/>
      <w:r w:rsidRPr="007741AC">
        <w:rPr>
          <w:rFonts w:ascii="Arial Narrow" w:hAnsi="Arial Narrow"/>
          <w:sz w:val="24"/>
          <w:szCs w:val="24"/>
        </w:rPr>
        <w:t>Chiappa</w:t>
      </w:r>
      <w:proofErr w:type="spellEnd"/>
      <w:r w:rsidRPr="007741AC">
        <w:rPr>
          <w:rFonts w:ascii="Arial Narrow" w:hAnsi="Arial Narrow"/>
          <w:sz w:val="24"/>
          <w:szCs w:val="24"/>
        </w:rPr>
        <w:t xml:space="preserve"> V, </w:t>
      </w:r>
      <w:proofErr w:type="spellStart"/>
      <w:r w:rsidRPr="007741AC">
        <w:rPr>
          <w:rFonts w:ascii="Arial Narrow" w:hAnsi="Arial Narrow"/>
          <w:sz w:val="24"/>
          <w:szCs w:val="24"/>
        </w:rPr>
        <w:t>Briel</w:t>
      </w:r>
      <w:proofErr w:type="spellEnd"/>
      <w:r w:rsidRPr="007741AC">
        <w:rPr>
          <w:rFonts w:ascii="Arial Narrow" w:hAnsi="Arial Narrow"/>
          <w:sz w:val="24"/>
          <w:szCs w:val="24"/>
        </w:rPr>
        <w:t xml:space="preserve"> M, Greenwald JL.  Procalcitonin algorithms for antibiotic therapy decisions A systematic review of randomized controlled trials and recommendations for clinical algorithms. </w:t>
      </w:r>
      <w:r w:rsidRPr="007741AC">
        <w:rPr>
          <w:rFonts w:ascii="Arial Narrow" w:hAnsi="Arial Narrow"/>
          <w:i/>
          <w:sz w:val="24"/>
          <w:szCs w:val="24"/>
        </w:rPr>
        <w:t xml:space="preserve">Arch Intern Med </w:t>
      </w:r>
      <w:r w:rsidRPr="007741AC">
        <w:rPr>
          <w:rFonts w:ascii="Arial Narrow" w:hAnsi="Arial Narrow"/>
          <w:sz w:val="24"/>
          <w:szCs w:val="24"/>
        </w:rPr>
        <w:t>2011;171:1322-31.</w:t>
      </w:r>
    </w:p>
    <w:p w14:paraId="05590CAB" w14:textId="77777777" w:rsidR="00E5368B" w:rsidRPr="007741AC" w:rsidRDefault="00E5368B" w:rsidP="00E5368B">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t xml:space="preserve">Rau B, </w:t>
      </w:r>
      <w:proofErr w:type="spellStart"/>
      <w:r w:rsidRPr="007741AC">
        <w:rPr>
          <w:rFonts w:ascii="Arial Narrow" w:hAnsi="Arial Narrow"/>
          <w:sz w:val="24"/>
          <w:szCs w:val="24"/>
        </w:rPr>
        <w:t>Kemppainen</w:t>
      </w:r>
      <w:proofErr w:type="spellEnd"/>
      <w:r w:rsidRPr="007741AC">
        <w:rPr>
          <w:rFonts w:ascii="Arial Narrow" w:hAnsi="Arial Narrow"/>
          <w:sz w:val="24"/>
          <w:szCs w:val="24"/>
        </w:rPr>
        <w:t xml:space="preserve"> E, </w:t>
      </w:r>
      <w:proofErr w:type="spellStart"/>
      <w:r w:rsidRPr="007741AC">
        <w:rPr>
          <w:rFonts w:ascii="Arial Narrow" w:hAnsi="Arial Narrow"/>
          <w:sz w:val="24"/>
          <w:szCs w:val="24"/>
        </w:rPr>
        <w:t>Gumbs</w:t>
      </w:r>
      <w:proofErr w:type="spellEnd"/>
      <w:r w:rsidRPr="007741AC">
        <w:rPr>
          <w:rFonts w:ascii="Arial Narrow" w:hAnsi="Arial Narrow"/>
          <w:sz w:val="24"/>
          <w:szCs w:val="24"/>
        </w:rPr>
        <w:t xml:space="preserve"> AA et al.  Early assessment of pancreatic infections and overall prognosis in severe acute pancreatitis by procalcitonin (PCT).  A prospective international multicentre study.  </w:t>
      </w:r>
      <w:r w:rsidRPr="007741AC">
        <w:rPr>
          <w:rFonts w:ascii="Arial Narrow" w:hAnsi="Arial Narrow"/>
          <w:i/>
          <w:sz w:val="24"/>
          <w:szCs w:val="24"/>
        </w:rPr>
        <w:t xml:space="preserve">Ann Surg </w:t>
      </w:r>
      <w:r w:rsidRPr="007741AC">
        <w:rPr>
          <w:rFonts w:ascii="Arial Narrow" w:hAnsi="Arial Narrow"/>
          <w:sz w:val="24"/>
          <w:szCs w:val="24"/>
        </w:rPr>
        <w:t>2007</w:t>
      </w:r>
      <w:r w:rsidRPr="007741AC">
        <w:rPr>
          <w:rFonts w:ascii="Arial Narrow" w:hAnsi="Arial Narrow"/>
          <w:i/>
          <w:sz w:val="24"/>
          <w:szCs w:val="24"/>
        </w:rPr>
        <w:t>;</w:t>
      </w:r>
      <w:r w:rsidRPr="007741AC">
        <w:rPr>
          <w:rFonts w:ascii="Arial Narrow" w:hAnsi="Arial Narrow"/>
          <w:sz w:val="24"/>
          <w:szCs w:val="24"/>
        </w:rPr>
        <w:t>245:745-54.</w:t>
      </w:r>
    </w:p>
    <w:p w14:paraId="53900AFC" w14:textId="4C848302" w:rsidR="002F2BA6" w:rsidRPr="007741AC" w:rsidRDefault="00E5368B" w:rsidP="00C22B51">
      <w:pPr>
        <w:pStyle w:val="ListParagraph"/>
        <w:numPr>
          <w:ilvl w:val="0"/>
          <w:numId w:val="25"/>
        </w:numPr>
        <w:spacing w:after="200" w:line="480" w:lineRule="auto"/>
        <w:rPr>
          <w:rFonts w:ascii="Arial Narrow" w:hAnsi="Arial Narrow"/>
          <w:sz w:val="24"/>
          <w:szCs w:val="24"/>
        </w:rPr>
      </w:pPr>
      <w:proofErr w:type="spellStart"/>
      <w:r w:rsidRPr="007741AC">
        <w:rPr>
          <w:rFonts w:ascii="Arial Narrow" w:hAnsi="Arial Narrow"/>
          <w:sz w:val="24"/>
          <w:szCs w:val="24"/>
        </w:rPr>
        <w:t>Schuetz</w:t>
      </w:r>
      <w:proofErr w:type="spellEnd"/>
      <w:r w:rsidRPr="007741AC">
        <w:rPr>
          <w:rFonts w:ascii="Arial Narrow" w:hAnsi="Arial Narrow"/>
          <w:sz w:val="24"/>
          <w:szCs w:val="24"/>
        </w:rPr>
        <w:t xml:space="preserve"> P, </w:t>
      </w:r>
      <w:proofErr w:type="spellStart"/>
      <w:r w:rsidRPr="007741AC">
        <w:rPr>
          <w:rFonts w:ascii="Arial Narrow" w:hAnsi="Arial Narrow"/>
          <w:sz w:val="24"/>
          <w:szCs w:val="24"/>
        </w:rPr>
        <w:t>Chiappa</w:t>
      </w:r>
      <w:proofErr w:type="spellEnd"/>
      <w:r w:rsidRPr="007741AC">
        <w:rPr>
          <w:rFonts w:ascii="Arial Narrow" w:hAnsi="Arial Narrow"/>
          <w:sz w:val="24"/>
          <w:szCs w:val="24"/>
        </w:rPr>
        <w:t xml:space="preserve"> V, </w:t>
      </w:r>
      <w:proofErr w:type="spellStart"/>
      <w:r w:rsidRPr="007741AC">
        <w:rPr>
          <w:rFonts w:ascii="Arial Narrow" w:hAnsi="Arial Narrow"/>
          <w:sz w:val="24"/>
          <w:szCs w:val="24"/>
        </w:rPr>
        <w:t>Briel</w:t>
      </w:r>
      <w:proofErr w:type="spellEnd"/>
      <w:r w:rsidRPr="007741AC">
        <w:rPr>
          <w:rFonts w:ascii="Arial Narrow" w:hAnsi="Arial Narrow"/>
          <w:sz w:val="24"/>
          <w:szCs w:val="24"/>
        </w:rPr>
        <w:t xml:space="preserve"> </w:t>
      </w:r>
      <w:proofErr w:type="spellStart"/>
      <w:r w:rsidRPr="007741AC">
        <w:rPr>
          <w:rFonts w:ascii="Arial Narrow" w:hAnsi="Arial Narrow"/>
          <w:sz w:val="24"/>
          <w:szCs w:val="24"/>
        </w:rPr>
        <w:t>M et</w:t>
      </w:r>
      <w:proofErr w:type="spellEnd"/>
      <w:r w:rsidRPr="007741AC">
        <w:rPr>
          <w:rFonts w:ascii="Arial Narrow" w:hAnsi="Arial Narrow"/>
          <w:sz w:val="24"/>
          <w:szCs w:val="24"/>
        </w:rPr>
        <w:t xml:space="preserve">. al.  </w:t>
      </w:r>
      <w:r w:rsidR="00C22B51" w:rsidRPr="007741AC">
        <w:rPr>
          <w:rFonts w:ascii="Arial Narrow" w:hAnsi="Arial Narrow"/>
          <w:sz w:val="24"/>
          <w:szCs w:val="24"/>
        </w:rPr>
        <w:t xml:space="preserve">Procalcitonin algorithms for antibiotic therapy decisions. A systematic review of randomized controlled trials and recommendations for clinical algorithms.  </w:t>
      </w:r>
      <w:r w:rsidR="00C22B51" w:rsidRPr="007741AC">
        <w:rPr>
          <w:rFonts w:ascii="Arial Narrow" w:hAnsi="Arial Narrow"/>
          <w:i/>
          <w:sz w:val="24"/>
          <w:szCs w:val="24"/>
        </w:rPr>
        <w:t xml:space="preserve">Arch Intern Med </w:t>
      </w:r>
      <w:r w:rsidR="00C22B51" w:rsidRPr="007741AC">
        <w:rPr>
          <w:rFonts w:ascii="Arial Narrow" w:hAnsi="Arial Narrow"/>
          <w:sz w:val="24"/>
          <w:szCs w:val="24"/>
        </w:rPr>
        <w:t>2011;171:1332:1331.</w:t>
      </w:r>
    </w:p>
    <w:p w14:paraId="69326D0E" w14:textId="1E09CFA6" w:rsidR="00C22B51" w:rsidRPr="007741AC" w:rsidRDefault="00C22B51" w:rsidP="00C22B51">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t xml:space="preserve">Westwood M, </w:t>
      </w:r>
      <w:proofErr w:type="spellStart"/>
      <w:r w:rsidRPr="007741AC">
        <w:rPr>
          <w:rFonts w:ascii="Arial Narrow" w:hAnsi="Arial Narrow"/>
          <w:sz w:val="24"/>
          <w:szCs w:val="24"/>
        </w:rPr>
        <w:t>Ramaekers</w:t>
      </w:r>
      <w:proofErr w:type="spellEnd"/>
      <w:r w:rsidRPr="007741AC">
        <w:rPr>
          <w:rFonts w:ascii="Arial Narrow" w:hAnsi="Arial Narrow"/>
          <w:sz w:val="24"/>
          <w:szCs w:val="24"/>
        </w:rPr>
        <w:t xml:space="preserve"> B, Whiting P et. al.  Procalcitonin testing to guide antibiotic therapy for the treatment of sepsis in intensive care settings and for suspected bacterial infection in emergency department settings: a systematic review and cost-effectiveness analysis.  </w:t>
      </w:r>
      <w:r w:rsidRPr="007741AC">
        <w:rPr>
          <w:rFonts w:ascii="Arial Narrow" w:hAnsi="Arial Narrow"/>
          <w:i/>
          <w:sz w:val="24"/>
          <w:szCs w:val="24"/>
        </w:rPr>
        <w:t xml:space="preserve">Health </w:t>
      </w:r>
      <w:proofErr w:type="spellStart"/>
      <w:r w:rsidRPr="007741AC">
        <w:rPr>
          <w:rFonts w:ascii="Arial Narrow" w:hAnsi="Arial Narrow"/>
          <w:i/>
          <w:sz w:val="24"/>
          <w:szCs w:val="24"/>
        </w:rPr>
        <w:t>Technol</w:t>
      </w:r>
      <w:proofErr w:type="spellEnd"/>
      <w:r w:rsidRPr="007741AC">
        <w:rPr>
          <w:rFonts w:ascii="Arial Narrow" w:hAnsi="Arial Narrow"/>
          <w:i/>
          <w:sz w:val="24"/>
          <w:szCs w:val="24"/>
        </w:rPr>
        <w:t xml:space="preserve"> Assess </w:t>
      </w:r>
      <w:r w:rsidRPr="007741AC">
        <w:rPr>
          <w:rFonts w:ascii="Arial Narrow" w:hAnsi="Arial Narrow"/>
          <w:sz w:val="24"/>
          <w:szCs w:val="24"/>
        </w:rPr>
        <w:t>2015;19: 1- 236.</w:t>
      </w:r>
    </w:p>
    <w:p w14:paraId="537FA0D5" w14:textId="4E65DB3F" w:rsidR="00507593" w:rsidRPr="007741AC" w:rsidRDefault="00F479B6" w:rsidP="00F479B6">
      <w:pPr>
        <w:pStyle w:val="ListParagraph"/>
        <w:numPr>
          <w:ilvl w:val="0"/>
          <w:numId w:val="25"/>
        </w:numPr>
        <w:spacing w:after="200" w:line="480" w:lineRule="auto"/>
        <w:rPr>
          <w:rFonts w:ascii="Arial Narrow" w:hAnsi="Arial Narrow"/>
          <w:sz w:val="24"/>
          <w:szCs w:val="24"/>
        </w:rPr>
      </w:pPr>
      <w:proofErr w:type="spellStart"/>
      <w:r w:rsidRPr="007741AC">
        <w:rPr>
          <w:rFonts w:ascii="Arial Narrow" w:hAnsi="Arial Narrow"/>
          <w:sz w:val="24"/>
          <w:szCs w:val="24"/>
        </w:rPr>
        <w:t>Mofidi</w:t>
      </w:r>
      <w:proofErr w:type="spellEnd"/>
      <w:r w:rsidRPr="007741AC">
        <w:rPr>
          <w:rFonts w:ascii="Arial Narrow" w:hAnsi="Arial Narrow"/>
          <w:sz w:val="24"/>
          <w:szCs w:val="24"/>
        </w:rPr>
        <w:t xml:space="preserve"> R, </w:t>
      </w:r>
      <w:proofErr w:type="spellStart"/>
      <w:r w:rsidRPr="007741AC">
        <w:rPr>
          <w:rFonts w:ascii="Arial Narrow" w:hAnsi="Arial Narrow"/>
          <w:sz w:val="24"/>
          <w:szCs w:val="24"/>
        </w:rPr>
        <w:t>Suttie</w:t>
      </w:r>
      <w:proofErr w:type="spellEnd"/>
      <w:r w:rsidRPr="007741AC">
        <w:rPr>
          <w:rFonts w:ascii="Arial Narrow" w:hAnsi="Arial Narrow"/>
          <w:sz w:val="24"/>
          <w:szCs w:val="24"/>
        </w:rPr>
        <w:t xml:space="preserve"> SA, </w:t>
      </w:r>
      <w:proofErr w:type="spellStart"/>
      <w:r w:rsidRPr="007741AC">
        <w:rPr>
          <w:rFonts w:ascii="Arial Narrow" w:hAnsi="Arial Narrow"/>
          <w:sz w:val="24"/>
          <w:szCs w:val="24"/>
        </w:rPr>
        <w:t>Patil</w:t>
      </w:r>
      <w:proofErr w:type="spellEnd"/>
      <w:r w:rsidRPr="007741AC">
        <w:rPr>
          <w:rFonts w:ascii="Arial Narrow" w:hAnsi="Arial Narrow"/>
          <w:sz w:val="24"/>
          <w:szCs w:val="24"/>
        </w:rPr>
        <w:t xml:space="preserve"> PV et al.  The value of procalcitonin at predicting the severity of acute pancreatitis and development of infected pancreatic necrosis: Systematic review. </w:t>
      </w:r>
      <w:r w:rsidRPr="007741AC">
        <w:rPr>
          <w:rFonts w:ascii="Arial Narrow" w:hAnsi="Arial Narrow"/>
          <w:i/>
          <w:sz w:val="24"/>
          <w:szCs w:val="24"/>
        </w:rPr>
        <w:t xml:space="preserve">Surgery </w:t>
      </w:r>
      <w:r w:rsidRPr="007741AC">
        <w:rPr>
          <w:rFonts w:ascii="Arial Narrow" w:hAnsi="Arial Narrow"/>
          <w:sz w:val="24"/>
          <w:szCs w:val="24"/>
        </w:rPr>
        <w:t>2009;146:72-81</w:t>
      </w:r>
    </w:p>
    <w:p w14:paraId="0FF96729" w14:textId="77777777" w:rsidR="00F479B6" w:rsidRPr="007741AC" w:rsidRDefault="00F479B6" w:rsidP="00F479B6">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t xml:space="preserve">Qu R, Ji Y, Ling Y et al.  Procalcitonin is a good tool to guide duration of antibiotic therapy in patients with severe acute pancreatitis.  </w:t>
      </w:r>
      <w:r w:rsidRPr="007741AC">
        <w:rPr>
          <w:rFonts w:ascii="Arial Narrow" w:hAnsi="Arial Narrow"/>
          <w:i/>
          <w:sz w:val="24"/>
          <w:szCs w:val="24"/>
        </w:rPr>
        <w:t>Saudi Med J</w:t>
      </w:r>
      <w:r w:rsidRPr="007741AC">
        <w:rPr>
          <w:rFonts w:ascii="Arial Narrow" w:hAnsi="Arial Narrow"/>
          <w:sz w:val="24"/>
          <w:szCs w:val="24"/>
        </w:rPr>
        <w:t xml:space="preserve"> 2012;33:382-87. </w:t>
      </w:r>
    </w:p>
    <w:p w14:paraId="3498E078" w14:textId="214348AF" w:rsidR="00F479B6" w:rsidRPr="007741AC" w:rsidRDefault="00F479B6" w:rsidP="00F479B6">
      <w:pPr>
        <w:pStyle w:val="ListParagraph"/>
        <w:numPr>
          <w:ilvl w:val="0"/>
          <w:numId w:val="25"/>
        </w:numPr>
        <w:spacing w:after="200" w:line="480" w:lineRule="auto"/>
        <w:rPr>
          <w:rFonts w:ascii="Arial Narrow" w:hAnsi="Arial Narrow"/>
          <w:sz w:val="24"/>
          <w:szCs w:val="24"/>
        </w:rPr>
      </w:pPr>
      <w:proofErr w:type="spellStart"/>
      <w:r w:rsidRPr="007741AC">
        <w:rPr>
          <w:rFonts w:ascii="Arial Narrow" w:hAnsi="Arial Narrow"/>
          <w:sz w:val="24"/>
          <w:szCs w:val="24"/>
        </w:rPr>
        <w:t>Bouadma</w:t>
      </w:r>
      <w:proofErr w:type="spellEnd"/>
      <w:r w:rsidRPr="007741AC">
        <w:rPr>
          <w:rFonts w:ascii="Arial Narrow" w:hAnsi="Arial Narrow"/>
          <w:sz w:val="24"/>
          <w:szCs w:val="24"/>
        </w:rPr>
        <w:t xml:space="preserve"> L, </w:t>
      </w:r>
      <w:proofErr w:type="spellStart"/>
      <w:r w:rsidRPr="007741AC">
        <w:rPr>
          <w:rFonts w:ascii="Arial Narrow" w:hAnsi="Arial Narrow"/>
          <w:sz w:val="24"/>
          <w:szCs w:val="24"/>
        </w:rPr>
        <w:t>Luyt</w:t>
      </w:r>
      <w:proofErr w:type="spellEnd"/>
      <w:r w:rsidRPr="007741AC">
        <w:rPr>
          <w:rFonts w:ascii="Arial Narrow" w:hAnsi="Arial Narrow"/>
          <w:sz w:val="24"/>
          <w:szCs w:val="24"/>
        </w:rPr>
        <w:t xml:space="preserve"> C-E, </w:t>
      </w:r>
      <w:proofErr w:type="spellStart"/>
      <w:r w:rsidRPr="007741AC">
        <w:rPr>
          <w:rFonts w:ascii="Arial Narrow" w:hAnsi="Arial Narrow"/>
          <w:sz w:val="24"/>
          <w:szCs w:val="24"/>
        </w:rPr>
        <w:t>Tubach</w:t>
      </w:r>
      <w:proofErr w:type="spellEnd"/>
      <w:r w:rsidRPr="007741AC">
        <w:rPr>
          <w:rFonts w:ascii="Arial Narrow" w:hAnsi="Arial Narrow"/>
          <w:sz w:val="24"/>
          <w:szCs w:val="24"/>
        </w:rPr>
        <w:t xml:space="preserve"> F et. al.  Use of procalcitonin to reduce patients’ exposure to antibiotics in intensive care units (PRORATA trial): a multicentre randomised controlled trial. </w:t>
      </w:r>
      <w:r w:rsidRPr="007741AC">
        <w:rPr>
          <w:rFonts w:ascii="Arial Narrow" w:hAnsi="Arial Narrow"/>
          <w:i/>
          <w:sz w:val="24"/>
          <w:szCs w:val="24"/>
        </w:rPr>
        <w:t>Lancet</w:t>
      </w:r>
      <w:r w:rsidRPr="007741AC">
        <w:rPr>
          <w:rFonts w:ascii="Arial Narrow" w:hAnsi="Arial Narrow"/>
          <w:sz w:val="24"/>
          <w:szCs w:val="24"/>
        </w:rPr>
        <w:t xml:space="preserve"> 2010; 375: 463–74.</w:t>
      </w:r>
    </w:p>
    <w:p w14:paraId="625CE829" w14:textId="47935B01" w:rsidR="00F479B6" w:rsidRPr="007741AC" w:rsidRDefault="00F479B6" w:rsidP="00F479B6">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t xml:space="preserve">De Jong E, van </w:t>
      </w:r>
      <w:proofErr w:type="spellStart"/>
      <w:r w:rsidRPr="007741AC">
        <w:rPr>
          <w:rFonts w:ascii="Arial Narrow" w:hAnsi="Arial Narrow"/>
          <w:sz w:val="24"/>
          <w:szCs w:val="24"/>
        </w:rPr>
        <w:t>Oers</w:t>
      </w:r>
      <w:proofErr w:type="spellEnd"/>
      <w:r w:rsidRPr="007741AC">
        <w:rPr>
          <w:rFonts w:ascii="Arial Narrow" w:hAnsi="Arial Narrow"/>
          <w:sz w:val="24"/>
          <w:szCs w:val="24"/>
        </w:rPr>
        <w:t xml:space="preserve"> JA, </w:t>
      </w:r>
      <w:proofErr w:type="spellStart"/>
      <w:r w:rsidRPr="007741AC">
        <w:rPr>
          <w:rFonts w:ascii="Arial Narrow" w:hAnsi="Arial Narrow"/>
          <w:sz w:val="24"/>
          <w:szCs w:val="24"/>
        </w:rPr>
        <w:t>Beishuizen</w:t>
      </w:r>
      <w:proofErr w:type="spellEnd"/>
      <w:r w:rsidRPr="007741AC">
        <w:rPr>
          <w:rFonts w:ascii="Arial Narrow" w:hAnsi="Arial Narrow"/>
          <w:sz w:val="24"/>
          <w:szCs w:val="24"/>
        </w:rPr>
        <w:t xml:space="preserve"> A et. al.  </w:t>
      </w:r>
      <w:r w:rsidR="002D42F4" w:rsidRPr="007741AC">
        <w:rPr>
          <w:rFonts w:ascii="Arial Narrow" w:hAnsi="Arial Narrow"/>
          <w:sz w:val="24"/>
          <w:szCs w:val="24"/>
        </w:rPr>
        <w:t>Effi</w:t>
      </w:r>
      <w:r w:rsidRPr="007741AC">
        <w:rPr>
          <w:rFonts w:ascii="Arial Narrow" w:hAnsi="Arial Narrow"/>
          <w:sz w:val="24"/>
          <w:szCs w:val="24"/>
        </w:rPr>
        <w:t xml:space="preserve">cacy and safety of procalcitonin guidance in reducing the duration of antibiotic treatment in critically ill patients: a randomised, controlled, open-label trial. </w:t>
      </w:r>
      <w:r w:rsidRPr="007741AC">
        <w:rPr>
          <w:rFonts w:ascii="Arial Narrow" w:hAnsi="Arial Narrow"/>
          <w:i/>
          <w:sz w:val="24"/>
          <w:szCs w:val="24"/>
        </w:rPr>
        <w:t>Lancet Infect Dis</w:t>
      </w:r>
      <w:r w:rsidRPr="007741AC">
        <w:rPr>
          <w:rFonts w:ascii="Arial Narrow" w:hAnsi="Arial Narrow"/>
          <w:sz w:val="24"/>
          <w:szCs w:val="24"/>
        </w:rPr>
        <w:t xml:space="preserve"> 2016;16: 819–27.</w:t>
      </w:r>
    </w:p>
    <w:p w14:paraId="303B43DE" w14:textId="15943561" w:rsidR="002D42F4" w:rsidRPr="007741AC" w:rsidRDefault="002D42F4" w:rsidP="00F479B6">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lastRenderedPageBreak/>
        <w:t>Centers for Disease Control/National Healthcare Safety Network.  Surveillance definitions for specific types of infections.  January 2017.</w:t>
      </w:r>
    </w:p>
    <w:p w14:paraId="0470619D" w14:textId="77777777" w:rsidR="000C5768" w:rsidRPr="007741AC" w:rsidRDefault="000C5768" w:rsidP="000C5768">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t xml:space="preserve">Tenner S, Baillie J, De Witt J, Swaroop Vege S.  American College of Gastroenterology guideline: management of acute pancreatitis.  </w:t>
      </w:r>
      <w:r w:rsidRPr="007741AC">
        <w:rPr>
          <w:rFonts w:ascii="Arial Narrow" w:hAnsi="Arial Narrow"/>
          <w:i/>
          <w:sz w:val="24"/>
          <w:szCs w:val="24"/>
        </w:rPr>
        <w:t xml:space="preserve">Am J Gastroenterol </w:t>
      </w:r>
      <w:r w:rsidRPr="007741AC">
        <w:rPr>
          <w:rFonts w:ascii="Arial Narrow" w:hAnsi="Arial Narrow"/>
          <w:sz w:val="24"/>
          <w:szCs w:val="24"/>
        </w:rPr>
        <w:t>2013; 108:1400-1415.</w:t>
      </w:r>
    </w:p>
    <w:p w14:paraId="5391D9AA" w14:textId="09A8603A" w:rsidR="00EF1F46" w:rsidRPr="007741AC" w:rsidRDefault="00EF1F46" w:rsidP="00E46AC5">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t>Eq-5D-5L user guide. Basic information on how to use the Eq-5D</w:t>
      </w:r>
      <w:r w:rsidR="00E46AC5" w:rsidRPr="007741AC">
        <w:rPr>
          <w:rFonts w:ascii="Arial Narrow" w:hAnsi="Arial Narrow"/>
          <w:sz w:val="24"/>
          <w:szCs w:val="24"/>
        </w:rPr>
        <w:t>-5L</w:t>
      </w:r>
      <w:r w:rsidRPr="007741AC">
        <w:rPr>
          <w:rFonts w:ascii="Arial Narrow" w:hAnsi="Arial Narrow"/>
          <w:sz w:val="24"/>
          <w:szCs w:val="24"/>
        </w:rPr>
        <w:t xml:space="preserve"> instrument</w:t>
      </w:r>
      <w:r w:rsidR="00E46AC5" w:rsidRPr="007741AC">
        <w:rPr>
          <w:rFonts w:ascii="Arial Narrow" w:hAnsi="Arial Narrow"/>
          <w:sz w:val="24"/>
          <w:szCs w:val="24"/>
        </w:rPr>
        <w:t xml:space="preserve">. </w:t>
      </w:r>
      <w:hyperlink r:id="rId11" w:history="1">
        <w:r w:rsidR="00E46AC5" w:rsidRPr="007741AC">
          <w:rPr>
            <w:rStyle w:val="Hyperlink"/>
            <w:rFonts w:ascii="Arial Narrow" w:hAnsi="Arial Narrow"/>
            <w:sz w:val="24"/>
            <w:szCs w:val="24"/>
          </w:rPr>
          <w:t>https://euroqol.org/wp-content/uploads/2016/09/EQ-5D-5L_UserGuide_2015.pdf</w:t>
        </w:r>
      </w:hyperlink>
    </w:p>
    <w:p w14:paraId="696F239C" w14:textId="60000797" w:rsidR="00AA4212" w:rsidRPr="007741AC" w:rsidRDefault="00AA4212" w:rsidP="00AA4212">
      <w:pPr>
        <w:pStyle w:val="ListParagraph"/>
        <w:numPr>
          <w:ilvl w:val="0"/>
          <w:numId w:val="25"/>
        </w:numPr>
        <w:spacing w:after="200" w:line="480" w:lineRule="auto"/>
        <w:rPr>
          <w:rFonts w:ascii="Arial Narrow" w:hAnsi="Arial Narrow"/>
          <w:sz w:val="24"/>
          <w:szCs w:val="24"/>
        </w:rPr>
      </w:pPr>
      <w:r w:rsidRPr="007741AC">
        <w:rPr>
          <w:rFonts w:ascii="Arial Narrow" w:hAnsi="Arial Narrow"/>
          <w:sz w:val="24"/>
          <w:szCs w:val="24"/>
        </w:rPr>
        <w:t xml:space="preserve">De Jong E, van </w:t>
      </w:r>
      <w:proofErr w:type="spellStart"/>
      <w:r w:rsidRPr="007741AC">
        <w:rPr>
          <w:rFonts w:ascii="Arial Narrow" w:hAnsi="Arial Narrow"/>
          <w:sz w:val="24"/>
          <w:szCs w:val="24"/>
        </w:rPr>
        <w:t>Oers</w:t>
      </w:r>
      <w:proofErr w:type="spellEnd"/>
      <w:r w:rsidRPr="007741AC">
        <w:rPr>
          <w:rFonts w:ascii="Arial Narrow" w:hAnsi="Arial Narrow"/>
          <w:sz w:val="24"/>
          <w:szCs w:val="24"/>
        </w:rPr>
        <w:t xml:space="preserve"> JV, </w:t>
      </w:r>
      <w:proofErr w:type="spellStart"/>
      <w:r w:rsidRPr="007741AC">
        <w:rPr>
          <w:rFonts w:ascii="Arial Narrow" w:hAnsi="Arial Narrow"/>
          <w:sz w:val="24"/>
          <w:szCs w:val="24"/>
        </w:rPr>
        <w:t>Beishuizen</w:t>
      </w:r>
      <w:proofErr w:type="spellEnd"/>
      <w:r w:rsidRPr="007741AC">
        <w:rPr>
          <w:rFonts w:ascii="Arial Narrow" w:hAnsi="Arial Narrow"/>
          <w:sz w:val="24"/>
          <w:szCs w:val="24"/>
        </w:rPr>
        <w:t xml:space="preserve"> A et. al.  Efficacy and safety of procalcitonin guidance in reducing the duration of antibiotic treatment in critically ill patients</w:t>
      </w:r>
      <w:r w:rsidR="00386437" w:rsidRPr="007741AC">
        <w:rPr>
          <w:rFonts w:ascii="Arial Narrow" w:hAnsi="Arial Narrow"/>
          <w:sz w:val="24"/>
          <w:szCs w:val="24"/>
        </w:rPr>
        <w:t>: a</w:t>
      </w:r>
      <w:r w:rsidRPr="007741AC">
        <w:rPr>
          <w:rFonts w:ascii="Arial Narrow" w:hAnsi="Arial Narrow"/>
          <w:sz w:val="24"/>
          <w:szCs w:val="24"/>
        </w:rPr>
        <w:t xml:space="preserve"> randomised, controlled, open-label trial. </w:t>
      </w:r>
      <w:r w:rsidRPr="007741AC">
        <w:rPr>
          <w:rFonts w:ascii="Arial Narrow" w:hAnsi="Arial Narrow"/>
          <w:i/>
          <w:sz w:val="24"/>
          <w:szCs w:val="24"/>
        </w:rPr>
        <w:t>Lancet Infect Dis</w:t>
      </w:r>
      <w:r w:rsidRPr="007741AC">
        <w:rPr>
          <w:rFonts w:ascii="Arial Narrow" w:hAnsi="Arial Narrow"/>
          <w:sz w:val="24"/>
          <w:szCs w:val="24"/>
        </w:rPr>
        <w:t xml:space="preserve"> 2016;16: 819–827.</w:t>
      </w:r>
    </w:p>
    <w:p w14:paraId="61CC17A4" w14:textId="77777777" w:rsidR="00EF74A3" w:rsidRDefault="003F7F49" w:rsidP="00EF74A3">
      <w:pPr>
        <w:pStyle w:val="ListParagraph"/>
        <w:numPr>
          <w:ilvl w:val="0"/>
          <w:numId w:val="25"/>
        </w:numPr>
        <w:spacing w:after="200" w:line="480" w:lineRule="auto"/>
        <w:rPr>
          <w:rFonts w:ascii="Arial Narrow" w:hAnsi="Arial Narrow"/>
          <w:sz w:val="24"/>
          <w:szCs w:val="24"/>
        </w:rPr>
      </w:pPr>
      <w:hyperlink r:id="rId12" w:history="1">
        <w:r w:rsidR="00EF74A3" w:rsidRPr="001D2701">
          <w:rPr>
            <w:rStyle w:val="Hyperlink"/>
            <w:rFonts w:ascii="Arial Narrow" w:hAnsi="Arial Narrow"/>
            <w:sz w:val="24"/>
            <w:szCs w:val="24"/>
          </w:rPr>
          <w:t>www.legislation.gov.uk/uksi/2004/1031/pdfs/uksi_20041031_en.pdf</w:t>
        </w:r>
      </w:hyperlink>
      <w:r w:rsidR="00EF74A3">
        <w:rPr>
          <w:rFonts w:ascii="Arial Narrow" w:hAnsi="Arial Narrow"/>
          <w:sz w:val="24"/>
          <w:szCs w:val="24"/>
        </w:rPr>
        <w:t xml:space="preserve"> accessed 21st January 2018.</w:t>
      </w:r>
    </w:p>
    <w:p w14:paraId="57E9F2C5" w14:textId="6B401A8B" w:rsidR="00F01E08" w:rsidRPr="00EF74A3" w:rsidRDefault="003F7F49" w:rsidP="00EF74A3">
      <w:pPr>
        <w:pStyle w:val="ListParagraph"/>
        <w:numPr>
          <w:ilvl w:val="0"/>
          <w:numId w:val="25"/>
        </w:numPr>
        <w:spacing w:after="200" w:line="480" w:lineRule="auto"/>
        <w:rPr>
          <w:rFonts w:ascii="Arial Narrow" w:hAnsi="Arial Narrow"/>
          <w:sz w:val="24"/>
          <w:szCs w:val="24"/>
        </w:rPr>
      </w:pPr>
      <w:hyperlink r:id="rId13" w:history="1">
        <w:r w:rsidR="00EF74A3" w:rsidRPr="001D2701">
          <w:rPr>
            <w:rStyle w:val="Hyperlink"/>
            <w:rFonts w:ascii="Arial Narrow" w:hAnsi="Arial Narrow"/>
            <w:sz w:val="24"/>
            <w:szCs w:val="24"/>
          </w:rPr>
          <w:t>www.legislation.gov.uk/uksi/2006/1928/pdfs/uksi_20061928_en.pdf</w:t>
        </w:r>
      </w:hyperlink>
      <w:r w:rsidR="00EF74A3">
        <w:rPr>
          <w:rFonts w:ascii="Arial Narrow" w:hAnsi="Arial Narrow"/>
          <w:sz w:val="24"/>
          <w:szCs w:val="24"/>
        </w:rPr>
        <w:t xml:space="preserve"> accessed 21st January 2018</w:t>
      </w:r>
      <w:r w:rsidR="00F01E08" w:rsidRPr="00F01E08">
        <w:rPr>
          <w:rFonts w:ascii="Arial Narrow" w:hAnsi="Arial Narrow" w:cs="Arial"/>
          <w:sz w:val="24"/>
          <w:szCs w:val="24"/>
          <w:shd w:val="clear" w:color="auto" w:fill="FFFFFF"/>
        </w:rPr>
        <w:t>.</w:t>
      </w:r>
    </w:p>
    <w:p w14:paraId="5B2AF53A" w14:textId="0D8FFACC" w:rsidR="00F01E08" w:rsidRDefault="00F01E08" w:rsidP="00BD3D30">
      <w:pPr>
        <w:pStyle w:val="ListParagraph"/>
        <w:numPr>
          <w:ilvl w:val="0"/>
          <w:numId w:val="25"/>
        </w:numPr>
        <w:spacing w:after="200" w:line="480" w:lineRule="auto"/>
        <w:rPr>
          <w:rFonts w:ascii="Arial Narrow" w:hAnsi="Arial Narrow"/>
          <w:sz w:val="24"/>
          <w:szCs w:val="24"/>
        </w:rPr>
      </w:pPr>
      <w:r>
        <w:rPr>
          <w:rFonts w:ascii="Arial Narrow" w:hAnsi="Arial Narrow"/>
          <w:sz w:val="24"/>
          <w:szCs w:val="24"/>
        </w:rPr>
        <w:t xml:space="preserve">Rhoads C.  </w:t>
      </w:r>
      <w:r w:rsidRPr="00F01E08">
        <w:rPr>
          <w:rFonts w:ascii="Arial Narrow" w:hAnsi="Arial Narrow"/>
          <w:sz w:val="24"/>
          <w:szCs w:val="24"/>
        </w:rPr>
        <w:t>Problems with Tests of the Missingness Mechanism in Quantitative Policy Studies</w:t>
      </w:r>
      <w:r>
        <w:rPr>
          <w:rFonts w:ascii="Arial Narrow" w:hAnsi="Arial Narrow"/>
          <w:sz w:val="24"/>
          <w:szCs w:val="24"/>
        </w:rPr>
        <w:t xml:space="preserve">.  </w:t>
      </w:r>
      <w:r w:rsidRPr="00EF74A3">
        <w:rPr>
          <w:rFonts w:ascii="Arial Narrow" w:hAnsi="Arial Narrow"/>
          <w:i/>
          <w:sz w:val="24"/>
          <w:szCs w:val="24"/>
        </w:rPr>
        <w:t>Statistics, Politics, Policy</w:t>
      </w:r>
      <w:r>
        <w:rPr>
          <w:rFonts w:ascii="Arial Narrow" w:hAnsi="Arial Narrow"/>
          <w:sz w:val="24"/>
          <w:szCs w:val="24"/>
        </w:rPr>
        <w:t>.  2012;3:1-23.</w:t>
      </w:r>
    </w:p>
    <w:p w14:paraId="25CCF198" w14:textId="6416EA5F" w:rsidR="00576E7E" w:rsidRPr="00F01E08" w:rsidRDefault="00576E7E" w:rsidP="00576E7E">
      <w:pPr>
        <w:pStyle w:val="ListParagraph"/>
        <w:numPr>
          <w:ilvl w:val="0"/>
          <w:numId w:val="25"/>
        </w:numPr>
        <w:spacing w:after="200" w:line="480" w:lineRule="auto"/>
        <w:rPr>
          <w:rFonts w:ascii="Arial Narrow" w:hAnsi="Arial Narrow"/>
          <w:sz w:val="24"/>
          <w:szCs w:val="24"/>
        </w:rPr>
      </w:pPr>
      <w:r>
        <w:rPr>
          <w:rFonts w:ascii="Arial Narrow" w:hAnsi="Arial Narrow"/>
          <w:sz w:val="24"/>
          <w:szCs w:val="24"/>
        </w:rPr>
        <w:t xml:space="preserve">Whitehead SJ, Ali S. </w:t>
      </w:r>
      <w:r w:rsidRPr="00576E7E">
        <w:rPr>
          <w:rFonts w:ascii="Arial Narrow" w:hAnsi="Arial Narrow"/>
          <w:sz w:val="24"/>
          <w:szCs w:val="24"/>
        </w:rPr>
        <w:t>Health outcomes in economic evaluation: the QALY and utilities</w:t>
      </w:r>
      <w:r>
        <w:rPr>
          <w:rFonts w:ascii="Arial Narrow" w:hAnsi="Arial Narrow"/>
          <w:sz w:val="24"/>
          <w:szCs w:val="24"/>
        </w:rPr>
        <w:t xml:space="preserve">.  </w:t>
      </w:r>
      <w:r w:rsidRPr="00EF74A3">
        <w:rPr>
          <w:rFonts w:ascii="Arial Narrow" w:hAnsi="Arial Narrow"/>
          <w:i/>
          <w:sz w:val="24"/>
          <w:szCs w:val="24"/>
        </w:rPr>
        <w:t>Br Med Bull</w:t>
      </w:r>
      <w:r>
        <w:rPr>
          <w:rFonts w:ascii="Arial Narrow" w:hAnsi="Arial Narrow"/>
          <w:sz w:val="24"/>
          <w:szCs w:val="24"/>
        </w:rPr>
        <w:t xml:space="preserve"> 2010;96:5-21.</w:t>
      </w:r>
    </w:p>
    <w:p w14:paraId="14C34F05" w14:textId="0FA86E48" w:rsidR="00576E7E" w:rsidRDefault="00576E7E" w:rsidP="00576E7E">
      <w:pPr>
        <w:pStyle w:val="ListParagraph"/>
        <w:numPr>
          <w:ilvl w:val="0"/>
          <w:numId w:val="25"/>
        </w:numPr>
        <w:spacing w:after="200" w:line="480" w:lineRule="auto"/>
        <w:rPr>
          <w:rFonts w:ascii="Arial Narrow" w:hAnsi="Arial Narrow"/>
          <w:sz w:val="24"/>
          <w:szCs w:val="24"/>
        </w:rPr>
      </w:pPr>
      <w:r>
        <w:rPr>
          <w:rFonts w:ascii="Arial Narrow" w:hAnsi="Arial Narrow"/>
          <w:sz w:val="24"/>
          <w:szCs w:val="24"/>
        </w:rPr>
        <w:t xml:space="preserve">DAMOCLES study group.  </w:t>
      </w:r>
      <w:r w:rsidRPr="00576E7E">
        <w:rPr>
          <w:rFonts w:ascii="Arial Narrow" w:hAnsi="Arial Narrow"/>
          <w:sz w:val="24"/>
          <w:szCs w:val="24"/>
        </w:rPr>
        <w:t>A proposed charter for clinical trial data monitoring committees: helping them to do their job well</w:t>
      </w:r>
      <w:r>
        <w:rPr>
          <w:rFonts w:ascii="Arial Narrow" w:hAnsi="Arial Narrow"/>
          <w:sz w:val="24"/>
          <w:szCs w:val="24"/>
        </w:rPr>
        <w:t xml:space="preserve">.  </w:t>
      </w:r>
      <w:r w:rsidRPr="00EF74A3">
        <w:rPr>
          <w:rFonts w:ascii="Arial Narrow" w:hAnsi="Arial Narrow"/>
          <w:i/>
          <w:sz w:val="24"/>
          <w:szCs w:val="24"/>
        </w:rPr>
        <w:t>Lancet</w:t>
      </w:r>
      <w:r>
        <w:rPr>
          <w:rFonts w:ascii="Arial Narrow" w:hAnsi="Arial Narrow"/>
          <w:sz w:val="24"/>
          <w:szCs w:val="24"/>
        </w:rPr>
        <w:t xml:space="preserve"> 2005; 365:711-722.</w:t>
      </w:r>
    </w:p>
    <w:p w14:paraId="3D326048" w14:textId="77777777" w:rsidR="00EF74A3" w:rsidRPr="007741AC" w:rsidRDefault="003F7F49" w:rsidP="00EF74A3">
      <w:pPr>
        <w:pStyle w:val="ListParagraph"/>
        <w:numPr>
          <w:ilvl w:val="0"/>
          <w:numId w:val="25"/>
        </w:numPr>
        <w:spacing w:after="200" w:line="480" w:lineRule="auto"/>
        <w:rPr>
          <w:rFonts w:ascii="Arial Narrow" w:hAnsi="Arial Narrow"/>
          <w:sz w:val="24"/>
          <w:szCs w:val="24"/>
        </w:rPr>
      </w:pPr>
      <w:hyperlink r:id="rId14" w:history="1">
        <w:r w:rsidR="00EF74A3" w:rsidRPr="007741AC">
          <w:rPr>
            <w:rFonts w:ascii="Arial Narrow" w:hAnsi="Arial Narrow"/>
            <w:sz w:val="24"/>
            <w:szCs w:val="24"/>
          </w:rPr>
          <w:t>Edwards IR</w:t>
        </w:r>
      </w:hyperlink>
      <w:r w:rsidR="00EF74A3" w:rsidRPr="007741AC">
        <w:rPr>
          <w:rFonts w:ascii="Arial Narrow" w:hAnsi="Arial Narrow"/>
          <w:sz w:val="24"/>
          <w:szCs w:val="24"/>
        </w:rPr>
        <w:t xml:space="preserve">, </w:t>
      </w:r>
      <w:hyperlink r:id="rId15" w:history="1">
        <w:r w:rsidR="00EF74A3" w:rsidRPr="007741AC">
          <w:rPr>
            <w:rFonts w:ascii="Arial Narrow" w:hAnsi="Arial Narrow"/>
            <w:sz w:val="24"/>
            <w:szCs w:val="24"/>
          </w:rPr>
          <w:t>Aronson JK</w:t>
        </w:r>
      </w:hyperlink>
      <w:r w:rsidR="00EF74A3" w:rsidRPr="007741AC">
        <w:rPr>
          <w:rFonts w:ascii="Arial Narrow" w:hAnsi="Arial Narrow"/>
          <w:sz w:val="24"/>
          <w:szCs w:val="24"/>
        </w:rPr>
        <w:t xml:space="preserve">. Adverse drug reactions: definitions, diagnosis, and management. </w:t>
      </w:r>
      <w:r w:rsidR="00EF74A3" w:rsidRPr="007741AC">
        <w:rPr>
          <w:rFonts w:ascii="Arial Narrow" w:hAnsi="Arial Narrow"/>
          <w:i/>
          <w:sz w:val="24"/>
          <w:szCs w:val="24"/>
        </w:rPr>
        <w:t xml:space="preserve">Lancet </w:t>
      </w:r>
      <w:r w:rsidR="00EF74A3" w:rsidRPr="007741AC">
        <w:rPr>
          <w:rFonts w:ascii="Arial Narrow" w:hAnsi="Arial Narrow"/>
          <w:sz w:val="24"/>
          <w:szCs w:val="24"/>
        </w:rPr>
        <w:t>2000;356:1255-1259.</w:t>
      </w:r>
    </w:p>
    <w:p w14:paraId="5DCA1C24" w14:textId="4C910444" w:rsidR="00576E7E" w:rsidRPr="00EF74A3" w:rsidRDefault="001327BC" w:rsidP="00BD3D30">
      <w:pPr>
        <w:pStyle w:val="ListParagraph"/>
        <w:numPr>
          <w:ilvl w:val="0"/>
          <w:numId w:val="25"/>
        </w:numPr>
        <w:spacing w:after="200" w:line="480" w:lineRule="auto"/>
        <w:rPr>
          <w:rFonts w:ascii="Arial Narrow" w:hAnsi="Arial Narrow"/>
          <w:sz w:val="24"/>
          <w:szCs w:val="24"/>
        </w:rPr>
      </w:pPr>
      <w:r>
        <w:rPr>
          <w:rFonts w:ascii="Arial Narrow" w:hAnsi="Arial Narrow"/>
          <w:sz w:val="24"/>
          <w:szCs w:val="24"/>
        </w:rPr>
        <w:t>MRC.  Guidelines for good clinical practice in clinical trials. MRC 1998.</w:t>
      </w:r>
    </w:p>
    <w:p w14:paraId="6F55A553" w14:textId="23BB26BE" w:rsidR="00BD3D30" w:rsidRPr="00576E7E" w:rsidRDefault="00F01E08" w:rsidP="00576E7E">
      <w:pPr>
        <w:pStyle w:val="ListParagraph"/>
        <w:numPr>
          <w:ilvl w:val="0"/>
          <w:numId w:val="25"/>
        </w:numPr>
        <w:spacing w:after="200" w:line="480" w:lineRule="auto"/>
        <w:rPr>
          <w:rFonts w:ascii="Arial Narrow" w:hAnsi="Arial Narrow"/>
          <w:sz w:val="24"/>
          <w:szCs w:val="24"/>
        </w:rPr>
      </w:pPr>
      <w:r w:rsidRPr="00576E7E">
        <w:rPr>
          <w:rFonts w:ascii="Arial Narrow" w:hAnsi="Arial Narrow"/>
          <w:sz w:val="24"/>
          <w:szCs w:val="24"/>
        </w:rPr>
        <w:t xml:space="preserve">DIRECTIVE 2001/20/EC OF THE EUROPEAN PARLIAMENT AND OF THE COUNCIL of 4 April 2001 </w:t>
      </w:r>
      <w:hyperlink r:id="rId16" w:history="1">
        <w:r w:rsidRPr="00576E7E">
          <w:rPr>
            <w:rFonts w:ascii="Arial Narrow" w:hAnsi="Arial Narrow"/>
            <w:sz w:val="24"/>
            <w:szCs w:val="24"/>
          </w:rPr>
          <w:t>http://www.wctn.org.uk/downloads/EU_Directive/Directive.pdf</w:t>
        </w:r>
      </w:hyperlink>
      <w:r w:rsidR="00BD3D30" w:rsidRPr="00576E7E">
        <w:rPr>
          <w:rFonts w:ascii="Arial Narrow" w:hAnsi="Arial Narrow"/>
          <w:sz w:val="24"/>
          <w:szCs w:val="24"/>
        </w:rPr>
        <w:t>.</w:t>
      </w:r>
    </w:p>
    <w:p w14:paraId="22EAEC05" w14:textId="695CCA9E" w:rsidR="00DA4867" w:rsidRPr="00576E7E" w:rsidRDefault="00576E7E" w:rsidP="002D42F4">
      <w:pPr>
        <w:pStyle w:val="ListParagraph"/>
        <w:numPr>
          <w:ilvl w:val="0"/>
          <w:numId w:val="25"/>
        </w:numPr>
        <w:spacing w:after="200" w:line="480" w:lineRule="auto"/>
        <w:rPr>
          <w:rFonts w:ascii="Arial Narrow" w:hAnsi="Arial Narrow"/>
          <w:sz w:val="24"/>
          <w:szCs w:val="24"/>
        </w:rPr>
      </w:pPr>
      <w:r>
        <w:rPr>
          <w:rFonts w:ascii="Arial Narrow" w:hAnsi="Arial Narrow"/>
          <w:sz w:val="24"/>
          <w:szCs w:val="24"/>
        </w:rPr>
        <w:lastRenderedPageBreak/>
        <w:t xml:space="preserve">Stallard N, Whitehead W, Todd S, Whitehead A.  Stopping rules for Phase II studies.  </w:t>
      </w:r>
      <w:r w:rsidRPr="001327BC">
        <w:rPr>
          <w:rFonts w:ascii="Arial Narrow" w:hAnsi="Arial Narrow"/>
          <w:i/>
          <w:sz w:val="24"/>
          <w:szCs w:val="24"/>
        </w:rPr>
        <w:t xml:space="preserve">Br J Clin Pharm </w:t>
      </w:r>
      <w:r>
        <w:rPr>
          <w:rFonts w:ascii="Arial Narrow" w:hAnsi="Arial Narrow"/>
          <w:sz w:val="24"/>
          <w:szCs w:val="24"/>
        </w:rPr>
        <w:t>2001;51:523-528.</w:t>
      </w:r>
    </w:p>
    <w:sectPr w:rsidR="00DA4867" w:rsidRPr="00576E7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B94D9" w14:textId="77777777" w:rsidR="003F7F49" w:rsidRDefault="003F7F49" w:rsidP="00596A26">
      <w:r>
        <w:separator/>
      </w:r>
    </w:p>
  </w:endnote>
  <w:endnote w:type="continuationSeparator" w:id="0">
    <w:p w14:paraId="5A9B5DEC" w14:textId="77777777" w:rsidR="003F7F49" w:rsidRDefault="003F7F49" w:rsidP="0059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927455"/>
      <w:docPartObj>
        <w:docPartGallery w:val="Page Numbers (Bottom of Page)"/>
        <w:docPartUnique/>
      </w:docPartObj>
    </w:sdtPr>
    <w:sdtEndPr>
      <w:rPr>
        <w:rFonts w:ascii="Arial Narrow" w:hAnsi="Arial Narrow"/>
        <w:noProof/>
        <w:sz w:val="22"/>
        <w:szCs w:val="22"/>
      </w:rPr>
    </w:sdtEndPr>
    <w:sdtContent>
      <w:p w14:paraId="25BB0F3D" w14:textId="77777777" w:rsidR="00BA5769" w:rsidRPr="005A0E55" w:rsidRDefault="00BA5769">
        <w:pPr>
          <w:pStyle w:val="Footer"/>
          <w:jc w:val="center"/>
          <w:rPr>
            <w:rFonts w:ascii="Arial Narrow" w:hAnsi="Arial Narrow"/>
            <w:sz w:val="22"/>
            <w:szCs w:val="22"/>
          </w:rPr>
        </w:pPr>
        <w:r w:rsidRPr="005A0E55">
          <w:rPr>
            <w:rFonts w:ascii="Arial Narrow" w:hAnsi="Arial Narrow"/>
            <w:sz w:val="22"/>
            <w:szCs w:val="22"/>
          </w:rPr>
          <w:fldChar w:fldCharType="begin"/>
        </w:r>
        <w:r w:rsidRPr="005A0E55">
          <w:rPr>
            <w:rFonts w:ascii="Arial Narrow" w:hAnsi="Arial Narrow"/>
            <w:sz w:val="22"/>
            <w:szCs w:val="22"/>
          </w:rPr>
          <w:instrText xml:space="preserve"> PAGE   \* MERGEFORMAT </w:instrText>
        </w:r>
        <w:r w:rsidRPr="005A0E55">
          <w:rPr>
            <w:rFonts w:ascii="Arial Narrow" w:hAnsi="Arial Narrow"/>
            <w:sz w:val="22"/>
            <w:szCs w:val="22"/>
          </w:rPr>
          <w:fldChar w:fldCharType="separate"/>
        </w:r>
        <w:r w:rsidR="006B4BE9">
          <w:rPr>
            <w:rFonts w:ascii="Arial Narrow" w:hAnsi="Arial Narrow"/>
            <w:noProof/>
            <w:sz w:val="22"/>
            <w:szCs w:val="22"/>
          </w:rPr>
          <w:t>13</w:t>
        </w:r>
        <w:r w:rsidRPr="005A0E55">
          <w:rPr>
            <w:rFonts w:ascii="Arial Narrow" w:hAnsi="Arial Narrow"/>
            <w:noProof/>
            <w:sz w:val="22"/>
            <w:szCs w:val="22"/>
          </w:rPr>
          <w:fldChar w:fldCharType="end"/>
        </w:r>
      </w:p>
    </w:sdtContent>
  </w:sdt>
  <w:p w14:paraId="14445414" w14:textId="77777777" w:rsidR="00BA5769" w:rsidRDefault="00BA5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E1E3E" w14:textId="77777777" w:rsidR="003F7F49" w:rsidRDefault="003F7F49" w:rsidP="00596A26">
      <w:r>
        <w:separator/>
      </w:r>
    </w:p>
  </w:footnote>
  <w:footnote w:type="continuationSeparator" w:id="0">
    <w:p w14:paraId="2B39AE40" w14:textId="77777777" w:rsidR="003F7F49" w:rsidRDefault="003F7F49" w:rsidP="00596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0D66C" w14:textId="141E3782" w:rsidR="00BA5769" w:rsidRPr="001F2901" w:rsidRDefault="00BA5769" w:rsidP="001F2901">
    <w:pPr>
      <w:pStyle w:val="Header"/>
      <w:jc w:val="center"/>
      <w:rPr>
        <w:rFonts w:ascii="Arial Narrow" w:hAnsi="Arial Narrow"/>
        <w:sz w:val="22"/>
        <w:szCs w:val="22"/>
      </w:rPr>
    </w:pPr>
    <w:r w:rsidRPr="001F2901">
      <w:rPr>
        <w:rFonts w:ascii="Arial Narrow" w:hAnsi="Arial Narrow"/>
        <w:sz w:val="22"/>
        <w:szCs w:val="22"/>
      </w:rPr>
      <w:t>The PROCAP study.</w:t>
    </w:r>
  </w:p>
  <w:p w14:paraId="4ABEB444" w14:textId="77777777" w:rsidR="00BA5769" w:rsidRPr="00814D24" w:rsidRDefault="00BA5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E2"/>
    <w:multiLevelType w:val="hybridMultilevel"/>
    <w:tmpl w:val="1E54D0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ABA405D"/>
    <w:multiLevelType w:val="hybridMultilevel"/>
    <w:tmpl w:val="C520EDE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nsid w:val="0D522ACE"/>
    <w:multiLevelType w:val="hybridMultilevel"/>
    <w:tmpl w:val="DC88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F28EE"/>
    <w:multiLevelType w:val="hybridMultilevel"/>
    <w:tmpl w:val="5A8AD90C"/>
    <w:lvl w:ilvl="0" w:tplc="424A9D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AF54B8"/>
    <w:multiLevelType w:val="hybridMultilevel"/>
    <w:tmpl w:val="CDA00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7C717B"/>
    <w:multiLevelType w:val="hybridMultilevel"/>
    <w:tmpl w:val="A28E9018"/>
    <w:lvl w:ilvl="0" w:tplc="55EA85D8">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3953B1"/>
    <w:multiLevelType w:val="hybridMultilevel"/>
    <w:tmpl w:val="6AE681EA"/>
    <w:lvl w:ilvl="0" w:tplc="F072E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7E7CD3"/>
    <w:multiLevelType w:val="hybridMultilevel"/>
    <w:tmpl w:val="EBF84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AE6640"/>
    <w:multiLevelType w:val="hybridMultilevel"/>
    <w:tmpl w:val="0064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D37D70"/>
    <w:multiLevelType w:val="hybridMultilevel"/>
    <w:tmpl w:val="AAD085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1851169"/>
    <w:multiLevelType w:val="hybridMultilevel"/>
    <w:tmpl w:val="243E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0572A"/>
    <w:multiLevelType w:val="hybridMultilevel"/>
    <w:tmpl w:val="42B0E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325D2"/>
    <w:multiLevelType w:val="hybridMultilevel"/>
    <w:tmpl w:val="520AC5D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nsid w:val="2A135260"/>
    <w:multiLevelType w:val="hybridMultilevel"/>
    <w:tmpl w:val="F094DE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B4119ED"/>
    <w:multiLevelType w:val="hybridMultilevel"/>
    <w:tmpl w:val="FC42F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DE306F"/>
    <w:multiLevelType w:val="hybridMultilevel"/>
    <w:tmpl w:val="B464EF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52A577D"/>
    <w:multiLevelType w:val="hybridMultilevel"/>
    <w:tmpl w:val="3BEAE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D70526"/>
    <w:multiLevelType w:val="hybridMultilevel"/>
    <w:tmpl w:val="34DE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730416"/>
    <w:multiLevelType w:val="hybridMultilevel"/>
    <w:tmpl w:val="C256009C"/>
    <w:lvl w:ilvl="0" w:tplc="84CAE076">
      <w:start w:val="1"/>
      <w:numFmt w:val="decimal"/>
      <w:lvlText w:val="%1."/>
      <w:lvlJc w:val="left"/>
      <w:pPr>
        <w:tabs>
          <w:tab w:val="num" w:pos="720"/>
        </w:tabs>
        <w:ind w:left="720" w:hanging="360"/>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8431215"/>
    <w:multiLevelType w:val="hybridMultilevel"/>
    <w:tmpl w:val="1056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B53F04"/>
    <w:multiLevelType w:val="hybridMultilevel"/>
    <w:tmpl w:val="CAF82846"/>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655AA1"/>
    <w:multiLevelType w:val="hybridMultilevel"/>
    <w:tmpl w:val="4CDE6F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6D6C38"/>
    <w:multiLevelType w:val="hybridMultilevel"/>
    <w:tmpl w:val="C38E952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nsid w:val="423B228F"/>
    <w:multiLevelType w:val="hybridMultilevel"/>
    <w:tmpl w:val="08EC8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445B69"/>
    <w:multiLevelType w:val="hybridMultilevel"/>
    <w:tmpl w:val="0E484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5F3852"/>
    <w:multiLevelType w:val="hybridMultilevel"/>
    <w:tmpl w:val="FC42F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3D4289"/>
    <w:multiLevelType w:val="hybridMultilevel"/>
    <w:tmpl w:val="2F7888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54595C"/>
    <w:multiLevelType w:val="hybridMultilevel"/>
    <w:tmpl w:val="B3F0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05204A"/>
    <w:multiLevelType w:val="hybridMultilevel"/>
    <w:tmpl w:val="C3704E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144105"/>
    <w:multiLevelType w:val="hybridMultilevel"/>
    <w:tmpl w:val="2F7888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642662"/>
    <w:multiLevelType w:val="hybridMultilevel"/>
    <w:tmpl w:val="41968B0C"/>
    <w:lvl w:ilvl="0" w:tplc="55EA85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51FC77E5"/>
    <w:multiLevelType w:val="hybridMultilevel"/>
    <w:tmpl w:val="BE9E57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37D2B33"/>
    <w:multiLevelType w:val="hybridMultilevel"/>
    <w:tmpl w:val="FD2283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602E08E9"/>
    <w:multiLevelType w:val="hybridMultilevel"/>
    <w:tmpl w:val="2A06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1657ED"/>
    <w:multiLevelType w:val="hybridMultilevel"/>
    <w:tmpl w:val="C366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FE1FAC"/>
    <w:multiLevelType w:val="hybridMultilevel"/>
    <w:tmpl w:val="932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E375D5"/>
    <w:multiLevelType w:val="hybridMultilevel"/>
    <w:tmpl w:val="6F047C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92038B"/>
    <w:multiLevelType w:val="hybridMultilevel"/>
    <w:tmpl w:val="520C2C76"/>
    <w:lvl w:ilvl="0" w:tplc="C4D0D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541C42"/>
    <w:multiLevelType w:val="hybridMultilevel"/>
    <w:tmpl w:val="67F24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445B6D"/>
    <w:multiLevelType w:val="hybridMultilevel"/>
    <w:tmpl w:val="E49A76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0704C89"/>
    <w:multiLevelType w:val="hybridMultilevel"/>
    <w:tmpl w:val="03CC01D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D90592"/>
    <w:multiLevelType w:val="hybridMultilevel"/>
    <w:tmpl w:val="C7A6B1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733190"/>
    <w:multiLevelType w:val="hybridMultilevel"/>
    <w:tmpl w:val="561AAE9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8860BE4"/>
    <w:multiLevelType w:val="hybridMultilevel"/>
    <w:tmpl w:val="AB48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242617"/>
    <w:multiLevelType w:val="hybridMultilevel"/>
    <w:tmpl w:val="FBEC30C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5">
    <w:nsid w:val="7BEE3D0C"/>
    <w:multiLevelType w:val="hybridMultilevel"/>
    <w:tmpl w:val="1B224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BA0AFC"/>
    <w:multiLevelType w:val="hybridMultilevel"/>
    <w:tmpl w:val="7FD2205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8"/>
  </w:num>
  <w:num w:numId="2">
    <w:abstractNumId w:val="41"/>
  </w:num>
  <w:num w:numId="3">
    <w:abstractNumId w:val="27"/>
  </w:num>
  <w:num w:numId="4">
    <w:abstractNumId w:val="20"/>
  </w:num>
  <w:num w:numId="5">
    <w:abstractNumId w:val="19"/>
  </w:num>
  <w:num w:numId="6">
    <w:abstractNumId w:val="30"/>
  </w:num>
  <w:num w:numId="7">
    <w:abstractNumId w:val="46"/>
  </w:num>
  <w:num w:numId="8">
    <w:abstractNumId w:val="5"/>
  </w:num>
  <w:num w:numId="9">
    <w:abstractNumId w:val="17"/>
  </w:num>
  <w:num w:numId="10">
    <w:abstractNumId w:val="34"/>
  </w:num>
  <w:num w:numId="11">
    <w:abstractNumId w:val="1"/>
  </w:num>
  <w:num w:numId="12">
    <w:abstractNumId w:val="12"/>
  </w:num>
  <w:num w:numId="13">
    <w:abstractNumId w:val="3"/>
  </w:num>
  <w:num w:numId="14">
    <w:abstractNumId w:val="6"/>
  </w:num>
  <w:num w:numId="15">
    <w:abstractNumId w:val="10"/>
  </w:num>
  <w:num w:numId="16">
    <w:abstractNumId w:val="43"/>
  </w:num>
  <w:num w:numId="17">
    <w:abstractNumId w:val="32"/>
  </w:num>
  <w:num w:numId="18">
    <w:abstractNumId w:val="0"/>
  </w:num>
  <w:num w:numId="19">
    <w:abstractNumId w:val="15"/>
  </w:num>
  <w:num w:numId="20">
    <w:abstractNumId w:val="26"/>
  </w:num>
  <w:num w:numId="21">
    <w:abstractNumId w:val="29"/>
  </w:num>
  <w:num w:numId="22">
    <w:abstractNumId w:val="2"/>
  </w:num>
  <w:num w:numId="23">
    <w:abstractNumId w:val="35"/>
  </w:num>
  <w:num w:numId="24">
    <w:abstractNumId w:val="40"/>
  </w:num>
  <w:num w:numId="25">
    <w:abstractNumId w:val="24"/>
  </w:num>
  <w:num w:numId="26">
    <w:abstractNumId w:val="31"/>
  </w:num>
  <w:num w:numId="27">
    <w:abstractNumId w:val="33"/>
  </w:num>
  <w:num w:numId="28">
    <w:abstractNumId w:val="36"/>
  </w:num>
  <w:num w:numId="29">
    <w:abstractNumId w:val="44"/>
  </w:num>
  <w:num w:numId="30">
    <w:abstractNumId w:val="14"/>
  </w:num>
  <w:num w:numId="31">
    <w:abstractNumId w:val="21"/>
  </w:num>
  <w:num w:numId="32">
    <w:abstractNumId w:val="38"/>
  </w:num>
  <w:num w:numId="33">
    <w:abstractNumId w:val="13"/>
  </w:num>
  <w:num w:numId="34">
    <w:abstractNumId w:val="23"/>
  </w:num>
  <w:num w:numId="35">
    <w:abstractNumId w:val="16"/>
  </w:num>
  <w:num w:numId="36">
    <w:abstractNumId w:val="4"/>
  </w:num>
  <w:num w:numId="37">
    <w:abstractNumId w:val="45"/>
  </w:num>
  <w:num w:numId="38">
    <w:abstractNumId w:val="28"/>
  </w:num>
  <w:num w:numId="39">
    <w:abstractNumId w:val="42"/>
  </w:num>
  <w:num w:numId="40">
    <w:abstractNumId w:val="7"/>
  </w:num>
  <w:num w:numId="41">
    <w:abstractNumId w:val="9"/>
  </w:num>
  <w:num w:numId="42">
    <w:abstractNumId w:val="22"/>
  </w:num>
  <w:num w:numId="43">
    <w:abstractNumId w:val="37"/>
  </w:num>
  <w:num w:numId="44">
    <w:abstractNumId w:val="11"/>
  </w:num>
  <w:num w:numId="45">
    <w:abstractNumId w:val="25"/>
  </w:num>
  <w:num w:numId="46">
    <w:abstractNumId w:val="39"/>
  </w:num>
  <w:num w:numId="4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on, James">
    <w15:presenceInfo w15:providerId="AD" w15:userId="S::u1473677@live.warwick.ac.uk::4e93acaf-8178-45a5-9f3c-7362697d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EB"/>
    <w:rsid w:val="00003389"/>
    <w:rsid w:val="00003539"/>
    <w:rsid w:val="00003A81"/>
    <w:rsid w:val="00005FE5"/>
    <w:rsid w:val="000125EF"/>
    <w:rsid w:val="0001332C"/>
    <w:rsid w:val="000152E8"/>
    <w:rsid w:val="00016535"/>
    <w:rsid w:val="00016D6A"/>
    <w:rsid w:val="00020A0F"/>
    <w:rsid w:val="0002503E"/>
    <w:rsid w:val="00025773"/>
    <w:rsid w:val="00026C5E"/>
    <w:rsid w:val="00030D47"/>
    <w:rsid w:val="00032C5A"/>
    <w:rsid w:val="00032CB5"/>
    <w:rsid w:val="0003741A"/>
    <w:rsid w:val="000378BB"/>
    <w:rsid w:val="00037BD3"/>
    <w:rsid w:val="000401FA"/>
    <w:rsid w:val="00040F8C"/>
    <w:rsid w:val="0004545C"/>
    <w:rsid w:val="00050C93"/>
    <w:rsid w:val="000511E3"/>
    <w:rsid w:val="00055C91"/>
    <w:rsid w:val="000609ED"/>
    <w:rsid w:val="000723B6"/>
    <w:rsid w:val="00072F27"/>
    <w:rsid w:val="000731AE"/>
    <w:rsid w:val="0007552D"/>
    <w:rsid w:val="0007630A"/>
    <w:rsid w:val="000773EB"/>
    <w:rsid w:val="00080522"/>
    <w:rsid w:val="000821AA"/>
    <w:rsid w:val="00084070"/>
    <w:rsid w:val="0008518F"/>
    <w:rsid w:val="00095642"/>
    <w:rsid w:val="0009659E"/>
    <w:rsid w:val="00096F76"/>
    <w:rsid w:val="000A1B2B"/>
    <w:rsid w:val="000A3FEB"/>
    <w:rsid w:val="000A4B9D"/>
    <w:rsid w:val="000B26EA"/>
    <w:rsid w:val="000B3A9A"/>
    <w:rsid w:val="000B3EF5"/>
    <w:rsid w:val="000B5A7A"/>
    <w:rsid w:val="000B68E6"/>
    <w:rsid w:val="000C0A12"/>
    <w:rsid w:val="000C5768"/>
    <w:rsid w:val="000C57E4"/>
    <w:rsid w:val="000C7A2E"/>
    <w:rsid w:val="000D189E"/>
    <w:rsid w:val="000D3E32"/>
    <w:rsid w:val="000D72A1"/>
    <w:rsid w:val="000E0F87"/>
    <w:rsid w:val="000E2F9C"/>
    <w:rsid w:val="000E4ADE"/>
    <w:rsid w:val="000F4666"/>
    <w:rsid w:val="00101D13"/>
    <w:rsid w:val="00104585"/>
    <w:rsid w:val="001059D4"/>
    <w:rsid w:val="00110817"/>
    <w:rsid w:val="00111EDD"/>
    <w:rsid w:val="00112683"/>
    <w:rsid w:val="001132B3"/>
    <w:rsid w:val="00124EC2"/>
    <w:rsid w:val="001258F8"/>
    <w:rsid w:val="00131627"/>
    <w:rsid w:val="001327BC"/>
    <w:rsid w:val="00132F75"/>
    <w:rsid w:val="0013534D"/>
    <w:rsid w:val="00140113"/>
    <w:rsid w:val="0014095E"/>
    <w:rsid w:val="0014754B"/>
    <w:rsid w:val="00151216"/>
    <w:rsid w:val="00152D89"/>
    <w:rsid w:val="001556C7"/>
    <w:rsid w:val="00155742"/>
    <w:rsid w:val="00160584"/>
    <w:rsid w:val="001647F1"/>
    <w:rsid w:val="00165278"/>
    <w:rsid w:val="001704F3"/>
    <w:rsid w:val="00173D29"/>
    <w:rsid w:val="00177A95"/>
    <w:rsid w:val="00177F81"/>
    <w:rsid w:val="00184121"/>
    <w:rsid w:val="00184406"/>
    <w:rsid w:val="0019293E"/>
    <w:rsid w:val="001930EF"/>
    <w:rsid w:val="00193748"/>
    <w:rsid w:val="0019541F"/>
    <w:rsid w:val="001957C4"/>
    <w:rsid w:val="0019742B"/>
    <w:rsid w:val="00197B45"/>
    <w:rsid w:val="001A1CE7"/>
    <w:rsid w:val="001A3725"/>
    <w:rsid w:val="001B0165"/>
    <w:rsid w:val="001B1F40"/>
    <w:rsid w:val="001B5801"/>
    <w:rsid w:val="001B5A57"/>
    <w:rsid w:val="001B5AE1"/>
    <w:rsid w:val="001B5F36"/>
    <w:rsid w:val="001C0C62"/>
    <w:rsid w:val="001C6239"/>
    <w:rsid w:val="001C670A"/>
    <w:rsid w:val="001D04D0"/>
    <w:rsid w:val="001D1AE0"/>
    <w:rsid w:val="001D47CA"/>
    <w:rsid w:val="001D58D9"/>
    <w:rsid w:val="001D7848"/>
    <w:rsid w:val="001E02F8"/>
    <w:rsid w:val="001E1A75"/>
    <w:rsid w:val="001E1CAC"/>
    <w:rsid w:val="001E3231"/>
    <w:rsid w:val="001F0087"/>
    <w:rsid w:val="001F2901"/>
    <w:rsid w:val="001F3EBE"/>
    <w:rsid w:val="001F4707"/>
    <w:rsid w:val="001F4E9B"/>
    <w:rsid w:val="002007A0"/>
    <w:rsid w:val="00201255"/>
    <w:rsid w:val="00206195"/>
    <w:rsid w:val="00206B10"/>
    <w:rsid w:val="00210907"/>
    <w:rsid w:val="00210D4A"/>
    <w:rsid w:val="00213465"/>
    <w:rsid w:val="00214C09"/>
    <w:rsid w:val="0022290B"/>
    <w:rsid w:val="002230D3"/>
    <w:rsid w:val="00231C71"/>
    <w:rsid w:val="00234769"/>
    <w:rsid w:val="00235208"/>
    <w:rsid w:val="00235CE9"/>
    <w:rsid w:val="0024160E"/>
    <w:rsid w:val="00242028"/>
    <w:rsid w:val="002447FF"/>
    <w:rsid w:val="00244F69"/>
    <w:rsid w:val="002470B1"/>
    <w:rsid w:val="00250C6F"/>
    <w:rsid w:val="002530C7"/>
    <w:rsid w:val="0025561D"/>
    <w:rsid w:val="00256457"/>
    <w:rsid w:val="002565D0"/>
    <w:rsid w:val="002622F5"/>
    <w:rsid w:val="00262C3B"/>
    <w:rsid w:val="00266A36"/>
    <w:rsid w:val="00273129"/>
    <w:rsid w:val="002740C4"/>
    <w:rsid w:val="002768CA"/>
    <w:rsid w:val="00285096"/>
    <w:rsid w:val="0028555B"/>
    <w:rsid w:val="00287FBA"/>
    <w:rsid w:val="0029034B"/>
    <w:rsid w:val="00292DB7"/>
    <w:rsid w:val="00292FC7"/>
    <w:rsid w:val="00296DE5"/>
    <w:rsid w:val="002A0768"/>
    <w:rsid w:val="002A452F"/>
    <w:rsid w:val="002A5264"/>
    <w:rsid w:val="002A7058"/>
    <w:rsid w:val="002B5017"/>
    <w:rsid w:val="002B732F"/>
    <w:rsid w:val="002C2D94"/>
    <w:rsid w:val="002C5820"/>
    <w:rsid w:val="002C6AF5"/>
    <w:rsid w:val="002C784C"/>
    <w:rsid w:val="002C7C73"/>
    <w:rsid w:val="002C7E81"/>
    <w:rsid w:val="002D390D"/>
    <w:rsid w:val="002D42F4"/>
    <w:rsid w:val="002D5057"/>
    <w:rsid w:val="002D6DF0"/>
    <w:rsid w:val="002D7DFA"/>
    <w:rsid w:val="002D7EA6"/>
    <w:rsid w:val="002E3880"/>
    <w:rsid w:val="002E3A5A"/>
    <w:rsid w:val="002E55B3"/>
    <w:rsid w:val="002E5CD3"/>
    <w:rsid w:val="002E6266"/>
    <w:rsid w:val="002F2BA6"/>
    <w:rsid w:val="002F5AF5"/>
    <w:rsid w:val="002F5B2A"/>
    <w:rsid w:val="003011E7"/>
    <w:rsid w:val="00303E75"/>
    <w:rsid w:val="00304E8B"/>
    <w:rsid w:val="00305570"/>
    <w:rsid w:val="00307C3C"/>
    <w:rsid w:val="0031221A"/>
    <w:rsid w:val="0031519D"/>
    <w:rsid w:val="0031680A"/>
    <w:rsid w:val="00317984"/>
    <w:rsid w:val="00323897"/>
    <w:rsid w:val="00325652"/>
    <w:rsid w:val="00325AEF"/>
    <w:rsid w:val="00341EA8"/>
    <w:rsid w:val="00342309"/>
    <w:rsid w:val="00342B41"/>
    <w:rsid w:val="00342F15"/>
    <w:rsid w:val="00345ED5"/>
    <w:rsid w:val="00351251"/>
    <w:rsid w:val="00351B68"/>
    <w:rsid w:val="00353F0A"/>
    <w:rsid w:val="00354527"/>
    <w:rsid w:val="0035482A"/>
    <w:rsid w:val="00354D39"/>
    <w:rsid w:val="00356F5A"/>
    <w:rsid w:val="00360D0B"/>
    <w:rsid w:val="0036208F"/>
    <w:rsid w:val="00363990"/>
    <w:rsid w:val="00365AA1"/>
    <w:rsid w:val="00366D86"/>
    <w:rsid w:val="003673D4"/>
    <w:rsid w:val="00370C65"/>
    <w:rsid w:val="003719A1"/>
    <w:rsid w:val="0037413B"/>
    <w:rsid w:val="003744A8"/>
    <w:rsid w:val="00377093"/>
    <w:rsid w:val="0038089C"/>
    <w:rsid w:val="00384F29"/>
    <w:rsid w:val="00385924"/>
    <w:rsid w:val="00386437"/>
    <w:rsid w:val="0039190E"/>
    <w:rsid w:val="00391C7C"/>
    <w:rsid w:val="0039292A"/>
    <w:rsid w:val="003933ED"/>
    <w:rsid w:val="00395C33"/>
    <w:rsid w:val="003A0C33"/>
    <w:rsid w:val="003A1B2B"/>
    <w:rsid w:val="003A2448"/>
    <w:rsid w:val="003A2E61"/>
    <w:rsid w:val="003A3FED"/>
    <w:rsid w:val="003B19CB"/>
    <w:rsid w:val="003B54FE"/>
    <w:rsid w:val="003B6A76"/>
    <w:rsid w:val="003C094E"/>
    <w:rsid w:val="003C0EA3"/>
    <w:rsid w:val="003C1181"/>
    <w:rsid w:val="003C3168"/>
    <w:rsid w:val="003D13A8"/>
    <w:rsid w:val="003D2373"/>
    <w:rsid w:val="003D2782"/>
    <w:rsid w:val="003D3241"/>
    <w:rsid w:val="003D33AA"/>
    <w:rsid w:val="003D3F23"/>
    <w:rsid w:val="003D4CE9"/>
    <w:rsid w:val="003D59DF"/>
    <w:rsid w:val="003D7660"/>
    <w:rsid w:val="003E04A5"/>
    <w:rsid w:val="003E5041"/>
    <w:rsid w:val="003E7EE0"/>
    <w:rsid w:val="003F5B88"/>
    <w:rsid w:val="003F7F49"/>
    <w:rsid w:val="004033F2"/>
    <w:rsid w:val="004114B5"/>
    <w:rsid w:val="00416A87"/>
    <w:rsid w:val="00417E51"/>
    <w:rsid w:val="00420599"/>
    <w:rsid w:val="00424224"/>
    <w:rsid w:val="004313AD"/>
    <w:rsid w:val="0043165B"/>
    <w:rsid w:val="0043294C"/>
    <w:rsid w:val="00434A18"/>
    <w:rsid w:val="00435999"/>
    <w:rsid w:val="00435E54"/>
    <w:rsid w:val="00442C55"/>
    <w:rsid w:val="00443D1C"/>
    <w:rsid w:val="00451C78"/>
    <w:rsid w:val="00452366"/>
    <w:rsid w:val="00457CA4"/>
    <w:rsid w:val="00460543"/>
    <w:rsid w:val="00462E57"/>
    <w:rsid w:val="004650F1"/>
    <w:rsid w:val="00466176"/>
    <w:rsid w:val="004728F6"/>
    <w:rsid w:val="00473B03"/>
    <w:rsid w:val="004871DE"/>
    <w:rsid w:val="00493E47"/>
    <w:rsid w:val="004A04E5"/>
    <w:rsid w:val="004A1A4D"/>
    <w:rsid w:val="004A3F8C"/>
    <w:rsid w:val="004A4CC0"/>
    <w:rsid w:val="004B614F"/>
    <w:rsid w:val="004C0565"/>
    <w:rsid w:val="004C2C73"/>
    <w:rsid w:val="004D16D8"/>
    <w:rsid w:val="004E0C48"/>
    <w:rsid w:val="004E40B0"/>
    <w:rsid w:val="004F0FA2"/>
    <w:rsid w:val="004F17DB"/>
    <w:rsid w:val="004F23B6"/>
    <w:rsid w:val="004F37AA"/>
    <w:rsid w:val="004F4591"/>
    <w:rsid w:val="004F5926"/>
    <w:rsid w:val="004F621E"/>
    <w:rsid w:val="004F6E14"/>
    <w:rsid w:val="004F7193"/>
    <w:rsid w:val="004F72A5"/>
    <w:rsid w:val="004F7457"/>
    <w:rsid w:val="00502317"/>
    <w:rsid w:val="00502929"/>
    <w:rsid w:val="00504523"/>
    <w:rsid w:val="005045F6"/>
    <w:rsid w:val="005056AB"/>
    <w:rsid w:val="00507593"/>
    <w:rsid w:val="0051018C"/>
    <w:rsid w:val="00511113"/>
    <w:rsid w:val="00514BEB"/>
    <w:rsid w:val="0051666E"/>
    <w:rsid w:val="0051681B"/>
    <w:rsid w:val="00527C05"/>
    <w:rsid w:val="00527CA5"/>
    <w:rsid w:val="005377B0"/>
    <w:rsid w:val="005378A5"/>
    <w:rsid w:val="00537A43"/>
    <w:rsid w:val="00537F4C"/>
    <w:rsid w:val="0054352A"/>
    <w:rsid w:val="005444F8"/>
    <w:rsid w:val="00545841"/>
    <w:rsid w:val="005461D6"/>
    <w:rsid w:val="005502AA"/>
    <w:rsid w:val="0055082F"/>
    <w:rsid w:val="005563FC"/>
    <w:rsid w:val="005564BF"/>
    <w:rsid w:val="00563EB1"/>
    <w:rsid w:val="00565133"/>
    <w:rsid w:val="0056514F"/>
    <w:rsid w:val="0056743A"/>
    <w:rsid w:val="005711C1"/>
    <w:rsid w:val="00572890"/>
    <w:rsid w:val="0057375E"/>
    <w:rsid w:val="0057492F"/>
    <w:rsid w:val="005761D0"/>
    <w:rsid w:val="005764F9"/>
    <w:rsid w:val="00576E7E"/>
    <w:rsid w:val="0058284A"/>
    <w:rsid w:val="005865B1"/>
    <w:rsid w:val="00590D06"/>
    <w:rsid w:val="00591E7F"/>
    <w:rsid w:val="00592BAF"/>
    <w:rsid w:val="00593643"/>
    <w:rsid w:val="00596A26"/>
    <w:rsid w:val="005A0E55"/>
    <w:rsid w:val="005A1054"/>
    <w:rsid w:val="005A1D52"/>
    <w:rsid w:val="005A1DF8"/>
    <w:rsid w:val="005A30AB"/>
    <w:rsid w:val="005A31FD"/>
    <w:rsid w:val="005A3688"/>
    <w:rsid w:val="005B079F"/>
    <w:rsid w:val="005B487D"/>
    <w:rsid w:val="005B52A1"/>
    <w:rsid w:val="005B6C48"/>
    <w:rsid w:val="005D0F59"/>
    <w:rsid w:val="005D147A"/>
    <w:rsid w:val="005D322F"/>
    <w:rsid w:val="005E481E"/>
    <w:rsid w:val="005E5630"/>
    <w:rsid w:val="005E7AAC"/>
    <w:rsid w:val="0061473B"/>
    <w:rsid w:val="00615A9D"/>
    <w:rsid w:val="00617347"/>
    <w:rsid w:val="006331FF"/>
    <w:rsid w:val="006339DD"/>
    <w:rsid w:val="00633E1A"/>
    <w:rsid w:val="00636294"/>
    <w:rsid w:val="00637F17"/>
    <w:rsid w:val="00644296"/>
    <w:rsid w:val="00645FC9"/>
    <w:rsid w:val="00651815"/>
    <w:rsid w:val="0065351C"/>
    <w:rsid w:val="00653C85"/>
    <w:rsid w:val="00656001"/>
    <w:rsid w:val="00663FAD"/>
    <w:rsid w:val="00665BBF"/>
    <w:rsid w:val="0066672E"/>
    <w:rsid w:val="00670B06"/>
    <w:rsid w:val="006726F6"/>
    <w:rsid w:val="00676A4A"/>
    <w:rsid w:val="006835E1"/>
    <w:rsid w:val="00683608"/>
    <w:rsid w:val="00692A7E"/>
    <w:rsid w:val="006A46F6"/>
    <w:rsid w:val="006B02CD"/>
    <w:rsid w:val="006B0358"/>
    <w:rsid w:val="006B05A4"/>
    <w:rsid w:val="006B0DAD"/>
    <w:rsid w:val="006B278E"/>
    <w:rsid w:val="006B4BE9"/>
    <w:rsid w:val="006C5432"/>
    <w:rsid w:val="006C6BFE"/>
    <w:rsid w:val="006D06EA"/>
    <w:rsid w:val="006E0BCC"/>
    <w:rsid w:val="006E0FA4"/>
    <w:rsid w:val="006E11C6"/>
    <w:rsid w:val="006E59CC"/>
    <w:rsid w:val="006F12A7"/>
    <w:rsid w:val="006F2B54"/>
    <w:rsid w:val="006F433D"/>
    <w:rsid w:val="00711EC3"/>
    <w:rsid w:val="00712C62"/>
    <w:rsid w:val="00712D07"/>
    <w:rsid w:val="0071764E"/>
    <w:rsid w:val="007178D8"/>
    <w:rsid w:val="00722A4E"/>
    <w:rsid w:val="00722FD5"/>
    <w:rsid w:val="007236A6"/>
    <w:rsid w:val="007269AA"/>
    <w:rsid w:val="007269ED"/>
    <w:rsid w:val="00727977"/>
    <w:rsid w:val="007303C2"/>
    <w:rsid w:val="00732C9F"/>
    <w:rsid w:val="00735502"/>
    <w:rsid w:val="007356D4"/>
    <w:rsid w:val="007360AB"/>
    <w:rsid w:val="00736ADD"/>
    <w:rsid w:val="00741D2C"/>
    <w:rsid w:val="00745FE3"/>
    <w:rsid w:val="0074696E"/>
    <w:rsid w:val="00750323"/>
    <w:rsid w:val="007532D2"/>
    <w:rsid w:val="00754265"/>
    <w:rsid w:val="00757061"/>
    <w:rsid w:val="007614A7"/>
    <w:rsid w:val="007643A8"/>
    <w:rsid w:val="00765016"/>
    <w:rsid w:val="00771465"/>
    <w:rsid w:val="007741AC"/>
    <w:rsid w:val="00775248"/>
    <w:rsid w:val="00782179"/>
    <w:rsid w:val="00787717"/>
    <w:rsid w:val="00791CDA"/>
    <w:rsid w:val="0079444E"/>
    <w:rsid w:val="007A0156"/>
    <w:rsid w:val="007A027B"/>
    <w:rsid w:val="007A71D1"/>
    <w:rsid w:val="007B2C3E"/>
    <w:rsid w:val="007B35DD"/>
    <w:rsid w:val="007B4471"/>
    <w:rsid w:val="007B4560"/>
    <w:rsid w:val="007B795E"/>
    <w:rsid w:val="007C0540"/>
    <w:rsid w:val="007C4DCC"/>
    <w:rsid w:val="007C6A2F"/>
    <w:rsid w:val="007D2603"/>
    <w:rsid w:val="007D2ABC"/>
    <w:rsid w:val="007D3298"/>
    <w:rsid w:val="007D3CD2"/>
    <w:rsid w:val="007D52D6"/>
    <w:rsid w:val="007D671D"/>
    <w:rsid w:val="007D7DE9"/>
    <w:rsid w:val="007E2C34"/>
    <w:rsid w:val="007E4091"/>
    <w:rsid w:val="007E6F3C"/>
    <w:rsid w:val="00803BC3"/>
    <w:rsid w:val="008077AC"/>
    <w:rsid w:val="00807BF3"/>
    <w:rsid w:val="0081099C"/>
    <w:rsid w:val="00814D24"/>
    <w:rsid w:val="0081559F"/>
    <w:rsid w:val="00817F84"/>
    <w:rsid w:val="008200FC"/>
    <w:rsid w:val="00821D80"/>
    <w:rsid w:val="008267D1"/>
    <w:rsid w:val="008322AA"/>
    <w:rsid w:val="008334AE"/>
    <w:rsid w:val="008350B2"/>
    <w:rsid w:val="00835EFE"/>
    <w:rsid w:val="008363A3"/>
    <w:rsid w:val="00840545"/>
    <w:rsid w:val="008421DC"/>
    <w:rsid w:val="008452F7"/>
    <w:rsid w:val="008458BA"/>
    <w:rsid w:val="008458C7"/>
    <w:rsid w:val="00850608"/>
    <w:rsid w:val="00852490"/>
    <w:rsid w:val="00857121"/>
    <w:rsid w:val="00863775"/>
    <w:rsid w:val="00865BE4"/>
    <w:rsid w:val="00866BAC"/>
    <w:rsid w:val="0087124E"/>
    <w:rsid w:val="00873374"/>
    <w:rsid w:val="00876966"/>
    <w:rsid w:val="00877127"/>
    <w:rsid w:val="0087721B"/>
    <w:rsid w:val="00881066"/>
    <w:rsid w:val="008819A6"/>
    <w:rsid w:val="00882AEB"/>
    <w:rsid w:val="008832BA"/>
    <w:rsid w:val="00883B00"/>
    <w:rsid w:val="00883D1B"/>
    <w:rsid w:val="008856B5"/>
    <w:rsid w:val="00890BF9"/>
    <w:rsid w:val="008911E5"/>
    <w:rsid w:val="008A0C8A"/>
    <w:rsid w:val="008A115C"/>
    <w:rsid w:val="008A3357"/>
    <w:rsid w:val="008A59A8"/>
    <w:rsid w:val="008A7A69"/>
    <w:rsid w:val="008B101D"/>
    <w:rsid w:val="008B3AE1"/>
    <w:rsid w:val="008B3BD5"/>
    <w:rsid w:val="008B79F1"/>
    <w:rsid w:val="008B7E29"/>
    <w:rsid w:val="008C0A60"/>
    <w:rsid w:val="008C1514"/>
    <w:rsid w:val="008C336D"/>
    <w:rsid w:val="008D564F"/>
    <w:rsid w:val="008D5749"/>
    <w:rsid w:val="008D6549"/>
    <w:rsid w:val="008E092F"/>
    <w:rsid w:val="008E0C1A"/>
    <w:rsid w:val="008E3651"/>
    <w:rsid w:val="008E7A76"/>
    <w:rsid w:val="008F04D1"/>
    <w:rsid w:val="008F50D4"/>
    <w:rsid w:val="008F6E06"/>
    <w:rsid w:val="009014FF"/>
    <w:rsid w:val="00902413"/>
    <w:rsid w:val="009107CD"/>
    <w:rsid w:val="00910C7F"/>
    <w:rsid w:val="00911503"/>
    <w:rsid w:val="009146E6"/>
    <w:rsid w:val="009207C9"/>
    <w:rsid w:val="009226EB"/>
    <w:rsid w:val="00923795"/>
    <w:rsid w:val="00923C06"/>
    <w:rsid w:val="00924271"/>
    <w:rsid w:val="00924B7D"/>
    <w:rsid w:val="00924E95"/>
    <w:rsid w:val="009324CC"/>
    <w:rsid w:val="0093272F"/>
    <w:rsid w:val="00937EC5"/>
    <w:rsid w:val="00942E16"/>
    <w:rsid w:val="0094439B"/>
    <w:rsid w:val="009449B4"/>
    <w:rsid w:val="00946A34"/>
    <w:rsid w:val="009471E7"/>
    <w:rsid w:val="00952432"/>
    <w:rsid w:val="00953E4A"/>
    <w:rsid w:val="00960C73"/>
    <w:rsid w:val="00961207"/>
    <w:rsid w:val="00967B18"/>
    <w:rsid w:val="00970B00"/>
    <w:rsid w:val="00972FFA"/>
    <w:rsid w:val="0098196A"/>
    <w:rsid w:val="00981E1A"/>
    <w:rsid w:val="00982A5D"/>
    <w:rsid w:val="00984AE7"/>
    <w:rsid w:val="00986440"/>
    <w:rsid w:val="00993621"/>
    <w:rsid w:val="00996243"/>
    <w:rsid w:val="009A4264"/>
    <w:rsid w:val="009A5555"/>
    <w:rsid w:val="009A60D3"/>
    <w:rsid w:val="009A6503"/>
    <w:rsid w:val="009B54DB"/>
    <w:rsid w:val="009C076A"/>
    <w:rsid w:val="009C0A8E"/>
    <w:rsid w:val="009C1C8E"/>
    <w:rsid w:val="009C5C6B"/>
    <w:rsid w:val="009C7F35"/>
    <w:rsid w:val="009D4ADA"/>
    <w:rsid w:val="009D4EC6"/>
    <w:rsid w:val="009D6A5E"/>
    <w:rsid w:val="009E1DD5"/>
    <w:rsid w:val="009E2BAB"/>
    <w:rsid w:val="009E5046"/>
    <w:rsid w:val="009F3B1D"/>
    <w:rsid w:val="009F7F00"/>
    <w:rsid w:val="00A042E3"/>
    <w:rsid w:val="00A06505"/>
    <w:rsid w:val="00A06D20"/>
    <w:rsid w:val="00A12FA9"/>
    <w:rsid w:val="00A16625"/>
    <w:rsid w:val="00A2229D"/>
    <w:rsid w:val="00A22A61"/>
    <w:rsid w:val="00A23EDB"/>
    <w:rsid w:val="00A24CB5"/>
    <w:rsid w:val="00A27E91"/>
    <w:rsid w:val="00A31317"/>
    <w:rsid w:val="00A31789"/>
    <w:rsid w:val="00A33AE4"/>
    <w:rsid w:val="00A34361"/>
    <w:rsid w:val="00A34B8F"/>
    <w:rsid w:val="00A36E60"/>
    <w:rsid w:val="00A37239"/>
    <w:rsid w:val="00A428A1"/>
    <w:rsid w:val="00A43126"/>
    <w:rsid w:val="00A4632B"/>
    <w:rsid w:val="00A46A5A"/>
    <w:rsid w:val="00A46A74"/>
    <w:rsid w:val="00A479B5"/>
    <w:rsid w:val="00A6111B"/>
    <w:rsid w:val="00A61445"/>
    <w:rsid w:val="00A659B9"/>
    <w:rsid w:val="00A67328"/>
    <w:rsid w:val="00A72635"/>
    <w:rsid w:val="00A7436C"/>
    <w:rsid w:val="00A75B6F"/>
    <w:rsid w:val="00A76BCA"/>
    <w:rsid w:val="00A82265"/>
    <w:rsid w:val="00A824BE"/>
    <w:rsid w:val="00A83517"/>
    <w:rsid w:val="00A84F73"/>
    <w:rsid w:val="00A856CB"/>
    <w:rsid w:val="00A861DE"/>
    <w:rsid w:val="00A86C43"/>
    <w:rsid w:val="00A879F4"/>
    <w:rsid w:val="00A94DF4"/>
    <w:rsid w:val="00AA1DF8"/>
    <w:rsid w:val="00AA385C"/>
    <w:rsid w:val="00AA4212"/>
    <w:rsid w:val="00AA6663"/>
    <w:rsid w:val="00AA6FF3"/>
    <w:rsid w:val="00AA72A7"/>
    <w:rsid w:val="00AA7653"/>
    <w:rsid w:val="00AB034D"/>
    <w:rsid w:val="00AB0857"/>
    <w:rsid w:val="00AB2F9C"/>
    <w:rsid w:val="00AB3469"/>
    <w:rsid w:val="00AB3A99"/>
    <w:rsid w:val="00AB3DA5"/>
    <w:rsid w:val="00AB726D"/>
    <w:rsid w:val="00AC12A1"/>
    <w:rsid w:val="00AC1D8A"/>
    <w:rsid w:val="00AC365A"/>
    <w:rsid w:val="00AC6862"/>
    <w:rsid w:val="00AD067E"/>
    <w:rsid w:val="00AD1E9D"/>
    <w:rsid w:val="00AD32E5"/>
    <w:rsid w:val="00AD3F3A"/>
    <w:rsid w:val="00AD53F7"/>
    <w:rsid w:val="00AD69BA"/>
    <w:rsid w:val="00AD69E3"/>
    <w:rsid w:val="00AD7C74"/>
    <w:rsid w:val="00AE26FB"/>
    <w:rsid w:val="00AE542B"/>
    <w:rsid w:val="00AF28E6"/>
    <w:rsid w:val="00AF7B2A"/>
    <w:rsid w:val="00B0687E"/>
    <w:rsid w:val="00B10924"/>
    <w:rsid w:val="00B155F1"/>
    <w:rsid w:val="00B220A8"/>
    <w:rsid w:val="00B23D6B"/>
    <w:rsid w:val="00B327FF"/>
    <w:rsid w:val="00B4185A"/>
    <w:rsid w:val="00B434E4"/>
    <w:rsid w:val="00B4502D"/>
    <w:rsid w:val="00B45831"/>
    <w:rsid w:val="00B45E5F"/>
    <w:rsid w:val="00B46F2D"/>
    <w:rsid w:val="00B50B75"/>
    <w:rsid w:val="00B51841"/>
    <w:rsid w:val="00B52724"/>
    <w:rsid w:val="00B552A5"/>
    <w:rsid w:val="00B56BBD"/>
    <w:rsid w:val="00B6242A"/>
    <w:rsid w:val="00B65863"/>
    <w:rsid w:val="00B73DF9"/>
    <w:rsid w:val="00B7586F"/>
    <w:rsid w:val="00B83B40"/>
    <w:rsid w:val="00B84A74"/>
    <w:rsid w:val="00B856B7"/>
    <w:rsid w:val="00B9369C"/>
    <w:rsid w:val="00B93F06"/>
    <w:rsid w:val="00B94EBF"/>
    <w:rsid w:val="00BA157E"/>
    <w:rsid w:val="00BA21D8"/>
    <w:rsid w:val="00BA5769"/>
    <w:rsid w:val="00BA6587"/>
    <w:rsid w:val="00BB0CA0"/>
    <w:rsid w:val="00BB111A"/>
    <w:rsid w:val="00BB3A2B"/>
    <w:rsid w:val="00BB5182"/>
    <w:rsid w:val="00BC3906"/>
    <w:rsid w:val="00BC5965"/>
    <w:rsid w:val="00BC7482"/>
    <w:rsid w:val="00BC74E8"/>
    <w:rsid w:val="00BD2914"/>
    <w:rsid w:val="00BD3D30"/>
    <w:rsid w:val="00BD5265"/>
    <w:rsid w:val="00BE2D19"/>
    <w:rsid w:val="00BE36F1"/>
    <w:rsid w:val="00BE4609"/>
    <w:rsid w:val="00BF0DDE"/>
    <w:rsid w:val="00BF0E58"/>
    <w:rsid w:val="00BF1904"/>
    <w:rsid w:val="00BF2C33"/>
    <w:rsid w:val="00BF7842"/>
    <w:rsid w:val="00C009BE"/>
    <w:rsid w:val="00C04F56"/>
    <w:rsid w:val="00C12737"/>
    <w:rsid w:val="00C12E48"/>
    <w:rsid w:val="00C14C08"/>
    <w:rsid w:val="00C153D5"/>
    <w:rsid w:val="00C21CBA"/>
    <w:rsid w:val="00C22B51"/>
    <w:rsid w:val="00C22CFC"/>
    <w:rsid w:val="00C23D6C"/>
    <w:rsid w:val="00C23F0C"/>
    <w:rsid w:val="00C275BF"/>
    <w:rsid w:val="00C31A35"/>
    <w:rsid w:val="00C350CA"/>
    <w:rsid w:val="00C36559"/>
    <w:rsid w:val="00C37B9B"/>
    <w:rsid w:val="00C42448"/>
    <w:rsid w:val="00C4248A"/>
    <w:rsid w:val="00C44010"/>
    <w:rsid w:val="00C50567"/>
    <w:rsid w:val="00C51F8A"/>
    <w:rsid w:val="00C57724"/>
    <w:rsid w:val="00C610CD"/>
    <w:rsid w:val="00C64273"/>
    <w:rsid w:val="00C65021"/>
    <w:rsid w:val="00C65368"/>
    <w:rsid w:val="00C65FE8"/>
    <w:rsid w:val="00C66014"/>
    <w:rsid w:val="00C6717A"/>
    <w:rsid w:val="00C676F7"/>
    <w:rsid w:val="00C67AED"/>
    <w:rsid w:val="00C67C86"/>
    <w:rsid w:val="00C70687"/>
    <w:rsid w:val="00C71FA2"/>
    <w:rsid w:val="00C74E7D"/>
    <w:rsid w:val="00C77086"/>
    <w:rsid w:val="00C771A9"/>
    <w:rsid w:val="00C801FC"/>
    <w:rsid w:val="00C83328"/>
    <w:rsid w:val="00C835A8"/>
    <w:rsid w:val="00C847EA"/>
    <w:rsid w:val="00C8795A"/>
    <w:rsid w:val="00C959BD"/>
    <w:rsid w:val="00CA04AB"/>
    <w:rsid w:val="00CA7365"/>
    <w:rsid w:val="00CB1656"/>
    <w:rsid w:val="00CB4E02"/>
    <w:rsid w:val="00CC467D"/>
    <w:rsid w:val="00CC73F6"/>
    <w:rsid w:val="00CD066C"/>
    <w:rsid w:val="00CD1DFC"/>
    <w:rsid w:val="00CD1FE9"/>
    <w:rsid w:val="00CD278B"/>
    <w:rsid w:val="00CD427D"/>
    <w:rsid w:val="00CD42C3"/>
    <w:rsid w:val="00CD4B7B"/>
    <w:rsid w:val="00CD581E"/>
    <w:rsid w:val="00CD6162"/>
    <w:rsid w:val="00CD63A2"/>
    <w:rsid w:val="00CD650C"/>
    <w:rsid w:val="00CD6B76"/>
    <w:rsid w:val="00CD7343"/>
    <w:rsid w:val="00CE01F6"/>
    <w:rsid w:val="00CE294F"/>
    <w:rsid w:val="00CE4D7D"/>
    <w:rsid w:val="00CF25DC"/>
    <w:rsid w:val="00CF4C0D"/>
    <w:rsid w:val="00CF5C64"/>
    <w:rsid w:val="00CF6BD0"/>
    <w:rsid w:val="00D012E8"/>
    <w:rsid w:val="00D04F2E"/>
    <w:rsid w:val="00D05C7F"/>
    <w:rsid w:val="00D06E92"/>
    <w:rsid w:val="00D10902"/>
    <w:rsid w:val="00D13DEB"/>
    <w:rsid w:val="00D142F2"/>
    <w:rsid w:val="00D15A0A"/>
    <w:rsid w:val="00D17F1D"/>
    <w:rsid w:val="00D20652"/>
    <w:rsid w:val="00D24BE6"/>
    <w:rsid w:val="00D262E0"/>
    <w:rsid w:val="00D30B5C"/>
    <w:rsid w:val="00D3285D"/>
    <w:rsid w:val="00D34633"/>
    <w:rsid w:val="00D35C69"/>
    <w:rsid w:val="00D42E72"/>
    <w:rsid w:val="00D470E4"/>
    <w:rsid w:val="00D47AC3"/>
    <w:rsid w:val="00D47C4C"/>
    <w:rsid w:val="00D52F43"/>
    <w:rsid w:val="00D52F99"/>
    <w:rsid w:val="00D5501B"/>
    <w:rsid w:val="00D5540F"/>
    <w:rsid w:val="00D55F29"/>
    <w:rsid w:val="00D56446"/>
    <w:rsid w:val="00D600D7"/>
    <w:rsid w:val="00D72116"/>
    <w:rsid w:val="00D81199"/>
    <w:rsid w:val="00D82AF4"/>
    <w:rsid w:val="00D82BFC"/>
    <w:rsid w:val="00D84C40"/>
    <w:rsid w:val="00D97B37"/>
    <w:rsid w:val="00DA4867"/>
    <w:rsid w:val="00DA644E"/>
    <w:rsid w:val="00DB0367"/>
    <w:rsid w:val="00DB09D2"/>
    <w:rsid w:val="00DB2391"/>
    <w:rsid w:val="00DC261F"/>
    <w:rsid w:val="00DD3C24"/>
    <w:rsid w:val="00DD55F9"/>
    <w:rsid w:val="00DD74C4"/>
    <w:rsid w:val="00DE4D53"/>
    <w:rsid w:val="00DE5297"/>
    <w:rsid w:val="00DE634A"/>
    <w:rsid w:val="00DF23C2"/>
    <w:rsid w:val="00DF6F17"/>
    <w:rsid w:val="00E05DA4"/>
    <w:rsid w:val="00E12E81"/>
    <w:rsid w:val="00E13937"/>
    <w:rsid w:val="00E14F3C"/>
    <w:rsid w:val="00E156E3"/>
    <w:rsid w:val="00E16552"/>
    <w:rsid w:val="00E170C5"/>
    <w:rsid w:val="00E17582"/>
    <w:rsid w:val="00E179B2"/>
    <w:rsid w:val="00E231C8"/>
    <w:rsid w:val="00E23862"/>
    <w:rsid w:val="00E276F2"/>
    <w:rsid w:val="00E313D7"/>
    <w:rsid w:val="00E319B3"/>
    <w:rsid w:val="00E338BF"/>
    <w:rsid w:val="00E373D1"/>
    <w:rsid w:val="00E402E7"/>
    <w:rsid w:val="00E40E77"/>
    <w:rsid w:val="00E46AC5"/>
    <w:rsid w:val="00E478C3"/>
    <w:rsid w:val="00E47BB6"/>
    <w:rsid w:val="00E530FF"/>
    <w:rsid w:val="00E53577"/>
    <w:rsid w:val="00E5368B"/>
    <w:rsid w:val="00E64C94"/>
    <w:rsid w:val="00E66170"/>
    <w:rsid w:val="00E666C5"/>
    <w:rsid w:val="00E7018C"/>
    <w:rsid w:val="00E71459"/>
    <w:rsid w:val="00E716AB"/>
    <w:rsid w:val="00E72A90"/>
    <w:rsid w:val="00E74BD8"/>
    <w:rsid w:val="00E75C24"/>
    <w:rsid w:val="00E77BCF"/>
    <w:rsid w:val="00E84012"/>
    <w:rsid w:val="00E84DF6"/>
    <w:rsid w:val="00E85372"/>
    <w:rsid w:val="00E9209D"/>
    <w:rsid w:val="00EA1EF8"/>
    <w:rsid w:val="00EA3699"/>
    <w:rsid w:val="00EA68B5"/>
    <w:rsid w:val="00EB0524"/>
    <w:rsid w:val="00EB0C4A"/>
    <w:rsid w:val="00EB30D2"/>
    <w:rsid w:val="00EB686B"/>
    <w:rsid w:val="00EC0F1A"/>
    <w:rsid w:val="00EC19CE"/>
    <w:rsid w:val="00EC2546"/>
    <w:rsid w:val="00EC524F"/>
    <w:rsid w:val="00EC5E3C"/>
    <w:rsid w:val="00EC5F8F"/>
    <w:rsid w:val="00ED08BB"/>
    <w:rsid w:val="00ED2A62"/>
    <w:rsid w:val="00ED4352"/>
    <w:rsid w:val="00ED43BA"/>
    <w:rsid w:val="00ED5016"/>
    <w:rsid w:val="00ED5DA8"/>
    <w:rsid w:val="00EE385B"/>
    <w:rsid w:val="00EE39CD"/>
    <w:rsid w:val="00EE6788"/>
    <w:rsid w:val="00EE7217"/>
    <w:rsid w:val="00EE73C0"/>
    <w:rsid w:val="00EF0C03"/>
    <w:rsid w:val="00EF1F46"/>
    <w:rsid w:val="00EF2560"/>
    <w:rsid w:val="00EF6C44"/>
    <w:rsid w:val="00EF74A3"/>
    <w:rsid w:val="00EF7D9F"/>
    <w:rsid w:val="00F01E08"/>
    <w:rsid w:val="00F0569C"/>
    <w:rsid w:val="00F12686"/>
    <w:rsid w:val="00F13868"/>
    <w:rsid w:val="00F16E85"/>
    <w:rsid w:val="00F17ACF"/>
    <w:rsid w:val="00F240A6"/>
    <w:rsid w:val="00F2456D"/>
    <w:rsid w:val="00F25B3C"/>
    <w:rsid w:val="00F2763A"/>
    <w:rsid w:val="00F27934"/>
    <w:rsid w:val="00F323C0"/>
    <w:rsid w:val="00F33E0A"/>
    <w:rsid w:val="00F34377"/>
    <w:rsid w:val="00F35B7D"/>
    <w:rsid w:val="00F36EB1"/>
    <w:rsid w:val="00F37671"/>
    <w:rsid w:val="00F40DEB"/>
    <w:rsid w:val="00F41E71"/>
    <w:rsid w:val="00F42AA4"/>
    <w:rsid w:val="00F479B6"/>
    <w:rsid w:val="00F47C60"/>
    <w:rsid w:val="00F52957"/>
    <w:rsid w:val="00F53592"/>
    <w:rsid w:val="00F53F65"/>
    <w:rsid w:val="00F5423D"/>
    <w:rsid w:val="00F60484"/>
    <w:rsid w:val="00F674A4"/>
    <w:rsid w:val="00F74A16"/>
    <w:rsid w:val="00F766F1"/>
    <w:rsid w:val="00F9336F"/>
    <w:rsid w:val="00F94AAA"/>
    <w:rsid w:val="00F97B12"/>
    <w:rsid w:val="00FA0840"/>
    <w:rsid w:val="00FA6617"/>
    <w:rsid w:val="00FB3121"/>
    <w:rsid w:val="00FB3EC1"/>
    <w:rsid w:val="00FB418E"/>
    <w:rsid w:val="00FB643E"/>
    <w:rsid w:val="00FB7230"/>
    <w:rsid w:val="00FB72F8"/>
    <w:rsid w:val="00FB7605"/>
    <w:rsid w:val="00FC0B1D"/>
    <w:rsid w:val="00FC1717"/>
    <w:rsid w:val="00FC46CC"/>
    <w:rsid w:val="00FD7E87"/>
    <w:rsid w:val="00FE440F"/>
    <w:rsid w:val="00FE7E39"/>
    <w:rsid w:val="00FF065B"/>
    <w:rsid w:val="00FF301A"/>
    <w:rsid w:val="00FF32E8"/>
    <w:rsid w:val="00FF3A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6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76E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741AC"/>
    <w:pPr>
      <w:keepNext/>
      <w:spacing w:before="240" w:after="60"/>
      <w:outlineLvl w:val="3"/>
    </w:pPr>
    <w:rPr>
      <w:rFonts w:ascii="Calibri" w:hAnsi="Calibri"/>
      <w:b/>
      <w:bCs/>
      <w:sz w:val="28"/>
      <w:szCs w:val="28"/>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A26"/>
    <w:pPr>
      <w:tabs>
        <w:tab w:val="center" w:pos="4513"/>
        <w:tab w:val="right" w:pos="9026"/>
      </w:tabs>
    </w:pPr>
  </w:style>
  <w:style w:type="character" w:customStyle="1" w:styleId="HeaderChar">
    <w:name w:val="Header Char"/>
    <w:basedOn w:val="DefaultParagraphFont"/>
    <w:link w:val="Header"/>
    <w:uiPriority w:val="99"/>
    <w:rsid w:val="00596A2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96A26"/>
    <w:pPr>
      <w:tabs>
        <w:tab w:val="center" w:pos="4513"/>
        <w:tab w:val="right" w:pos="9026"/>
      </w:tabs>
    </w:pPr>
  </w:style>
  <w:style w:type="character" w:customStyle="1" w:styleId="FooterChar">
    <w:name w:val="Footer Char"/>
    <w:basedOn w:val="DefaultParagraphFont"/>
    <w:link w:val="Footer"/>
    <w:uiPriority w:val="99"/>
    <w:rsid w:val="00596A2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96A26"/>
    <w:rPr>
      <w:rFonts w:ascii="Tahoma" w:hAnsi="Tahoma" w:cs="Tahoma"/>
      <w:sz w:val="16"/>
      <w:szCs w:val="16"/>
    </w:rPr>
  </w:style>
  <w:style w:type="character" w:customStyle="1" w:styleId="BalloonTextChar">
    <w:name w:val="Balloon Text Char"/>
    <w:basedOn w:val="DefaultParagraphFont"/>
    <w:link w:val="BalloonText"/>
    <w:uiPriority w:val="99"/>
    <w:semiHidden/>
    <w:rsid w:val="00596A26"/>
    <w:rPr>
      <w:rFonts w:ascii="Tahoma" w:eastAsia="Times New Roman" w:hAnsi="Tahoma" w:cs="Tahoma"/>
      <w:sz w:val="16"/>
      <w:szCs w:val="16"/>
      <w:lang w:val="en-US"/>
    </w:rPr>
  </w:style>
  <w:style w:type="paragraph" w:styleId="ListParagraph">
    <w:name w:val="List Paragraph"/>
    <w:basedOn w:val="Normal"/>
    <w:uiPriority w:val="34"/>
    <w:qFormat/>
    <w:rsid w:val="00A46A5A"/>
    <w:pPr>
      <w:ind w:left="720"/>
      <w:contextualSpacing/>
    </w:pPr>
  </w:style>
  <w:style w:type="table" w:styleId="TableGrid">
    <w:name w:val="Table Grid"/>
    <w:basedOn w:val="TableNormal"/>
    <w:uiPriority w:val="59"/>
    <w:rsid w:val="0044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443D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463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305570"/>
    <w:rPr>
      <w:sz w:val="18"/>
      <w:szCs w:val="18"/>
    </w:rPr>
  </w:style>
  <w:style w:type="paragraph" w:styleId="CommentText">
    <w:name w:val="annotation text"/>
    <w:basedOn w:val="Normal"/>
    <w:link w:val="CommentTextChar"/>
    <w:uiPriority w:val="99"/>
    <w:semiHidden/>
    <w:unhideWhenUsed/>
    <w:rsid w:val="00305570"/>
    <w:rPr>
      <w:sz w:val="24"/>
      <w:szCs w:val="24"/>
    </w:rPr>
  </w:style>
  <w:style w:type="character" w:customStyle="1" w:styleId="CommentTextChar">
    <w:name w:val="Comment Text Char"/>
    <w:basedOn w:val="DefaultParagraphFont"/>
    <w:link w:val="CommentText"/>
    <w:uiPriority w:val="99"/>
    <w:semiHidden/>
    <w:rsid w:val="00305570"/>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305570"/>
    <w:rPr>
      <w:b/>
      <w:bCs/>
      <w:sz w:val="20"/>
      <w:szCs w:val="20"/>
    </w:rPr>
  </w:style>
  <w:style w:type="character" w:customStyle="1" w:styleId="CommentSubjectChar">
    <w:name w:val="Comment Subject Char"/>
    <w:basedOn w:val="CommentTextChar"/>
    <w:link w:val="CommentSubject"/>
    <w:uiPriority w:val="99"/>
    <w:semiHidden/>
    <w:rsid w:val="00305570"/>
    <w:rPr>
      <w:rFonts w:ascii="Times New Roman" w:eastAsia="Times New Roman" w:hAnsi="Times New Roman" w:cs="Times New Roman"/>
      <w:b/>
      <w:bCs/>
      <w:sz w:val="20"/>
      <w:szCs w:val="20"/>
      <w:lang w:val="en-US"/>
    </w:rPr>
  </w:style>
  <w:style w:type="paragraph" w:styleId="Revision">
    <w:name w:val="Revision"/>
    <w:hidden/>
    <w:uiPriority w:val="99"/>
    <w:semiHidden/>
    <w:rsid w:val="003A0C33"/>
    <w:pPr>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471E7"/>
    <w:rPr>
      <w:color w:val="0000FF" w:themeColor="hyperlink"/>
      <w:u w:val="single"/>
    </w:rPr>
  </w:style>
  <w:style w:type="table" w:customStyle="1" w:styleId="TableGrid1">
    <w:name w:val="Table Grid1"/>
    <w:basedOn w:val="TableNormal"/>
    <w:next w:val="TableGrid"/>
    <w:uiPriority w:val="59"/>
    <w:rsid w:val="00B2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8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eastAsia="en-GB"/>
    </w:rPr>
  </w:style>
  <w:style w:type="character" w:customStyle="1" w:styleId="HTMLPreformattedChar">
    <w:name w:val="HTML Preformatted Char"/>
    <w:basedOn w:val="DefaultParagraphFont"/>
    <w:link w:val="HTMLPreformatted"/>
    <w:uiPriority w:val="99"/>
    <w:semiHidden/>
    <w:rsid w:val="00184121"/>
    <w:rPr>
      <w:rFonts w:ascii="Courier New" w:hAnsi="Courier New" w:cs="Courier New"/>
      <w:sz w:val="20"/>
      <w:szCs w:val="20"/>
      <w:lang w:eastAsia="en-GB"/>
    </w:rPr>
  </w:style>
  <w:style w:type="character" w:customStyle="1" w:styleId="Heading4Char">
    <w:name w:val="Heading 4 Char"/>
    <w:basedOn w:val="DefaultParagraphFont"/>
    <w:link w:val="Heading4"/>
    <w:rsid w:val="007741AC"/>
    <w:rPr>
      <w:rFonts w:ascii="Calibri" w:eastAsia="Times New Roman" w:hAnsi="Calibri" w:cs="Times New Roman"/>
      <w:b/>
      <w:bCs/>
      <w:sz w:val="28"/>
      <w:szCs w:val="28"/>
      <w:lang w:val="en-AU"/>
    </w:rPr>
  </w:style>
  <w:style w:type="character" w:customStyle="1" w:styleId="Heading1Char">
    <w:name w:val="Heading 1 Char"/>
    <w:basedOn w:val="DefaultParagraphFont"/>
    <w:link w:val="Heading1"/>
    <w:uiPriority w:val="9"/>
    <w:rsid w:val="00576E7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76E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741AC"/>
    <w:pPr>
      <w:keepNext/>
      <w:spacing w:before="240" w:after="60"/>
      <w:outlineLvl w:val="3"/>
    </w:pPr>
    <w:rPr>
      <w:rFonts w:ascii="Calibri" w:hAnsi="Calibri"/>
      <w:b/>
      <w:bCs/>
      <w:sz w:val="28"/>
      <w:szCs w:val="28"/>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A26"/>
    <w:pPr>
      <w:tabs>
        <w:tab w:val="center" w:pos="4513"/>
        <w:tab w:val="right" w:pos="9026"/>
      </w:tabs>
    </w:pPr>
  </w:style>
  <w:style w:type="character" w:customStyle="1" w:styleId="HeaderChar">
    <w:name w:val="Header Char"/>
    <w:basedOn w:val="DefaultParagraphFont"/>
    <w:link w:val="Header"/>
    <w:uiPriority w:val="99"/>
    <w:rsid w:val="00596A2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96A26"/>
    <w:pPr>
      <w:tabs>
        <w:tab w:val="center" w:pos="4513"/>
        <w:tab w:val="right" w:pos="9026"/>
      </w:tabs>
    </w:pPr>
  </w:style>
  <w:style w:type="character" w:customStyle="1" w:styleId="FooterChar">
    <w:name w:val="Footer Char"/>
    <w:basedOn w:val="DefaultParagraphFont"/>
    <w:link w:val="Footer"/>
    <w:uiPriority w:val="99"/>
    <w:rsid w:val="00596A2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96A26"/>
    <w:rPr>
      <w:rFonts w:ascii="Tahoma" w:hAnsi="Tahoma" w:cs="Tahoma"/>
      <w:sz w:val="16"/>
      <w:szCs w:val="16"/>
    </w:rPr>
  </w:style>
  <w:style w:type="character" w:customStyle="1" w:styleId="BalloonTextChar">
    <w:name w:val="Balloon Text Char"/>
    <w:basedOn w:val="DefaultParagraphFont"/>
    <w:link w:val="BalloonText"/>
    <w:uiPriority w:val="99"/>
    <w:semiHidden/>
    <w:rsid w:val="00596A26"/>
    <w:rPr>
      <w:rFonts w:ascii="Tahoma" w:eastAsia="Times New Roman" w:hAnsi="Tahoma" w:cs="Tahoma"/>
      <w:sz w:val="16"/>
      <w:szCs w:val="16"/>
      <w:lang w:val="en-US"/>
    </w:rPr>
  </w:style>
  <w:style w:type="paragraph" w:styleId="ListParagraph">
    <w:name w:val="List Paragraph"/>
    <w:basedOn w:val="Normal"/>
    <w:uiPriority w:val="34"/>
    <w:qFormat/>
    <w:rsid w:val="00A46A5A"/>
    <w:pPr>
      <w:ind w:left="720"/>
      <w:contextualSpacing/>
    </w:pPr>
  </w:style>
  <w:style w:type="table" w:styleId="TableGrid">
    <w:name w:val="Table Grid"/>
    <w:basedOn w:val="TableNormal"/>
    <w:uiPriority w:val="59"/>
    <w:rsid w:val="0044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443D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463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305570"/>
    <w:rPr>
      <w:sz w:val="18"/>
      <w:szCs w:val="18"/>
    </w:rPr>
  </w:style>
  <w:style w:type="paragraph" w:styleId="CommentText">
    <w:name w:val="annotation text"/>
    <w:basedOn w:val="Normal"/>
    <w:link w:val="CommentTextChar"/>
    <w:uiPriority w:val="99"/>
    <w:semiHidden/>
    <w:unhideWhenUsed/>
    <w:rsid w:val="00305570"/>
    <w:rPr>
      <w:sz w:val="24"/>
      <w:szCs w:val="24"/>
    </w:rPr>
  </w:style>
  <w:style w:type="character" w:customStyle="1" w:styleId="CommentTextChar">
    <w:name w:val="Comment Text Char"/>
    <w:basedOn w:val="DefaultParagraphFont"/>
    <w:link w:val="CommentText"/>
    <w:uiPriority w:val="99"/>
    <w:semiHidden/>
    <w:rsid w:val="00305570"/>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305570"/>
    <w:rPr>
      <w:b/>
      <w:bCs/>
      <w:sz w:val="20"/>
      <w:szCs w:val="20"/>
    </w:rPr>
  </w:style>
  <w:style w:type="character" w:customStyle="1" w:styleId="CommentSubjectChar">
    <w:name w:val="Comment Subject Char"/>
    <w:basedOn w:val="CommentTextChar"/>
    <w:link w:val="CommentSubject"/>
    <w:uiPriority w:val="99"/>
    <w:semiHidden/>
    <w:rsid w:val="00305570"/>
    <w:rPr>
      <w:rFonts w:ascii="Times New Roman" w:eastAsia="Times New Roman" w:hAnsi="Times New Roman" w:cs="Times New Roman"/>
      <w:b/>
      <w:bCs/>
      <w:sz w:val="20"/>
      <w:szCs w:val="20"/>
      <w:lang w:val="en-US"/>
    </w:rPr>
  </w:style>
  <w:style w:type="paragraph" w:styleId="Revision">
    <w:name w:val="Revision"/>
    <w:hidden/>
    <w:uiPriority w:val="99"/>
    <w:semiHidden/>
    <w:rsid w:val="003A0C33"/>
    <w:pPr>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471E7"/>
    <w:rPr>
      <w:color w:val="0000FF" w:themeColor="hyperlink"/>
      <w:u w:val="single"/>
    </w:rPr>
  </w:style>
  <w:style w:type="table" w:customStyle="1" w:styleId="TableGrid1">
    <w:name w:val="Table Grid1"/>
    <w:basedOn w:val="TableNormal"/>
    <w:next w:val="TableGrid"/>
    <w:uiPriority w:val="59"/>
    <w:rsid w:val="00B2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8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eastAsia="en-GB"/>
    </w:rPr>
  </w:style>
  <w:style w:type="character" w:customStyle="1" w:styleId="HTMLPreformattedChar">
    <w:name w:val="HTML Preformatted Char"/>
    <w:basedOn w:val="DefaultParagraphFont"/>
    <w:link w:val="HTMLPreformatted"/>
    <w:uiPriority w:val="99"/>
    <w:semiHidden/>
    <w:rsid w:val="00184121"/>
    <w:rPr>
      <w:rFonts w:ascii="Courier New" w:hAnsi="Courier New" w:cs="Courier New"/>
      <w:sz w:val="20"/>
      <w:szCs w:val="20"/>
      <w:lang w:eastAsia="en-GB"/>
    </w:rPr>
  </w:style>
  <w:style w:type="character" w:customStyle="1" w:styleId="Heading4Char">
    <w:name w:val="Heading 4 Char"/>
    <w:basedOn w:val="DefaultParagraphFont"/>
    <w:link w:val="Heading4"/>
    <w:rsid w:val="007741AC"/>
    <w:rPr>
      <w:rFonts w:ascii="Calibri" w:eastAsia="Times New Roman" w:hAnsi="Calibri" w:cs="Times New Roman"/>
      <w:b/>
      <w:bCs/>
      <w:sz w:val="28"/>
      <w:szCs w:val="28"/>
      <w:lang w:val="en-AU"/>
    </w:rPr>
  </w:style>
  <w:style w:type="character" w:customStyle="1" w:styleId="Heading1Char">
    <w:name w:val="Heading 1 Char"/>
    <w:basedOn w:val="DefaultParagraphFont"/>
    <w:link w:val="Heading1"/>
    <w:uiPriority w:val="9"/>
    <w:rsid w:val="00576E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90011">
      <w:bodyDiv w:val="1"/>
      <w:marLeft w:val="0"/>
      <w:marRight w:val="0"/>
      <w:marTop w:val="0"/>
      <w:marBottom w:val="0"/>
      <w:divBdr>
        <w:top w:val="none" w:sz="0" w:space="0" w:color="auto"/>
        <w:left w:val="none" w:sz="0" w:space="0" w:color="auto"/>
        <w:bottom w:val="none" w:sz="0" w:space="0" w:color="auto"/>
        <w:right w:val="none" w:sz="0" w:space="0" w:color="auto"/>
      </w:divBdr>
    </w:div>
    <w:div w:id="700982219">
      <w:bodyDiv w:val="1"/>
      <w:marLeft w:val="0"/>
      <w:marRight w:val="0"/>
      <w:marTop w:val="0"/>
      <w:marBottom w:val="0"/>
      <w:divBdr>
        <w:top w:val="none" w:sz="0" w:space="0" w:color="auto"/>
        <w:left w:val="none" w:sz="0" w:space="0" w:color="auto"/>
        <w:bottom w:val="none" w:sz="0" w:space="0" w:color="auto"/>
        <w:right w:val="none" w:sz="0" w:space="0" w:color="auto"/>
      </w:divBdr>
    </w:div>
    <w:div w:id="1017464165">
      <w:bodyDiv w:val="1"/>
      <w:marLeft w:val="0"/>
      <w:marRight w:val="0"/>
      <w:marTop w:val="0"/>
      <w:marBottom w:val="0"/>
      <w:divBdr>
        <w:top w:val="none" w:sz="0" w:space="0" w:color="auto"/>
        <w:left w:val="none" w:sz="0" w:space="0" w:color="auto"/>
        <w:bottom w:val="none" w:sz="0" w:space="0" w:color="auto"/>
        <w:right w:val="none" w:sz="0" w:space="0" w:color="auto"/>
      </w:divBdr>
    </w:div>
    <w:div w:id="1560745407">
      <w:bodyDiv w:val="1"/>
      <w:marLeft w:val="0"/>
      <w:marRight w:val="0"/>
      <w:marTop w:val="0"/>
      <w:marBottom w:val="0"/>
      <w:divBdr>
        <w:top w:val="none" w:sz="0" w:space="0" w:color="auto"/>
        <w:left w:val="none" w:sz="0" w:space="0" w:color="auto"/>
        <w:bottom w:val="none" w:sz="0" w:space="0" w:color="auto"/>
        <w:right w:val="none" w:sz="0" w:space="0" w:color="auto"/>
      </w:divBdr>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usher/edinburgh-clinical-trials" TargetMode="External"/><Relationship Id="rId13" Type="http://schemas.openxmlformats.org/officeDocument/2006/relationships/hyperlink" Target="http://www.legislation.gov.uk/uksi/2006/1928/pdfs/uksi_20061928_en.pdf" TargetMode="External"/><Relationship Id="rId18" Type="http://schemas.openxmlformats.org/officeDocument/2006/relationships/footer" Target="foot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legislation.gov.uk/uksi/2004/1031/pdfs/uksi_20041031_en.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ctn.org.uk/downloads/EU_Directive/Directiv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roqol.org/wp-content/uploads/2016/09/EQ-5D-5L_UserGuide_2015.pdf" TargetMode="External"/><Relationship Id="rId5" Type="http://schemas.openxmlformats.org/officeDocument/2006/relationships/webSettings" Target="webSettings.xml"/><Relationship Id="rId15" Type="http://schemas.openxmlformats.org/officeDocument/2006/relationships/hyperlink" Target="http://www.ncbi.nlm.nih.gov/sites/entrez?Db=pubmed&amp;Cmd=Search&amp;Term=%22Aronson%20JK%22%5BAuthor%5D&amp;itool=EntrezSystem2.PEntrez.Pubmed.Pubmed_ResultsPanel.Pubmed_DiscoveryPanel.Pubmed_RVAbstractPlu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verse.events@mft.nhs.uk" TargetMode="External"/><Relationship Id="rId14" Type="http://schemas.openxmlformats.org/officeDocument/2006/relationships/hyperlink" Target="http://www.ncbi.nlm.nih.gov/sites/entrez?Db=pubmed&amp;Cmd=Search&amp;Term=%22Edwards%20IR%22%5BAuthor%5D&amp;itool=EntrezSystem2.PEntrez.Pubmed.Pubmed_ResultsPanel.Pubmed_DiscoveryPanel.Pubmed_RV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6755</Words>
  <Characters>38505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Ajith Siriwardena</dc:creator>
  <cp:lastModifiedBy>Ajith Siriwardena</cp:lastModifiedBy>
  <cp:revision>5</cp:revision>
  <cp:lastPrinted>2017-01-12T10:56:00Z</cp:lastPrinted>
  <dcterms:created xsi:type="dcterms:W3CDTF">2020-03-24T12:33:00Z</dcterms:created>
  <dcterms:modified xsi:type="dcterms:W3CDTF">2020-03-24T20:41:00Z</dcterms:modified>
</cp:coreProperties>
</file>