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E121" w14:textId="7BB734C9" w:rsidR="00A46531" w:rsidRDefault="00A46531" w:rsidP="00A46531">
      <w:r w:rsidRPr="005D66A4">
        <w:rPr>
          <w:b/>
          <w:color w:val="4472C4" w:themeColor="accent1"/>
        </w:rPr>
        <w:t>Study Title:</w:t>
      </w:r>
      <w:r>
        <w:rPr>
          <w:b/>
        </w:rPr>
        <w:t xml:space="preserve"> </w:t>
      </w:r>
      <w:r>
        <w:t xml:space="preserve"> </w:t>
      </w:r>
      <w:r w:rsidR="006D5C75">
        <w:t>Cognitive and behavioural biomarkers for the treatment of mental health conditions</w:t>
      </w:r>
      <w:r w:rsidR="009A18A6">
        <w:t>:</w:t>
      </w:r>
      <w:r w:rsidRPr="001547CD">
        <w:rPr>
          <w:szCs w:val="20"/>
          <w:lang w:val="en-US"/>
        </w:rPr>
        <w:t xml:space="preserve"> an investigation of </w:t>
      </w:r>
      <w:r w:rsidR="009A18A6">
        <w:rPr>
          <w:szCs w:val="20"/>
          <w:lang w:val="en-US"/>
        </w:rPr>
        <w:t xml:space="preserve">acceptability and efficacy when used </w:t>
      </w:r>
      <w:r w:rsidR="000E0F65">
        <w:rPr>
          <w:szCs w:val="20"/>
          <w:lang w:val="en-US"/>
        </w:rPr>
        <w:t>as a therapeutic tool</w:t>
      </w:r>
    </w:p>
    <w:p w14:paraId="62AB8501" w14:textId="305AF9CC" w:rsidR="00A46531" w:rsidRDefault="00A46531" w:rsidP="00A46531">
      <w:pPr>
        <w:spacing w:line="360" w:lineRule="auto"/>
      </w:pPr>
      <w:r w:rsidRPr="005D66A4">
        <w:rPr>
          <w:b/>
          <w:color w:val="4472C4" w:themeColor="accent1"/>
        </w:rPr>
        <w:t>Short title:</w:t>
      </w:r>
      <w:r w:rsidRPr="005D66A4">
        <w:rPr>
          <w:color w:val="4472C4" w:themeColor="accent1"/>
        </w:rPr>
        <w:t xml:space="preserve"> </w:t>
      </w:r>
      <w:r w:rsidR="00E72C28">
        <w:rPr>
          <w:szCs w:val="20"/>
          <w:lang w:val="en-US"/>
        </w:rPr>
        <w:t xml:space="preserve">Cognitive and </w:t>
      </w:r>
      <w:proofErr w:type="spellStart"/>
      <w:r w:rsidR="00E72C28">
        <w:rPr>
          <w:szCs w:val="20"/>
          <w:lang w:val="en-US"/>
        </w:rPr>
        <w:t>behavioural</w:t>
      </w:r>
      <w:proofErr w:type="spellEnd"/>
      <w:r w:rsidR="00E72C28">
        <w:rPr>
          <w:szCs w:val="20"/>
          <w:lang w:val="en-US"/>
        </w:rPr>
        <w:t xml:space="preserve"> biomarkers in mental health therapy</w:t>
      </w:r>
    </w:p>
    <w:p w14:paraId="691A6548" w14:textId="4FB29BEC" w:rsidR="00A46531" w:rsidRPr="00113A13" w:rsidRDefault="00A46531" w:rsidP="00A46531">
      <w:pPr>
        <w:jc w:val="center"/>
        <w:rPr>
          <w:b/>
        </w:rPr>
      </w:pPr>
      <w:r w:rsidRPr="005D66A4">
        <w:rPr>
          <w:b/>
          <w:color w:val="4472C4" w:themeColor="accent1"/>
        </w:rPr>
        <w:t xml:space="preserve">IRAS Project ID: </w:t>
      </w:r>
      <w:r w:rsidR="006F3A98" w:rsidRPr="006F3A98">
        <w:t>281261</w:t>
      </w:r>
    </w:p>
    <w:p w14:paraId="34AC66E7" w14:textId="34B52E0B" w:rsidR="00A46531" w:rsidRPr="00113A13" w:rsidRDefault="00A46531" w:rsidP="00A46531">
      <w:pPr>
        <w:jc w:val="center"/>
      </w:pPr>
      <w:r w:rsidRPr="005D66A4">
        <w:rPr>
          <w:b/>
          <w:color w:val="4472C4" w:themeColor="accent1"/>
        </w:rPr>
        <w:t>Date and Version No:</w:t>
      </w:r>
      <w:r w:rsidRPr="005D66A4">
        <w:rPr>
          <w:color w:val="4472C4" w:themeColor="accent1"/>
        </w:rPr>
        <w:t xml:space="preserve"> </w:t>
      </w:r>
      <w:r>
        <w:t xml:space="preserve">Version 1 – </w:t>
      </w:r>
      <w:r w:rsidR="00A17182">
        <w:t>6</w:t>
      </w:r>
      <w:r w:rsidR="00A17182" w:rsidRPr="00A17182">
        <w:rPr>
          <w:vertAlign w:val="superscript"/>
        </w:rPr>
        <w:t>th</w:t>
      </w:r>
      <w:r w:rsidR="00A17182">
        <w:t xml:space="preserve"> March 2020</w:t>
      </w:r>
    </w:p>
    <w:p w14:paraId="54F48D66" w14:textId="77777777" w:rsidR="00A46531" w:rsidRPr="00113A13" w:rsidRDefault="00A46531" w:rsidP="00A46531"/>
    <w:tbl>
      <w:tblPr>
        <w:tblStyle w:val="TableGrid"/>
        <w:tblW w:w="9634" w:type="dxa"/>
        <w:tblLayout w:type="fixed"/>
        <w:tblLook w:val="04A0" w:firstRow="1" w:lastRow="0" w:firstColumn="1" w:lastColumn="0" w:noHBand="0" w:noVBand="1"/>
      </w:tblPr>
      <w:tblGrid>
        <w:gridCol w:w="2841"/>
        <w:gridCol w:w="6793"/>
      </w:tblGrid>
      <w:tr w:rsidR="00A46531" w:rsidRPr="00113A13" w14:paraId="447047F2" w14:textId="77777777" w:rsidTr="003C1161">
        <w:tc>
          <w:tcPr>
            <w:tcW w:w="2841" w:type="dxa"/>
            <w:hideMark/>
          </w:tcPr>
          <w:p w14:paraId="44E167F5" w14:textId="77777777" w:rsidR="00A46531" w:rsidRPr="005D66A4" w:rsidRDefault="00A46531" w:rsidP="003C1161">
            <w:pPr>
              <w:spacing w:line="276" w:lineRule="auto"/>
              <w:rPr>
                <w:b/>
                <w:color w:val="4472C4" w:themeColor="accent1"/>
              </w:rPr>
            </w:pPr>
            <w:r w:rsidRPr="005D66A4">
              <w:rPr>
                <w:b/>
                <w:color w:val="4472C4" w:themeColor="accent1"/>
              </w:rPr>
              <w:t>Chief Investigator:</w:t>
            </w:r>
          </w:p>
        </w:tc>
        <w:tc>
          <w:tcPr>
            <w:tcW w:w="6793" w:type="dxa"/>
            <w:hideMark/>
          </w:tcPr>
          <w:p w14:paraId="165DFD0B" w14:textId="7D9FAB4E" w:rsidR="00A46531" w:rsidRDefault="00A46531" w:rsidP="003C1161">
            <w:pPr>
              <w:spacing w:line="276" w:lineRule="auto"/>
            </w:pPr>
            <w:r>
              <w:t xml:space="preserve">Dr </w:t>
            </w:r>
            <w:r w:rsidR="00A17182">
              <w:t>Ana Catarino</w:t>
            </w:r>
            <w:r>
              <w:t xml:space="preserve">, Ieso Digital Health, </w:t>
            </w:r>
            <w:r w:rsidRPr="00BB7F38">
              <w:t xml:space="preserve">The Jeffreys Building, </w:t>
            </w:r>
            <w:proofErr w:type="spellStart"/>
            <w:r w:rsidRPr="00BB7F38">
              <w:t>Cowley</w:t>
            </w:r>
            <w:proofErr w:type="spellEnd"/>
            <w:r w:rsidRPr="00BB7F38">
              <w:t xml:space="preserve"> R</w:t>
            </w:r>
            <w:r>
              <w:t>oa</w:t>
            </w:r>
            <w:r w:rsidRPr="00BB7F38">
              <w:t>d, Cambridge CB4 0DS</w:t>
            </w:r>
            <w:r>
              <w:t>.</w:t>
            </w:r>
          </w:p>
          <w:p w14:paraId="2EC15D13" w14:textId="77777777" w:rsidR="00A46531" w:rsidRDefault="00A46531" w:rsidP="003C1161">
            <w:pPr>
              <w:spacing w:line="276" w:lineRule="auto"/>
            </w:pPr>
          </w:p>
          <w:p w14:paraId="4B1C5FB8" w14:textId="77777777" w:rsidR="00A46531" w:rsidRPr="00E43C24" w:rsidRDefault="00A46531" w:rsidP="003C1161">
            <w:r w:rsidRPr="00E43C24">
              <w:t xml:space="preserve">T: </w:t>
            </w:r>
            <w:r w:rsidRPr="00366C21">
              <w:rPr>
                <w:rStyle w:val="Strong"/>
                <w:b w:val="0"/>
              </w:rPr>
              <w:t>0800 074 5560</w:t>
            </w:r>
          </w:p>
          <w:p w14:paraId="1A90EA11" w14:textId="44746DBB" w:rsidR="00A46531" w:rsidRPr="00113A13" w:rsidRDefault="00A46531" w:rsidP="003C1161">
            <w:pPr>
              <w:spacing w:line="276" w:lineRule="auto"/>
            </w:pPr>
            <w:r>
              <w:t xml:space="preserve">E: </w:t>
            </w:r>
            <w:hyperlink r:id="rId12" w:history="1">
              <w:r w:rsidR="00A17182" w:rsidRPr="00545E29">
                <w:rPr>
                  <w:rStyle w:val="Hyperlink"/>
                </w:rPr>
                <w:t>a.catarino@iesohealth.com</w:t>
              </w:r>
            </w:hyperlink>
          </w:p>
        </w:tc>
      </w:tr>
      <w:tr w:rsidR="00A46531" w:rsidRPr="00113A13" w14:paraId="63EBCB81" w14:textId="77777777" w:rsidTr="003C1161">
        <w:tc>
          <w:tcPr>
            <w:tcW w:w="2841" w:type="dxa"/>
            <w:hideMark/>
          </w:tcPr>
          <w:p w14:paraId="2284EA7B" w14:textId="77777777" w:rsidR="00A46531" w:rsidRPr="005D66A4" w:rsidRDefault="00A46531" w:rsidP="003C1161">
            <w:pPr>
              <w:spacing w:line="276" w:lineRule="auto"/>
              <w:rPr>
                <w:b/>
                <w:color w:val="4472C4" w:themeColor="accent1"/>
              </w:rPr>
            </w:pPr>
            <w:r w:rsidRPr="005D66A4">
              <w:rPr>
                <w:b/>
                <w:color w:val="4472C4" w:themeColor="accent1"/>
              </w:rPr>
              <w:t xml:space="preserve">Investigators: </w:t>
            </w:r>
          </w:p>
        </w:tc>
        <w:tc>
          <w:tcPr>
            <w:tcW w:w="6793" w:type="dxa"/>
            <w:hideMark/>
          </w:tcPr>
          <w:p w14:paraId="602422CF" w14:textId="77777777" w:rsidR="00A46531" w:rsidRDefault="00A46531" w:rsidP="003C1161">
            <w:pPr>
              <w:spacing w:line="276" w:lineRule="auto"/>
            </w:pPr>
            <w:r>
              <w:t>Mrs Sarah Bateup, Ieso Digital Health</w:t>
            </w:r>
          </w:p>
          <w:p w14:paraId="65584CE4" w14:textId="77777777" w:rsidR="00A46531" w:rsidRDefault="00A46531" w:rsidP="003C1161">
            <w:pPr>
              <w:spacing w:line="276" w:lineRule="auto"/>
            </w:pPr>
            <w:r>
              <w:t>Dr Andy Blackwell, Ieso Digital Health</w:t>
            </w:r>
          </w:p>
          <w:p w14:paraId="718F54C0" w14:textId="77777777" w:rsidR="00A46531" w:rsidRDefault="00A46531" w:rsidP="003C1161">
            <w:pPr>
              <w:spacing w:line="276" w:lineRule="auto"/>
            </w:pPr>
            <w:r>
              <w:t>Dr Ana Catarino, Ieso Digital Health</w:t>
            </w:r>
          </w:p>
          <w:p w14:paraId="22B32E88" w14:textId="77777777" w:rsidR="00A46531" w:rsidRDefault="00A46531" w:rsidP="003C1161">
            <w:pPr>
              <w:spacing w:line="276" w:lineRule="auto"/>
            </w:pPr>
            <w:r>
              <w:t>Dr Ronan Cummins, Ieso Digital Health</w:t>
            </w:r>
          </w:p>
          <w:p w14:paraId="4F0CD6B8" w14:textId="77777777" w:rsidR="00A46531" w:rsidRDefault="00A46531" w:rsidP="003C1161">
            <w:pPr>
              <w:spacing w:line="276" w:lineRule="auto"/>
            </w:pPr>
            <w:r>
              <w:t>Dr Michael Ewbank, Ieso Digital Health</w:t>
            </w:r>
          </w:p>
          <w:p w14:paraId="394D420D" w14:textId="50405A21" w:rsidR="00A46531" w:rsidRPr="00113A13" w:rsidRDefault="00A46531" w:rsidP="003C1161">
            <w:pPr>
              <w:spacing w:line="276" w:lineRule="auto"/>
            </w:pPr>
            <w:r>
              <w:t>Dr Valentin Tablan, Ieso Digital Health</w:t>
            </w:r>
          </w:p>
        </w:tc>
      </w:tr>
      <w:tr w:rsidR="00A46531" w:rsidRPr="00113A13" w14:paraId="718D62E9" w14:textId="77777777" w:rsidTr="003C1161">
        <w:trPr>
          <w:trHeight w:val="2827"/>
        </w:trPr>
        <w:tc>
          <w:tcPr>
            <w:tcW w:w="2841" w:type="dxa"/>
            <w:hideMark/>
          </w:tcPr>
          <w:p w14:paraId="67EB0B72" w14:textId="17E43E72" w:rsidR="00A46531" w:rsidRPr="005D66A4" w:rsidRDefault="00A46531" w:rsidP="003C1161">
            <w:pPr>
              <w:spacing w:line="276" w:lineRule="auto"/>
              <w:rPr>
                <w:b/>
                <w:color w:val="4472C4" w:themeColor="accent1"/>
              </w:rPr>
            </w:pPr>
            <w:r w:rsidRPr="005D66A4">
              <w:rPr>
                <w:b/>
                <w:color w:val="4472C4" w:themeColor="accent1"/>
              </w:rPr>
              <w:t xml:space="preserve">Sponsor: </w:t>
            </w:r>
          </w:p>
        </w:tc>
        <w:tc>
          <w:tcPr>
            <w:tcW w:w="6793" w:type="dxa"/>
            <w:hideMark/>
          </w:tcPr>
          <w:p w14:paraId="3F2310B8" w14:textId="77777777" w:rsidR="00A46531" w:rsidRPr="00D473D4" w:rsidRDefault="00A46531" w:rsidP="003C1161">
            <w:pPr>
              <w:spacing w:line="276" w:lineRule="auto"/>
            </w:pPr>
            <w:r w:rsidRPr="00D473D4">
              <w:t>Ieso Digital Health</w:t>
            </w:r>
          </w:p>
          <w:p w14:paraId="3F4549CC" w14:textId="77777777" w:rsidR="00A46531" w:rsidRPr="00D473D4" w:rsidRDefault="00A46531" w:rsidP="003C1161">
            <w:pPr>
              <w:spacing w:line="276" w:lineRule="auto"/>
            </w:pPr>
          </w:p>
          <w:p w14:paraId="602CE09D" w14:textId="1628D0AF" w:rsidR="00A46531" w:rsidRPr="00D473D4" w:rsidRDefault="00A46531" w:rsidP="003C1161">
            <w:pPr>
              <w:spacing w:line="276" w:lineRule="auto"/>
            </w:pPr>
            <w:r w:rsidRPr="00D473D4">
              <w:t xml:space="preserve">Contact: </w:t>
            </w:r>
            <w:r w:rsidR="008E7C53" w:rsidRPr="00D473D4">
              <w:t>Annie Owen</w:t>
            </w:r>
          </w:p>
          <w:p w14:paraId="34B1C825" w14:textId="675CB346" w:rsidR="00A46531" w:rsidRPr="00D473D4" w:rsidRDefault="008E7C53" w:rsidP="003C1161">
            <w:pPr>
              <w:spacing w:line="276" w:lineRule="auto"/>
            </w:pPr>
            <w:r w:rsidRPr="00D473D4">
              <w:t>Ieso Digital Health</w:t>
            </w:r>
          </w:p>
          <w:p w14:paraId="2357F681" w14:textId="77777777" w:rsidR="00A46531" w:rsidRPr="00D473D4" w:rsidRDefault="00A46531" w:rsidP="003C1161">
            <w:pPr>
              <w:spacing w:line="276" w:lineRule="auto"/>
            </w:pPr>
            <w:r w:rsidRPr="00D473D4">
              <w:t>The Jeffreys Building</w:t>
            </w:r>
          </w:p>
          <w:p w14:paraId="00987C26" w14:textId="77777777" w:rsidR="00A46531" w:rsidRPr="00D473D4" w:rsidRDefault="00A46531" w:rsidP="003C1161">
            <w:pPr>
              <w:spacing w:line="276" w:lineRule="auto"/>
            </w:pPr>
            <w:proofErr w:type="spellStart"/>
            <w:r w:rsidRPr="00D473D4">
              <w:t>Cowley</w:t>
            </w:r>
            <w:proofErr w:type="spellEnd"/>
            <w:r w:rsidRPr="00D473D4">
              <w:t xml:space="preserve"> Road</w:t>
            </w:r>
          </w:p>
          <w:p w14:paraId="74DF63A4" w14:textId="77777777" w:rsidR="00A46531" w:rsidRPr="00D473D4" w:rsidRDefault="00A46531" w:rsidP="003C1161">
            <w:pPr>
              <w:spacing w:line="276" w:lineRule="auto"/>
            </w:pPr>
            <w:r w:rsidRPr="00D473D4">
              <w:t>Cambridge</w:t>
            </w:r>
          </w:p>
          <w:p w14:paraId="38FE805E" w14:textId="77777777" w:rsidR="00A46531" w:rsidRPr="00D473D4" w:rsidRDefault="00A46531" w:rsidP="003C1161">
            <w:pPr>
              <w:spacing w:line="276" w:lineRule="auto"/>
            </w:pPr>
            <w:r w:rsidRPr="00D473D4">
              <w:t>CB4 0DS</w:t>
            </w:r>
          </w:p>
          <w:p w14:paraId="168F69D9" w14:textId="77777777" w:rsidR="00A46531" w:rsidRPr="00D473D4" w:rsidRDefault="00A46531" w:rsidP="003C1161">
            <w:pPr>
              <w:spacing w:line="276" w:lineRule="auto"/>
            </w:pPr>
          </w:p>
          <w:p w14:paraId="16DC5931" w14:textId="77777777" w:rsidR="00A46531" w:rsidRPr="00D473D4" w:rsidRDefault="00A46531" w:rsidP="003C1161">
            <w:pPr>
              <w:spacing w:line="276" w:lineRule="auto"/>
            </w:pPr>
            <w:r w:rsidRPr="00D473D4">
              <w:t>T: 0800 074 5560</w:t>
            </w:r>
          </w:p>
          <w:p w14:paraId="1E56587D" w14:textId="313E765E" w:rsidR="00A46531" w:rsidRPr="00113A13" w:rsidRDefault="00A46531" w:rsidP="003C1161">
            <w:pPr>
              <w:spacing w:line="276" w:lineRule="auto"/>
            </w:pPr>
            <w:r w:rsidRPr="00D473D4">
              <w:t>E: [</w:t>
            </w:r>
            <w:r w:rsidR="00D473D4" w:rsidRPr="00D473D4">
              <w:t>a.owen</w:t>
            </w:r>
            <w:r w:rsidRPr="00D473D4">
              <w:t>@iesohealth.com]</w:t>
            </w:r>
          </w:p>
        </w:tc>
      </w:tr>
      <w:tr w:rsidR="00E37D31" w:rsidRPr="00113A13" w14:paraId="2A85C97A" w14:textId="77777777" w:rsidTr="003C1161">
        <w:trPr>
          <w:trHeight w:val="2827"/>
        </w:trPr>
        <w:tc>
          <w:tcPr>
            <w:tcW w:w="2841" w:type="dxa"/>
          </w:tcPr>
          <w:p w14:paraId="7A666DBE" w14:textId="46DA62ED" w:rsidR="00E37D31" w:rsidRPr="005D66A4" w:rsidRDefault="00E37D31" w:rsidP="003C1161">
            <w:pPr>
              <w:spacing w:line="276" w:lineRule="auto"/>
              <w:rPr>
                <w:b/>
                <w:color w:val="4472C4" w:themeColor="accent1"/>
              </w:rPr>
            </w:pPr>
            <w:r>
              <w:rPr>
                <w:b/>
                <w:color w:val="4472C4" w:themeColor="accent1"/>
              </w:rPr>
              <w:t>Co-sponsor</w:t>
            </w:r>
          </w:p>
        </w:tc>
        <w:tc>
          <w:tcPr>
            <w:tcW w:w="6793" w:type="dxa"/>
          </w:tcPr>
          <w:p w14:paraId="002B3A2B" w14:textId="77777777" w:rsidR="00E37D31" w:rsidRDefault="00E37D31" w:rsidP="003C1161">
            <w:pPr>
              <w:spacing w:line="276" w:lineRule="auto"/>
            </w:pPr>
            <w:proofErr w:type="spellStart"/>
            <w:r>
              <w:t>Biotaware</w:t>
            </w:r>
            <w:proofErr w:type="spellEnd"/>
            <w:r>
              <w:t xml:space="preserve"> Ltd</w:t>
            </w:r>
          </w:p>
          <w:p w14:paraId="191A9935" w14:textId="77777777" w:rsidR="00E37D31" w:rsidRDefault="00E37D31" w:rsidP="003C1161">
            <w:pPr>
              <w:spacing w:line="276" w:lineRule="auto"/>
            </w:pPr>
          </w:p>
          <w:p w14:paraId="211728CA" w14:textId="77777777" w:rsidR="00E37D31" w:rsidRDefault="00E37D31" w:rsidP="003C1161">
            <w:pPr>
              <w:spacing w:line="276" w:lineRule="auto"/>
            </w:pPr>
            <w:r>
              <w:t>Contact: Simon Morris</w:t>
            </w:r>
          </w:p>
          <w:p w14:paraId="76E9127B" w14:textId="77777777" w:rsidR="00E37D31" w:rsidRDefault="001832FC" w:rsidP="003C1161">
            <w:pPr>
              <w:spacing w:line="276" w:lineRule="auto"/>
            </w:pPr>
            <w:proofErr w:type="spellStart"/>
            <w:r>
              <w:t>Biotaware</w:t>
            </w:r>
            <w:proofErr w:type="spellEnd"/>
            <w:r>
              <w:t xml:space="preserve"> </w:t>
            </w:r>
            <w:r w:rsidR="00AF678B">
              <w:t>Ltd</w:t>
            </w:r>
          </w:p>
          <w:p w14:paraId="57C14D26" w14:textId="77777777" w:rsidR="00AF678B" w:rsidRDefault="00AF678B" w:rsidP="003C1161">
            <w:pPr>
              <w:spacing w:line="276" w:lineRule="auto"/>
            </w:pPr>
            <w:r>
              <w:t>2 Broadway</w:t>
            </w:r>
          </w:p>
          <w:p w14:paraId="0883618C" w14:textId="77777777" w:rsidR="00AF678B" w:rsidRDefault="00AF678B" w:rsidP="003C1161">
            <w:pPr>
              <w:spacing w:line="276" w:lineRule="auto"/>
            </w:pPr>
            <w:r>
              <w:t>Lace Market</w:t>
            </w:r>
          </w:p>
          <w:p w14:paraId="0AA83001" w14:textId="77777777" w:rsidR="00AF678B" w:rsidRDefault="00AF678B" w:rsidP="003C1161">
            <w:pPr>
              <w:spacing w:line="276" w:lineRule="auto"/>
            </w:pPr>
            <w:r>
              <w:t>Nottingham</w:t>
            </w:r>
          </w:p>
          <w:p w14:paraId="1FFE2082" w14:textId="77777777" w:rsidR="00AF678B" w:rsidRDefault="00AF678B" w:rsidP="003C1161">
            <w:pPr>
              <w:spacing w:line="276" w:lineRule="auto"/>
            </w:pPr>
            <w:r>
              <w:t>NG1 1PS</w:t>
            </w:r>
          </w:p>
          <w:p w14:paraId="5CE7121E" w14:textId="77777777" w:rsidR="00B76088" w:rsidRDefault="00B76088" w:rsidP="003C1161">
            <w:pPr>
              <w:spacing w:line="276" w:lineRule="auto"/>
            </w:pPr>
          </w:p>
          <w:p w14:paraId="4B0CDBDB" w14:textId="77777777" w:rsidR="00B76088" w:rsidRDefault="00B76088" w:rsidP="003C1161">
            <w:pPr>
              <w:spacing w:line="276" w:lineRule="auto"/>
            </w:pPr>
            <w:r>
              <w:t>T: 020 8817 5249</w:t>
            </w:r>
          </w:p>
          <w:p w14:paraId="468D01AB" w14:textId="70E0CDEC" w:rsidR="00B76088" w:rsidRPr="00D473D4" w:rsidRDefault="00B76088" w:rsidP="003C1161">
            <w:pPr>
              <w:spacing w:line="276" w:lineRule="auto"/>
            </w:pPr>
            <w:r>
              <w:t>E: [simon.morris</w:t>
            </w:r>
            <w:r w:rsidR="0094667E">
              <w:t>@biotaware.com]</w:t>
            </w:r>
          </w:p>
        </w:tc>
      </w:tr>
      <w:tr w:rsidR="00A46531" w:rsidRPr="00113A13" w14:paraId="48A0DB28" w14:textId="77777777" w:rsidTr="003C1161">
        <w:tc>
          <w:tcPr>
            <w:tcW w:w="2841" w:type="dxa"/>
            <w:hideMark/>
          </w:tcPr>
          <w:p w14:paraId="58188AFD" w14:textId="77777777" w:rsidR="00A46531" w:rsidRPr="005D66A4" w:rsidRDefault="00A46531" w:rsidP="003C1161">
            <w:pPr>
              <w:spacing w:line="276" w:lineRule="auto"/>
              <w:rPr>
                <w:b/>
                <w:color w:val="4472C4" w:themeColor="accent1"/>
              </w:rPr>
            </w:pPr>
            <w:r w:rsidRPr="005D66A4">
              <w:rPr>
                <w:b/>
                <w:color w:val="4472C4" w:themeColor="accent1"/>
              </w:rPr>
              <w:t>Funder:</w:t>
            </w:r>
          </w:p>
        </w:tc>
        <w:tc>
          <w:tcPr>
            <w:tcW w:w="6793" w:type="dxa"/>
            <w:hideMark/>
          </w:tcPr>
          <w:p w14:paraId="4098FFF9" w14:textId="72415610" w:rsidR="00A46531" w:rsidRPr="00113A13" w:rsidRDefault="005D7B92" w:rsidP="003C1161">
            <w:pPr>
              <w:spacing w:line="276" w:lineRule="auto"/>
            </w:pPr>
            <w:r>
              <w:t>Innovate UK</w:t>
            </w:r>
          </w:p>
        </w:tc>
      </w:tr>
      <w:tr w:rsidR="00A46531" w:rsidRPr="00113A13" w14:paraId="097E939A" w14:textId="77777777" w:rsidTr="003C1161">
        <w:tc>
          <w:tcPr>
            <w:tcW w:w="2841" w:type="dxa"/>
            <w:hideMark/>
          </w:tcPr>
          <w:p w14:paraId="5E04765B" w14:textId="77777777" w:rsidR="00A46531" w:rsidRPr="005D66A4" w:rsidRDefault="00A46531" w:rsidP="003C1161">
            <w:pPr>
              <w:spacing w:line="276" w:lineRule="auto"/>
              <w:rPr>
                <w:b/>
                <w:color w:val="4472C4" w:themeColor="accent1"/>
              </w:rPr>
            </w:pPr>
            <w:r w:rsidRPr="005D66A4">
              <w:rPr>
                <w:b/>
                <w:color w:val="4472C4" w:themeColor="accent1"/>
              </w:rPr>
              <w:t xml:space="preserve">Chief Investigator Signature: </w:t>
            </w:r>
          </w:p>
        </w:tc>
        <w:tc>
          <w:tcPr>
            <w:tcW w:w="6793" w:type="dxa"/>
            <w:hideMark/>
          </w:tcPr>
          <w:p w14:paraId="6C3D5F51" w14:textId="77777777" w:rsidR="00A46531" w:rsidRPr="00113A13" w:rsidRDefault="00A46531" w:rsidP="003C1161">
            <w:pPr>
              <w:spacing w:line="276" w:lineRule="auto"/>
            </w:pPr>
          </w:p>
        </w:tc>
      </w:tr>
    </w:tbl>
    <w:p w14:paraId="57F12115" w14:textId="77777777" w:rsidR="00A46531" w:rsidRPr="00113A13" w:rsidRDefault="00A46531" w:rsidP="00A46531">
      <w:pPr>
        <w:rPr>
          <w:rFonts w:asciiTheme="minorHAnsi" w:hAnsiTheme="minorHAnsi"/>
          <w:sz w:val="22"/>
        </w:rPr>
      </w:pPr>
    </w:p>
    <w:p w14:paraId="03161B23" w14:textId="77777777" w:rsidR="00A46531" w:rsidRPr="00113A13" w:rsidRDefault="00A46531" w:rsidP="00A46531"/>
    <w:p w14:paraId="0808D0A5" w14:textId="77777777" w:rsidR="00A46531" w:rsidRDefault="00A46531" w:rsidP="00A46531">
      <w:pPr>
        <w:rPr>
          <w:b/>
          <w:szCs w:val="20"/>
          <w:lang w:val="en-US"/>
        </w:rPr>
      </w:pPr>
      <w:r>
        <w:rPr>
          <w:b/>
          <w:szCs w:val="20"/>
          <w:lang w:val="en-US"/>
        </w:rPr>
        <w:br w:type="page"/>
      </w:r>
    </w:p>
    <w:sdt>
      <w:sdtPr>
        <w:rPr>
          <w:rFonts w:ascii="Verdana" w:eastAsiaTheme="minorHAnsi" w:hAnsi="Verdana" w:cstheme="minorBidi"/>
          <w:color w:val="auto"/>
          <w:sz w:val="20"/>
          <w:szCs w:val="22"/>
          <w:lang w:val="en-GB"/>
        </w:rPr>
        <w:id w:val="1937012940"/>
        <w:docPartObj>
          <w:docPartGallery w:val="Table of Contents"/>
          <w:docPartUnique/>
        </w:docPartObj>
      </w:sdtPr>
      <w:sdtEndPr>
        <w:rPr>
          <w:b/>
          <w:bCs/>
          <w:noProof/>
        </w:rPr>
      </w:sdtEndPr>
      <w:sdtContent>
        <w:p w14:paraId="5538FFAA" w14:textId="77777777" w:rsidR="00A46531" w:rsidRPr="00AF572B" w:rsidRDefault="00A46531" w:rsidP="00A46531">
          <w:pPr>
            <w:pStyle w:val="TOCHeading"/>
            <w:rPr>
              <w:rFonts w:ascii="Verdana" w:hAnsi="Verdana"/>
              <w:b/>
            </w:rPr>
          </w:pPr>
          <w:r w:rsidRPr="00AF572B">
            <w:rPr>
              <w:rFonts w:ascii="Verdana" w:hAnsi="Verdana"/>
              <w:b/>
            </w:rPr>
            <w:t>Table of Contents</w:t>
          </w:r>
        </w:p>
        <w:p w14:paraId="2EA84801" w14:textId="04F21901" w:rsidR="00721048" w:rsidRDefault="00A46531">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33801220" w:history="1">
            <w:r w:rsidR="00721048" w:rsidRPr="00BE6A9D">
              <w:rPr>
                <w:rStyle w:val="Hyperlink"/>
                <w:noProof/>
              </w:rPr>
              <w:t>Summary</w:t>
            </w:r>
            <w:r w:rsidR="00721048">
              <w:rPr>
                <w:noProof/>
                <w:webHidden/>
              </w:rPr>
              <w:tab/>
            </w:r>
            <w:r w:rsidR="00721048">
              <w:rPr>
                <w:noProof/>
                <w:webHidden/>
              </w:rPr>
              <w:fldChar w:fldCharType="begin"/>
            </w:r>
            <w:r w:rsidR="00721048">
              <w:rPr>
                <w:noProof/>
                <w:webHidden/>
              </w:rPr>
              <w:instrText xml:space="preserve"> PAGEREF _Toc33801220 \h </w:instrText>
            </w:r>
            <w:r w:rsidR="00721048">
              <w:rPr>
                <w:noProof/>
                <w:webHidden/>
              </w:rPr>
            </w:r>
            <w:r w:rsidR="00721048">
              <w:rPr>
                <w:noProof/>
                <w:webHidden/>
              </w:rPr>
              <w:fldChar w:fldCharType="separate"/>
            </w:r>
            <w:r w:rsidR="00721048">
              <w:rPr>
                <w:noProof/>
                <w:webHidden/>
              </w:rPr>
              <w:t>3</w:t>
            </w:r>
            <w:r w:rsidR="00721048">
              <w:rPr>
                <w:noProof/>
                <w:webHidden/>
              </w:rPr>
              <w:fldChar w:fldCharType="end"/>
            </w:r>
          </w:hyperlink>
        </w:p>
        <w:p w14:paraId="08DF1CF7" w14:textId="208429B7" w:rsidR="00721048" w:rsidRDefault="003B4B7F">
          <w:pPr>
            <w:pStyle w:val="TOC1"/>
            <w:tabs>
              <w:tab w:val="right" w:leader="dot" w:pos="9016"/>
            </w:tabs>
            <w:rPr>
              <w:rFonts w:asciiTheme="minorHAnsi" w:eastAsiaTheme="minorEastAsia" w:hAnsiTheme="minorHAnsi"/>
              <w:noProof/>
              <w:sz w:val="22"/>
              <w:lang w:eastAsia="en-GB"/>
            </w:rPr>
          </w:pPr>
          <w:hyperlink w:anchor="_Toc33801221" w:history="1">
            <w:r w:rsidR="00721048" w:rsidRPr="00BE6A9D">
              <w:rPr>
                <w:rStyle w:val="Hyperlink"/>
                <w:noProof/>
                <w:lang w:val="en-US"/>
              </w:rPr>
              <w:t>Synopsis</w:t>
            </w:r>
            <w:r w:rsidR="00721048">
              <w:rPr>
                <w:noProof/>
                <w:webHidden/>
              </w:rPr>
              <w:tab/>
            </w:r>
            <w:r w:rsidR="00721048">
              <w:rPr>
                <w:noProof/>
                <w:webHidden/>
              </w:rPr>
              <w:fldChar w:fldCharType="begin"/>
            </w:r>
            <w:r w:rsidR="00721048">
              <w:rPr>
                <w:noProof/>
                <w:webHidden/>
              </w:rPr>
              <w:instrText xml:space="preserve"> PAGEREF _Toc33801221 \h </w:instrText>
            </w:r>
            <w:r w:rsidR="00721048">
              <w:rPr>
                <w:noProof/>
                <w:webHidden/>
              </w:rPr>
            </w:r>
            <w:r w:rsidR="00721048">
              <w:rPr>
                <w:noProof/>
                <w:webHidden/>
              </w:rPr>
              <w:fldChar w:fldCharType="separate"/>
            </w:r>
            <w:r w:rsidR="00721048">
              <w:rPr>
                <w:noProof/>
                <w:webHidden/>
              </w:rPr>
              <w:t>4</w:t>
            </w:r>
            <w:r w:rsidR="00721048">
              <w:rPr>
                <w:noProof/>
                <w:webHidden/>
              </w:rPr>
              <w:fldChar w:fldCharType="end"/>
            </w:r>
          </w:hyperlink>
        </w:p>
        <w:p w14:paraId="7266F7F5" w14:textId="115285C2" w:rsidR="00721048" w:rsidRDefault="003B4B7F">
          <w:pPr>
            <w:pStyle w:val="TOC1"/>
            <w:tabs>
              <w:tab w:val="right" w:leader="dot" w:pos="9016"/>
            </w:tabs>
            <w:rPr>
              <w:rFonts w:asciiTheme="minorHAnsi" w:eastAsiaTheme="minorEastAsia" w:hAnsiTheme="minorHAnsi"/>
              <w:noProof/>
              <w:sz w:val="22"/>
              <w:lang w:eastAsia="en-GB"/>
            </w:rPr>
          </w:pPr>
          <w:hyperlink w:anchor="_Toc33801222" w:history="1">
            <w:r w:rsidR="00721048" w:rsidRPr="00BE6A9D">
              <w:rPr>
                <w:rStyle w:val="Hyperlink"/>
                <w:noProof/>
                <w:lang w:val="en-US"/>
              </w:rPr>
              <w:t>Background and rationale</w:t>
            </w:r>
            <w:r w:rsidR="00721048">
              <w:rPr>
                <w:noProof/>
                <w:webHidden/>
              </w:rPr>
              <w:tab/>
            </w:r>
            <w:r w:rsidR="00721048">
              <w:rPr>
                <w:noProof/>
                <w:webHidden/>
              </w:rPr>
              <w:fldChar w:fldCharType="begin"/>
            </w:r>
            <w:r w:rsidR="00721048">
              <w:rPr>
                <w:noProof/>
                <w:webHidden/>
              </w:rPr>
              <w:instrText xml:space="preserve"> PAGEREF _Toc33801222 \h </w:instrText>
            </w:r>
            <w:r w:rsidR="00721048">
              <w:rPr>
                <w:noProof/>
                <w:webHidden/>
              </w:rPr>
            </w:r>
            <w:r w:rsidR="00721048">
              <w:rPr>
                <w:noProof/>
                <w:webHidden/>
              </w:rPr>
              <w:fldChar w:fldCharType="separate"/>
            </w:r>
            <w:r w:rsidR="00721048">
              <w:rPr>
                <w:noProof/>
                <w:webHidden/>
              </w:rPr>
              <w:t>5</w:t>
            </w:r>
            <w:r w:rsidR="00721048">
              <w:rPr>
                <w:noProof/>
                <w:webHidden/>
              </w:rPr>
              <w:fldChar w:fldCharType="end"/>
            </w:r>
          </w:hyperlink>
        </w:p>
        <w:p w14:paraId="7343761A" w14:textId="356807D1" w:rsidR="00721048" w:rsidRDefault="003B4B7F">
          <w:pPr>
            <w:pStyle w:val="TOC1"/>
            <w:tabs>
              <w:tab w:val="right" w:leader="dot" w:pos="9016"/>
            </w:tabs>
            <w:rPr>
              <w:rFonts w:asciiTheme="minorHAnsi" w:eastAsiaTheme="minorEastAsia" w:hAnsiTheme="minorHAnsi"/>
              <w:noProof/>
              <w:sz w:val="22"/>
              <w:lang w:eastAsia="en-GB"/>
            </w:rPr>
          </w:pPr>
          <w:hyperlink w:anchor="_Toc33801223" w:history="1">
            <w:r w:rsidR="00721048" w:rsidRPr="00BE6A9D">
              <w:rPr>
                <w:rStyle w:val="Hyperlink"/>
                <w:noProof/>
                <w:lang w:val="en-US"/>
              </w:rPr>
              <w:t>Objectives</w:t>
            </w:r>
            <w:r w:rsidR="00721048">
              <w:rPr>
                <w:noProof/>
                <w:webHidden/>
              </w:rPr>
              <w:tab/>
            </w:r>
            <w:r w:rsidR="00721048">
              <w:rPr>
                <w:noProof/>
                <w:webHidden/>
              </w:rPr>
              <w:fldChar w:fldCharType="begin"/>
            </w:r>
            <w:r w:rsidR="00721048">
              <w:rPr>
                <w:noProof/>
                <w:webHidden/>
              </w:rPr>
              <w:instrText xml:space="preserve"> PAGEREF _Toc33801223 \h </w:instrText>
            </w:r>
            <w:r w:rsidR="00721048">
              <w:rPr>
                <w:noProof/>
                <w:webHidden/>
              </w:rPr>
            </w:r>
            <w:r w:rsidR="00721048">
              <w:rPr>
                <w:noProof/>
                <w:webHidden/>
              </w:rPr>
              <w:fldChar w:fldCharType="separate"/>
            </w:r>
            <w:r w:rsidR="00721048">
              <w:rPr>
                <w:noProof/>
                <w:webHidden/>
              </w:rPr>
              <w:t>6</w:t>
            </w:r>
            <w:r w:rsidR="00721048">
              <w:rPr>
                <w:noProof/>
                <w:webHidden/>
              </w:rPr>
              <w:fldChar w:fldCharType="end"/>
            </w:r>
          </w:hyperlink>
        </w:p>
        <w:p w14:paraId="7E16A646" w14:textId="6F8591C0" w:rsidR="00721048" w:rsidRDefault="003B4B7F">
          <w:pPr>
            <w:pStyle w:val="TOC1"/>
            <w:tabs>
              <w:tab w:val="right" w:leader="dot" w:pos="9016"/>
            </w:tabs>
            <w:rPr>
              <w:rFonts w:asciiTheme="minorHAnsi" w:eastAsiaTheme="minorEastAsia" w:hAnsiTheme="minorHAnsi"/>
              <w:noProof/>
              <w:sz w:val="22"/>
              <w:lang w:eastAsia="en-GB"/>
            </w:rPr>
          </w:pPr>
          <w:hyperlink w:anchor="_Toc33801224" w:history="1">
            <w:r w:rsidR="00721048" w:rsidRPr="00BE6A9D">
              <w:rPr>
                <w:rStyle w:val="Hyperlink"/>
                <w:noProof/>
                <w:lang w:val="en-US"/>
              </w:rPr>
              <w:t>Study design</w:t>
            </w:r>
            <w:r w:rsidR="00721048">
              <w:rPr>
                <w:noProof/>
                <w:webHidden/>
              </w:rPr>
              <w:tab/>
            </w:r>
            <w:r w:rsidR="00721048">
              <w:rPr>
                <w:noProof/>
                <w:webHidden/>
              </w:rPr>
              <w:fldChar w:fldCharType="begin"/>
            </w:r>
            <w:r w:rsidR="00721048">
              <w:rPr>
                <w:noProof/>
                <w:webHidden/>
              </w:rPr>
              <w:instrText xml:space="preserve"> PAGEREF _Toc33801224 \h </w:instrText>
            </w:r>
            <w:r w:rsidR="00721048">
              <w:rPr>
                <w:noProof/>
                <w:webHidden/>
              </w:rPr>
            </w:r>
            <w:r w:rsidR="00721048">
              <w:rPr>
                <w:noProof/>
                <w:webHidden/>
              </w:rPr>
              <w:fldChar w:fldCharType="separate"/>
            </w:r>
            <w:r w:rsidR="00721048">
              <w:rPr>
                <w:noProof/>
                <w:webHidden/>
              </w:rPr>
              <w:t>7</w:t>
            </w:r>
            <w:r w:rsidR="00721048">
              <w:rPr>
                <w:noProof/>
                <w:webHidden/>
              </w:rPr>
              <w:fldChar w:fldCharType="end"/>
            </w:r>
          </w:hyperlink>
        </w:p>
        <w:p w14:paraId="45F5BBBF" w14:textId="1B1C901D" w:rsidR="00721048" w:rsidRDefault="003B4B7F">
          <w:pPr>
            <w:pStyle w:val="TOC2"/>
            <w:tabs>
              <w:tab w:val="right" w:leader="dot" w:pos="9016"/>
            </w:tabs>
            <w:rPr>
              <w:rFonts w:asciiTheme="minorHAnsi" w:eastAsiaTheme="minorEastAsia" w:hAnsiTheme="minorHAnsi"/>
              <w:noProof/>
              <w:sz w:val="22"/>
              <w:lang w:eastAsia="en-GB"/>
            </w:rPr>
          </w:pPr>
          <w:hyperlink w:anchor="_Toc33801225" w:history="1">
            <w:r w:rsidR="00721048" w:rsidRPr="00BE6A9D">
              <w:rPr>
                <w:rStyle w:val="Hyperlink"/>
                <w:rFonts w:eastAsia="Times New Roman"/>
                <w:noProof/>
                <w:lang w:eastAsia="en-GB"/>
              </w:rPr>
              <w:t>Clinical outcomes</w:t>
            </w:r>
            <w:r w:rsidR="00721048">
              <w:rPr>
                <w:noProof/>
                <w:webHidden/>
              </w:rPr>
              <w:tab/>
            </w:r>
            <w:r w:rsidR="00721048">
              <w:rPr>
                <w:noProof/>
                <w:webHidden/>
              </w:rPr>
              <w:fldChar w:fldCharType="begin"/>
            </w:r>
            <w:r w:rsidR="00721048">
              <w:rPr>
                <w:noProof/>
                <w:webHidden/>
              </w:rPr>
              <w:instrText xml:space="preserve"> PAGEREF _Toc33801225 \h </w:instrText>
            </w:r>
            <w:r w:rsidR="00721048">
              <w:rPr>
                <w:noProof/>
                <w:webHidden/>
              </w:rPr>
            </w:r>
            <w:r w:rsidR="00721048">
              <w:rPr>
                <w:noProof/>
                <w:webHidden/>
              </w:rPr>
              <w:fldChar w:fldCharType="separate"/>
            </w:r>
            <w:r w:rsidR="00721048">
              <w:rPr>
                <w:noProof/>
                <w:webHidden/>
              </w:rPr>
              <w:t>9</w:t>
            </w:r>
            <w:r w:rsidR="00721048">
              <w:rPr>
                <w:noProof/>
                <w:webHidden/>
              </w:rPr>
              <w:fldChar w:fldCharType="end"/>
            </w:r>
          </w:hyperlink>
        </w:p>
        <w:p w14:paraId="7F307303" w14:textId="22447B13" w:rsidR="00721048" w:rsidRDefault="003B4B7F">
          <w:pPr>
            <w:pStyle w:val="TOC1"/>
            <w:tabs>
              <w:tab w:val="right" w:leader="dot" w:pos="9016"/>
            </w:tabs>
            <w:rPr>
              <w:rFonts w:asciiTheme="minorHAnsi" w:eastAsiaTheme="minorEastAsia" w:hAnsiTheme="minorHAnsi"/>
              <w:noProof/>
              <w:sz w:val="22"/>
              <w:lang w:eastAsia="en-GB"/>
            </w:rPr>
          </w:pPr>
          <w:hyperlink w:anchor="_Toc33801226" w:history="1">
            <w:r w:rsidR="00721048" w:rsidRPr="00BE6A9D">
              <w:rPr>
                <w:rStyle w:val="Hyperlink"/>
                <w:noProof/>
              </w:rPr>
              <w:t>Patient identification</w:t>
            </w:r>
            <w:r w:rsidR="00721048">
              <w:rPr>
                <w:noProof/>
                <w:webHidden/>
              </w:rPr>
              <w:tab/>
            </w:r>
            <w:r w:rsidR="00721048">
              <w:rPr>
                <w:noProof/>
                <w:webHidden/>
              </w:rPr>
              <w:fldChar w:fldCharType="begin"/>
            </w:r>
            <w:r w:rsidR="00721048">
              <w:rPr>
                <w:noProof/>
                <w:webHidden/>
              </w:rPr>
              <w:instrText xml:space="preserve"> PAGEREF _Toc33801226 \h </w:instrText>
            </w:r>
            <w:r w:rsidR="00721048">
              <w:rPr>
                <w:noProof/>
                <w:webHidden/>
              </w:rPr>
            </w:r>
            <w:r w:rsidR="00721048">
              <w:rPr>
                <w:noProof/>
                <w:webHidden/>
              </w:rPr>
              <w:fldChar w:fldCharType="separate"/>
            </w:r>
            <w:r w:rsidR="00721048">
              <w:rPr>
                <w:noProof/>
                <w:webHidden/>
              </w:rPr>
              <w:t>9</w:t>
            </w:r>
            <w:r w:rsidR="00721048">
              <w:rPr>
                <w:noProof/>
                <w:webHidden/>
              </w:rPr>
              <w:fldChar w:fldCharType="end"/>
            </w:r>
          </w:hyperlink>
        </w:p>
        <w:p w14:paraId="00B93820" w14:textId="5029053A" w:rsidR="00721048" w:rsidRDefault="003B4B7F">
          <w:pPr>
            <w:pStyle w:val="TOC2"/>
            <w:tabs>
              <w:tab w:val="right" w:leader="dot" w:pos="9016"/>
            </w:tabs>
            <w:rPr>
              <w:rFonts w:asciiTheme="minorHAnsi" w:eastAsiaTheme="minorEastAsia" w:hAnsiTheme="minorHAnsi"/>
              <w:noProof/>
              <w:sz w:val="22"/>
              <w:lang w:eastAsia="en-GB"/>
            </w:rPr>
          </w:pPr>
          <w:hyperlink w:anchor="_Toc33801227" w:history="1">
            <w:r w:rsidR="00721048" w:rsidRPr="00BE6A9D">
              <w:rPr>
                <w:rStyle w:val="Hyperlink"/>
                <w:noProof/>
              </w:rPr>
              <w:t>Inclusion criteria</w:t>
            </w:r>
            <w:r w:rsidR="00721048">
              <w:rPr>
                <w:noProof/>
                <w:webHidden/>
              </w:rPr>
              <w:tab/>
            </w:r>
            <w:r w:rsidR="00721048">
              <w:rPr>
                <w:noProof/>
                <w:webHidden/>
              </w:rPr>
              <w:fldChar w:fldCharType="begin"/>
            </w:r>
            <w:r w:rsidR="00721048">
              <w:rPr>
                <w:noProof/>
                <w:webHidden/>
              </w:rPr>
              <w:instrText xml:space="preserve"> PAGEREF _Toc33801227 \h </w:instrText>
            </w:r>
            <w:r w:rsidR="00721048">
              <w:rPr>
                <w:noProof/>
                <w:webHidden/>
              </w:rPr>
            </w:r>
            <w:r w:rsidR="00721048">
              <w:rPr>
                <w:noProof/>
                <w:webHidden/>
              </w:rPr>
              <w:fldChar w:fldCharType="separate"/>
            </w:r>
            <w:r w:rsidR="00721048">
              <w:rPr>
                <w:noProof/>
                <w:webHidden/>
              </w:rPr>
              <w:t>10</w:t>
            </w:r>
            <w:r w:rsidR="00721048">
              <w:rPr>
                <w:noProof/>
                <w:webHidden/>
              </w:rPr>
              <w:fldChar w:fldCharType="end"/>
            </w:r>
          </w:hyperlink>
        </w:p>
        <w:p w14:paraId="5CAAC4D1" w14:textId="7A4B8D51" w:rsidR="00721048" w:rsidRDefault="003B4B7F">
          <w:pPr>
            <w:pStyle w:val="TOC2"/>
            <w:tabs>
              <w:tab w:val="right" w:leader="dot" w:pos="9016"/>
            </w:tabs>
            <w:rPr>
              <w:rFonts w:asciiTheme="minorHAnsi" w:eastAsiaTheme="minorEastAsia" w:hAnsiTheme="minorHAnsi"/>
              <w:noProof/>
              <w:sz w:val="22"/>
              <w:lang w:eastAsia="en-GB"/>
            </w:rPr>
          </w:pPr>
          <w:hyperlink w:anchor="_Toc33801228" w:history="1">
            <w:r w:rsidR="00721048" w:rsidRPr="00BE6A9D">
              <w:rPr>
                <w:rStyle w:val="Hyperlink"/>
                <w:noProof/>
              </w:rPr>
              <w:t>Exclusion criteria</w:t>
            </w:r>
            <w:r w:rsidR="00721048">
              <w:rPr>
                <w:noProof/>
                <w:webHidden/>
              </w:rPr>
              <w:tab/>
            </w:r>
            <w:r w:rsidR="00721048">
              <w:rPr>
                <w:noProof/>
                <w:webHidden/>
              </w:rPr>
              <w:fldChar w:fldCharType="begin"/>
            </w:r>
            <w:r w:rsidR="00721048">
              <w:rPr>
                <w:noProof/>
                <w:webHidden/>
              </w:rPr>
              <w:instrText xml:space="preserve"> PAGEREF _Toc33801228 \h </w:instrText>
            </w:r>
            <w:r w:rsidR="00721048">
              <w:rPr>
                <w:noProof/>
                <w:webHidden/>
              </w:rPr>
            </w:r>
            <w:r w:rsidR="00721048">
              <w:rPr>
                <w:noProof/>
                <w:webHidden/>
              </w:rPr>
              <w:fldChar w:fldCharType="separate"/>
            </w:r>
            <w:r w:rsidR="00721048">
              <w:rPr>
                <w:noProof/>
                <w:webHidden/>
              </w:rPr>
              <w:t>10</w:t>
            </w:r>
            <w:r w:rsidR="00721048">
              <w:rPr>
                <w:noProof/>
                <w:webHidden/>
              </w:rPr>
              <w:fldChar w:fldCharType="end"/>
            </w:r>
          </w:hyperlink>
        </w:p>
        <w:p w14:paraId="1E4D71AD" w14:textId="5E2E7767" w:rsidR="00721048" w:rsidRDefault="003B4B7F">
          <w:pPr>
            <w:pStyle w:val="TOC1"/>
            <w:tabs>
              <w:tab w:val="right" w:leader="dot" w:pos="9016"/>
            </w:tabs>
            <w:rPr>
              <w:rFonts w:asciiTheme="minorHAnsi" w:eastAsiaTheme="minorEastAsia" w:hAnsiTheme="minorHAnsi"/>
              <w:noProof/>
              <w:sz w:val="22"/>
              <w:lang w:eastAsia="en-GB"/>
            </w:rPr>
          </w:pPr>
          <w:hyperlink w:anchor="_Toc33801229" w:history="1">
            <w:r w:rsidR="00721048" w:rsidRPr="00BE6A9D">
              <w:rPr>
                <w:rStyle w:val="Hyperlink"/>
                <w:noProof/>
              </w:rPr>
              <w:t>Therapist training</w:t>
            </w:r>
            <w:r w:rsidR="00721048">
              <w:rPr>
                <w:noProof/>
                <w:webHidden/>
              </w:rPr>
              <w:tab/>
            </w:r>
            <w:r w:rsidR="00721048">
              <w:rPr>
                <w:noProof/>
                <w:webHidden/>
              </w:rPr>
              <w:fldChar w:fldCharType="begin"/>
            </w:r>
            <w:r w:rsidR="00721048">
              <w:rPr>
                <w:noProof/>
                <w:webHidden/>
              </w:rPr>
              <w:instrText xml:space="preserve"> PAGEREF _Toc33801229 \h </w:instrText>
            </w:r>
            <w:r w:rsidR="00721048">
              <w:rPr>
                <w:noProof/>
                <w:webHidden/>
              </w:rPr>
            </w:r>
            <w:r w:rsidR="00721048">
              <w:rPr>
                <w:noProof/>
                <w:webHidden/>
              </w:rPr>
              <w:fldChar w:fldCharType="separate"/>
            </w:r>
            <w:r w:rsidR="00721048">
              <w:rPr>
                <w:noProof/>
                <w:webHidden/>
              </w:rPr>
              <w:t>10</w:t>
            </w:r>
            <w:r w:rsidR="00721048">
              <w:rPr>
                <w:noProof/>
                <w:webHidden/>
              </w:rPr>
              <w:fldChar w:fldCharType="end"/>
            </w:r>
          </w:hyperlink>
        </w:p>
        <w:p w14:paraId="1C0EC06F" w14:textId="197CA377" w:rsidR="00721048" w:rsidRDefault="003B4B7F">
          <w:pPr>
            <w:pStyle w:val="TOC1"/>
            <w:tabs>
              <w:tab w:val="right" w:leader="dot" w:pos="9016"/>
            </w:tabs>
            <w:rPr>
              <w:rFonts w:asciiTheme="minorHAnsi" w:eastAsiaTheme="minorEastAsia" w:hAnsiTheme="minorHAnsi"/>
              <w:noProof/>
              <w:sz w:val="22"/>
              <w:lang w:eastAsia="en-GB"/>
            </w:rPr>
          </w:pPr>
          <w:hyperlink w:anchor="_Toc33801230" w:history="1">
            <w:r w:rsidR="00721048" w:rsidRPr="00BE6A9D">
              <w:rPr>
                <w:rStyle w:val="Hyperlink"/>
                <w:noProof/>
              </w:rPr>
              <w:t>Study procedures</w:t>
            </w:r>
            <w:r w:rsidR="00721048">
              <w:rPr>
                <w:noProof/>
                <w:webHidden/>
              </w:rPr>
              <w:tab/>
            </w:r>
            <w:r w:rsidR="00721048">
              <w:rPr>
                <w:noProof/>
                <w:webHidden/>
              </w:rPr>
              <w:fldChar w:fldCharType="begin"/>
            </w:r>
            <w:r w:rsidR="00721048">
              <w:rPr>
                <w:noProof/>
                <w:webHidden/>
              </w:rPr>
              <w:instrText xml:space="preserve"> PAGEREF _Toc33801230 \h </w:instrText>
            </w:r>
            <w:r w:rsidR="00721048">
              <w:rPr>
                <w:noProof/>
                <w:webHidden/>
              </w:rPr>
            </w:r>
            <w:r w:rsidR="00721048">
              <w:rPr>
                <w:noProof/>
                <w:webHidden/>
              </w:rPr>
              <w:fldChar w:fldCharType="separate"/>
            </w:r>
            <w:r w:rsidR="00721048">
              <w:rPr>
                <w:noProof/>
                <w:webHidden/>
              </w:rPr>
              <w:t>10</w:t>
            </w:r>
            <w:r w:rsidR="00721048">
              <w:rPr>
                <w:noProof/>
                <w:webHidden/>
              </w:rPr>
              <w:fldChar w:fldCharType="end"/>
            </w:r>
          </w:hyperlink>
        </w:p>
        <w:p w14:paraId="7CF919D8" w14:textId="761F582E" w:rsidR="00721048" w:rsidRDefault="003B4B7F">
          <w:pPr>
            <w:pStyle w:val="TOC2"/>
            <w:tabs>
              <w:tab w:val="right" w:leader="dot" w:pos="9016"/>
            </w:tabs>
            <w:rPr>
              <w:rFonts w:asciiTheme="minorHAnsi" w:eastAsiaTheme="minorEastAsia" w:hAnsiTheme="minorHAnsi"/>
              <w:noProof/>
              <w:sz w:val="22"/>
              <w:lang w:eastAsia="en-GB"/>
            </w:rPr>
          </w:pPr>
          <w:hyperlink w:anchor="_Toc33801231" w:history="1">
            <w:r w:rsidR="00721048" w:rsidRPr="00BE6A9D">
              <w:rPr>
                <w:rStyle w:val="Hyperlink"/>
                <w:noProof/>
              </w:rPr>
              <w:t>Informed consent</w:t>
            </w:r>
            <w:r w:rsidR="00721048">
              <w:rPr>
                <w:noProof/>
                <w:webHidden/>
              </w:rPr>
              <w:tab/>
            </w:r>
            <w:r w:rsidR="00721048">
              <w:rPr>
                <w:noProof/>
                <w:webHidden/>
              </w:rPr>
              <w:fldChar w:fldCharType="begin"/>
            </w:r>
            <w:r w:rsidR="00721048">
              <w:rPr>
                <w:noProof/>
                <w:webHidden/>
              </w:rPr>
              <w:instrText xml:space="preserve"> PAGEREF _Toc33801231 \h </w:instrText>
            </w:r>
            <w:r w:rsidR="00721048">
              <w:rPr>
                <w:noProof/>
                <w:webHidden/>
              </w:rPr>
            </w:r>
            <w:r w:rsidR="00721048">
              <w:rPr>
                <w:noProof/>
                <w:webHidden/>
              </w:rPr>
              <w:fldChar w:fldCharType="separate"/>
            </w:r>
            <w:r w:rsidR="00721048">
              <w:rPr>
                <w:noProof/>
                <w:webHidden/>
              </w:rPr>
              <w:t>10</w:t>
            </w:r>
            <w:r w:rsidR="00721048">
              <w:rPr>
                <w:noProof/>
                <w:webHidden/>
              </w:rPr>
              <w:fldChar w:fldCharType="end"/>
            </w:r>
          </w:hyperlink>
        </w:p>
        <w:p w14:paraId="7B616428" w14:textId="3AA26BFB" w:rsidR="00721048" w:rsidRDefault="003B4B7F">
          <w:pPr>
            <w:pStyle w:val="TOC2"/>
            <w:tabs>
              <w:tab w:val="right" w:leader="dot" w:pos="9016"/>
            </w:tabs>
            <w:rPr>
              <w:rFonts w:asciiTheme="minorHAnsi" w:eastAsiaTheme="minorEastAsia" w:hAnsiTheme="minorHAnsi"/>
              <w:noProof/>
              <w:sz w:val="22"/>
              <w:lang w:eastAsia="en-GB"/>
            </w:rPr>
          </w:pPr>
          <w:hyperlink w:anchor="_Toc33801232" w:history="1">
            <w:r w:rsidR="00721048" w:rsidRPr="00BE6A9D">
              <w:rPr>
                <w:rStyle w:val="Hyperlink"/>
                <w:noProof/>
              </w:rPr>
              <w:t>Early discontinuation and withdrawal</w:t>
            </w:r>
            <w:r w:rsidR="00721048">
              <w:rPr>
                <w:noProof/>
                <w:webHidden/>
              </w:rPr>
              <w:tab/>
            </w:r>
            <w:r w:rsidR="00721048">
              <w:rPr>
                <w:noProof/>
                <w:webHidden/>
              </w:rPr>
              <w:fldChar w:fldCharType="begin"/>
            </w:r>
            <w:r w:rsidR="00721048">
              <w:rPr>
                <w:noProof/>
                <w:webHidden/>
              </w:rPr>
              <w:instrText xml:space="preserve"> PAGEREF _Toc33801232 \h </w:instrText>
            </w:r>
            <w:r w:rsidR="00721048">
              <w:rPr>
                <w:noProof/>
                <w:webHidden/>
              </w:rPr>
            </w:r>
            <w:r w:rsidR="00721048">
              <w:rPr>
                <w:noProof/>
                <w:webHidden/>
              </w:rPr>
              <w:fldChar w:fldCharType="separate"/>
            </w:r>
            <w:r w:rsidR="00721048">
              <w:rPr>
                <w:noProof/>
                <w:webHidden/>
              </w:rPr>
              <w:t>12</w:t>
            </w:r>
            <w:r w:rsidR="00721048">
              <w:rPr>
                <w:noProof/>
                <w:webHidden/>
              </w:rPr>
              <w:fldChar w:fldCharType="end"/>
            </w:r>
          </w:hyperlink>
        </w:p>
        <w:p w14:paraId="624C59ED" w14:textId="24320310" w:rsidR="00721048" w:rsidRDefault="003B4B7F">
          <w:pPr>
            <w:pStyle w:val="TOC2"/>
            <w:tabs>
              <w:tab w:val="right" w:leader="dot" w:pos="9016"/>
            </w:tabs>
            <w:rPr>
              <w:rFonts w:asciiTheme="minorHAnsi" w:eastAsiaTheme="minorEastAsia" w:hAnsiTheme="minorHAnsi"/>
              <w:noProof/>
              <w:sz w:val="22"/>
              <w:lang w:eastAsia="en-GB"/>
            </w:rPr>
          </w:pPr>
          <w:hyperlink w:anchor="_Toc33801233" w:history="1">
            <w:r w:rsidR="00721048" w:rsidRPr="00BE6A9D">
              <w:rPr>
                <w:rStyle w:val="Hyperlink"/>
                <w:rFonts w:eastAsia="Times New Roman"/>
                <w:noProof/>
                <w:lang w:eastAsia="en-GB"/>
              </w:rPr>
              <w:t>Payment</w:t>
            </w:r>
            <w:r w:rsidR="00721048">
              <w:rPr>
                <w:noProof/>
                <w:webHidden/>
              </w:rPr>
              <w:tab/>
            </w:r>
            <w:r w:rsidR="00721048">
              <w:rPr>
                <w:noProof/>
                <w:webHidden/>
              </w:rPr>
              <w:fldChar w:fldCharType="begin"/>
            </w:r>
            <w:r w:rsidR="00721048">
              <w:rPr>
                <w:noProof/>
                <w:webHidden/>
              </w:rPr>
              <w:instrText xml:space="preserve"> PAGEREF _Toc33801233 \h </w:instrText>
            </w:r>
            <w:r w:rsidR="00721048">
              <w:rPr>
                <w:noProof/>
                <w:webHidden/>
              </w:rPr>
            </w:r>
            <w:r w:rsidR="00721048">
              <w:rPr>
                <w:noProof/>
                <w:webHidden/>
              </w:rPr>
              <w:fldChar w:fldCharType="separate"/>
            </w:r>
            <w:r w:rsidR="00721048">
              <w:rPr>
                <w:noProof/>
                <w:webHidden/>
              </w:rPr>
              <w:t>13</w:t>
            </w:r>
            <w:r w:rsidR="00721048">
              <w:rPr>
                <w:noProof/>
                <w:webHidden/>
              </w:rPr>
              <w:fldChar w:fldCharType="end"/>
            </w:r>
          </w:hyperlink>
        </w:p>
        <w:p w14:paraId="2622BBA1" w14:textId="18EF8D93" w:rsidR="00721048" w:rsidRDefault="003B4B7F">
          <w:pPr>
            <w:pStyle w:val="TOC1"/>
            <w:tabs>
              <w:tab w:val="right" w:leader="dot" w:pos="9016"/>
            </w:tabs>
            <w:rPr>
              <w:rFonts w:asciiTheme="minorHAnsi" w:eastAsiaTheme="minorEastAsia" w:hAnsiTheme="minorHAnsi"/>
              <w:noProof/>
              <w:sz w:val="22"/>
              <w:lang w:eastAsia="en-GB"/>
            </w:rPr>
          </w:pPr>
          <w:hyperlink w:anchor="_Toc33801234" w:history="1">
            <w:r w:rsidR="00721048" w:rsidRPr="00BE6A9D">
              <w:rPr>
                <w:rStyle w:val="Hyperlink"/>
                <w:noProof/>
              </w:rPr>
              <w:t>Statistics and data analysis</w:t>
            </w:r>
            <w:r w:rsidR="00721048">
              <w:rPr>
                <w:noProof/>
                <w:webHidden/>
              </w:rPr>
              <w:tab/>
            </w:r>
            <w:r w:rsidR="00721048">
              <w:rPr>
                <w:noProof/>
                <w:webHidden/>
              </w:rPr>
              <w:fldChar w:fldCharType="begin"/>
            </w:r>
            <w:r w:rsidR="00721048">
              <w:rPr>
                <w:noProof/>
                <w:webHidden/>
              </w:rPr>
              <w:instrText xml:space="preserve"> PAGEREF _Toc33801234 \h </w:instrText>
            </w:r>
            <w:r w:rsidR="00721048">
              <w:rPr>
                <w:noProof/>
                <w:webHidden/>
              </w:rPr>
            </w:r>
            <w:r w:rsidR="00721048">
              <w:rPr>
                <w:noProof/>
                <w:webHidden/>
              </w:rPr>
              <w:fldChar w:fldCharType="separate"/>
            </w:r>
            <w:r w:rsidR="00721048">
              <w:rPr>
                <w:noProof/>
                <w:webHidden/>
              </w:rPr>
              <w:t>13</w:t>
            </w:r>
            <w:r w:rsidR="00721048">
              <w:rPr>
                <w:noProof/>
                <w:webHidden/>
              </w:rPr>
              <w:fldChar w:fldCharType="end"/>
            </w:r>
          </w:hyperlink>
        </w:p>
        <w:p w14:paraId="1D84E3DC" w14:textId="26C9F59D" w:rsidR="00721048" w:rsidRDefault="003B4B7F">
          <w:pPr>
            <w:pStyle w:val="TOC2"/>
            <w:tabs>
              <w:tab w:val="right" w:leader="dot" w:pos="9016"/>
            </w:tabs>
            <w:rPr>
              <w:rFonts w:asciiTheme="minorHAnsi" w:eastAsiaTheme="minorEastAsia" w:hAnsiTheme="minorHAnsi"/>
              <w:noProof/>
              <w:sz w:val="22"/>
              <w:lang w:eastAsia="en-GB"/>
            </w:rPr>
          </w:pPr>
          <w:hyperlink w:anchor="_Toc33801235" w:history="1">
            <w:r w:rsidR="00721048" w:rsidRPr="00BE6A9D">
              <w:rPr>
                <w:rStyle w:val="Hyperlink"/>
                <w:noProof/>
              </w:rPr>
              <w:t>Sample size</w:t>
            </w:r>
            <w:r w:rsidR="00721048">
              <w:rPr>
                <w:noProof/>
                <w:webHidden/>
              </w:rPr>
              <w:tab/>
            </w:r>
            <w:r w:rsidR="00721048">
              <w:rPr>
                <w:noProof/>
                <w:webHidden/>
              </w:rPr>
              <w:fldChar w:fldCharType="begin"/>
            </w:r>
            <w:r w:rsidR="00721048">
              <w:rPr>
                <w:noProof/>
                <w:webHidden/>
              </w:rPr>
              <w:instrText xml:space="preserve"> PAGEREF _Toc33801235 \h </w:instrText>
            </w:r>
            <w:r w:rsidR="00721048">
              <w:rPr>
                <w:noProof/>
                <w:webHidden/>
              </w:rPr>
            </w:r>
            <w:r w:rsidR="00721048">
              <w:rPr>
                <w:noProof/>
                <w:webHidden/>
              </w:rPr>
              <w:fldChar w:fldCharType="separate"/>
            </w:r>
            <w:r w:rsidR="00721048">
              <w:rPr>
                <w:noProof/>
                <w:webHidden/>
              </w:rPr>
              <w:t>13</w:t>
            </w:r>
            <w:r w:rsidR="00721048">
              <w:rPr>
                <w:noProof/>
                <w:webHidden/>
              </w:rPr>
              <w:fldChar w:fldCharType="end"/>
            </w:r>
          </w:hyperlink>
        </w:p>
        <w:p w14:paraId="0E2636A2" w14:textId="21B06E43" w:rsidR="00721048" w:rsidRDefault="003B4B7F">
          <w:pPr>
            <w:pStyle w:val="TOC2"/>
            <w:tabs>
              <w:tab w:val="right" w:leader="dot" w:pos="9016"/>
            </w:tabs>
            <w:rPr>
              <w:rFonts w:asciiTheme="minorHAnsi" w:eastAsiaTheme="minorEastAsia" w:hAnsiTheme="minorHAnsi"/>
              <w:noProof/>
              <w:sz w:val="22"/>
              <w:lang w:eastAsia="en-GB"/>
            </w:rPr>
          </w:pPr>
          <w:hyperlink w:anchor="_Toc33801236" w:history="1">
            <w:r w:rsidR="00721048" w:rsidRPr="00BE6A9D">
              <w:rPr>
                <w:rStyle w:val="Hyperlink"/>
                <w:noProof/>
              </w:rPr>
              <w:t>Analyses</w:t>
            </w:r>
            <w:r w:rsidR="00721048">
              <w:rPr>
                <w:noProof/>
                <w:webHidden/>
              </w:rPr>
              <w:tab/>
            </w:r>
            <w:r w:rsidR="00721048">
              <w:rPr>
                <w:noProof/>
                <w:webHidden/>
              </w:rPr>
              <w:fldChar w:fldCharType="begin"/>
            </w:r>
            <w:r w:rsidR="00721048">
              <w:rPr>
                <w:noProof/>
                <w:webHidden/>
              </w:rPr>
              <w:instrText xml:space="preserve"> PAGEREF _Toc33801236 \h </w:instrText>
            </w:r>
            <w:r w:rsidR="00721048">
              <w:rPr>
                <w:noProof/>
                <w:webHidden/>
              </w:rPr>
            </w:r>
            <w:r w:rsidR="00721048">
              <w:rPr>
                <w:noProof/>
                <w:webHidden/>
              </w:rPr>
              <w:fldChar w:fldCharType="separate"/>
            </w:r>
            <w:r w:rsidR="00721048">
              <w:rPr>
                <w:noProof/>
                <w:webHidden/>
              </w:rPr>
              <w:t>13</w:t>
            </w:r>
            <w:r w:rsidR="00721048">
              <w:rPr>
                <w:noProof/>
                <w:webHidden/>
              </w:rPr>
              <w:fldChar w:fldCharType="end"/>
            </w:r>
          </w:hyperlink>
        </w:p>
        <w:p w14:paraId="6B0A91CE" w14:textId="0372BEE8" w:rsidR="00721048" w:rsidRDefault="003B4B7F">
          <w:pPr>
            <w:pStyle w:val="TOC1"/>
            <w:tabs>
              <w:tab w:val="right" w:leader="dot" w:pos="9016"/>
            </w:tabs>
            <w:rPr>
              <w:rFonts w:asciiTheme="minorHAnsi" w:eastAsiaTheme="minorEastAsia" w:hAnsiTheme="minorHAnsi"/>
              <w:noProof/>
              <w:sz w:val="22"/>
              <w:lang w:eastAsia="en-GB"/>
            </w:rPr>
          </w:pPr>
          <w:hyperlink w:anchor="_Toc33801237" w:history="1">
            <w:r w:rsidR="00721048" w:rsidRPr="00BE6A9D">
              <w:rPr>
                <w:rStyle w:val="Hyperlink"/>
                <w:noProof/>
              </w:rPr>
              <w:t>Data management</w:t>
            </w:r>
            <w:r w:rsidR="00721048">
              <w:rPr>
                <w:noProof/>
                <w:webHidden/>
              </w:rPr>
              <w:tab/>
            </w:r>
            <w:r w:rsidR="00721048">
              <w:rPr>
                <w:noProof/>
                <w:webHidden/>
              </w:rPr>
              <w:fldChar w:fldCharType="begin"/>
            </w:r>
            <w:r w:rsidR="00721048">
              <w:rPr>
                <w:noProof/>
                <w:webHidden/>
              </w:rPr>
              <w:instrText xml:space="preserve"> PAGEREF _Toc33801237 \h </w:instrText>
            </w:r>
            <w:r w:rsidR="00721048">
              <w:rPr>
                <w:noProof/>
                <w:webHidden/>
              </w:rPr>
            </w:r>
            <w:r w:rsidR="00721048">
              <w:rPr>
                <w:noProof/>
                <w:webHidden/>
              </w:rPr>
              <w:fldChar w:fldCharType="separate"/>
            </w:r>
            <w:r w:rsidR="00721048">
              <w:rPr>
                <w:noProof/>
                <w:webHidden/>
              </w:rPr>
              <w:t>14</w:t>
            </w:r>
            <w:r w:rsidR="00721048">
              <w:rPr>
                <w:noProof/>
                <w:webHidden/>
              </w:rPr>
              <w:fldChar w:fldCharType="end"/>
            </w:r>
          </w:hyperlink>
        </w:p>
        <w:p w14:paraId="0F888B71" w14:textId="453E5DD3" w:rsidR="00721048" w:rsidRDefault="003B4B7F">
          <w:pPr>
            <w:pStyle w:val="TOC2"/>
            <w:tabs>
              <w:tab w:val="right" w:leader="dot" w:pos="9016"/>
            </w:tabs>
            <w:rPr>
              <w:rFonts w:asciiTheme="minorHAnsi" w:eastAsiaTheme="minorEastAsia" w:hAnsiTheme="minorHAnsi"/>
              <w:noProof/>
              <w:sz w:val="22"/>
              <w:lang w:eastAsia="en-GB"/>
            </w:rPr>
          </w:pPr>
          <w:hyperlink w:anchor="_Toc33801238" w:history="1">
            <w:r w:rsidR="00721048" w:rsidRPr="00BE6A9D">
              <w:rPr>
                <w:rStyle w:val="Hyperlink"/>
                <w:noProof/>
              </w:rPr>
              <w:t>Risk assessment</w:t>
            </w:r>
            <w:r w:rsidR="00721048">
              <w:rPr>
                <w:noProof/>
                <w:webHidden/>
              </w:rPr>
              <w:tab/>
            </w:r>
            <w:r w:rsidR="00721048">
              <w:rPr>
                <w:noProof/>
                <w:webHidden/>
              </w:rPr>
              <w:fldChar w:fldCharType="begin"/>
            </w:r>
            <w:r w:rsidR="00721048">
              <w:rPr>
                <w:noProof/>
                <w:webHidden/>
              </w:rPr>
              <w:instrText xml:space="preserve"> PAGEREF _Toc33801238 \h </w:instrText>
            </w:r>
            <w:r w:rsidR="00721048">
              <w:rPr>
                <w:noProof/>
                <w:webHidden/>
              </w:rPr>
            </w:r>
            <w:r w:rsidR="00721048">
              <w:rPr>
                <w:noProof/>
                <w:webHidden/>
              </w:rPr>
              <w:fldChar w:fldCharType="separate"/>
            </w:r>
            <w:r w:rsidR="00721048">
              <w:rPr>
                <w:noProof/>
                <w:webHidden/>
              </w:rPr>
              <w:t>15</w:t>
            </w:r>
            <w:r w:rsidR="00721048">
              <w:rPr>
                <w:noProof/>
                <w:webHidden/>
              </w:rPr>
              <w:fldChar w:fldCharType="end"/>
            </w:r>
          </w:hyperlink>
        </w:p>
        <w:p w14:paraId="045A2E6B" w14:textId="25CDCA53" w:rsidR="00721048" w:rsidRDefault="003B4B7F">
          <w:pPr>
            <w:pStyle w:val="TOC2"/>
            <w:tabs>
              <w:tab w:val="right" w:leader="dot" w:pos="9016"/>
            </w:tabs>
            <w:rPr>
              <w:rFonts w:asciiTheme="minorHAnsi" w:eastAsiaTheme="minorEastAsia" w:hAnsiTheme="minorHAnsi"/>
              <w:noProof/>
              <w:sz w:val="22"/>
              <w:lang w:eastAsia="en-GB"/>
            </w:rPr>
          </w:pPr>
          <w:hyperlink w:anchor="_Toc33801239" w:history="1">
            <w:r w:rsidR="00721048" w:rsidRPr="00BE6A9D">
              <w:rPr>
                <w:rStyle w:val="Hyperlink"/>
                <w:noProof/>
                <w:lang w:eastAsia="en-GB"/>
              </w:rPr>
              <w:t>Study monitoring</w:t>
            </w:r>
            <w:r w:rsidR="00721048">
              <w:rPr>
                <w:noProof/>
                <w:webHidden/>
              </w:rPr>
              <w:tab/>
            </w:r>
            <w:r w:rsidR="00721048">
              <w:rPr>
                <w:noProof/>
                <w:webHidden/>
              </w:rPr>
              <w:fldChar w:fldCharType="begin"/>
            </w:r>
            <w:r w:rsidR="00721048">
              <w:rPr>
                <w:noProof/>
                <w:webHidden/>
              </w:rPr>
              <w:instrText xml:space="preserve"> PAGEREF _Toc33801239 \h </w:instrText>
            </w:r>
            <w:r w:rsidR="00721048">
              <w:rPr>
                <w:noProof/>
                <w:webHidden/>
              </w:rPr>
            </w:r>
            <w:r w:rsidR="00721048">
              <w:rPr>
                <w:noProof/>
                <w:webHidden/>
              </w:rPr>
              <w:fldChar w:fldCharType="separate"/>
            </w:r>
            <w:r w:rsidR="00721048">
              <w:rPr>
                <w:noProof/>
                <w:webHidden/>
              </w:rPr>
              <w:t>17</w:t>
            </w:r>
            <w:r w:rsidR="00721048">
              <w:rPr>
                <w:noProof/>
                <w:webHidden/>
              </w:rPr>
              <w:fldChar w:fldCharType="end"/>
            </w:r>
          </w:hyperlink>
        </w:p>
        <w:p w14:paraId="12B37379" w14:textId="5430993D" w:rsidR="00721048" w:rsidRDefault="003B4B7F">
          <w:pPr>
            <w:pStyle w:val="TOC1"/>
            <w:tabs>
              <w:tab w:val="right" w:leader="dot" w:pos="9016"/>
            </w:tabs>
            <w:rPr>
              <w:rFonts w:asciiTheme="minorHAnsi" w:eastAsiaTheme="minorEastAsia" w:hAnsiTheme="minorHAnsi"/>
              <w:noProof/>
              <w:sz w:val="22"/>
              <w:lang w:eastAsia="en-GB"/>
            </w:rPr>
          </w:pPr>
          <w:hyperlink w:anchor="_Toc33801240" w:history="1">
            <w:r w:rsidR="00721048" w:rsidRPr="00BE6A9D">
              <w:rPr>
                <w:rStyle w:val="Hyperlink"/>
                <w:noProof/>
              </w:rPr>
              <w:t>References</w:t>
            </w:r>
            <w:r w:rsidR="00721048">
              <w:rPr>
                <w:noProof/>
                <w:webHidden/>
              </w:rPr>
              <w:tab/>
            </w:r>
            <w:r w:rsidR="00721048">
              <w:rPr>
                <w:noProof/>
                <w:webHidden/>
              </w:rPr>
              <w:fldChar w:fldCharType="begin"/>
            </w:r>
            <w:r w:rsidR="00721048">
              <w:rPr>
                <w:noProof/>
                <w:webHidden/>
              </w:rPr>
              <w:instrText xml:space="preserve"> PAGEREF _Toc33801240 \h </w:instrText>
            </w:r>
            <w:r w:rsidR="00721048">
              <w:rPr>
                <w:noProof/>
                <w:webHidden/>
              </w:rPr>
            </w:r>
            <w:r w:rsidR="00721048">
              <w:rPr>
                <w:noProof/>
                <w:webHidden/>
              </w:rPr>
              <w:fldChar w:fldCharType="separate"/>
            </w:r>
            <w:r w:rsidR="00721048">
              <w:rPr>
                <w:noProof/>
                <w:webHidden/>
              </w:rPr>
              <w:t>18</w:t>
            </w:r>
            <w:r w:rsidR="00721048">
              <w:rPr>
                <w:noProof/>
                <w:webHidden/>
              </w:rPr>
              <w:fldChar w:fldCharType="end"/>
            </w:r>
          </w:hyperlink>
        </w:p>
        <w:p w14:paraId="2049327B" w14:textId="410D19EC" w:rsidR="00A46531" w:rsidRDefault="00A46531" w:rsidP="00A46531">
          <w:r>
            <w:rPr>
              <w:b/>
              <w:bCs/>
              <w:noProof/>
            </w:rPr>
            <w:fldChar w:fldCharType="end"/>
          </w:r>
        </w:p>
      </w:sdtContent>
    </w:sdt>
    <w:p w14:paraId="33225574" w14:textId="77777777" w:rsidR="00A46531" w:rsidRDefault="00A46531" w:rsidP="00A46531">
      <w:pPr>
        <w:rPr>
          <w:rFonts w:eastAsiaTheme="majorEastAsia" w:cstheme="majorBidi"/>
          <w:b/>
          <w:smallCaps/>
          <w:color w:val="2F5496" w:themeColor="accent1" w:themeShade="BF"/>
          <w:sz w:val="32"/>
          <w:szCs w:val="32"/>
        </w:rPr>
      </w:pPr>
      <w:r>
        <w:br w:type="page"/>
      </w:r>
    </w:p>
    <w:p w14:paraId="47350288" w14:textId="77777777" w:rsidR="00A46531" w:rsidRPr="00A138DE" w:rsidRDefault="00A46531" w:rsidP="00A46531">
      <w:pPr>
        <w:pStyle w:val="Heading1"/>
      </w:pPr>
      <w:bookmarkStart w:id="0" w:name="_Toc33801220"/>
      <w:bookmarkStart w:id="1" w:name="_Hlk25834125"/>
      <w:r w:rsidRPr="002F08D5">
        <w:lastRenderedPageBreak/>
        <w:t>Summary</w:t>
      </w:r>
      <w:bookmarkEnd w:id="0"/>
    </w:p>
    <w:bookmarkEnd w:id="1"/>
    <w:p w14:paraId="2E11678E" w14:textId="2CA4AF31" w:rsidR="00775DC1" w:rsidRPr="00775DC1" w:rsidRDefault="00A46531" w:rsidP="00A46531">
      <w:pPr>
        <w:widowControl w:val="0"/>
        <w:spacing w:line="276" w:lineRule="auto"/>
      </w:pPr>
      <w:r w:rsidRPr="4C8E95FF">
        <w:t xml:space="preserve">Mental health disorders constitute an enormous healthcare concern, with one in four people estimated to be affected. Mental health problems are one of the main causes of the overall disease burden worldwide, causing 40 million years of disability in 20 to 29 year olds </w:t>
      </w:r>
      <w:r w:rsidRPr="4C8E95FF">
        <w:fldChar w:fldCharType="begin" w:fldLock="1"/>
      </w:r>
      <w:r>
        <w:rPr>
          <w:szCs w:val="20"/>
        </w:rPr>
        <w:instrText>ADDIN CSL_CITATION {"citationItems":[{"id":"ITEM-1","itemData":{"DOI":"10.1016/S0140-6736(16)31678-6","ISBN":"0140-6736 (Print)\\r0140-6736","ISSN":"1474547X","PMID":"27733282","abstract":"Background Non-fatal outcomes of disease and injury increasingly detract from the ability of the world's population to live in full health, a trend largely attributable to an epidemiological transition in many countries from causes affecting children, to non-communicable diseases (NCDs) more common in adults. For the Global Burden of Diseases, Injuries, and Risk Factors Study 2015 (GBD 2015), we estimated the incidence, prevalence, and years lived with disability for diseases and injuries at the global, regional, and national scale over the period of 1990 to 2015. Methods We estimated incidence and prevalence by age, sex, cause, year, and geography with a wide range of updated and standardised analytical procedures. Improvements from GBD 2013 included the addition of new data sources, updates to literature reviews for 85 causes, and the identification and inclusion of additional studies published up to November, 2015, to expand the database used for estimation of non-fatal outcomes to 60</w:instrText>
      </w:r>
      <w:r>
        <w:rPr>
          <w:rFonts w:ascii="Arial" w:hAnsi="Arial" w:cs="Arial"/>
          <w:szCs w:val="20"/>
        </w:rPr>
        <w:instrText> </w:instrText>
      </w:r>
      <w:r>
        <w:rPr>
          <w:szCs w:val="20"/>
        </w:rPr>
        <w:instrText>900 unique data sources. Prevalence and incidence by cause and sequelae were determined with DisMod-MR 2.1, an improved version of the DisMod-MR Bayesian meta-regression tool first developed for GBD 2010 and GBD 2013. For some causes, we used alternative modelling strategies where the complexity of the disease was not suited to DisMod-MR 2.1 or where incidence and prevalence needed to be determined from other data. For GBD 2015 we created a summary indicator that combines measures of income per capita, educational attainment, and fertility (the Socio-demographic Index [SDI]) and used it to compare observed patterns of health loss to the expected pattern for countries or locations with similar SDI scores. Findings We generated 9·3 billion estimates from the various combinations of prevalence, incidence, and YLDs for causes, sequelae, and impairments by age, sex, geography, and year. In 2015, two causes had acute incidences in excess of 1 billion: upper respiratory infections (17·2 billion, 95% uncertainty interval [UI] 15·4–19·2 billion) and diarrhoeal diseases (2·39 billion, 2·30–2·50 billion). Eight causes of chronic disease and injury each affected more than 10% of the world's population in 2015: permanent caries, tension-type headache, iron-deficiency anaemia, age-related and other hearing loss, migraine, genital herpes, refraction and accommodation disorders, and ascariasis. The impairment that affected the greatest number of people in 2015 was anaemia, with 2·36 bi…","author":[{"dropping-particle":"","family":"Vos","given":"Theo","non-dropping-particle":"","parse-names":false,"suffix":""},{"dropping-particle":"","family":"Allen","given":"Christine","non-dropping-particle":"","parse-names":false,"suffix":""},{"dropping-particle":"","family":"Arora","given":"Megha","non-dropping-particle":"","parse-names":false,"suffix":""},{"dropping-particle":"","family":"Barber","given":"Ryan M.","non-dropping-particle":"","parse-names":false,"suffix":""},{"dropping-particle":"","family":"Bhutta","given":"Zulfiqar A.","non-dropping-particle":"","parse-names":false,"suffix":""},{"dropping-particle":"","family":"Brown","given":"Alexandria","non-dropping-particle":"","parse-names":false,"suffix":""},{"dropping-particle":"","family":"Carter","given":"Austin","non-dropping-particle":"","parse-names":false,"suffix":""},{"dropping-particle":"","family":"Casey","given":"Daniel C.","non-dropping-particle":"","parse-names":false,"suffix":""},{"dropping-particle":"","family":"Charlson","given":"Fiona J.","non-dropping-particle":"","parse-names":false,"suffix":""},{"dropping-particle":"","family":"Chen","given":"Alan Z.","non-dropping-particle":"","parse-names":false,"suffix":""},{"dropping-particle":"","family":"Coggeshall","given":"Megan","non-dropping-particle":"","parse-names":false,"suffix":""},{"dropping-particle":"","family":"Cornaby","given":"Leslie","non-dropping-particle":"","parse-names":false,"suffix":""},{"dropping-particle":"","family":"Dandona","given":"Lalit","non-dropping-particle":"","parse-names":false,"suffix":""},{"dropping-particle":"","family":"Dicker","given":"Daniel J.","non-dropping-particle":"","parse-names":false,"suffix":""},{"dropping-particle":"","family":"Dilegge","given":"Tina","non-dropping-particle":"","parse-names":false,"suffix":""},{"dropping-particle":"","family":"Erskine","given":"Holly E.","non-dropping-particle":"","parse-names":false,"suffix":""},{"dropping-particle":"","family":"Ferrari","given":"Alize J.","non-dropping-particle":"","parse-names":false,"suffix":""},{"dropping-particle":"","family":"Fitzmaurice","given":"Christina","non-dropping-particle":"","parse-names":false,"suffix":""},{"dropping-particle":"","family":"Fleming","given":"Tom","non-dropping-particle":"","parse-names":false,"suffix":""},{"dropping-particle":"","family":"Forouzanfar","given":"Mohammad H.","non-dropping-particle":"","parse-names":false,"suffix":""},{"dropping-particle":"","family":"Fullman","given":"Nancy","non-dropping-particle":"","parse-names":false,"suffix":""},{"dropping-particle":"","family":"Gething","given":"Peter W.","non-dropping-particle":"","parse-names":false,"suffix":""},{"dropping-particle":"","family":"Goldberg","given":"Ellen M.","non-dropping-particle":"","parse-names":false,"suffix":""},{"dropping-particle":"","family":"Graetz","given":"Nicholas","non-dropping-particle":"","parse-names":false,"suffix":""},{"dropping-particle":"","family":"Haagsma","given":"Juanita A.","non-dropping-particle":"","parse-names":false,"suffix":""},{"dropping-particle":"","family":"Johnson","given":"Catherine O.","non-dropping-particle":"","parse-names":false,"suffix":""},{"dropping-particle":"","family":"Kassebaum","given":"Nicholas J.","non-dropping-particle":"","parse-names":false,"suffix":""},{"dropping-particle":"","family":"Kawashima","given":"Toana","non-dropping-particle":"","parse-names":false,"suffix":""},{"dropping-particle":"","family":"Kemmer","given":"Laura","non-dropping-particle":"","parse-names":false,"suffix":""},{"dropping-particle":"","family":"Khalil","given":"Ibrahim A.","non-dropping-particle":"","parse-names":false,"suffix":""},{"dropping-particle":"","family":"Kinfu","given":"Yohannes","non-dropping-particle":"","parse-names":false,"suffix":""},{"dropping-particle":"","family":"Kyu","given":"Hmwe H.","non-dropping-particle":"","parse-names":false,"suffix":""},{"dropping-particle":"","family":"Leung","given":"Janni","non-dropping-particle":"","parse-names":false,"suffix":""},{"dropping-particle":"","family":"Liang","given":"Xiaofeng","non-dropping-particle":"","parse-names":false,"suffix":""},{"dropping-particle":"","family":"Lim","given":"Stephen S.","non-dropping-particle":"","parse-names":false,"suffix":""},{"dropping-particle":"","family":"Lopez","given":"Alan D.","non-dropping-particle":"","parse-names":false,"suffix":""},{"dropping-particle":"","family":"Lozano","given":"Rafael","non-dropping-particle":"","parse-names":false,"suffix":""},{"dropping-particle":"","family":"Marczak","given":"Laurie","non-dropping-particle":"","parse-names":false,"suffix":""},{"dropping-particle":"","family":"Mensah","given":"George A.","non-dropping-particle":"","parse-names":false,"suffix":""},{"dropping-particle":"","family":"Mokdad","given":"Ali H.","non-dropping-particle":"","parse-names":false,"suffix":""},{"dropping-particle":"","family":"Naghavi","given":"Mohsen","non-dropping-particle":"","parse-names":false,"suffix":""},{"dropping-particle":"","family":"Nguyen","given":"Grant","non-dropping-particle":"","parse-names":false,"suffix":""},{"dropping-particle":"","family":"Nsoesie","given":"Elaine","non-dropping-particle":"","parse-names":false,"suffix":""},{"dropping-particle":"","family":"Olsen","given":"Helen","non-dropping-particle":"","parse-names":false,"suffix":""},{"dropping-particle":"","family":"Pigott","given":"David M.","non-dropping-particle":"","parse-names":false,"suffix":""},{"dropping-particle":"","family":"Pinho","given":"Christine","non-dropping-particle":"","parse-names":false,"suffix":""},{"dropping-particle":"","family":"Rankin","given":"Zane","non-dropping-particle":"","parse-names":false,"suffix":""},{"dropping-particle":"","family":"Reinig","given":"Nikolas","non-dropping-particle":"","parse-names":false,"suffix":""},{"dropping-particle":"","family":"Salomon","given":"Joshua A.","non-dropping-particle":"","parse-names":false,"suffix":""},{"dropping-particle":"","family":"Sandar","given":"Logan","non-dropping-particle":"","parse-names":false,"suffix":""},{"dropping-particle":"","family":"Smith","given":"Alison","non-dropping-particle":"","parse-names":false,"suffix":""},{"dropping-particle":"","family":"Stanaway","given":"Jeffrey","non-dropping-particle":"","parse-names":false,"suffix":""},{"dropping-particle":"","family":"Steiner","given":"Caitlyn","non-dropping-particle":"","parse-names":false,"suffix":""},{"dropping-particle":"","family":"Teeple","given":"Stephanie","non-dropping-particle":"","parse-names":false,"suffix":""},{"dropping-particle":"","family":"Thomas","given":"Bernadette A.","non-dropping-particle":"","parse-names":false,"suffix":""},{"dropping-particle":"","family":"Troeger","given":"Christopher","non-dropping-particle":"","parse-names":false,"suffix":""},{"dropping-particle":"","family":"Wagner","given":"Joseph A.","non-dropping-particle":"","parse-names":false,"suffix":""},{"dropping-particle":"","family":"Wang","given":"Haidong","non-dropping-particle":"","parse-names":false,"suffix":""},{"dropping-particle":"","family":"Wanga","given":"Valentine","non-dropping-particle":"","parse-names":false,"suffix":""},{"dropping-particle":"","family":"Whiteford","given":"Harvey A.","non-dropping-particle":"","parse-names":false,"suffix":""},{"dropping-particle":"","family":"Zoeckler","given":"Leo","non-dropping-particle":"","parse-names":false,"suffix":""},{"dropping-particle":"","family":"Abajobir","given":"Amanuel Alemu","non-dropping-particle":"","parse-names":false,"suffix":""},{"dropping-particle":"","family":"Abate","given":"Kalkidan Hassen","non-dropping-particle":"","parse-names":false,"suffix":""},{"dropping-particle":"","family":"Abbafati","given":"Cristiana","non-dropping-particle":"","parse-names":false,"suffix":""},{"dropping-particle":"","family":"Abbas","given":"Kaja M.","non-dropping-particle":"","parse-names":false,"suffix":""},{"dropping-particle":"","family":"Abd-Allah","given":"Foad","non-dropping-particle":"","parse-names":false,"suffix":""},{"dropping-particle":"","family":"Abraham","given":"Biju","non-dropping-particle":"","parse-names":false,"suffix":""},{"dropping-particle":"","family":"Abubakar","given":"Ibrahim","non-dropping-particle":"","parse-names":false,"suffix":""},{"dropping-particle":"","family":"Abu-Raddad","given":"Laith J.","non-dropping-particle":"","parse-names":false,"suffix":""},{"dropping-particle":"","family":"Abu-Rmeileh","given":"Niveen M.E.","non-dropping-particle":"","parse-names":false,"suffix":""},{"dropping-particle":"","family":"Ackerman","given":"Ilana N.","non-dropping-particle":"","parse-names":false,"suffix":""},{"dropping-particle":"","family":"Adebiyi","given":"Akindele Olupelumi","non-dropping-particle":"","parse-names":false,"suffix":""},{"dropping-particle":"","family":"Ademi","given":"Zanfina","non-dropping-particle":"","parse-names":false,"suffix":""},{"dropping-particle":"","family":"Adou","given":"Arsène Kouablan","non-dropping-particle":"","parse-names":false,"suffix":""},{"dropping-particle":"","family":"Afanvi","given":"Kossivi Agbelenko","non-dropping-particle":"","parse-names":false,"suffix":""},{"dropping-particle":"","family":"Agardh","given":"Emilie Elisabet","non-dropping-particle":"","parse-names":false,"suffix":""},{"dropping-particle":"","family":"Agarwal","given":"Arnav","non-dropping-particle":"","parse-names":false,"suffix":""},{"dropping-particle":"","family":"Kiadaliri","given":"Aliasghar Ahmad","non-dropping-particle":"","parse-names":false,"suffix":""},{"dropping-particle":"","family":"Ahmadieh","given":"Hamid","non-dropping-particle":"","parse-names":false,"suffix":""},{"dropping-particle":"","family":"Ajala","given":"Oluremi N.","non-dropping-particle":"","parse-names":false,"suffix":""},{"dropping-particle":"","family":"Akinyemi","given":"Rufus Olusola","non-dropping-particle":"","parse-names":false,"suffix":""},{"dropping-particle":"","family":"Akseer","given":"Nadia","non-dropping-particle":"","parse-names":false,"suffix":""},{"dropping-particle":"","family":"Al-Aly","given":"Ziyad","non-dropping-particle":"","parse-names":false,"suffix":""},{"dropping-particle":"","family":"Alam","given":"Khurshid","non-dropping-particle":"","parse-names":false,"suffix":""},{"dropping-particle":"","family":"Alam","given":"Noore K.M.","non-dropping-particle":"","parse-names":false,"suffix":""},{"dropping-particle":"","family":"Aldhahri","given":"Saleh Fahed","non-dropping-particle":"","parse-names":false,"suffix":""},{"dropping-particle":"","family":"Alegretti","given":"Miguel Angel","non-dropping-particle":"","parse-names":false,"suffix":""},{"dropping-particle":"","family":"Alemu","given":"Zewdie Aderaw","non-dropping-particle":"","parse-names":false,"suffix":""},{"dropping-particle":"","family":"Alexander","given":"Lily T.","non-dropping-particle":"","parse-names":false,"suffix":""},{"dropping-particle":"","family":"Alhabib","given":"Samia","non-dropping-particle":"","parse-names":false,"suffix":""},{"dropping-particle":"","family":"Ali","given":"Raghib","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Raddadi","given":"Rajaa","non-dropping-particle":"","parse-names":false,"suffix":""},{"dropping-particle":"","family":"Alsharif","given":"Ubai","non-dropping-particle":"","parse-names":false,"suffix":""},{"dropping-particle":"","family":"Altirkawi","given":"Khalid A.","non-dropping-particle":"","parse-names":false,"suffix":""},{"dropping-particle":"","family":"Alvis-Guzman","given":"Nelson","non-dropping-particle":"","parse-names":false,"suffix":""},{"dropping-particle":"","family":"Amare","given":"Azmeraw T.","non-dropping-particle":"","parse-names":false,"suffix":""},{"dropping-particle":"","family":"Amberbir","given":"Alemayehu","non-dropping-particle":"","parse-names":false,"suffix":""},{"dropping-particle":"","family":"Amini","given":"Heresh","non-dropping-particle":"","parse-names":false,"suffix":""},{"dropping-particle":"","family":"Ammar","given":"Walid","non-dropping-particle":"","parse-names":false,"suffix":""},{"dropping-particle":"","family":"Amrock","given":"Stephen Marc","non-dropping-particle":"","parse-names":false,"suffix":""},{"dropping-particle":"","family":"Andersen","given":"Hjalte H.","non-dropping-particle":"","parse-names":false,"suffix":""},{"dropping-particle":"","family":"Anderson","given":"Gregory M.","non-dropping-particle":"","parse-names":false,"suffix":""},{"dropping-particle":"","family":"Anderson","given":"Benjamin O.","non-dropping-particle":"","parse-names":false,"suffix":""},{"dropping-particle":"","family":"Antonio","given":"Carl Abelardo T.","non-dropping-particle":"","parse-names":false,"suffix":""},{"dropping-particle":"","family":"Aregay","given":"Atsede Fantahun","non-dropping-particle":"","parse-names":false,"suffix":""},{"dropping-particle":"","family":"Ärnlöv","given":"Johan","non-dropping-particle":"","parse-names":false,"suffix":""},{"dropping-particle":"","family":"Artaman","given":"Al","non-dropping-particle":"","parse-names":false,"suffix":""},{"dropping-particle":"","family":"Asayesh","given":"Hamid","non-dropping-particle":"","parse-names":false,"suffix":""},{"dropping-particle":"","family":"Assadi","given":"Reza","non-dropping-particle":"","parse-names":false,"suffix":""},{"dropping-particle":"","family":"Atique","given":"Suleman","non-dropping-particle":"","parse-names":false,"suffix":""},{"dropping-particle":"","family":"Avokpaho","given":"Euripide Frinel G.Arthur","non-dropping-particle":"","parse-names":false,"suffix":""},{"dropping-particle":"","family":"Awasthi","given":"Ashish","non-dropping-particle":"","parse-names":false,"suffix":""},{"dropping-particle":"","family":"Quintanilla","given":"Beatriz Paulina Ayala","non-dropping-particle":"","parse-names":false,"suffix":""},{"dropping-particle":"","family":"Azzopardi","given":"Peter","non-dropping-particle":"","parse-names":false,"suffix":""},{"dropping-particle":"","family":"Bacha","given":"Umar","non-dropping-particle":"","parse-names":false,"suffix":""},{"dropping-particle":"","family":"Badawi","given":"Alaa","non-dropping-particle":"","parse-names":false,"suffix":""},{"dropping-particle":"","family":"Balakrishnan","given":"Kalpana","non-dropping-particle":"","parse-names":false,"suffix":""},{"dropping-particle":"","family":"Banerjee","given":"Amitava","non-dropping-particle":"","parse-names":false,"suffix":""},{"dropping-particle":"","family":"Barac","given":"Aleksandra","non-dropping-particle":"","parse-names":false,"suffix":""},{"dropping-particle":"","family":"Barker-Collo","given":"Suzanne L.","non-dropping-particle":"","parse-names":false,"suffix":""},{"dropping-particle":"","family":"Bärnighausen","given":"Till","non-dropping-particle":"","parse-names":false,"suffix":""},{"dropping-particle":"","family":"Barregard","given":"Lars","non-dropping-particle":"","parse-names":false,"suffix":""},{"dropping-particle":"","family":"Barrero","given":"Lope H.","non-dropping-particle":"","parse-names":false,"suffix":""},{"dropping-particle":"","family":"Basu","given":"Arindam","non-dropping-particle":"","parse-names":false,"suffix":""},{"dropping-particle":"","family":"Bazargan-Hejazi","given":"Shahrzad","non-dropping-particle":"","parse-names":false,"suffix":""},{"dropping-particle":"","family":"Bell","given":"Brent","non-dropping-particle":"","parse-names":false,"suffix":""},{"dropping-particle":"","family":"Bell","given":"Michelle L.","non-dropping-particle":"","parse-names":false,"suffix":""},{"dropping-particle":"","family":"Bennett","given":"Derrick A.","non-dropping-particle":"","parse-names":false,"suffix":""},{"dropping-particle":"","family":"Bensenor","given":"Isabela M.","non-dropping-particle":"","parse-names":false,"suffix":""},{"dropping-particle":"","family":"Benzian","given":"Habib","non-dropping-particle":"","parse-names":false,"suffix":""},{"dropping-particle":"","family":"Berhane","given":"Adugnaw","non-dropping-particle":"","parse-names":false,"suffix":""},{"dropping-particle":"","family":"Bernabé","given":"Eduardo","non-dropping-particle":"","parse-names":false,"suffix":""},{"dropping-particle":"","family":"Betsu","given":"Balem Demtsu","non-dropping-particle":"","parse-names":false,"suffix":""},{"dropping-particle":"","family":"Beyene","given":"Addisu Shunu","non-dropping-particle":"","parse-names":false,"suffix":""},{"dropping-particle":"","family":"Bhala","given":"Neeraj","non-dropping-particle":"","parse-names":false,"suffix":""},{"dropping-particle":"","family":"Bhatt","given":"Samir","non-dropping-particle":"","parse-names":false,"suffix":""},{"dropping-particle":"","family":"Biadgilign","given":"Sibhatu","non-dropping-particle":"","parse-names":false,"suffix":""},{"dropping-particle":"","family":"Bienhoff","given":"Kelly","non-dropping-particle":"","parse-names":false,"suffix":""},{"dropping-particle":"","family":"Bikbov","given":"Boris","non-dropping-particle":"","parse-names":false,"suffix":""},{"dropping-particle":"","family":"Biryukov","given":"Stan","non-dropping-particle":"","parse-names":false,"suffix":""},{"dropping-particle":"","family":"Bisanzio","given":"Donal","non-dropping-particle":"","parse-names":false,"suffix":""},{"dropping-particle":"","family":"Bjertness","given":"Espen","non-dropping-particle":"","parse-names":false,"suffix":""},{"dropping-particle":"","family":"Blore","given":"Jed","non-dropping-particle":"","parse-names":false,"suffix":""},{"dropping-particle":"","family":"Borschmann","given":"Rohan","non-dropping-particle":"","parse-names":false,"suffix":""},{"dropping-particle":"","family":"Boufous","given":"Soufiane","non-dropping-particle":"","parse-names":false,"suffix":""},{"dropping-particle":"","family":"Brainin","given":"Michael","non-dropping-particle":"","parse-names":false,"suffix":""},{"dropping-particle":"","family":"Brazinova","given":"Alexandra","non-dropping-particle":"","parse-names":false,"suffix":""},{"dropping-particle":"","family":"Breitborde","given":"Nicholas J.K.","non-dropping-particle":"","parse-names":false,"suffix":""},{"dropping-particle":"","family":"Brown","given":"Jonathan","non-dropping-particle":"","parse-names":false,"suffix":""},{"dropping-particle":"","family":"Buchbinder","given":"Rachelle","non-dropping-particle":"","parse-names":false,"suffix":""},{"dropping-particle":"","family":"Buckle","given":"Geoffrey Colin","non-dropping-particle":"","parse-names":false,"suffix":""},{"dropping-particle":"","family":"Butt","given":"Zahid A.","non-dropping-particle":"","parse-names":false,"suffix":""},{"dropping-particle":"","family":"Calabria","given":"Bianca","non-dropping-particle":"","parse-names":false,"suffix":""},{"dropping-particle":"","family":"Campos-Nonato","given":"Ismael Ricardo","non-dropping-particle":"","parse-names":false,"suffix":""},{"dropping-particle":"","family":"Campuzano","given":"Julio Cesar","non-dropping-particle":"","parse-names":false,"suffix":""},{"dropping-particle":"","family":"Carabin","given":"Hélène","non-dropping-particle":"","parse-names":false,"suffix":""},{"dropping-particle":"","family":"Cárdenas","given":"Rosario","non-dropping-particle":"","parse-names":false,"suffix":""},{"dropping-particle":"","family":"Carpenter","given":"David O.","non-dropping-particle":"","parse-names":false,"suffix":""},{"dropping-particle":"","family":"Carrero","given":"Juan Jesus","non-dropping-particle":"","parse-names":false,"suffix":""},{"dropping-particle":"","family":"Castañeda-Orjuela","given":"Carlos A.","non-dropping-particle":"","parse-names":false,"suffix":""},{"dropping-particle":"","family":"Rivas","given":"Jacqueline Castillo","non-dropping-particle":"","parse-names":false,"suffix":""},{"dropping-particle":"","family":"Catalá-López","given":"Ferrán","non-dropping-particle":"","parse-names":false,"suffix":""},{"dropping-particle":"","family":"Chang","given":"Jung Chen","non-dropping-particle":"","parse-names":false,"suffix":""},{"dropping-particle":"","family":"Chiang","given":"Peggy Pei Chia","non-dropping-particle":"","parse-names":false,"suffix":""},{"dropping-particle":"","family":"Chibueze","given":"Chioma Ezinne","non-dropping-particle":"","parse-names":false,"suffix":""},{"dropping-particle":"","family":"Chisumpa","given":"Vesper Hichilombwe","non-dropping-particle":"","parse-names":false,"suffix":""},{"dropping-particle":"","family":"Choi","given":"Jee Young Jasmine","non-dropping-particle":"","parse-names":false,"suffix":""},{"dropping-particle":"","family":"Chowdhury","given":"Rajiv","non-dropping-particle":"","parse-names":false,"suffix":""},{"dropping-particle":"","family":"Christensen","given":"Hanne","non-dropping-particle":"","parse-names":false,"suffix":""},{"dropping-particle":"","family":"Christopher","given":"Devasahayam Jesudas","non-dropping-particle":"","parse-names":false,"suffix":""},{"dropping-particle":"","family":"Ciobanu","given":"Liliana G.","non-dropping-particle":"","parse-names":false,"suffix":""},{"dropping-particle":"","family":"Cirillo","given":"Massimo","non-dropping-particle":"","parse-names":false,"suffix":""},{"dropping-particle":"","family":"Coates","given":"Matthew M.","non-dropping-particle":"","parse-names":false,"suffix":""},{"dropping-particle":"","family":"Colquhoun","given":"Samantha M.","non-dropping-particle":"","parse-names":false,"suffix":""},{"dropping-particle":"","family":"Cooper","given":"Cyrus","non-dropping-particle":"","parse-names":false,"suffix":""},{"dropping-particle":"","family":"Cortinovis","given":"Monica","non-dropping-particle":"","parse-names":false,"suffix":""},{"dropping-particle":"","family":"Crump","given":"John A.","non-dropping-particle":"","parse-names":false,"suffix":""},{"dropping-particle":"","family":"Damtew","given":"Solomon Abrha","non-dropping-particle":"","parse-names":false,"suffix":""},{"dropping-particle":"","family":"Dandona","given":"Rakhi","non-dropping-particle":"","parse-names":false,"suffix":""},{"dropping-particle":"","family":"Daoud","given":"Farah","non-dropping-particle":"","parse-names":false,"suffix":""},{"dropping-particle":"","family":"Dargan","given":"Paul I.","non-dropping-particle":"","parse-names":false,"suffix":""},{"dropping-particle":"","family":"Neves","given":"José","non-dropping-particle":"das","parse-names":false,"suffix":""},{"dropping-particle":"","family":"Davey","given":"Gail","non-dropping-particle":"","parse-names":false,"suffix":""},{"dropping-particle":"","family":"Davis","given":"Adrian C.","non-dropping-particle":"","parse-names":false,"suffix":""},{"dropping-particle":"De","family":"Leo","given":"Diego","non-dropping-particle":"","parse-names":false,"suffix":""},{"dropping-particle":"","family":"Degenhardt","given":"Louisa","non-dropping-particle":"","parse-names":false,"suffix":""},{"dropping-particle":"","family":"Gobbo","given":"Liana C.Del","non-dropping-particle":"","parse-names":false,"suffix":""},{"dropping-particle":"","family":"Dellavalle","given":"Robert P.","non-dropping-particle":"","parse-names":false,"suffix":""},{"dropping-particle":"","family":"Deribe","given":"Kebede","non-dropping-particle":"","parse-names":false,"suffix":""},{"dropping-particle":"","family":"Deribew","given":"Amare","non-dropping-particle":"","parse-names":false,"suffix":""},{"dropping-particle":"","family":"Derrett","given":"Sarah","non-dropping-particle":"","parse-names":false,"suffix":""},{"dropping-particle":"","family":"Jarlais","given":"Don C.Des","non-dropping-particle":"","parse-names":false,"suffix":""},{"dropping-particle":"","family":"Dharmaratne","given":"Samath D.","non-dropping-particle":"","parse-names":false,"suffix":""},{"dropping-particle":"","family":"Dhillon","given":"Preet K.","non-dropping-particle":"","parse-names":false,"suffix":""},{"dropping-particle":"","family":"Diaz-Torné","given":"Cesar","non-dropping-particle":"","parse-names":false,"suffix":""},{"dropping-particle":"","family":"Ding","given":"Eric L.","non-dropping-particle":"","parse-names":false,"suffix":""},{"dropping-particle":"","family":"Driscoll","given":"Tim R.","non-dropping-particle":"","parse-names":false,"suffix":""},{"dropping-particle":"","family":"Duan","given":"Leilei","non-dropping-particle":"","parse-names":false,"suffix":""},{"dropping-particle":"","family":"Dubey","given":"Manisha","non-dropping-particle":"","parse-names":false,"suffix":""},{"dropping-particle":"","family":"Duncan","given":"Bruce Bartholow","non-dropping-particle":"","parse-names":false,"suffix":""},{"dropping-particle":"","family":"Ebrahimi","given":"Hedyeh","non-dropping-particle":"","parse-names":false,"suffix":""},{"dropping-particle":"","family":"Ellenbogen","given":"Richard G.","non-dropping-particle":"","parse-names":false,"suffix":""},{"dropping-particle":"","family":"Elyazar","given":"Iqbal","non-dropping-particle":"","parse-names":false,"suffix":""},{"dropping-particle":"","family":"Endres","given":"Matthias","non-dropping-particle":"","parse-names":false,"suffix":""},{"dropping-particle":"","family":"Endries","given":"Aman Yesuf","non-dropping-particle":"","parse-names":false,"suffix":""},{"dropping-particle":"","family":"Ermakov","given":"Sergey Petrovich","non-dropping-particle":"","parse-names":false,"suffix":""},{"dropping-particle":"","family":"Eshrati","given":"Babak","non-dropping-particle":"","parse-names":false,"suffix":""},{"dropping-particle":"","family":"Estep","given":"Kara","non-dropping-particle":"","parse-names":false,"suffix":""},{"dropping-particle":"","family":"Farid","given":"Talha A.","non-dropping-particle":"","parse-names":false,"suffix":""},{"dropping-particle":"","family":"Farinha","given":"Carla Sofia e.Sa","non-dropping-particle":"","parse-names":false,"suffix":""},{"dropping-particle":"","family":"Faro","given":"André","non-dropping-particle":"","parse-names":false,"suffix":""},{"dropping-particle":"","family":"Farvid","given":"Maryam S.","non-dropping-particle":"","parse-names":false,"suffix":""},{"dropping-particle":"","family":"Farzadfar","given":"Farshad","non-dropping-particle":"","parse-names":false,"suffix":""},{"dropping-particle":"","family":"Feigin","given":"Valery L.","non-dropping-particle":"","parse-names":false,"suffix":""},{"dropping-particle":"","family":"Felson","given":"David T.","non-dropping-particle":"","parse-names":false,"suffix":""},{"dropping-particle":"","family":"Fereshtehnejad","given":"Seyed Mohammad","non-dropping-particle":"","parse-names":false,"suffix":""},{"dropping-particle":"","family":"Fernandes","given":"Jefferson G.","non-dropping-particle":"","parse-names":false,"suffix":""},{"dropping-particle":"","family":"Fernandes","given":"Joao C.","non-dropping-particle":"","parse-names":false,"suffix":""},{"dropping-particle":"","family":"Fischer","given":"Florian","non-dropping-particle":"","parse-names":false,"suffix":""},{"dropping-particle":"","family":"Fitchett","given":"Joseph R.A.","non-dropping-particle":"","parse-names":false,"suffix":""},{"dropping-particle":"","family":"Foreman","given":"Kyle","non-dropping-particle":"","parse-names":false,"suffix":""},{"dropping-particle":"","family":"Fowkes","given":"F. Gerry R.","non-dropping-particle":"","parse-names":false,"suffix":""},{"dropping-particle":"","family":"Fox","given":"Jordan","non-dropping-particle":"","parse-names":false,"suffix":""},{"dropping-particle":"","family":"Franklin","given":"Richard C.","non-dropping-particle":"","parse-names":false,"suffix":""},{"dropping-particle":"","family":"Friedman","given":"Joseph","non-dropping-particle":"","parse-names":false,"suffix":""},{"dropping-particle":"","family":"Frostad","given":"Joseph","non-dropping-particle":"","parse-names":false,"suffix":""},{"dropping-particle":"","family":"Fürst","given":"Thomas","non-dropping-particle":"","parse-names":false,"suffix":""},{"dropping-particle":"","family":"Futran","given":"Neal D.","non-dropping-particle":"","parse-names":false,"suffix":""},{"dropping-particle":"","family":"Gabbe","given":"Belinda","non-dropping-particle":"","parse-names":false,"suffix":""},{"dropping-particle":"","family":"Ganguly","given":"Parthasarathi","non-dropping-particle":"","parse-names":false,"suffix":""},{"dropping-particle":"","family":"Gankpé","given":"Fortuné Gbètoho","non-dropping-particle":"","parse-names":false,"suffix":""},{"dropping-particle":"","family":"Gebre","given":"Teshome","non-dropping-particle":"","parse-names":false,"suffix":""},{"dropping-particle":"","family":"Gebrehiwot","given":"Tsegaye Tewelde","non-dropping-particle":"","parse-names":false,"suffix":""},{"dropping-particle":"","family":"Gebremedhin","given":"Amanuel Tesfay","non-dropping-particle":"","parse-names":false,"suffix":""},{"dropping-particle":"","family":"Geleijnse","given":"Johanna M.","non-dropping-particle":"","parse-names":false,"suffix":""},{"dropping-particle":"","family":"Gessner","given":"Bradford D.","non-dropping-particle":"","parse-names":false,"suffix":""},{"dropping-particle":"","family":"Gibney","given":"Katherine B.","non-dropping-particle":"","parse-names":false,"suffix":""},{"dropping-particle":"","family":"Ginawi","given":"Ibrahim Abdelmageem Mohamed","non-dropping-particle":"","parse-names":false,"suffix":""},{"dropping-particle":"","family":"Giref","given":"Ababi Zergaw","non-dropping-particle":"","parse-names":false,"suffix":""},{"dropping-particle":"","family":"Giroud","given":"Maurice","non-dropping-particle":"","parse-names":false,"suffix":""},{"dropping-particle":"","family":"Gishu","given":"Melkamu Dedefo","non-dropping-particle":"","parse-names":false,"suffix":""},{"dropping-particle":"","family":"Glaser","given":"Elizabeth","non-dropping-particle":"","parse-names":false,"suffix":""},{"dropping-particle":"","family":"Godwin","given":"William W.","non-dropping-particle":"","parse-names":false,"suffix":""},{"dropping-particle":"","family":"Gomez-Dantes","given":"Hector","non-dropping-particle":"","parse-names":false,"suffix":""},{"dropping-particle":"","family":"Gona","given":"Philimon","non-dropping-particle":"","parse-names":false,"suffix":""},{"dropping-particle":"","family":"Goodridge","given":"Amador","non-dropping-particle":"","parse-names":false,"suffix":""},{"dropping-particle":"","family":"Gopalani","given":"Sameer Vali","non-dropping-particle":"","parse-names":false,"suffix":""},{"dropping-particle":"","family":"Gotay","given":"Carolyn C.","non-dropping-particle":"","parse-names":false,"suffix":""},{"dropping-particle":"","family":"Goto","given":"Atsushi","non-dropping-particle":"","parse-names":false,"suffix":""},{"dropping-particle":"","family":"Gouda","given":"Hebe N.","non-dropping-particle":"","parse-names":false,"suffix":""},{"dropping-particle":"","family":"Grainger","given":"Rebecca","non-dropping-particle":"","parse-names":false,"suffix":""},{"dropping-particle":"","family":"Greaves","given":"Felix","non-dropping-particle":"","parse-names":false,"suffix":""},{"dropping-particle":"","family":"Guillemin","given":"Francis","non-dropping-particle":"","parse-names":false,"suffix":""},{"dropping-particle":"","family":"Guo","given":"Yuming","non-dropping-particle":"","parse-names":false,"suffix":""},{"dropping-particle":"","family":"Gupta","given":"Rahul","non-dropping-particle":"","parse-names":false,"suffix":""},{"dropping-particle":"","family":"Gupta","given":"Rajeev","non-dropping-particle":"","parse-names":false,"suffix":""},{"dropping-particle":"","family":"Gupta","given":"Vipin","non-dropping-particle":"","parse-names":false,"suffix":""},{"dropping-particle":"","family":"Gutiérrez","given":"Reyna A.","non-dropping-particle":"","parse-names":false,"suffix":""},{"dropping-particle":"","family":"Haile","given":"Demewoz","non-dropping-particle":"","parse-names":false,"suffix":""},{"dropping-particle":"","family":"Hailu","given":"Alemayehu Desalegne","non-dropping-particle":"","parse-names":false,"suffix":""},{"dropping-particle":"","family":"Hailu","given":"Gessessew Bugssa","non-dropping-particle":"","parse-names":false,"suffix":""},{"dropping-particle":"","family":"Halasa","given":"Yara A.","non-dropping-particle":"","parse-names":false,"suffix":""},{"dropping-particle":"","family":"Hamadeh","given":"Randah Ribhi","non-dropping-particle":"","parse-names":false,"suffix":""},{"dropping-particle":"","family":"Hamidi","given":"Samer","non-dropping-particle":"","parse-names":false,"suffix":""},{"dropping-particle":"","family":"Hammami","given":"Mouhanad","non-dropping-particle":"","parse-names":false,"suffix":""},{"dropping-particle":"","family":"Hancock","given":"Jamie","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Maria","non-dropping-particle":"","parse-names":false,"suffix":""},{"dropping-particle":"","family":"Havmoeller","given":"Rasmus","non-dropping-particle":"","parse-names":false,"suffix":""},{"dropping-particle":"","family":"Hay","given":"Roderick J.","non-dropping-particle":"","parse-names":false,"suffix":""},{"dropping-particle":"","family":"Heredia-Pi","given":"Ileana Beatriz","non-dropping-particle":"","parse-names":false,"suffix":""},{"dropping-particle":"","family":"Heydarpour","given":"Pouria","non-dropping-particle":"","parse-names":false,"suffix":""},{"dropping-particle":"","family":"Hoek","given":"Hans W.","non-dropping-particle":"","parse-names":false,"suffix":""},{"dropping-particle":"","family":"Horino","given":"Masako","non-dropping-particle":"","parse-names":false,"suffix":""},{"dropping-particle":"","family":"Horita","given":"Nobuyuki","non-dropping-particle":"","parse-names":false,"suffix":""},{"dropping-particle":"","family":"Hosgood","given":"H. Dean","non-dropping-particle":"","parse-names":false,"suffix":""},{"dropping-particle":"","family":"Hoy","given":"Damian G.","non-dropping-particle":"","parse-names":false,"suffix":""},{"dropping-particle":"","family":"Htet","given":"Aung Soe","non-dropping-particle":"","parse-names":false,"suffix":""},{"dropping-particle":"","family":"Huang","given":"Hsiang","non-dropping-particle":"","parse-names":false,"suffix":""},{"dropping-particle":"","family":"Huang","given":"John J.","non-dropping-particle":"","parse-names":false,"suffix":""},{"dropping-particle":"","family":"Huynh","given":"Chantal","non-dropping-particle":"","parse-names":false,"suffix":""},{"dropping-particle":"","family":"Iannarone","given":"Marissa","non-dropping-particle":"","parse-names":false,"suffix":""},{"dropping-particle":"","family":"Iburg","given":"Kim Moesgaard","non-dropping-particle":"","parse-names":false,"suffix":""},{"dropping-particle":"","family":"Innos","given":"Kaire","non-dropping-particle":"","parse-names":false,"suffix":""},{"dropping-particle":"","family":"Inoue","given":"Manami","non-dropping-particle":"","parse-names":false,"suffix":""},{"dropping-particle":"","family":"Iyer","given":"Veena J.","non-dropping-particle":"","parse-names":false,"suffix":""},{"dropping-particle":"","family":"Jacobsen","given":"Kathryn H.","non-dropping-particle":"","parse-names":false,"suffix":""},{"dropping-particle":"","family":"Jahanmehr","given":"Nader","non-dropping-particle":"","parse-names":false,"suffix":""},{"dropping-particle":"","family":"Jakovljevic","given":"Mihajlo B.","non-dropping-particle":"","parse-names":false,"suffix":""},{"dropping-particle":"","family":"Javanbakht","given":"Mehdi","non-dropping-particle":"","parse-names":false,"suffix":""},{"dropping-particle":"","family":"Jayatilleke","given":"Achala Upendra","non-dropping-particle":"","parse-names":false,"suffix":""},{"dropping-particle":"","family":"Jee","given":"Sun Ha","non-dropping-particle":"","parse-names":false,"suffix":""},{"dropping-particle":"","family":"Jeemon","given":"Panniyammakal","non-dropping-particle":"","parse-names":false,"suffix":""},{"dropping-particle":"","family":"Jensen","given":"Paul N.","non-dropping-particle":"","parse-names":false,"suffix":""},{"dropping-particle":"","family":"Jiang","given":"Ying","non-dropping-particle":"","parse-names":false,"suffix":""},{"dropping-particle":"","family":"Jibat","given":"Tariku","non-dropping-particle":"","parse-names":false,"suffix":""},{"dropping-particle":"","family":"Jimenez-Corona","given":"Aida","non-dropping-particle":"","parse-names":false,"suffix":""},{"dropping-particle":"","family":"Jin","given":"Ye","non-dropping-particle":"","parse-names":false,"suffix":""},{"dropping-particle":"","family":"Jonas","given":"Jost B.","non-dropping-particle":"","parse-names":false,"suffix":""},{"dropping-particle":"","family":"Kabir","given":"Zubair","non-dropping-particle":"","parse-names":false,"suffix":""},{"dropping-particle":"","family":"Kalkonde","given":"Yogeshwar","non-dropping-particle":"","parse-names":false,"suffix":""},{"dropping-particle":"","family":"Kamal","given":"Ritul","non-dropping-particle":"","parse-names":false,"suffix":""},{"dropping-particle":"","family":"Kan","given":"Haidong","non-dropping-particle":"","parse-names":false,"suffix":""},{"dropping-particle":"","family":"Karch","given":"André","non-dropping-particle":"","parse-names":false,"suffix":""},{"dropping-particle":"","family":"Karema","given":"Corine Kakizi","non-dropping-particle":"","parse-names":false,"suffix":""},{"dropping-particle":"","family":"Karimkhani","given":"Chante","non-dropping-particle":"","parse-names":false,"suffix":""},{"dropping-particle":"","family":"Kasaeian","given":"Amir","non-dropping-particle":"","parse-names":false,"suffix":""},{"dropping-particle":"","family":"Kaul","given":"Anil","non-dropping-particle":"","parse-names":false,"suffix":""},{"dropping-particle":"","family":"Kawakami","given":"Norito","non-dropping-particle":"","parse-names":false,"suffix":""},{"dropping-particle":"","family":"Keiyoro","given":"Peter Njenga","non-dropping-particle":"","parse-names":false,"suffix":""},{"dropping-particle":"","family":"Kemp","given":"Andrew Haddon","non-dropping-particle":"","parse-names":false,"suffix":""},{"dropping-particle":"","family":"Keren","given":"Andre","non-dropping-particle":"","parse-names":false,"suffix":""},{"dropping-particle":"","family":"Kesavachandran","given":"Chandrasekharan Nair","non-dropping-particle":"","parse-names":false,"suffix":""},{"dropping-particle":"","family":"Khader","given":"Yousef Saleh","non-dropping-particle":"","parse-names":false,"suffix":""},{"dropping-particle":"","family":"Khan","given":"Abdur Rahman","non-dropping-particle":"","parse-names":false,"suffix":""},{"dropping-particle":"","family":"Khan","given":"Ejaz Ahmad","non-dropping-particle":"","parse-names":false,"suffix":""},{"dropping-particle":"","family":"Khang","given":"Young Ho","non-dropping-particle":"","parse-names":false,"suffix":""},{"dropping-particle":"","family":"Khera","given":"Sahil","non-dropping-particle":"","parse-names":false,"suffix":""},{"dropping-particle":"","family":"Khoja","given":"Tawfik Ahmed Muthafer","non-dropping-particle":"","parse-names":false,"suffix":""},{"dropping-particle":"","family":"Khubchandani","given":"Jagdish","non-dropping-particle":"","parse-names":false,"suffix":""},{"dropping-particle":"","family":"Kieling","given":"Christian","non-dropping-particle":"","parse-names":false,"suffix":""},{"dropping-particle":"","family":"Kim","given":"Pauline","non-dropping-particle":"","parse-names":false,"suffix":""},{"dropping-particle":"il","family":"Kim","given":"Cho","non-dropping-particle":"","parse-names":false,"suffix":""},{"dropping-particle":"","family":"Kim","given":"Daniel","non-dropping-particle":"","parse-names":false,"suffix":""},{"dropping-particle":"","family":"Kim","given":"Yun Jin","non-dropping-particle":"","parse-names":false,"suffix":""},{"dropping-particle":"","family":"Kissoon","given":"Niranjan","non-dropping-particle":"","parse-names":false,"suffix":""},{"dropping-particle":"","family":"Knibbs","given":"Luke D.","non-dropping-particle":"","parse-names":false,"suffix":""},{"dropping-particle":"","family":"Knudsen","given":"Ann Kristin","non-dropping-particle":"","parse-names":false,"suffix":""},{"dropping-particle":"","family":"Kokubo","given":"Yoshihiro","non-dropping-particle":"","parse-names":false,"suffix":""},{"dropping-particle":"","family":"Kolte","given":"Dhaval","non-dropping-particle":"","parse-names":false,"suffix":""},{"dropping-particle":"","family":"Kopec","given":"Jacek A.","non-dropping-particle":"","parse-names":false,"suffix":""},{"dropping-particle":"","family":"Kosen","given":"Soewarta","non-dropping-particle":"","parse-names":false,"suffix":""},{"dropping-particle":"","family":"Kotsakis","given":"Georgios A.","non-dropping-particle":"","parse-names":false,"suffix":""},{"dropping-particle":"","family":"Koul","given":"Parvaiz A.","non-dropping-particle":"","parse-names":false,"suffix":""},{"dropping-particle":"","family":"Koyanagi","given":"Ai","non-dropping-particle":"","parse-names":false,"suffix":""},{"dropping-particle":"","family":"Kravchenko","given":"Michael","non-dropping-particle":"","parse-names":false,"suffix":""},{"dropping-particle":"","family":"Defo","given":"Barthelemy Kuate","non-dropping-particle":"","parse-names":false,"suffix":""},{"dropping-particle":"","family":"Bicer","given":"Burcu Kucuk","non-dropping-particle":"","parse-names":false,"suffix":""},{"dropping-particle":"","family":"Kudom","given":"Andreas A.","non-dropping-particle":"","parse-names":false,"suffix":""},{"dropping-particle":"","family":"Kuipers","given":"Ernst J.","non-dropping-particle":"","parse-names":false,"suffix":""},{"dropping-particle":"","family":"Kumar","given":"G. Anil","non-dropping-particle":"","parse-names":false,"suffix":""},{"dropping-particle":"","family":"Kutz","given":"Michael","non-dropping-particle":"","parse-names":false,"suffix":""},{"dropping-particle":"","family":"Kwan","given":"Gene F.","non-dropping-particle":"","parse-names":false,"suffix":""},{"dropping-particle":"","family":"Lal","given":"Aparna","non-dropping-particle":"","parse-names":false,"suffix":""},{"dropping-particle":"","family":"Lalloo","given":"Ratilal","non-dropping-particle":"","parse-names":false,"suffix":""},{"dropping-particle":"","family":"Lallukka","given":"Tea","non-dropping-particle":"","parse-names":false,"suffix":""},{"dropping-particle":"","family":"Lam","given":"Hilton","non-dropping-particle":"","parse-names":false,"suffix":""},{"dropping-particle":"","family":"Lam","given":"Jennifer O.","non-dropping-particle":"","parse-names":false,"suffix":""},{"dropping-particle":"","family":"Langan","given":"Sinead M.","non-dropping-particle":"","parse-names":false,"suffix":""},{"dropping-particle":"","family":"Larsson","given":"Anders","non-dropping-particle":"","parse-names":false,"suffix":""},{"dropping-particle":"","family":"Lavados","given":"Pablo M.","non-dropping-particle":"","parse-names":false,"suffix":""},{"dropping-particle":"","family":"Leasher","given":"Janet L.","non-dropping-particle":"","parse-names":false,"suffix":""},{"dropping-particle":"","family":"Leigh","given":"James","non-dropping-particle":"","parse-names":false,"suffix":""},{"dropping-particle":"","family":"Leung","given":"Ricky","non-dropping-particle":"","parse-names":false,"suffix":""},{"dropping-particle":"","family":"Levi","given":"Miriam","non-dropping-particle":"","parse-names":false,"suffix":""},{"dropping-particle":"","family":"Li","given":"Yichong","non-dropping-particle":"","parse-names":false,"suffix":""},{"dropping-particle":"","family":"Li","given":"Yongmei","non-dropping-particle":"","parse-names":false,"suffix":""},{"dropping-particle":"","family":"Liang","given":"Juan","non-dropping-particle":"","parse-names":false,"suffix":""},{"dropping-particle":"","family":"Liu","given":"Shiwei","non-dropping-particle":"","parse-names":false,"suffix":""},{"dropping-particle":"","family":"Liu","given":"Yang","non-dropping-particle":"","parse-names":false,"suffix":""},{"dropping-particle":"","family":"Lloyd","given":"Belinda K.","non-dropping-particle":"","parse-names":false,"suffix":""},{"dropping-particle":"","family":"Lo","given":"Warren D.","non-dropping-particle":"","parse-names":false,"suffix":""},{"dropping-particle":"","family":"Logroscino","given":"Giancarlo","non-dropping-particle":"","parse-names":false,"suffix":""},{"dropping-particle":"","family":"Looker","given":"Katharine J.","non-dropping-particle":"","parse-names":false,"suffix":""},{"dropping-particle":"","family":"Lotufo","given":"Paulo A.","non-dropping-particle":"","parse-names":false,"suffix":""},{"dropping-particle":"","family":"Lunevicius","given":"Raimundas","non-dropping-particle":"","parse-names":false,"suffix":""},{"dropping-particle":"","family":"Lyons","given":"Ronan A.","non-dropping-particle":"","parse-names":false,"suffix":""},{"dropping-particle":"","family":"Mackay","given":"Mark T.","non-dropping-particle":"","parse-names":false,"suffix":""},{"dropping-particle":"","family":"Magdy","given":"Mohammed","non-dropping-particle":"","parse-names":false,"suffix":""},{"dropping-particle":"El","family":"Razek","given":"Abd","non-dropping-particle":"","parse-names":false,"suffix":""},{"dropping-particle":"","family":"Mahdavi","given":"Mahdi","non-dropping-particle":"","parse-names":false,"suffix":""},{"dropping-particle":"","family":"Majdan","given":"Marek","non-dropping-particle":"","parse-names":false,"suffix":""},{"dropping-particle":"","family":"Majeed","given":"Azeem","non-dropping-particle":"","parse-names":false,"suffix":""},{"dropping-particle":"","family":"Malekzadeh","given":"Reza","non-dropping-particle":"","parse-names":false,"suffix":""},{"dropping-particle":"","family":"Marcenes","given":"Wagner","non-dropping-particle":"","parse-names":false,"suffix":""},{"dropping-particle":"","family":"Margolis","given":"David Joel","non-dropping-particle":"","parse-names":false,"suffix":""},{"dropping-particle":"","family":"Martinez-Raga","given":"Jose","non-dropping-particle":"","parse-names":false,"suffix":""},{"dropping-particle":"","family":"Masiye","given":"Felix","non-dropping-particle":"","parse-names":false,"suffix":""},{"dropping-particle":"","family":"Massano","given":"João","non-dropping-particle":"","parse-names":false,"suffix":""},{"dropping-particle":"","family":"McGarvey","given":"Stephen Theodore","non-dropping-particle":"","parse-names":false,"suffix":""},{"dropping-particle":"","family":"McGrath","given":"John J.","non-dropping-particle":"","parse-names":false,"suffix":""},{"dropping-particle":"","family":"McKee","given":"Martin","non-dropping-particle":"","parse-names":false,"suffix":""},{"dropping-particle":"","family":"McMahon","given":"Brian J.","non-dropping-particle":"","parse-names":false,"suffix":""},{"dropping-particle":"","family":"Meaney","given":"Peter A.","non-dropping-particle":"","parse-names":false,"suffix":""},{"dropping-particle":"","family":"Mehari","given":"Alem","non-dropping-particle":"","parse-names":false,"suffix":""},{"dropping-particle":"","family":"Mejia-Rodriguez","given":"Fabiola","non-dropping-particle":"","parse-names":false,"suffix":""},{"dropping-particle":"","family":"Mekonnen","given":"Alemayehu B.","non-dropping-particle":"","parse-names":false,"suffix":""},{"dropping-particle":"","family":"Melaku","given":"Yohannes Adama","non-dropping-particle":"","parse-names":false,"suffix":""},{"dropping-particle":"","family":"Memiah","given":"Peter","non-dropping-particle":"","parse-names":false,"suffix":""},{"dropping-particle":"","family":"Memish","given":"Ziad A.","non-dropping-particle":"","parse-names":false,"suffix":""},{"dropping-particle":"","family":"Mendoza","given":"Walter","non-dropping-particle":"","parse-names":false,"suffix":""},{"dropping-particle":"","family":"Meretoja","given":"Atte","non-dropping-particle":"","parse-names":false,"suffix":""},{"dropping-particle":"","family":"Meretoja","given":"Tuomo J.","non-dropping-particle":"","parse-names":false,"suffix":""},{"dropping-particle":"","family":"Mhimbira","given":"Francis Apolinary","non-dropping-particle":"","parse-names":false,"suffix":""},{"dropping-particle":"","family":"Miller","given":"Ted R.","non-dropping-particle":"","parse-names":false,"suffix":""},{"dropping-particle":"","family":"Mills","given":"Edward J.","non-dropping-particle":"","parse-names":false,"suffix":""},{"dropping-particle":"","family":"Mirarefin","given":"Mojde","non-dropping-particle":"","parse-names":false,"suffix":""},{"dropping-particle":"","family":"Mitchell","given":"Philip B.","non-dropping-particle":"","parse-names":false,"suffix":""},{"dropping-particle":"","family":"Mock","given":"Charles N.","non-dropping-particle":"","parse-names":false,"suffix":""},{"dropping-particle":"","family":"Mohammadi","given":"Alireza","non-dropping-particle":"","parse-names":false,"suffix":""},{"dropping-particle":"","family":"Mohammed","given":"Shafiu","non-dropping-particle":"","parse-names":false,"suffix":""},{"dropping-particle":"","family":"Monasta","given":"Lorenzo","non-dropping-particle":"","parse-names":false,"suffix":""},{"dropping-particle":"","family":"Hernandez","given":"Julio Cesar Montañez","non-dropping-particle":"","parse-names":false,"suffix":""},{"dropping-particle":"","family":"Montico","given":"Marcella","non-dropping-particle":"","parse-names":false,"suffix":""},{"dropping-particle":"","family":"Mooney","given":"Meghan D.","non-dropping-particle":"","parse-names":false,"suffix":""},{"dropping-particle":"","family":"Moradi-Lakeh","given":"Maziar","non-dropping-particle":"","parse-names":false,"suffix":""},{"dropping-particle":"","family":"Morawska","given":"Lidia","non-dropping-particle":"","parse-names":false,"suffix":""},{"dropping-particle":"","family":"Mueller","given":"Ulrich O.","non-dropping-particle":"","parse-names":false,"suffix":""},{"dropping-particle":"","family":"Mullany","given":"Erin","non-dropping-particle":"","parse-names":false,"suffix":""},{"dropping-particle":"","family":"Mumford","given":"John Everett","non-dropping-particle":"","parse-names":false,"suffix":""},{"dropping-particle":"","family":"Murdoch","given":"Michele E.","non-dropping-particle":"","parse-names":false,"suffix":""},{"dropping-particle":"","family":"Nachega","given":"Jean B.","non-dropping-particle":"","parse-names":false,"suffix":""},{"dropping-particle":"","family":"Nagel","given":"Gabriele","non-dropping-particle":"","parse-names":false,"suffix":""},{"dropping-particle":"","family":"Naheed","given":"Aliya","non-dropping-particle":"","parse-names":false,"suffix":""},{"dropping-particle":"","family":"Naldi","given":"Luigi","non-dropping-particle":"","parse-names":false,"suffix":""},{"dropping-particle":"","family":"Nangia","given":"Vinay","non-dropping-particle":"","parse-names":false,"suffix":""},{"dropping-particle":"","family":"Newton","given":"John N.","non-dropping-particle":"","parse-names":false,"suffix":""},{"dropping-particle":"","family":"Ng","given":"Marie","non-dropping-particle":"","parse-names":false,"suffix":""},{"dropping-particle":"","family":"Ngalesoni","given":"Frida Namnyak","non-dropping-particle":"","parse-names":false,"suffix":""},{"dropping-particle":"Le","family":"Nguyen","given":"Quyen","non-dropping-particle":"","parse-names":false,"suffix":""},{"dropping-particle":"","family":"Nisar","given":"Muhammad Imran","non-dropping-particle":"","parse-names":false,"suffix":""},{"dropping-particle":"","family":"Pete","given":"Patrick Martial Nkamedjie","non-dropping-particle":"","parse-names":false,"suffix":""},{"dropping-particle":"","family":"Nolla","given":"Joan M.","non-dropping-particle":"","parse-names":false,"suffix":""},{"dropping-particle":"","family":"Norheim","given":"Ole F.","non-dropping-particle":"","parse-names":false,"suffix":""},{"dropping-particle":"","family":"Norman","given":"Rosana E.","non-dropping-particle":"","parse-names":false,"suffix":""},{"dropping-particle":"","family":"Norrving","given":"Bo","non-dropping-particle":"","parse-names":false,"suffix":""},{"dropping-particle":"","family":"Nunes","given":"Bruno P.","non-dropping-particle":"","parse-names":false,"suffix":""},{"dropping-particle":"","family":"Ogbo","given":"Felix Akpojene","non-dropping-particle":"","parse-names":false,"suffix":""},{"dropping-particle":"","family":"Oh","given":"In Hwan","non-dropping-particle":"","parse-names":false,"suffix":""},{"dropping-particle":"","family":"Ohkubo","given":"Takayoshi","non-dropping-particle":"","parse-names":false,"suffix":""},{"dropping-particle":"","family":"Olivares","given":"Pedro R.","non-dropping-particle":"","parse-names":false,"suffix":""},{"dropping-particle":"","family":"Olusanya","given":"Bolajoko Olubukunola","non-dropping-particle":"","parse-names":false,"suffix":""},{"dropping-particle":"","family":"Olusanya","given":"Jacob Olusegun","non-dropping-particle":"","parse-names":false,"suffix":""},{"dropping-particle":"","family":"Ortiz","given":"Alberto","non-dropping-particle":"","parse-names":false,"suffix":""},{"dropping-particle":"","family":"Osman","given":"Majdi","non-dropping-particle":"","parse-names":false,"suffix":""},{"dropping-particle":"","family":"Ota","given":"Erika","non-dropping-particle":"","parse-names":false,"suffix":""},{"dropping-particle":"","family":"PA","given":"Mahesh","non-dropping-particle":"","parse-names":false,"suffix":""},{"dropping-particle":"","family":"Park","given":"Eun Kee","non-dropping-particle":"","parse-names":false,"suffix":""},{"dropping-particle":"","family":"Parsaeian","given":"Mahboubeh","non-dropping-particle":"","parse-names":false,"suffix":""},{"dropping-particle":"","family":"Azeredo Passos","given":"Valéria Maria","non-dropping-particle":"de","parse-names":false,"suffix":""},{"dropping-particle":"","family":"Caicedo","given":"Angel J.Paternina","non-dropping-particle":"","parse-names":false,"suffix":""},{"dropping-particle":"","family":"Patten","given":"Scott B.","non-dropping-particle":"","parse-names":false,"suffix":""},{"dropping-particle":"","family":"Patton","given":"George C.","non-dropping-particle":"","parse-names":false,"suffix":""},{"dropping-particle":"","family":"Pereira","given":"David M.","non-dropping-particle":"","parse-names":false,"suffix":""},{"dropping-particle":"","family":"Perez-Padilla","given":"Rogelio","non-dropping-particle":"","parse-names":false,"suffix":""},{"dropping-particle":"","family":"Perico","given":"Norberto","non-dropping-particle":"","parse-names":false,"suffix":""},{"dropping-particle":"","family":"Pesudovs","given":"Konrad","non-dropping-particle":"","parse-names":false,"suffix":""},{"dropping-particle":"","family":"Petzold","given":"Max","non-dropping-particle":"","parse-names":false,"suffix":""},{"dropping-particle":"","family":"Phillips","given":"Michael Robert","non-dropping-particle":"","parse-names":false,"suffix":""},{"dropping-particle":"","family":"Piel","given":"Frédéric B.","non-dropping-particle":"","parse-names":false,"suffix":""},{"dropping-particle":"","family":"Pillay","given":"Julian David","non-dropping-particle":"","parse-names":false,"suffix":""},{"dropping-particle":"","family":"Pishgar","given":"Farhad","non-dropping-particle":"","parse-names":false,"suffix":""},{"dropping-particle":"","family":"Plass","given":"Dietrich","non-dropping-particle":"","parse-names":false,"suffix":""},{"dropping-particle":"","family":"Platts-Mills","given":"James A.","non-dropping-particle":"","parse-names":false,"suffix":""},{"dropping-particle":"","family":"Polinder","given":"Suzanne","non-dropping-particle":"","parse-names":false,"suffix":""},{"dropping-particle":"","family":"Pond","given":"Constance D.","non-dropping-particle":"","parse-names":false,"suffix":""},{"dropping-particle":"","family":"Popova","given":"Svetlana","non-dropping-particle":"","parse-names":false,"suffix":""},{"dropping-particle":"","family":"Poulton","given":"Richie G.","non-dropping-particle":"","parse-names":false,"suffix":""},{"dropping-particle":"","family":"Pourmalek","given":"Farshad","non-dropping-particle":"","parse-names":false,"suffix":""},{"dropping-particle":"","family":"Prabhakaran","given":"Dorairaj","non-dropping-particle":"","parse-names":false,"suffix":""},{"dropping-particle":"","family":"Prasad","given":"Noela M.","non-dropping-particle":"","parse-names":false,"suffix":""},{"dropping-particle":"","family":"Qorbani","given":"Mostafa","non-dropping-particle":"","parse-names":false,"suffix":""},{"dropping-particle":"","family":"Rabiee","given":"Rynaz H.S.","non-dropping-particle":"","parse-names":false,"suffix":""},{"dropping-particle":"","family":"Radfar","given":"Amir","non-dropping-particle":"","parse-names":false,"suffix":""},{"dropping-particle":"","family":"Rafay","given":"Anwar","non-dropping-particle":"","parse-names":false,"suffix":""},{"dropping-particle":"","family":"Rahimi","given":"Kazem","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Ur","non-dropping-particle":"","parse-names":false,"suffix":""},{"dropping-particle":"","family":"Rahman","given":"Sajjad Ur","non-dropping-particle":"","parse-names":false,"suffix":""},{"dropping-particle":"","family":"Rai","given":"Rajesh Kumar","non-dropping-particle":"","parse-names":false,"suffix":""},{"dropping-particle":"","family":"Rajsic","given":"Sasa","non-dropping-particle":"","parse-names":false,"suffix":""},{"dropping-particle":"","family":"Ram","given":"Usha","non-dropping-particle":"","parse-names":false,"suffix":""},{"dropping-particle":"","family":"Rao","given":"Puja","non-dropping-particle":"","parse-names":false,"suffix":""},{"dropping-particle":"","family":"Refaat","given":"Amany H.","non-dropping-particle":"","parse-names":false,"suffix":""},{"dropping-particle":"","family":"Reitsma","given":"Marissa B.","non-dropping-particle":"","parse-names":false,"suffix":""},{"dropping-particle":"","family":"Remuzzi","given":"Giuseppe","non-dropping-particle":"","parse-names":false,"suffix":""},{"dropping-particle":"","family":"Resnikoff","given":"Serge","non-dropping-particle":"","parse-names":false,"suffix":""},{"dropping-particle":"","family":"Reynolds","given":"Alex","non-dropping-particle":"","parse-names":false,"suffix":""},{"dropping-particle":"","family":"Ribeiro","given":"Antonio L.","non-dropping-particle":"","parse-names":false,"suffix":""},{"dropping-particle":"","family":"Blancas","given":"Maria Jesus Rios","non-dropping-particle":"","parse-names":false,"suffix":""},{"dropping-particle":"","family":"Roba","given":"Hirbo Shore","non-dropping-particle":"","parse-names":false,"suffix":""},{"dropping-particle":"","family":"Rojas-Rueda","given":"David","non-dropping-particle":"","parse-names":false,"suffix":""},{"dropping-particle":"","family":"Ronfani","given":"Luca","non-dropping-particle":"","parse-names":false,"suffix":""},{"dropping-particle":"","family":"Roshandel","given":"Gholamreza","non-dropping-particle":"","parse-names":false,"suffix":""},{"dropping-particle":"","family":"Roth","given":"Gregory A.","non-dropping-particle":"","parse-names":false,"suffix":""},{"dropping-particle":"","family":"Rothenbacher","given":"Dietrich","non-dropping-particle":"","parse-names":false,"suffix":""},{"dropping-particle":"","family":"Roy","given":"Ambuj","non-dropping-particle":"","parse-names":false,"suffix":""},{"dropping-particle":"","family":"Sagar","given":"Rajesh","non-dropping-particle":"","parse-names":false,"suffix":""},{"dropping-particle":"","family":"Sahathevan","given":"Ramesh","non-dropping-particle":"","parse-names":false,"suffix":""},{"dropping-particle":"","family":"Sanabria","given":"Juan R.","non-dropping-particle":"","parse-names":false,"suffix":""},{"dropping-particle":"","family":"Sanchez-Niño","given":"Maria Dolores","non-dropping-particle":"","parse-names":false,"suffix":""},{"dropping-particle":"","family":"Santos","given":"Itamar S.","non-dropping-particle":"","parse-names":false,"suffix":""},{"dropping-particle":"","family":"Santos","given":"João Vasco","non-dropping-particle":"","parse-names":false,"suffix":""},{"dropping-particle":"","family":"Sarmiento-Suarez","given":"Rodrigo","non-dropping-particle":"","parse-names":false,"suffix":""},{"dropping-particle":"","family":"Sartorius","given":"Benn","non-dropping-particle":"","parse-names":false,"suffix":""},{"dropping-particle":"","family":"Satpathy","given":"Maheswar","non-dropping-particle":"","parse-names":false,"suffix":""},{"dropping-particle":"","family":"Savic","given":"Miloje","non-dropping-particle":"","parse-names":false,"suffix":""},{"dropping-particle":"","family":"Sawhney","given":"Monika","non-dropping-particle":"","parse-names":false,"suffix":""},{"dropping-particle":"","family":"Schaub","given":"Michael P.","non-dropping-particle":"","parse-names":false,"suffix":""},{"dropping-particle":"","family":"Schmidt","given":"Maria Inês","non-dropping-particle":"","parse-names":false,"suffix":""},{"dropping-particle":"","family":"Schneider","given":"Ione J.C.","non-dropping-particle":"","parse-names":false,"suffix":""},{"dropping-particle":"","family":"Schöttker","given":"Ben","non-dropping-particle":"","parse-names":false,"suffix":""},{"dropping-particle":"","family":"Schwebel","given":"David C.","non-dropping-particle":"","parse-names":false,"suffix":""},{"dropping-particle":"","family":"Scott","given":"James G.","non-dropping-particle":"","parse-names":false,"suffix":""},{"dropping-particle":"","family":"Seedat","given":"Soraya","non-dropping-particle":"","parse-names":false,"suffix":""},{"dropping-particle":"","family":"Sepanlou","given":"Sadaf G.","non-dropping-particle":"","parse-names":false,"suffix":""},{"dropping-particle":"","family":"Servan-Mori","given":"Edson E.","non-dropping-particle":"","parse-names":false,"suffix":""},{"dropping-particle":"","family":"Shackelford","given":"Katya A.","non-dropping-particle":"","parse-names":false,"suffix":""},{"dropping-particle":"","family":"Shaheen","given":"Amira","non-dropping-particle":"","parse-names":false,"suffix":""},{"dropping-particle":"","family":"Shaikh","given":"Masood Ali","non-dropping-particle":"","parse-names":false,"suffix":""},{"dropping-particle":"","family":"Sharma","given":"Rajesh","non-dropping-particle":"","parse-names":false,"suffix":""},{"dropping-particle":"","family":"Sharma","given":"Upasana","non-dropping-particle":"","parse-names":false,"suffix":""},{"dropping-particle":"","family":"Shen","given":"Jiabin","non-dropping-particle":"","parse-names":false,"suffix":""},{"dropping-particle":"","family":"Shepard","given":"Donald S.","non-dropping-particle":"","parse-names":false,"suffix":""},{"dropping-particle":"","family":"Sheth","given":"Kevin N.","non-dropping-particle":"","parse-names":false,"suffix":""},{"dropping-particle":"","family":"Shibuya","given":"Kenji","non-dropping-particle":"","parse-names":false,"suffix":""},{"dropping-particle":"","family":"Shin","given":"Min Jeong","non-dropping-particle":"","parse-names":false,"suffix":""},{"dropping-particle":"","family":"Shiri","given":"Rahman","non-dropping-particle":"","parse-names":false,"suffix":""},{"dropping-particle":"","family":"Shiue","given":"Ivy","non-dropping-particle":"","parse-names":false,"suffix":""},{"dropping-particle":"","family":"Shrime","given":"Mark G.","non-dropping-particle":"","parse-names":false,"suffix":""},{"dropping-particle":"","family":"Sigfusdottir","given":"Inga Dora","non-dropping-particle":"","parse-names":false,"suffix":""},{"dropping-particle":"","family":"Silva","given":"Diego Augusto Santos","non-dropping-particle":"","parse-names":false,"suffix":""},{"dropping-particle":"","family":"Silveira","given":"Dayane Gabriele Alves","non-dropping-particle":"","parse-names":false,"suffix":""},{"dropping-particle":"","family":"Singh","given":"Abhishek","non-dropping-particle":"","parse-names":false,"suffix":""},{"dropping-particle":"","family":"Singh","given":"Jasvinder A.","non-dropping-particle":"","parse-names":false,"suffix":""},{"dropping-particle":"","family":"Singh","given":"Om Prakash","non-dropping-particle":"","parse-names":false,"suffix":""},{"dropping-particle":"","family":"Singh","given":"Prashant Kumar","non-dropping-particle":"","parse-names":false,"suffix":""},{"dropping-particle":"","family":"Sivonda","given":"Anna","non-dropping-particle":"","parse-names":false,"suffix":""},{"dropping-particle":"","family":"Skirbekk","given":"Vegard","non-dropping-particle":"","parse-names":false,"suffix":""},{"dropping-particle":"","family":"Skogen","given":"Jens Christoffer","non-dropping-particle":"","parse-names":false,"suffix":""},{"dropping-particle":"","family":"Sligar","given":"Amber","non-dropping-particle":"","parse-names":false,"suffix":""},{"dropping-particle":"","family":"Sliwa","given":"Karen","non-dropping-particle":"","parse-names":false,"suffix":""},{"dropping-particle":"","family":"Soljak","given":"Michael","non-dropping-particle":"","parse-names":false,"suffix":""},{"dropping-particle":"","family":"Søreide","given":"Kjetil","non-dropping-particle":"","parse-names":false,"suffix":""},{"dropping-particle":"","family":"Soriano","given":"Joan B.","non-dropping-particle":"","parse-names":false,"suffix":""},{"dropping-particle":"","family":"Sposato","given":"Luciano A.","non-dropping-particle":"","parse-names":false,"suffix":""},{"dropping-particle":"","family":"Sreeramareddy","given":"Chandrashekhar T.","non-dropping-particle":"","parse-names":false,"suffix":""},{"dropping-particle":"","family":"Stathopoulou","given":"Vasiliki","non-dropping-particle":"","parse-names":false,"suffix":""},{"dropping-particle":"","family":"Steel","given":"Nicholas","non-dropping-particle":"","parse-names":false,"suffix":""},{"dropping-particle":"","family":"Stein","given":"Dan J.","non-dropping-particle":"","parse-names":false,"suffix":""},{"dropping-particle":"","family":"Steiner","given":"Timothy J.","non-dropping-particle":"","parse-names":false,"suffix":""},{"dropping-particle":"","family":"Steinke","given":"Sabine","non-dropping-particle":"","parse-names":false,"suffix":""},{"dropping-particle":"","family":"Stovner","given":"Lars","non-dropping-particle":"","parse-names":false,"suffix":""},{"dropping-particle":"","family":"Stroumpoulis","given":"Konstantinos","non-dropping-particle":"","parse-names":false,"suffix":""},{"dropping-particle":"","family":"Sunguya","given":"Bruno F.","non-dropping-particle":"","parse-names":false,"suffix":""},{"dropping-particle":"","family":"Sur","given":"Patrick","non-dropping-particle":"","parse-names":false,"suffix":""},{"dropping-particle":"","family":"Swaminathan","given":"Soumya","non-dropping-particle":"","parse-names":false,"suffix":""},{"dropping-particle":"","family":"Sykes","given":"Bryan L.","non-dropping-particle":"","parse-names":false,"suffix":""},{"dropping-particle":"","family":"Szoeke","given":"Cassandra E.I.","non-dropping-particle":"","parse-names":false,"suffix":""},{"dropping-particle":"","family":"Tabarés-Seisdedos","given":"Rafael","non-dropping-particle":"","parse-names":false,"suffix":""},{"dropping-particle":"","family":"Takala","given":"Jukka S.","non-dropping-particle":"","parse-names":false,"suffix":""},{"dropping-particle":"","family":"Tandon","given":"Nikhil","non-dropping-particle":"","parse-names":false,"suffix":""},{"dropping-particle":"","family":"Tanne","given":"David","non-dropping-particle":"","parse-names":false,"suffix":""},{"dropping-particle":"","family":"Tavakkoli","given":"Mohammad","non-dropping-particle":"","parse-names":false,"suffix":""},{"dropping-particle":"","family":"Taye","given":"Bineyam","non-dropping-particle":"","parse-names":false,"suffix":""},{"dropping-particle":"","family":"Taylor","given":"Hugh R.","non-dropping-particle":"","parse-names":false,"suffix":""},{"dropping-particle":"","family":"Ao","given":"Braden J.Te","non-dropping-particle":"","parse-names":false,"suffix":""},{"dropping-particle":"","family":"Tedla","given":"Bemnet Amare","non-dropping-particle":"","parse-names":false,"suffix":""},{"dropping-particle":"","family":"Terkawi","given":"Abdullah Sulieman","non-dropping-particle":"","parse-names":false,"suffix":""},{"dropping-particle":"","family":"Thomson","given":"Alan J.","non-dropping-particle":"","parse-names":false,"suffix":""},{"dropping-particle":"","family":"Thorne-Lyman","given":"Andrew L.","non-dropping-particle":"","parse-names":false,"suffix":""},{"dropping-particle":"","family":"Thrift","given":"Amanda G.","non-dropping-particle":"","parse-names":false,"suffix":""},{"dropping-particle":"","family":"Thurston","given":"George D.","non-dropping-particle":"","parse-names":false,"suffix":""},{"dropping-particle":"","family":"Tobe-Gai","given":"Ruoyan","non-dropping-particle":"","parse-names":false,"suffix":""},{"dropping-particle":"","family":"Tonelli","given":"Marcello","non-dropping-particle":"","parse-names":false,"suffix":""},{"dropping-particle":"","family":"Topor-Madry","given":"Roman","non-dropping-particle":"","parse-names":false,"suffix":""},{"dropping-particle":"","family":"Topouzis","given":"Fotis","non-dropping-particle":"","parse-names":false,"suffix":""},{"dropping-particle":"","family":"Tran","given":"Bach Xuan","non-dropping-particle":"","parse-names":false,"suffix":""},{"dropping-particle":"","family":"Dimbuene","given":"Zacharie Tsala","non-dropping-particle":"","parse-names":false,"suffix":""},{"dropping-particle":"","family":"Tsilimbaris","given":"Miltiadis","non-dropping-particle":"","parse-names":false,"suffix":""},{"dropping-particle":"","family":"Tura","given":"Abera Kenay","non-dropping-particle":"","parse-names":false,"suffix":""},{"dropping-particle":"","family":"Tuzcu","given":"Emin Murat","non-dropping-particle":"","parse-names":false,"suffix":""},{"dropping-particle":"","family":"Tyrovolas","given":"Stefanos","non-dropping-particle":"","parse-names":false,"suffix":""},{"dropping-particle":"","family":"Ukwaja","given":"Kingsley N.","non-dropping-particle":"","parse-names":false,"suffix":""},{"dropping-particle":"","family":"Undurraga","given":"Eduardo A.","non-dropping-particle":"","parse-names":false,"suffix":""},{"dropping-particle":"","family":"Uneke","given":"Chigozie Jesse","non-dropping-particle":"","parse-names":false,"suffix":""},{"dropping-particle":"","family":"Uthman","given":"Olalekan A.","non-dropping-particle":"","parse-names":false,"suffix":""},{"dropping-particle":"","family":"Gool","given":"Coen H.","non-dropping-particle":"van","parse-names":false,"suffix":""},{"dropping-particle":"","family":"Varakin","given":"Yuri Y.","non-dropping-particle":"","parse-names":false,"suffix":""},{"dropping-particle":"","family":"Vasankari","given":"Tommi","non-dropping-particle":"","parse-names":false,"suffix":""},{"dropping-particle":"","family":"Venketasubramanian","given":"Narayanaswamy","non-dropping-particle":"","parse-names":false,"suffix":""},{"dropping-particle":"","family":"Verma","given":"Raj Kumar","non-dropping-particle":"","parse-names":false,"suffix":""},{"dropping-particle":"","family":"Violante","given":"Francesco S.","non-dropping-particle":"","parse-names":false,"suffix":""},{"dropping-particle":"","family":"Vladimirov","given":"Sergey K.","non-dropping-particle":"","parse-names":false,"suffix":""},{"dropping-particle":"","family":"Vlassov","given":"Vasiliy Victorovich","non-dropping-particle":"","parse-names":false,"suffix":""},{"dropping-particle":"","family":"Vollset","given":"Stein Emil","non-dropping-particle":"","parse-names":false,"suffix":""},{"dropping-particle":"","family":"Wagner","given":"Gregory R.","non-dropping-particle":"","parse-names":false,"suffix":""},{"dropping-particle":"","family":"Waller","given":"Stephen G.","non-dropping-particle":"","parse-names":false,"suffix":""},{"dropping-particle":"","family":"Wang","given":"Linhong","non-dropping-particle":"","parse-names":false,"suffix":""},{"dropping-particle":"","family":"Watkins","given":"David A.","non-dropping-particle":"","parse-names":false,"suffix":""},{"dropping-particle":"","family":"Weichenthal","given":"Scott","non-dropping-particle":"","parse-names":false,"suffix":""},{"dropping-particle":"","family":"Weiderpass","given":"Elisabete","non-dropping-particle":"","parse-names":false,"suffix":""},{"dropping-particle":"","family":"Weintraub","given":"Robert G.","non-dropping-particle":"","parse-names":false,"suffix":""},{"dropping-particle":"","family":"Werdecker","given":"Andrea","non-dropping-particle":"","parse-names":false,"suffix":""},{"dropping-particle":"","family":"Westerman","given":"Ronny","non-dropping-particle":"","parse-names":false,"suffix":""},{"dropping-particle":"","family":"White","given":"Richard A.","non-dropping-particle":"","parse-names":false,"suffix":""},{"dropping-particle":"","family":"Williams","given":"Hywel C.","non-dropping-particle":"","parse-names":false,"suffix":""},{"dropping-particle":"","family":"Wiysonge","given":"Charles Shey","non-dropping-particle":"","parse-names":false,"suffix":""},{"dropping-particle":"","family":"Wolfe","given":"Charles D.A.","non-dropping-particle":"","parse-names":false,"suffix":""},{"dropping-particle":"","family":"Won","given":"Sungho","non-dropping-particle":"","parse-names":false,"suffix":""},{"dropping-particle":"","family":"Woodbrook","given":"Rachel","non-dropping-particle":"","parse-names":false,"suffix":""},{"dropping-particle":"","family":"Wubshet","given":"Mamo","non-dropping-particle":"","parse-names":false,"suffix":""},{"dropping-particle":"","family":"Xavier","given":"Denis","non-dropping-particle":"","parse-names":false,"suffix":""},{"dropping-particle":"","family":"Xu","given":"Gelin","non-dropping-particle":"","parse-names":false,"suffix":""},{"dropping-particle":"","family":"Yadav","given":"Ajit Kumar","non-dropping-particle":"","parse-names":false,"suffix":""},{"dropping-particle":"","family":"Yan","given":"Lijing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e","given":"Pengpeng","non-dropping-particle":"","parse-names":false,"suffix":""},{"dropping-particle":"","family":"Yebyo","given":"Henock Gebremedhin","non-dropping-particle":"","parse-names":false,"suffix":""},{"dropping-particle":"","family":"Yip","given":"Paul","non-dropping-particle":"","parse-names":false,"suffix":""},{"dropping-particle":"","family":"Yonemoto","given":"Naohiro","non-dropping-particle":"","parse-names":false,"suffix":""},{"dropping-particle":"","family":"Yoon","given":"Seok Jun","non-dropping-particle":"","parse-names":false,"suffix":""},{"dropping-particle":"","family":"Younis","given":"Mustafa Z.","non-dropping-particle":"","parse-names":false,"suffix":""},{"dropping-particle":"","family":"Yu","given":"Chuanhua","non-dropping-particle":"","parse-names":false,"suffix":""},{"dropping-particle":"","family":"Zaidi","given":"Zoubida","non-dropping-particle":"","parse-names":false,"suffix":""},{"dropping-particle":"","family":"Zaki","given":"Maysaa El Sayed","non-dropping-particle":"","parse-names":false,"suffix":""},{"dropping-particle":"","family":"Zeeb","given":"Hajo","non-dropping-particle":"","parse-names":false,"suffix":""},{"dropping-particle":"","family":"Zhou","given":"Maigeng","non-dropping-particle":"","parse-names":false,"suffix":""},{"dropping-particle":"","family":"Zodpey","given":"Sanjay","non-dropping-particle":"","parse-names":false,"suffix":""},{"dropping-particle":"","family":"Zuhlke","given":"Liesl Joanna","non-dropping-particle":"","parse-names":false,"suffix":""},{"dropping-particle":"","family":"Murray","given":"Christopher J.L.","non-dropping-particle":"","parse-names":false,"suffix":""}],"container-title":"The Lancet","id":"ITEM-1","issue":"10053","issued":{"date-parts":[["2016"]]},"page":"1545-1602","title":"Global, regional, and national incidence, prevalence, and years lived with disability for 310 diseases and injuries, 1990–2015: a systematic analysis for the Global Burden of Disease Study 2015","type":"article-journal","volume":"388"},"uris":["http://www.mendeley.com/documents/?uuid=b7c3073f-4766-4fa3-8e7b-5e456681b2ae"]},{"id":"ITEM-2","itemData":{"DOI":"10.1016/S0140-6736(12)61728-0","ISSN":"1474547X","PMID":"23245604","abstract":"Background: Reliable and timely information on the leading causes of death in populations, and how these are changing, is a crucial input into health policy debates. In the Global Burden of Diseases, Injuries, and Risk Factors Study 2010 (GBD 2010), we aimed to estimate annual deaths for the world and 21 regions between 1980 and 2010 for 235 causes, with uncertainty intervals (UIs), separately by age and sex. Methods: We attempted to identify all available data on causes of death for 187 countries from 1980 to 2010 from vital registration, verbal autopsy, mortality surveillance, censuses, surveys, hospitals, police records, and mortuaries. We assessed data quality for completeness, diagnostic accuracy, missing data, stochastic variations, and probable causes of death. We applied six different modelling strategies to estimate cause-specific mortality trends depending on the strength of the data. For 133 causes and three special aggregates we used the Cause of Death Ensemble model (CODEm) approach, which uses four families of statistical models testing a large set of different models using different permutations of covariates. Model ensembles were developed from these component models. We assessed model performance with rigorous out-of-sample testing of prediction error and the validity of 95% UIs. For 13 causes with low observed numbers of deaths, we developed negative binomial models with plausible covariates. For 27 causes for which death is rare, we modelled the higher level cause in the cause hierarchy of the GBD 2010 and then allocated deaths across component causes proportionately, estimated from all available data in the database. For selected causes (African trypanosomiasis, congenital syphilis, whooping cough, measles, typhoid and parathyroid, leishmaniasis, acute hepatitis E, and HIV/AIDS), we used natural history models based on information on incidence, prevalence, and case-fatality. We separately estimated cause fractions by aetiology for diarrhoea, lower respiratory infections, and meningitis, as well as disaggregations by subcause for chronic kidney disease, maternal disorders, cirrhosis, and liver cancer. For deaths due to collective violence and natural disasters, we used mortality shock regressions. For every cause, we estimated 95% UIs that captured both parameter estimation uncertainty and uncertainty due to model specification where CODEm was used. We constrained cause-specific fractions within every age-sex group to sum to total mor…","author":[{"dropping-particle":"","family":"Lozano","given":"Rafael","non-dropping-particle":"","parse-names":false,"suffix":""},{"dropping-particle":"","family":"Naghavi","given":"Mohsen","non-dropping-particle":"","parse-names":false,"suffix":""},{"dropping-particle":"","family":"Foreman","given":"Kyle","non-dropping-particle":"","parse-names":false,"suffix":""},{"dropping-particle":"","family":"Lim","given":"Stephen","non-dropping-particle":"","parse-names":false,"suffix":""},{"dropping-particle":"","family":"Shibuya","given":"Kenji","non-dropping-particle":"","parse-names":false,"suffix":""},{"dropping-particle":"","family":"Aboyans","given":"Victor","non-dropping-particle":"","parse-names":false,"suffix":""},{"dropping-particle":"","family":"Abraham","given":"Jerry","non-dropping-particle":"","parse-names":false,"suffix":""},{"dropping-particle":"","family":"Adair","given":"Timothy","non-dropping-particle":"","parse-names":false,"suffix":""},{"dropping-particle":"","family":"Aggarwal","given":"Rakesh","non-dropping-particle":"","parse-names":false,"suffix":""},{"dropping-particle":"","family":"Ahn","given":"Stephanie Y.","non-dropping-particle":"","parse-names":false,"suffix":""},{"dropping-particle":"","family":"AlMazroa","given":"Mohammad A.","non-dropping-particle":"","parse-names":false,"suffix":""},{"dropping-particle":"","family":"Alvarado","given":"Miriam","non-dropping-particle":"","parse-names":false,"suffix":""},{"dropping-particle":"","family":"Anderson","given":"H. Ross","non-dropping-particle":"","parse-names":false,"suffix":""},{"dropping-particle":"","family":"Anderson","given":"Laurie M.","non-dropping-particle":"","parse-names":false,"suffix":""},{"dropping-particle":"","family":"Andrews","given":"Kathryn G.","non-dropping-particle":"","parse-names":false,"suffix":""},{"dropping-particle":"","family":"Atkinson","given":"Charles","non-dropping-particle":"","parse-names":false,"suffix":""},{"dropping-particle":"","family":"Baddour","given":"Larry M.","non-dropping-particle":"","parse-names":false,"suffix":""},{"dropping-particle":"","family":"Barker-Collo","given":"Suzanne","non-dropping-particle":"","parse-names":false,"suffix":""},{"dropping-particle":"","family":"Bartels","given":"David H.","non-dropping-particle":"","parse-names":false,"suffix":""},{"dropping-particle":"","family":"Bell","given":"Michelle L.","non-dropping-particle":"","parse-names":false,"suffix":""},{"dropping-particle":"","family":"Benjamin","given":"Emelia J.","non-dropping-particle":"","parse-names":false,"suffix":""},{"dropping-particle":"","family":"Bennett","given":"Derrick","non-dropping-particle":"","parse-names":false,"suffix":""},{"dropping-particle":"","family":"Bhalla","given":"Kavi","non-dropping-particle":"","parse-names":false,"suffix":""},{"dropping-particle":"","family":"Bikbov","given":"Boris","non-dropping-particle":"","parse-names":false,"suffix":""},{"dropping-particle":"","family":"Abdulhak","given":"Aref","non-dropping-particle":"Bin","parse-names":false,"suffix":""},{"dropping-particle":"","family":"Birbeck","given":"Gretchen","non-dropping-particle":"","parse-names":false,"suffix":""},{"dropping-particle":"","family":"Blyth","given":"Fiona","non-dropping-particle":"","parse-names":false,"suffix":""},{"dropping-particle":"","family":"Bolliger","given":"Ian","non-dropping-particle":"","parse-names":false,"suffix":""},{"dropping-particle":"","family":"Boufous","given":"Soufiane","non-dropping-particle":"","parse-names":false,"suffix":""},{"dropping-particle":"","family":"Bucello","given":"Chiara","non-dropping-particle":"","parse-names":false,"suffix":""},{"dropping-particle":"","family":"Burch","given":"Michael","non-dropping-particle":"","parse-names":false,"suffix":""},{"dropping-particle":"","family":"Burney","given":"Peter","non-dropping-particle":"","parse-names":false,"suffix":""},{"dropping-particle":"","family":"Carapetis","given":"Jonathan","non-dropping-particle":"","parse-names":false,"suffix":""},{"dropping-particle":"","family":"Chen","given":"Honglei","non-dropping-particle":"","parse-names":false,"suffix":""},{"dropping-particle":"","family":"Chou","given":"David","non-dropping-particle":"","parse-names":false,"suffix":""},{"dropping-particle":"","family":"Chugh","given":"Sumeet S.","non-dropping-particle":"","parse-names":false,"suffix":""},{"dropping-particle":"","family":"Coffeng","given":"Luc E.","non-dropping-particle":"","parse-names":false,"suffix":""},{"dropping-particle":"","family":"Colan","given":"Steven D.","non-dropping-particle":"","parse-names":false,"suffix":""},{"dropping-particle":"","family":"Colquhoun","given":"Samantha","non-dropping-particle":"","parse-names":false,"suffix":""},{"dropping-particle":"","family":"Colson","given":"K. Ellicott","non-dropping-particle":"","parse-names":false,"suffix":""},{"dropping-particle":"","family":"Condon","given":"John","non-dropping-particle":"","parse-names":false,"suffix":""},{"dropping-particle":"","family":"Connor","given":"Myles D.","non-dropping-particle":"","parse-names":false,"suffix":""},{"dropping-particle":"","family":"Cooper","given":"Leslie T.","non-dropping-particle":"","parse-names":false,"suffix":""},{"dropping-particle":"","family":"Corriere","given":"Matthew","non-dropping-particle":"","parse-names":false,"suffix":""},{"dropping-particle":"","family":"Cortinovis","given":"Monica","non-dropping-particle":"","parse-names":false,"suffix":""},{"dropping-particle":"","family":"Courville De Vaccaro","given":"Karen","non-dropping-particle":"","parse-names":false,"suffix":""},{"dropping-particle":"","family":"Couser","given":"William","non-dropping-particle":"","parse-names":false,"suffix":""},{"dropping-particle":"","family":"Cowie","given":"Benjamin C.","non-dropping-particle":"","parse-names":false,"suffix":""},{"dropping-particle":"","family":"Criqui","given":"Michael H.","non-dropping-particle":"","parse-names":false,"suffix":""},{"dropping-particle":"","family":"Cross","given":"Marita","non-dropping-particle":"","parse-names":false,"suffix":""},{"dropping-particle":"","family":"Dabhadkar","given":"Kaustubh C.","non-dropping-particle":"","parse-names":false,"suffix":""},{"dropping-particle":"","family":"Dahodwala","given":"Nabila","non-dropping-particle":"","parse-names":false,"suffix":""},{"dropping-particle":"","family":"Leo","given":"Diego","non-dropping-particle":"De","parse-names":false,"suffix":""},{"dropping-particle":"","family":"Degenhardt","given":"Louisa","non-dropping-particle":"","parse-names":false,"suffix":""},{"dropping-particle":"","family":"Delossantos","given":"Allyne","non-dropping-particle":"","parse-names":false,"suffix":""},{"dropping-particle":"","family":"Denenberg","given":"Julie","non-dropping-particle":"","parse-names":false,"suffix":""},{"dropping-particle":"","family":"Jarlais","given":"Don C.","non-dropping-particle":"Des","parse-names":false,"suffix":""},{"dropping-particle":"","family":"Dharmaratne","given":"Samath D.","non-dropping-particle":"","parse-names":false,"suffix":""},{"dropping-particle":"","family":"Dorsey","given":"E. Ray","non-dropping-particle":"","parse-names":false,"suffix":""},{"dropping-particle":"","family":"Driscoll","given":"Tim","non-dropping-particle":"","parse-names":false,"suffix":""},{"dropping-particle":"","family":"Duber","given":"Herbert","non-dropping-particle":"","parse-names":false,"suffix":""},{"dropping-particle":"","family":"Ebel","given":"Beth","non-dropping-particle":"","parse-names":false,"suffix":""},{"dropping-particle":"","family":"Erwin","given":"Patricia J.","non-dropping-particle":"","parse-names":false,"suffix":""},{"dropping-particle":"","family":"Espindola","given":"Patricia","non-dropping-particle":"","parse-names":false,"suffix":""},{"dropping-particle":"","family":"Ezzati","given":"Majid","non-dropping-particle":"","parse-names":false,"suffix":""},{"dropping-particle":"","family":"Feigin","given":"Valery","non-dropping-particle":"","parse-names":false,"suffix":""},{"dropping-particle":"","family":"Flaxman","given":"Abraham D.","non-dropping-particle":"","parse-names":false,"suffix":""},{"dropping-particle":"","family":"Forouzanfar","given":"Mohammad H.","non-dropping-particle":"","parse-names":false,"suffix":""},{"dropping-particle":"","family":"Fowkes","given":"Francis Gerry R.","non-dropping-particle":"","parse-names":false,"suffix":""},{"dropping-particle":"","family":"Franklin","given":"Richard","non-dropping-particle":"","parse-names":false,"suffix":""},{"dropping-particle":"","family":"Fransen","given":"Marlene","non-dropping-particle":"","parse-names":false,"suffix":""},{"dropping-particle":"","family":"Freeman","given":"Michael K.","non-dropping-particle":"","parse-names":false,"suffix":""},{"dropping-particle":"","family":"Gabriel","given":"Sherine E.","non-dropping-particle":"","parse-names":false,"suffix":""},{"dropping-particle":"","family":"Gakidou","given":"Emmanuela","non-dropping-particle":"","parse-names":false,"suffix":""},{"dropping-particle":"","family":"Gaspari","given":"Flavio","non-dropping-particle":"","parse-names":false,"suffix":""},{"dropping-particle":"","family":"Gillum","given":"Richard F.","non-dropping-particle":"","parse-names":false,"suffix":""},{"dropping-particle":"","family":"Gonzalez-Medina","given":"Diego","non-dropping-particle":"","parse-names":false,"suffix":""},{"dropping-particle":"","family":"Halasa","given":"Yara A.","non-dropping-particle":"","parse-names":false,"suffix":""},{"dropping-particle":"","family":"Haring","given":"Diana","non-dropping-particle":"","parse-names":false,"suffix":""},{"dropping-particle":"","family":"Harrison","given":"James E.","non-dropping-particle":"","parse-names":false,"suffix":""},{"dropping-particle":"","family":"Havmoeller","given":"Rasmus","non-dropping-particle":"","parse-names":false,"suffix":""},{"dropping-particle":"","family":"Hay","given":"Roderick J.","non-dropping-particle":"","parse-names":false,"suffix":""},{"dropping-particle":"","family":"Hoen","given":"Bruno","non-dropping-particle":"","parse-names":false,"suffix":""},{"dropping-particle":"","family":"Hotez","given":"Peter J.","non-dropping-particle":"","parse-names":false,"suffix":""},{"dropping-particle":"","family":"Hoy","given":"Damian","non-dropping-particle":"","parse-names":false,"suffix":""},{"dropping-particle":"","family":"Jacobsen","given":"Kathryn H.","non-dropping-particle":"","parse-names":false,"suffix":""},{"dropping-particle":"","family":"James","given":"Spencer L.","non-dropping-particle":"","parse-names":false,"suffix":""},{"dropping-particle":"","family":"Jasrasaria","given":"Rashmi","non-dropping-particle":"","parse-names":false,"suffix":""},{"dropping-particle":"","family":"Jayaraman","given":"Sudha","non-dropping-particle":"","parse-names":false,"suffix":""},{"dropping-particle":"","family":"Johns","given":"Nicole","non-dropping-particle":"","parse-names":false,"suffix":""},{"dropping-particle":"","family":"Karthikeyan","given":"Ganesan","non-dropping-particle":"","parse-names":false,"suffix":""},{"dropping-particle":"","family":"Kassebaum","given":"Nicholas","non-dropping-particle":"","parse-names":false,"suffix":""},{"dropping-particle":"","family":"Keren","given":"Andre","non-dropping-particle":"","parse-names":false,"suffix":""},{"dropping-particle":"","family":"Khoo","given":"Jon Paul","non-dropping-particle":"","parse-names":false,"suffix":""},{"dropping-particle":"","family":"Knowlton","given":"Lisa Marie","non-dropping-particle":"","parse-names":false,"suffix":""},{"dropping-particle":"","family":"Kobusingye","given":"Olive","non-dropping-particle":"","parse-names":false,"suffix":""},{"dropping-particle":"","family":"Koranteng","given":"Adofo","non-dropping-particle":"","parse-names":false,"suffix":""},{"dropping-particle":"","family":"Krishnamurthi","given":"Rita","non-dropping-particle":"","parse-names":false,"suffix":""},{"dropping-particle":"","family":"Lipnick","given":"Michael","non-dropping-particle":"","parse-names":false,"suffix":""},{"dropping-particle":"","family":"Lipshultz","given":"Steven E.","non-dropping-particle":"","parse-names":false,"suffix":""},{"dropping-particle":"","family":"Lockett Ohno","given":"Summer","non-dropping-particle":"","parse-names":false,"suffix":""},{"dropping-particle":"","family":"Mabweijano","given":"Jacqueline","non-dropping-particle":"","parse-names":false,"suffix":""},{"dropping-particle":"","family":"MacIntyre","given":"Michael F.","non-dropping-particle":"","parse-names":false,"suffix":""},{"dropping-particle":"","family":"Mallinger","given":"Leslie","non-dropping-particle":"","parse-names":false,"suffix":""},{"dropping-particle":"","family":"March","given":"Lyn","non-dropping-particle":"","parse-names":false,"suffix":""},{"dropping-particle":"","family":"Marks","given":"Guy B.","non-dropping-particle":"","parse-names":false,"suffix":""},{"dropping-particle":"","family":"Marks","given":"Robin","non-dropping-particle":"","parse-names":false,"suffix":""},{"dropping-particle":"","family":"Matsumori","given":"Akira","non-dropping-particle":"","parse-names":false,"suffix":""},{"dropping-particle":"","family":"Matzopoulos","given":"Richard","non-dropping-particle":"","parse-names":false,"suffix":""},{"dropping-particle":"","family":"Mayosi","given":"Bongani M.","non-dropping-particle":"","parse-names":false,"suffix":""},{"dropping-particle":"","family":"McAnulty","given":"John H.","non-dropping-particle":"","parse-names":false,"suffix":""},{"dropping-particle":"","family":"McDermott","given":"Mary M.","non-dropping-particle":"","parse-names":false,"suffix":""},{"dropping-particle":"","family":"McGrath","given":"John","non-dropping-particle":"","parse-names":false,"suffix":""},{"dropping-particle":"","family":"Memish","given":"Ziad A.","non-dropping-particle":"","parse-names":false,"suffix":""},{"dropping-particle":"","family":"Mensah","given":"George A.","non-dropping-particle":"","parse-names":false,"suffix":""},{"dropping-particle":"","family":"Merriman","given":"Tony R.","non-dropping-particle":"","parse-names":false,"suffix":""},{"dropping-particle":"","family":"Michaud","given":"Catherine","non-dropping-particle":"","parse-names":false,"suffix":""},{"dropping-particle":"","family":"Miller","given":"Matthew","non-dropping-particle":"","parse-names":false,"suffix":""},{"dropping-particle":"","family":"Miller","given":"Ted R.","non-dropping-particle":"","parse-names":false,"suffix":""},{"dropping-particle":"","family":"Mock","given":"Charles","non-dropping-particle":"","parse-names":false,"suffix":""},{"dropping-particle":"","family":"Mocumbi","given":"Ana Olga","non-dropping-particle":"","parse-names":false,"suffix":""},{"dropping-particle":"","family":"Mokdad","given":"Ali A.","non-dropping-particle":"","parse-names":false,"suffix":""},{"dropping-particle":"","family":"Moran","given":"Andrew","non-dropping-particle":"","parse-names":false,"suffix":""},{"dropping-particle":"","family":"Mulholland","given":"Kim","non-dropping-particle":"","parse-names":false,"suffix":""},{"dropping-particle":"","family":"Nair","given":"M. Nathan","non-dropping-particle":"","parse-names":false,"suffix":""},{"dropping-particle":"","family":"Naldi","given":"Luigi","non-dropping-particle":"","parse-names":false,"suffix":""},{"dropping-particle":"","family":"Narayan","given":"K. M.Venkat","non-dropping-particle":"","parse-names":false,"suffix":""},{"dropping-particle":"","family":"Nasseri","given":"Kiumarss","non-dropping-particle":"","parse-names":false,"suffix":""},{"dropping-particle":"","family":"Norman","given":"Paul","non-dropping-particle":"","parse-names":false,"suffix":""},{"dropping-particle":"","family":"O'Donnell","given":"Martin","non-dropping-particle":"","parse-names":false,"suffix":""},{"dropping-particle":"","family":"Omer","given":"Saad B.","non-dropping-particle":"","parse-names":false,"suffix":""},{"dropping-particle":"","family":"Ortblad","given":"Katrina","non-dropping-particle":"","parse-names":false,"suffix":""},{"dropping-particle":"","family":"Osborne","given":"Richard","non-dropping-particle":"","parse-names":false,"suffix":""},{"dropping-particle":"","family":"Ozgediz","given":"Doruk","non-dropping-particle":"","parse-names":false,"suffix":""},{"dropping-particle":"","family":"Pahari","given":"Bishnu","non-dropping-particle":"","parse-names":false,"suffix":""},{"dropping-particle":"","family":"Pandian","given":"Jeyaraj Durai","non-dropping-particle":"","parse-names":false,"suffix":""},{"dropping-particle":"","family":"Panozo Rivero","given":"Andrea","non-dropping-particle":"","parse-names":false,"suffix":""},{"dropping-particle":"","family":"Perez Padilla","given":"Rogelio","non-dropping-particle":"","parse-names":false,"suffix":""},{"dropping-particle":"","family":"Perez-Ruiz","given":"Fernando","non-dropping-particle":"","parse-names":false,"suffix":""},{"dropping-particle":"","family":"Perico","given":"Norberto","non-dropping-particle":"","parse-names":false,"suffix":""},{"dropping-particle":"","family":"Phillips","given":"David","non-dropping-particle":"","parse-names":false,"suffix":""},{"dropping-particle":"","family":"Pierce","given":"Kelsey","non-dropping-particle":"","parse-names":false,"suffix":""},{"dropping-particle":"","family":"Pope","given":"C. Arden","non-dropping-particle":"","parse-names":false,"suffix":""},{"dropping-particle":"","family":"Porrini","given":"Esteban","non-dropping-particle":"","parse-names":false,"suffix":""},{"dropping-particle":"","family":"Pourmalek","given":"Farshad","non-dropping-particle":"","parse-names":false,"suffix":""},{"dropping-particle":"","family":"Raju","given":"Murugesan","non-dropping-particle":"","parse-names":false,"suffix":""},{"dropping-particle":"","family":"Ranganathan","given":"Dharani","non-dropping-particle":"","parse-names":false,"suffix":""},{"dropping-particle":"","family":"Rehm","given":"Jürgen T.","non-dropping-particle":"","parse-names":false,"suffix":""},{"dropping-particle":"","family":"Rein","given":"David B.","non-dropping-particle":"","parse-names":false,"suffix":""},{"dropping-particle":"","family":"Remuzzi","given":"Guiseppe","non-dropping-particle":"","parse-names":false,"suffix":""},{"dropping-particle":"","family":"Rivara","given":"Frederick P.","non-dropping-particle":"","parse-names":false,"suffix":""},{"dropping-particle":"","family":"Roberts","given":"Thomas","non-dropping-particle":"","parse-names":false,"suffix":""},{"dropping-particle":"","family":"Rodriguez De León","given":"Felipe","non-dropping-particle":"","parse-names":false,"suffix":""},{"dropping-particle":"","family":"Rosenfeld","given":"Lisa C.","non-dropping-particle":"","parse-names":false,"suffix":""},{"dropping-particle":"","family":"Rushton","given":"Lesley","non-dropping-particle":"","parse-names":false,"suffix":""},{"dropping-particle":"","family":"Sacco","given":"Ralph L.","non-dropping-particle":"","parse-names":false,"suffix":""},{"dropping-particle":"","family":"Salomon","given":"Joshua A.","non-dropping-particle":"","parse-names":false,"suffix":""},{"dropping-particle":"","family":"Sampson","given":"Uchechukwu","non-dropping-particle":"","parse-names":false,"suffix":""},{"dropping-particle":"","family":"Sanman","given":"Ella","non-dropping-particle":"","parse-names":false,"suffix":""},{"dropping-particle":"","family":"Schwebel","given":"David C.","non-dropping-particle":"","parse-names":false,"suffix":""},{"dropping-particle":"","family":"Segui-Gomez","given":"Maria","non-dropping-particle":"","parse-names":false,"suffix":""},{"dropping-particle":"","family":"Shepard","given":"Donald S.","non-dropping-particle":"","parse-names":false,"suffix":""},{"dropping-particle":"","family":"Singh","given":"David","non-dropping-particle":"","parse-names":false,"suffix":""},{"dropping-particle":"","family":"Singleton","given":"Jessica","non-dropping-particle":"","parse-names":false,"suffix":""},{"dropping-particle":"","family":"Sliwa","given":"Karen","non-dropping-particle":"","parse-names":false,"suffix":""},{"dropping-particle":"","family":"Smith","given":"Emma","non-dropping-particle":"","parse-names":false,"suffix":""},{"dropping-particle":"","family":"Steer","given":"Andrew","non-dropping-particle":"","parse-names":false,"suffix":""},{"dropping-particle":"","family":"Taylor","given":"Jennifer A.","non-dropping-particle":"","parse-names":false,"suffix":""},{"dropping-particle":"","family":"Thomas","given":"Bernadette","non-dropping-particle":"","parse-names":false,"suffix":""},{"dropping-particle":"","family":"Tleyjeh","given":"Imad M.","non-dropping-particle":"","parse-names":false,"suffix":""},{"dropping-particle":"","family":"Towbin","given":"Jeffrey A.","non-dropping-particle":"","parse-names":false,"suffix":""},{"dropping-particle":"","family":"Truelsen","given":"Thomas","non-dropping-particle":"","parse-names":false,"suffix":""},{"dropping-particle":"","family":"Undurraga","given":"Eduardo A.","non-dropping-particle":"","parse-names":false,"suffix":""},{"dropping-particle":"","family":"Venketasubramanian","given":"N.","non-dropping-particle":"","parse-names":false,"suffix":""},{"dropping-particle":"","family":"Vijayakumar","given":"Lakshmi","non-dropping-particle":"","parse-names":false,"suffix":""},{"dropping-particle":"","family":"Vos","given":"Theo","non-dropping-particle":"","parse-names":false,"suffix":""},{"dropping-particle":"","family":"Wagner","given":"Gregory R.","non-dropping-particle":"","parse-names":false,"suffix":""},{"dropping-particle":"","family":"Wang","given":"Mengru","non-dropping-particle":"","parse-names":false,"suffix":""},{"dropping-particle":"","family":"Wang","given":"Wenzhi","non-dropping-particle":"","parse-names":false,"suffix":""},{"dropping-particle":"","family":"Watt","given":"Kerrianne","non-dropping-particle":"","parse-names":false,"suffix":""},{"dropping-particle":"","family":"Weinstock","given":"Martin A.","non-dropping-particle":"","parse-names":false,"suffix":""},{"dropping-particle":"","family":"Weintraub","given":"Robert","non-dropping-particle":"","parse-names":false,"suffix":""},{"dropping-particle":"","family":"Wilkinson","given":"James D.","non-dropping-particle":"","parse-names":false,"suffix":""},{"dropping-particle":"","family":"Woolf","given":"Anthony D.","non-dropping-particle":"","parse-names":false,"suffix":""},{"dropping-particle":"","family":"Wulf","given":"Sarah","non-dropping-particle":"","parse-names":false,"suffix":""},{"dropping-particle":"","family":"Yeh","given":"Pon Hsiu","non-dropping-particle":"","parse-names":false,"suffix":""},{"dropping-particle":"","family":"Yip","given":"Paul","non-dropping-particle":"","parse-names":false,"suffix":""},{"dropping-particle":"","family":"Zabetian","given":"Azadeh","non-dropping-particle":"","parse-names":false,"suffix":""},{"dropping-particle":"","family":"Zheng","given":"Zhi Jie","non-dropping-particle":"","parse-names":false,"suffix":""},{"dropping-particle":"","family":"Lopez","given":"Alan D.","non-dropping-particle":"","parse-names":false,"suffix":""},{"dropping-particle":"","family":"Murray","given":"Christopher J.L.","non-dropping-particle":"","parse-names":false,"suffix":""}],"container-title":"The Lancet","id":"ITEM-2","issued":{"date-parts":[["2012"]]},"title":"Global and regional mortality from 235 causes of death for 20 age groups in 1990 and 2010: A systematic analysis for the Global Burden of Disease Study 2010","type":"article-journal"},"uris":["http://www.mendeley.com/documents/?uuid=03b0a219-c47c-4c48-a895-551cb49cee86"]}],"mendeley":{"formattedCitation":"(Lozano &lt;i&gt;et al.&lt;/i&gt;, 2012; Vos &lt;i&gt;et al.&lt;/i&gt;, 2016)","plainTextFormattedCitation":"(Lozano et al., 2012; Vos et al., 2016)","previouslyFormattedCitation":"(Lozano &lt;i&gt;et al.&lt;/i&gt;, 2012; Vos &lt;i&gt;et al.&lt;/i&gt;, 2016)"},"properties":{"noteIndex":0},"schema":"https://github.com/citation-style-language/schema/raw/master/csl-citation.json"}</w:instrText>
      </w:r>
      <w:r w:rsidRPr="4C8E95FF">
        <w:rPr>
          <w:szCs w:val="20"/>
        </w:rPr>
        <w:fldChar w:fldCharType="separate"/>
      </w:r>
      <w:r w:rsidRPr="4C8E95FF">
        <w:rPr>
          <w:noProof/>
        </w:rPr>
        <w:t xml:space="preserve">(Lozano </w:t>
      </w:r>
      <w:r w:rsidRPr="4C8E95FF">
        <w:rPr>
          <w:i/>
          <w:iCs/>
          <w:noProof/>
        </w:rPr>
        <w:t>et al.</w:t>
      </w:r>
      <w:r w:rsidRPr="4C8E95FF">
        <w:rPr>
          <w:noProof/>
        </w:rPr>
        <w:t xml:space="preserve">, 2012; Vos </w:t>
      </w:r>
      <w:r w:rsidRPr="4C8E95FF">
        <w:rPr>
          <w:i/>
          <w:iCs/>
          <w:noProof/>
        </w:rPr>
        <w:t>et al.</w:t>
      </w:r>
      <w:r w:rsidRPr="4C8E95FF">
        <w:rPr>
          <w:noProof/>
        </w:rPr>
        <w:t>, 2016)</w:t>
      </w:r>
      <w:r w:rsidRPr="4C8E95FF">
        <w:fldChar w:fldCharType="end"/>
      </w:r>
      <w:r w:rsidRPr="4C8E95FF">
        <w:t>.</w:t>
      </w:r>
      <w:r w:rsidR="00E97FDA">
        <w:t xml:space="preserve"> In the UK alone, the global economic cost of mental illness is estimated at £105bn</w:t>
      </w:r>
      <w:r w:rsidR="00A82D32">
        <w:t xml:space="preserve"> per annum.</w:t>
      </w:r>
      <w:r w:rsidRPr="4C8E95FF">
        <w:t xml:space="preserve"> However, despite the high prevalence of these disorders and the huge human, societal and economic cost, global median government mental health expenditure per capita represents less than 2% of total health expenditure</w:t>
      </w:r>
      <w:r w:rsidR="00A82D32">
        <w:t xml:space="preserve">. </w:t>
      </w:r>
      <w:r w:rsidRPr="4C8E95FF">
        <w:t>Not surprisingly, access to care remains poor across the globe,</w:t>
      </w:r>
      <w:r w:rsidR="00A82D32">
        <w:t xml:space="preserve"> and clinical outcomes </w:t>
      </w:r>
      <w:r w:rsidR="00620A90">
        <w:t>have remained stagnant for decades</w:t>
      </w:r>
      <w:r w:rsidR="00775DC1">
        <w:t xml:space="preserve"> </w:t>
      </w:r>
      <w:r w:rsidRPr="4C8E95FF">
        <w:fldChar w:fldCharType="begin" w:fldLock="1"/>
      </w:r>
      <w:r>
        <w:rPr>
          <w:szCs w:val="20"/>
        </w:rPr>
        <w:instrText>ADDIN CSL_CITATION {"citationItems":[{"id":"ITEM-1","itemData":{"DOI":"10.1037/e360882004-001","abstract":"Mental health is an integral and essential component of health. The WHO constitution states: \"Health is a state of complete physical, mental and social well-being and not merely the absence of disease or infirmity.\" An important consequence of this definition is that mental health is described as more than the absence of mental disorders or disabilities","author":[{"dropping-particle":"","family":"World Health Organisation","given":"","non-dropping-particle":"","parse-names":false,"suffix":""}],"container-title":"Fact sheet N.220","id":"ITEM-1","issued":{"date-parts":[["2014"]]},"title":"Mental health : strengthening our response","type":"article-journal"},"uris":["http://www.mendeley.com/documents/?uuid=acfe0e00-5108-4b21-929d-6dd04a85725b"]},{"id":"ITEM-2","itemData":{"DOI":"10.1093/bja/aes067","ISBN":"9799241564359","ISSN":"1471-6771","PMID":"23154960","abstract":"The WHO Mental Health Atlas 2011 represents the latest estimate of global mental health resources available to prevent and treat mental disorders and help protect the human rights of people living with these conditions. It presents data from 184 WHO Member States, covering 98% of the world’s population. Facts and figures presented in Atlas indicate that resources for mental health remain inadequate. The distribution of resources across regions and income groups is substantially uneven and in many countries resources are extremely scarce. Results from Atlas reinforce the urgent need to scale up resources and care for mental health within countries.","author":[{"dropping-particle":"","family":"World Health Organization","given":"","non-dropping-particle":"","parse-names":false,"suffix":""}],"container-title":"World Health Organization","id":"ITEM-2","issued":{"date-parts":[["2011"]]},"title":"Mental Health Atlas 2011","type":"article-journal"},"uris":["http://www.mendeley.com/documents/?uuid=3af4d4da-f9a7-4ace-abfb-7708933bd3e0"]}],"mendeley":{"formattedCitation":"(World Health Organization, 2011; World Health Organisation, 2014)","plainTextFormattedCitation":"(World Health Organization, 2011; World Health Organisation, 2014)","previouslyFormattedCitation":"(World Health Organization, 2011; World Health Organisation, 2014)"},"properties":{"noteIndex":0},"schema":"https://github.com/citation-style-language/schema/raw/master/csl-citation.json"}</w:instrText>
      </w:r>
      <w:r w:rsidRPr="4C8E95FF">
        <w:rPr>
          <w:szCs w:val="20"/>
        </w:rPr>
        <w:fldChar w:fldCharType="separate"/>
      </w:r>
      <w:r w:rsidRPr="4C8E95FF">
        <w:rPr>
          <w:noProof/>
        </w:rPr>
        <w:t>(World Health Organization, 2011; World Health Organisation, 2014)</w:t>
      </w:r>
      <w:r w:rsidRPr="4C8E95FF">
        <w:fldChar w:fldCharType="end"/>
      </w:r>
      <w:r w:rsidRPr="4C8E95FF">
        <w:t>.</w:t>
      </w:r>
    </w:p>
    <w:p w14:paraId="12CF448C" w14:textId="15C23D72" w:rsidR="003050D0" w:rsidRDefault="00A46531" w:rsidP="003050D0">
      <w:pPr>
        <w:widowControl w:val="0"/>
        <w:spacing w:line="276" w:lineRule="auto"/>
        <w:rPr>
          <w:szCs w:val="20"/>
        </w:rPr>
      </w:pPr>
      <w:r>
        <w:rPr>
          <w:szCs w:val="20"/>
        </w:rPr>
        <w:t xml:space="preserve">The current study aims to </w:t>
      </w:r>
      <w:r w:rsidR="00E740F0">
        <w:rPr>
          <w:szCs w:val="20"/>
        </w:rPr>
        <w:t xml:space="preserve">collect and explore the potential value of </w:t>
      </w:r>
      <w:r w:rsidR="008D122D">
        <w:rPr>
          <w:szCs w:val="20"/>
        </w:rPr>
        <w:t>digital cognitive and behavioural biomarkers in augmenting the therapeutic</w:t>
      </w:r>
      <w:r>
        <w:rPr>
          <w:szCs w:val="20"/>
        </w:rPr>
        <w:t xml:space="preserve"> benefits of cognitive behavioural therapy (CBT), delivered by a qualified clinician.</w:t>
      </w:r>
      <w:r w:rsidR="003F48CD">
        <w:rPr>
          <w:szCs w:val="20"/>
        </w:rPr>
        <w:t xml:space="preserve"> Examples of these cognitive and behavioural biomarkers include feature of patient language</w:t>
      </w:r>
      <w:r w:rsidR="006F43C9">
        <w:rPr>
          <w:szCs w:val="20"/>
        </w:rPr>
        <w:t xml:space="preserve">, summary measures of patients’ physical activity, geolocation, and patterns of </w:t>
      </w:r>
      <w:r w:rsidR="003050D0">
        <w:rPr>
          <w:szCs w:val="20"/>
        </w:rPr>
        <w:t xml:space="preserve">social media use and digital interaction. </w:t>
      </w:r>
    </w:p>
    <w:p w14:paraId="6C1A998B" w14:textId="10CB0C05" w:rsidR="00A46531" w:rsidRDefault="00A46531" w:rsidP="004731ED">
      <w:pPr>
        <w:widowControl w:val="0"/>
        <w:spacing w:line="276" w:lineRule="auto"/>
        <w:rPr>
          <w:szCs w:val="20"/>
        </w:rPr>
      </w:pPr>
      <w:r>
        <w:rPr>
          <w:szCs w:val="20"/>
        </w:rPr>
        <w:t>The central vision for this project is to</w:t>
      </w:r>
      <w:r w:rsidR="00087515">
        <w:rPr>
          <w:szCs w:val="20"/>
        </w:rPr>
        <w:t xml:space="preserve"> explor</w:t>
      </w:r>
      <w:r w:rsidR="00F83F95">
        <w:rPr>
          <w:szCs w:val="20"/>
        </w:rPr>
        <w:t>e</w:t>
      </w:r>
      <w:r w:rsidR="001D4B29">
        <w:rPr>
          <w:szCs w:val="20"/>
        </w:rPr>
        <w:t xml:space="preserve"> this</w:t>
      </w:r>
      <w:r w:rsidR="00087515">
        <w:rPr>
          <w:szCs w:val="20"/>
        </w:rPr>
        <w:t xml:space="preserve"> currently uncaptured contextual information that could be vital</w:t>
      </w:r>
      <w:r w:rsidR="007055CB">
        <w:rPr>
          <w:szCs w:val="20"/>
        </w:rPr>
        <w:t>ly important to both the patient and the CBT therapist</w:t>
      </w:r>
      <w:r>
        <w:rPr>
          <w:szCs w:val="20"/>
        </w:rPr>
        <w:t>. The aim of the project is to</w:t>
      </w:r>
      <w:r w:rsidR="00986C29">
        <w:rPr>
          <w:szCs w:val="20"/>
        </w:rPr>
        <w:t xml:space="preserve"> use this contextual information to create digital mental health monitoring tools, to be used </w:t>
      </w:r>
      <w:r w:rsidR="002B62E7">
        <w:rPr>
          <w:szCs w:val="20"/>
        </w:rPr>
        <w:t xml:space="preserve">by the patient and the therapist, to </w:t>
      </w:r>
      <w:r w:rsidR="00FC2E43">
        <w:rPr>
          <w:szCs w:val="20"/>
        </w:rPr>
        <w:t>develop personalized treatment protocols that optimize clinical outcomes.</w:t>
      </w:r>
    </w:p>
    <w:p w14:paraId="53814CED" w14:textId="7DC22A3C" w:rsidR="00A46531" w:rsidRDefault="00A46531" w:rsidP="00A46531">
      <w:pPr>
        <w:widowControl w:val="0"/>
        <w:spacing w:line="276" w:lineRule="auto"/>
        <w:rPr>
          <w:szCs w:val="20"/>
        </w:rPr>
      </w:pPr>
      <w:r w:rsidRPr="005C693D">
        <w:rPr>
          <w:szCs w:val="20"/>
        </w:rPr>
        <w:t>The enclosed project is defined by the following objectives:</w:t>
      </w:r>
    </w:p>
    <w:p w14:paraId="2270FB70" w14:textId="250DD0FE" w:rsidR="00A46531" w:rsidRDefault="00B624CE" w:rsidP="00965AE8">
      <w:pPr>
        <w:pStyle w:val="ListParagraph"/>
        <w:widowControl w:val="0"/>
        <w:numPr>
          <w:ilvl w:val="0"/>
          <w:numId w:val="7"/>
        </w:numPr>
        <w:spacing w:line="276" w:lineRule="auto"/>
        <w:rPr>
          <w:szCs w:val="20"/>
        </w:rPr>
      </w:pPr>
      <w:r>
        <w:rPr>
          <w:b/>
          <w:szCs w:val="20"/>
        </w:rPr>
        <w:t>Define a range of cognitive and behavioural biomarkers</w:t>
      </w:r>
      <w:r>
        <w:rPr>
          <w:szCs w:val="20"/>
        </w:rPr>
        <w:t xml:space="preserve"> and </w:t>
      </w:r>
      <w:r w:rsidR="00FC262B">
        <w:rPr>
          <w:szCs w:val="20"/>
        </w:rPr>
        <w:t>explore the relationships between these biomarkers and symptoms of common mental health disorders such as anxiety and depression;</w:t>
      </w:r>
    </w:p>
    <w:p w14:paraId="1E176549" w14:textId="0D989005" w:rsidR="000D2FCA" w:rsidRDefault="000D2FCA" w:rsidP="00965AE8">
      <w:pPr>
        <w:pStyle w:val="ListParagraph"/>
        <w:widowControl w:val="0"/>
        <w:numPr>
          <w:ilvl w:val="0"/>
          <w:numId w:val="7"/>
        </w:numPr>
        <w:spacing w:line="276" w:lineRule="auto"/>
        <w:rPr>
          <w:szCs w:val="20"/>
        </w:rPr>
      </w:pPr>
      <w:r>
        <w:rPr>
          <w:b/>
          <w:szCs w:val="20"/>
        </w:rPr>
        <w:t>Assess the acceptability of collection of cognitive and behavioural biomarker</w:t>
      </w:r>
      <w:r w:rsidR="009B4B4C">
        <w:rPr>
          <w:b/>
          <w:szCs w:val="20"/>
        </w:rPr>
        <w:t>s</w:t>
      </w:r>
      <w:r w:rsidR="009B4B4C">
        <w:rPr>
          <w:szCs w:val="20"/>
        </w:rPr>
        <w:t xml:space="preserve"> and the degree to which patients are willing to volunteer this information within </w:t>
      </w:r>
      <w:r w:rsidR="008D54CC">
        <w:rPr>
          <w:szCs w:val="20"/>
        </w:rPr>
        <w:t>a therapeutic context;</w:t>
      </w:r>
    </w:p>
    <w:p w14:paraId="7F6067CE" w14:textId="0470EB1E" w:rsidR="00965AE8" w:rsidRDefault="00965AE8" w:rsidP="00965AE8">
      <w:pPr>
        <w:pStyle w:val="ListParagraph"/>
        <w:widowControl w:val="0"/>
        <w:numPr>
          <w:ilvl w:val="0"/>
          <w:numId w:val="7"/>
        </w:numPr>
        <w:spacing w:line="276" w:lineRule="auto"/>
        <w:rPr>
          <w:szCs w:val="20"/>
        </w:rPr>
      </w:pPr>
      <w:r>
        <w:rPr>
          <w:b/>
          <w:szCs w:val="20"/>
        </w:rPr>
        <w:t>Develop digital mental health monitoring tools</w:t>
      </w:r>
      <w:r>
        <w:rPr>
          <w:szCs w:val="20"/>
        </w:rPr>
        <w:t>, to be used by both patients and therapists, that provide</w:t>
      </w:r>
      <w:r w:rsidR="008D3BFD">
        <w:rPr>
          <w:szCs w:val="20"/>
        </w:rPr>
        <w:t xml:space="preserve"> the users with visibility on important cognitive and behavioural biomarkers that have shown to be correlated with mental illness;</w:t>
      </w:r>
    </w:p>
    <w:p w14:paraId="486BE158" w14:textId="4B54CC6B" w:rsidR="00A46531" w:rsidRPr="008D54CC" w:rsidRDefault="00152884" w:rsidP="00A46531">
      <w:pPr>
        <w:pStyle w:val="ListParagraph"/>
        <w:widowControl w:val="0"/>
        <w:numPr>
          <w:ilvl w:val="0"/>
          <w:numId w:val="7"/>
        </w:numPr>
        <w:spacing w:line="276" w:lineRule="auto"/>
        <w:rPr>
          <w:szCs w:val="20"/>
        </w:rPr>
      </w:pPr>
      <w:r>
        <w:rPr>
          <w:b/>
          <w:szCs w:val="20"/>
        </w:rPr>
        <w:t>Evaluate the effectiveness of digital mental health monitoring tools</w:t>
      </w:r>
      <w:r>
        <w:rPr>
          <w:szCs w:val="20"/>
        </w:rPr>
        <w:t xml:space="preserve"> in </w:t>
      </w:r>
      <w:r w:rsidR="00092D99">
        <w:rPr>
          <w:szCs w:val="20"/>
        </w:rPr>
        <w:t>providing additional patient information to the therapists, which allows them to personalize treatment protocols with the aim of optimizing clinical outcomes</w:t>
      </w:r>
      <w:r w:rsidR="000D2FCA">
        <w:rPr>
          <w:szCs w:val="20"/>
        </w:rPr>
        <w:t>.</w:t>
      </w:r>
    </w:p>
    <w:p w14:paraId="6DB0BF03" w14:textId="77777777" w:rsidR="00A46531" w:rsidRPr="005C693D" w:rsidRDefault="00A46531" w:rsidP="00A46531">
      <w:pPr>
        <w:widowControl w:val="0"/>
        <w:spacing w:line="276" w:lineRule="auto"/>
        <w:rPr>
          <w:szCs w:val="20"/>
        </w:rPr>
      </w:pPr>
      <w:r w:rsidRPr="005C693D">
        <w:rPr>
          <w:szCs w:val="20"/>
        </w:rPr>
        <w:t>The innovation in this project is defined by:</w:t>
      </w:r>
    </w:p>
    <w:p w14:paraId="43388F09" w14:textId="6AF45AB5" w:rsidR="00BD0EEC" w:rsidRDefault="007C74D1" w:rsidP="00A46531">
      <w:pPr>
        <w:pStyle w:val="ListParagraph"/>
        <w:widowControl w:val="0"/>
        <w:numPr>
          <w:ilvl w:val="0"/>
          <w:numId w:val="3"/>
        </w:numPr>
        <w:spacing w:after="0" w:line="276" w:lineRule="auto"/>
        <w:rPr>
          <w:szCs w:val="20"/>
        </w:rPr>
      </w:pPr>
      <w:r>
        <w:rPr>
          <w:szCs w:val="20"/>
        </w:rPr>
        <w:t xml:space="preserve">Using artificial intelligence and natural language processing to define </w:t>
      </w:r>
      <w:r w:rsidR="00053293">
        <w:rPr>
          <w:szCs w:val="20"/>
        </w:rPr>
        <w:t>cognitive and behavioural biomarkers, and exploring their relationships with markers of mental illness;</w:t>
      </w:r>
    </w:p>
    <w:p w14:paraId="3B48C299" w14:textId="7925FB23" w:rsidR="00053293" w:rsidRDefault="00141374" w:rsidP="00A46531">
      <w:pPr>
        <w:pStyle w:val="ListParagraph"/>
        <w:widowControl w:val="0"/>
        <w:numPr>
          <w:ilvl w:val="0"/>
          <w:numId w:val="3"/>
        </w:numPr>
        <w:spacing w:after="0" w:line="276" w:lineRule="auto"/>
        <w:rPr>
          <w:szCs w:val="20"/>
        </w:rPr>
      </w:pPr>
      <w:r>
        <w:rPr>
          <w:szCs w:val="20"/>
        </w:rPr>
        <w:t xml:space="preserve">Evidence-based development of </w:t>
      </w:r>
      <w:r w:rsidR="0053176E">
        <w:rPr>
          <w:szCs w:val="20"/>
        </w:rPr>
        <w:t>digital mental health monitoring tools, informed by correlations between cognitive and behavioural biomarkers and improvement or deterioration in mental health symptoms;</w:t>
      </w:r>
    </w:p>
    <w:p w14:paraId="22393C1A" w14:textId="665903EA" w:rsidR="00A46531" w:rsidRPr="00F138EF" w:rsidRDefault="00C45F44" w:rsidP="00F138EF">
      <w:pPr>
        <w:pStyle w:val="ListParagraph"/>
        <w:widowControl w:val="0"/>
        <w:numPr>
          <w:ilvl w:val="0"/>
          <w:numId w:val="3"/>
        </w:numPr>
        <w:spacing w:after="0" w:line="276" w:lineRule="auto"/>
        <w:rPr>
          <w:szCs w:val="20"/>
        </w:rPr>
      </w:pPr>
      <w:r>
        <w:rPr>
          <w:szCs w:val="20"/>
        </w:rPr>
        <w:t xml:space="preserve">The evaluation of the efficacy of digital mental health </w:t>
      </w:r>
      <w:r w:rsidR="00020818">
        <w:rPr>
          <w:szCs w:val="20"/>
        </w:rPr>
        <w:t>monitoring</w:t>
      </w:r>
      <w:r w:rsidR="00F138EF">
        <w:rPr>
          <w:szCs w:val="20"/>
        </w:rPr>
        <w:t xml:space="preserve"> tools, when used by therapists to inform personalization of care, with the aim of improving clinical outcomes for patients.</w:t>
      </w:r>
      <w:r w:rsidR="00A46531" w:rsidRPr="00F138EF">
        <w:rPr>
          <w:b/>
          <w:bCs/>
          <w:lang w:val="en-US"/>
        </w:rPr>
        <w:br w:type="page"/>
      </w:r>
    </w:p>
    <w:p w14:paraId="08C378C8" w14:textId="5E46BC60" w:rsidR="00A46531" w:rsidRDefault="00A46531" w:rsidP="00A46531">
      <w:pPr>
        <w:pStyle w:val="Heading1"/>
        <w:rPr>
          <w:lang w:val="en-US"/>
        </w:rPr>
      </w:pPr>
      <w:bookmarkStart w:id="2" w:name="_Toc33801221"/>
      <w:r>
        <w:rPr>
          <w:lang w:val="en-US"/>
        </w:rPr>
        <w:lastRenderedPageBreak/>
        <w:t>Synopsis</w:t>
      </w:r>
      <w:bookmarkEnd w:id="2"/>
    </w:p>
    <w:tbl>
      <w:tblPr>
        <w:tblStyle w:val="TableGrid"/>
        <w:tblW w:w="9695" w:type="dxa"/>
        <w:tblLayout w:type="fixed"/>
        <w:tblLook w:val="0000" w:firstRow="0" w:lastRow="0" w:firstColumn="0" w:lastColumn="0" w:noHBand="0" w:noVBand="0"/>
      </w:tblPr>
      <w:tblGrid>
        <w:gridCol w:w="1838"/>
        <w:gridCol w:w="2977"/>
        <w:gridCol w:w="1559"/>
        <w:gridCol w:w="3321"/>
      </w:tblGrid>
      <w:tr w:rsidR="00A46531" w:rsidRPr="00254495" w14:paraId="515999F1" w14:textId="77777777" w:rsidTr="00193F26">
        <w:tc>
          <w:tcPr>
            <w:tcW w:w="1838" w:type="dxa"/>
          </w:tcPr>
          <w:p w14:paraId="4DFD4122" w14:textId="77777777" w:rsidR="00A46531" w:rsidRPr="00254495" w:rsidRDefault="00A46531" w:rsidP="003C1161">
            <w:pPr>
              <w:spacing w:before="60" w:after="60"/>
              <w:rPr>
                <w:b/>
                <w:sz w:val="18"/>
              </w:rPr>
            </w:pPr>
            <w:r w:rsidRPr="00254495">
              <w:rPr>
                <w:b/>
                <w:sz w:val="18"/>
              </w:rPr>
              <w:t>Study Title</w:t>
            </w:r>
          </w:p>
        </w:tc>
        <w:tc>
          <w:tcPr>
            <w:tcW w:w="7857" w:type="dxa"/>
            <w:gridSpan w:val="3"/>
          </w:tcPr>
          <w:p w14:paraId="07B8A333" w14:textId="00DB6D5A" w:rsidR="00A46531" w:rsidRPr="00254495" w:rsidRDefault="002D2805" w:rsidP="002D2805">
            <w:pPr>
              <w:rPr>
                <w:sz w:val="18"/>
              </w:rPr>
            </w:pPr>
            <w:r w:rsidRPr="00254495">
              <w:rPr>
                <w:sz w:val="18"/>
              </w:rPr>
              <w:t>Cognitive and behavioural biomarkers for the treatment of mental health conditions:</w:t>
            </w:r>
            <w:r w:rsidRPr="00254495">
              <w:rPr>
                <w:sz w:val="18"/>
                <w:szCs w:val="20"/>
                <w:lang w:val="en-US"/>
              </w:rPr>
              <w:t xml:space="preserve"> an investigation of acceptability and efficacy when used </w:t>
            </w:r>
            <w:r w:rsidR="000E0F65" w:rsidRPr="00254495">
              <w:rPr>
                <w:sz w:val="18"/>
                <w:szCs w:val="20"/>
                <w:lang w:val="en-US"/>
              </w:rPr>
              <w:t>as a therapeutic tool</w:t>
            </w:r>
          </w:p>
        </w:tc>
      </w:tr>
      <w:tr w:rsidR="00A46531" w:rsidRPr="00254495" w14:paraId="2FFE8C4D" w14:textId="77777777" w:rsidTr="00193F26">
        <w:tc>
          <w:tcPr>
            <w:tcW w:w="1838" w:type="dxa"/>
          </w:tcPr>
          <w:p w14:paraId="75739827" w14:textId="77777777" w:rsidR="00A46531" w:rsidRPr="00254495" w:rsidRDefault="00A46531" w:rsidP="003C1161">
            <w:pPr>
              <w:spacing w:before="60" w:after="60"/>
              <w:rPr>
                <w:b/>
                <w:sz w:val="18"/>
              </w:rPr>
            </w:pPr>
            <w:r w:rsidRPr="00254495">
              <w:rPr>
                <w:b/>
                <w:sz w:val="18"/>
              </w:rPr>
              <w:t>IRAS ref no. / Short title</w:t>
            </w:r>
          </w:p>
        </w:tc>
        <w:tc>
          <w:tcPr>
            <w:tcW w:w="7857" w:type="dxa"/>
            <w:gridSpan w:val="3"/>
          </w:tcPr>
          <w:p w14:paraId="6EA0F5B1" w14:textId="3AE9D845" w:rsidR="00A46531" w:rsidRPr="00254495" w:rsidRDefault="002D2805" w:rsidP="002D2805">
            <w:pPr>
              <w:spacing w:line="360" w:lineRule="auto"/>
              <w:rPr>
                <w:sz w:val="18"/>
              </w:rPr>
            </w:pPr>
            <w:r w:rsidRPr="00254495">
              <w:rPr>
                <w:sz w:val="18"/>
                <w:szCs w:val="20"/>
                <w:lang w:val="en-US"/>
              </w:rPr>
              <w:t xml:space="preserve">Cognitive and </w:t>
            </w:r>
            <w:proofErr w:type="spellStart"/>
            <w:r w:rsidRPr="00254495">
              <w:rPr>
                <w:sz w:val="18"/>
                <w:szCs w:val="20"/>
                <w:lang w:val="en-US"/>
              </w:rPr>
              <w:t>behavioural</w:t>
            </w:r>
            <w:proofErr w:type="spellEnd"/>
            <w:r w:rsidRPr="00254495">
              <w:rPr>
                <w:sz w:val="18"/>
                <w:szCs w:val="20"/>
                <w:lang w:val="en-US"/>
              </w:rPr>
              <w:t xml:space="preserve"> biomarkers in mental health therapy</w:t>
            </w:r>
          </w:p>
        </w:tc>
      </w:tr>
      <w:tr w:rsidR="00193F26" w:rsidRPr="00254495" w14:paraId="7C94F489" w14:textId="77777777" w:rsidTr="00193F26">
        <w:tc>
          <w:tcPr>
            <w:tcW w:w="1838" w:type="dxa"/>
          </w:tcPr>
          <w:p w14:paraId="53592955" w14:textId="536051A8" w:rsidR="009B1020" w:rsidRPr="00254495" w:rsidRDefault="009B1020" w:rsidP="003C1161">
            <w:pPr>
              <w:rPr>
                <w:b/>
                <w:sz w:val="18"/>
              </w:rPr>
            </w:pPr>
            <w:r w:rsidRPr="00254495">
              <w:rPr>
                <w:b/>
                <w:sz w:val="18"/>
              </w:rPr>
              <w:t>Sponsor</w:t>
            </w:r>
          </w:p>
        </w:tc>
        <w:tc>
          <w:tcPr>
            <w:tcW w:w="2977" w:type="dxa"/>
            <w:vAlign w:val="center"/>
          </w:tcPr>
          <w:p w14:paraId="1E938709" w14:textId="77777777" w:rsidR="009B1020" w:rsidRPr="00254495" w:rsidRDefault="009B1020" w:rsidP="003C1161">
            <w:pPr>
              <w:rPr>
                <w:sz w:val="18"/>
              </w:rPr>
            </w:pPr>
            <w:r w:rsidRPr="00254495">
              <w:rPr>
                <w:sz w:val="18"/>
              </w:rPr>
              <w:t>Ieso Digital Heath</w:t>
            </w:r>
          </w:p>
          <w:p w14:paraId="2BB832C7" w14:textId="77777777" w:rsidR="009B1020" w:rsidRPr="00254495" w:rsidRDefault="009B1020" w:rsidP="003C1161">
            <w:pPr>
              <w:rPr>
                <w:sz w:val="18"/>
              </w:rPr>
            </w:pPr>
            <w:r w:rsidRPr="00254495">
              <w:rPr>
                <w:sz w:val="18"/>
              </w:rPr>
              <w:t>The Jeffreys Building</w:t>
            </w:r>
          </w:p>
          <w:p w14:paraId="1C9CE84D" w14:textId="77777777" w:rsidR="00DA2F8E" w:rsidRPr="00254495" w:rsidRDefault="00DA2F8E" w:rsidP="003C1161">
            <w:pPr>
              <w:rPr>
                <w:sz w:val="18"/>
              </w:rPr>
            </w:pPr>
            <w:proofErr w:type="spellStart"/>
            <w:r w:rsidRPr="00254495">
              <w:rPr>
                <w:sz w:val="18"/>
              </w:rPr>
              <w:t>Cowley</w:t>
            </w:r>
            <w:proofErr w:type="spellEnd"/>
            <w:r w:rsidRPr="00254495">
              <w:rPr>
                <w:sz w:val="18"/>
              </w:rPr>
              <w:t xml:space="preserve"> Road</w:t>
            </w:r>
          </w:p>
          <w:p w14:paraId="00747E15" w14:textId="77777777" w:rsidR="00DA2F8E" w:rsidRPr="00254495" w:rsidRDefault="00DA2F8E" w:rsidP="003C1161">
            <w:pPr>
              <w:rPr>
                <w:sz w:val="18"/>
              </w:rPr>
            </w:pPr>
            <w:r w:rsidRPr="00254495">
              <w:rPr>
                <w:sz w:val="18"/>
              </w:rPr>
              <w:t>Cambridge</w:t>
            </w:r>
          </w:p>
          <w:p w14:paraId="7FF8DE29" w14:textId="77777777" w:rsidR="00DA2F8E" w:rsidRPr="00254495" w:rsidRDefault="00DA2F8E" w:rsidP="003C1161">
            <w:pPr>
              <w:rPr>
                <w:sz w:val="18"/>
              </w:rPr>
            </w:pPr>
            <w:r w:rsidRPr="00254495">
              <w:rPr>
                <w:sz w:val="18"/>
              </w:rPr>
              <w:t>CB4 0DS</w:t>
            </w:r>
          </w:p>
          <w:p w14:paraId="200EB86C" w14:textId="77777777" w:rsidR="00DA2F8E" w:rsidRPr="00254495" w:rsidRDefault="00DA2F8E" w:rsidP="003C1161">
            <w:pPr>
              <w:rPr>
                <w:sz w:val="18"/>
              </w:rPr>
            </w:pPr>
          </w:p>
          <w:p w14:paraId="4643925C" w14:textId="77777777" w:rsidR="00DA2F8E" w:rsidRPr="00254495" w:rsidRDefault="008F3340" w:rsidP="003C1161">
            <w:pPr>
              <w:rPr>
                <w:sz w:val="18"/>
              </w:rPr>
            </w:pPr>
            <w:r w:rsidRPr="00254495">
              <w:rPr>
                <w:sz w:val="18"/>
              </w:rPr>
              <w:t>T: 0800 074 5560</w:t>
            </w:r>
          </w:p>
          <w:p w14:paraId="370D71C2" w14:textId="6A4CD631" w:rsidR="008F3340" w:rsidRPr="00254495" w:rsidRDefault="008F3340" w:rsidP="003C1161">
            <w:pPr>
              <w:rPr>
                <w:sz w:val="18"/>
              </w:rPr>
            </w:pPr>
            <w:r w:rsidRPr="00254495">
              <w:rPr>
                <w:sz w:val="18"/>
              </w:rPr>
              <w:t xml:space="preserve">E: </w:t>
            </w:r>
            <w:hyperlink r:id="rId13" w:history="1">
              <w:r w:rsidRPr="00254495">
                <w:rPr>
                  <w:rStyle w:val="Hyperlink"/>
                  <w:sz w:val="18"/>
                </w:rPr>
                <w:t>thelab@iesohealth.com</w:t>
              </w:r>
            </w:hyperlink>
          </w:p>
        </w:tc>
        <w:tc>
          <w:tcPr>
            <w:tcW w:w="1559" w:type="dxa"/>
          </w:tcPr>
          <w:p w14:paraId="304324F8" w14:textId="0720DFFE" w:rsidR="009B1020" w:rsidRPr="00254495" w:rsidRDefault="008F3340" w:rsidP="00901E7C">
            <w:pPr>
              <w:rPr>
                <w:b/>
                <w:sz w:val="18"/>
              </w:rPr>
            </w:pPr>
            <w:r w:rsidRPr="00254495">
              <w:rPr>
                <w:b/>
                <w:sz w:val="18"/>
              </w:rPr>
              <w:t>Co-Sponsor</w:t>
            </w:r>
          </w:p>
        </w:tc>
        <w:tc>
          <w:tcPr>
            <w:tcW w:w="3321" w:type="dxa"/>
            <w:vAlign w:val="center"/>
          </w:tcPr>
          <w:p w14:paraId="69428CDB" w14:textId="77777777" w:rsidR="00193F26" w:rsidRPr="00254495" w:rsidRDefault="00193F26" w:rsidP="00193F26">
            <w:pPr>
              <w:spacing w:line="276" w:lineRule="auto"/>
              <w:rPr>
                <w:sz w:val="18"/>
              </w:rPr>
            </w:pPr>
            <w:proofErr w:type="spellStart"/>
            <w:r w:rsidRPr="00254495">
              <w:rPr>
                <w:sz w:val="18"/>
              </w:rPr>
              <w:t>Biotaware</w:t>
            </w:r>
            <w:proofErr w:type="spellEnd"/>
            <w:r w:rsidRPr="00254495">
              <w:rPr>
                <w:sz w:val="18"/>
              </w:rPr>
              <w:t xml:space="preserve"> Ltd</w:t>
            </w:r>
          </w:p>
          <w:p w14:paraId="392299FB" w14:textId="77777777" w:rsidR="00193F26" w:rsidRPr="00254495" w:rsidRDefault="00193F26" w:rsidP="00193F26">
            <w:pPr>
              <w:spacing w:line="276" w:lineRule="auto"/>
              <w:rPr>
                <w:sz w:val="18"/>
              </w:rPr>
            </w:pPr>
            <w:r w:rsidRPr="00254495">
              <w:rPr>
                <w:sz w:val="18"/>
              </w:rPr>
              <w:t>2 Broadway</w:t>
            </w:r>
          </w:p>
          <w:p w14:paraId="7F7A05A6" w14:textId="77777777" w:rsidR="00193F26" w:rsidRPr="00254495" w:rsidRDefault="00193F26" w:rsidP="00193F26">
            <w:pPr>
              <w:spacing w:line="276" w:lineRule="auto"/>
              <w:rPr>
                <w:sz w:val="18"/>
              </w:rPr>
            </w:pPr>
            <w:r w:rsidRPr="00254495">
              <w:rPr>
                <w:sz w:val="18"/>
              </w:rPr>
              <w:t>Lace Market</w:t>
            </w:r>
          </w:p>
          <w:p w14:paraId="0737BED9" w14:textId="77777777" w:rsidR="00193F26" w:rsidRPr="00254495" w:rsidRDefault="00193F26" w:rsidP="00193F26">
            <w:pPr>
              <w:spacing w:line="276" w:lineRule="auto"/>
              <w:rPr>
                <w:sz w:val="18"/>
              </w:rPr>
            </w:pPr>
            <w:r w:rsidRPr="00254495">
              <w:rPr>
                <w:sz w:val="18"/>
              </w:rPr>
              <w:t>Nottingham</w:t>
            </w:r>
          </w:p>
          <w:p w14:paraId="00A142F5" w14:textId="77777777" w:rsidR="00193F26" w:rsidRPr="00254495" w:rsidRDefault="00193F26" w:rsidP="00193F26">
            <w:pPr>
              <w:spacing w:line="276" w:lineRule="auto"/>
              <w:rPr>
                <w:sz w:val="18"/>
              </w:rPr>
            </w:pPr>
            <w:r w:rsidRPr="00254495">
              <w:rPr>
                <w:sz w:val="18"/>
              </w:rPr>
              <w:t>NG1 1PS</w:t>
            </w:r>
          </w:p>
          <w:p w14:paraId="4592665A" w14:textId="77777777" w:rsidR="00193F26" w:rsidRPr="00254495" w:rsidRDefault="00193F26" w:rsidP="00193F26">
            <w:pPr>
              <w:spacing w:line="276" w:lineRule="auto"/>
              <w:rPr>
                <w:sz w:val="18"/>
              </w:rPr>
            </w:pPr>
          </w:p>
          <w:p w14:paraId="1C6D7120" w14:textId="77777777" w:rsidR="00193F26" w:rsidRPr="00254495" w:rsidRDefault="00193F26" w:rsidP="00193F26">
            <w:pPr>
              <w:spacing w:line="276" w:lineRule="auto"/>
              <w:rPr>
                <w:sz w:val="18"/>
              </w:rPr>
            </w:pPr>
            <w:r w:rsidRPr="00254495">
              <w:rPr>
                <w:sz w:val="18"/>
              </w:rPr>
              <w:t>T: 020 8817 5249</w:t>
            </w:r>
          </w:p>
          <w:p w14:paraId="7E221538" w14:textId="6D234E17" w:rsidR="00254495" w:rsidRPr="00254495" w:rsidRDefault="00193F26" w:rsidP="00254495">
            <w:pPr>
              <w:rPr>
                <w:sz w:val="18"/>
              </w:rPr>
            </w:pPr>
            <w:r w:rsidRPr="00254495">
              <w:rPr>
                <w:sz w:val="18"/>
              </w:rPr>
              <w:t xml:space="preserve">E: </w:t>
            </w:r>
            <w:hyperlink r:id="rId14" w:history="1">
              <w:r w:rsidR="00254495" w:rsidRPr="008840B6">
                <w:rPr>
                  <w:rStyle w:val="Hyperlink"/>
                  <w:sz w:val="18"/>
                </w:rPr>
                <w:t>simon.morris@biotaware.com</w:t>
              </w:r>
            </w:hyperlink>
          </w:p>
        </w:tc>
      </w:tr>
      <w:tr w:rsidR="00A46531" w:rsidRPr="00254495" w14:paraId="67277940" w14:textId="77777777" w:rsidTr="00193F26">
        <w:tc>
          <w:tcPr>
            <w:tcW w:w="1838" w:type="dxa"/>
          </w:tcPr>
          <w:p w14:paraId="79761AE3" w14:textId="77777777" w:rsidR="00A46531" w:rsidRPr="00254495" w:rsidRDefault="00A46531" w:rsidP="003C1161">
            <w:pPr>
              <w:spacing w:before="60" w:after="60"/>
              <w:rPr>
                <w:b/>
                <w:sz w:val="18"/>
              </w:rPr>
            </w:pPr>
            <w:r w:rsidRPr="00254495">
              <w:rPr>
                <w:b/>
                <w:sz w:val="18"/>
              </w:rPr>
              <w:t xml:space="preserve">Funder </w:t>
            </w:r>
          </w:p>
        </w:tc>
        <w:tc>
          <w:tcPr>
            <w:tcW w:w="7857" w:type="dxa"/>
            <w:gridSpan w:val="3"/>
          </w:tcPr>
          <w:p w14:paraId="42F25EB1" w14:textId="77777777" w:rsidR="00A46531" w:rsidRPr="00254495" w:rsidRDefault="00A46531" w:rsidP="003C1161">
            <w:pPr>
              <w:spacing w:before="60" w:after="60"/>
              <w:rPr>
                <w:sz w:val="18"/>
              </w:rPr>
            </w:pPr>
            <w:r w:rsidRPr="00254495">
              <w:rPr>
                <w:sz w:val="18"/>
              </w:rPr>
              <w:t>Ieso Digital Health</w:t>
            </w:r>
          </w:p>
        </w:tc>
      </w:tr>
      <w:tr w:rsidR="00A46531" w:rsidRPr="00254495" w14:paraId="70ABFE7E" w14:textId="77777777" w:rsidTr="00193F26">
        <w:tc>
          <w:tcPr>
            <w:tcW w:w="1838" w:type="dxa"/>
          </w:tcPr>
          <w:p w14:paraId="70637AFE" w14:textId="77777777" w:rsidR="00A46531" w:rsidRPr="00254495" w:rsidRDefault="00A46531" w:rsidP="003C1161">
            <w:pPr>
              <w:spacing w:before="60" w:after="60"/>
              <w:rPr>
                <w:b/>
                <w:sz w:val="18"/>
              </w:rPr>
            </w:pPr>
            <w:r w:rsidRPr="00254495">
              <w:rPr>
                <w:b/>
                <w:sz w:val="18"/>
              </w:rPr>
              <w:t>Study Design</w:t>
            </w:r>
          </w:p>
        </w:tc>
        <w:tc>
          <w:tcPr>
            <w:tcW w:w="7857" w:type="dxa"/>
            <w:gridSpan w:val="3"/>
          </w:tcPr>
          <w:p w14:paraId="33724DF2" w14:textId="0869CAC0" w:rsidR="00A46531" w:rsidRPr="00254495" w:rsidRDefault="00A46531" w:rsidP="003C1161">
            <w:pPr>
              <w:spacing w:before="60" w:after="60"/>
              <w:rPr>
                <w:iCs/>
                <w:sz w:val="18"/>
              </w:rPr>
            </w:pPr>
            <w:r w:rsidRPr="00254495">
              <w:rPr>
                <w:iCs/>
                <w:sz w:val="18"/>
              </w:rPr>
              <w:t xml:space="preserve">Randomised controlled trial of patients receiving Internet-enabled CBT (IECBT) for the treatment of </w:t>
            </w:r>
            <w:r w:rsidR="002F548A" w:rsidRPr="00254495">
              <w:rPr>
                <w:iCs/>
                <w:sz w:val="18"/>
              </w:rPr>
              <w:t>a mental health disorder</w:t>
            </w:r>
            <w:r w:rsidR="004A5E9A" w:rsidRPr="00254495">
              <w:rPr>
                <w:iCs/>
                <w:sz w:val="18"/>
              </w:rPr>
              <w:t xml:space="preserve">, delivered by a qualified Psychological Wellbeing Practitioner (PWP) or a high intensity CBT therapist. </w:t>
            </w:r>
            <w:r w:rsidRPr="00254495">
              <w:rPr>
                <w:iCs/>
                <w:sz w:val="18"/>
              </w:rPr>
              <w:t>Consenting patients will be randomised at start of treatment to one of two groups:</w:t>
            </w:r>
          </w:p>
          <w:p w14:paraId="43251781" w14:textId="77777777" w:rsidR="00A46531" w:rsidRPr="00254495" w:rsidRDefault="00A46531" w:rsidP="003C1161">
            <w:pPr>
              <w:spacing w:before="60" w:after="60"/>
              <w:rPr>
                <w:iCs/>
                <w:sz w:val="18"/>
              </w:rPr>
            </w:pPr>
          </w:p>
          <w:p w14:paraId="01037A7F" w14:textId="46A1774F" w:rsidR="00A46531" w:rsidRPr="00254495" w:rsidRDefault="004A5E9A" w:rsidP="003C1161">
            <w:pPr>
              <w:pStyle w:val="ListParagraph"/>
              <w:numPr>
                <w:ilvl w:val="0"/>
                <w:numId w:val="6"/>
              </w:numPr>
              <w:spacing w:before="60" w:after="60"/>
              <w:rPr>
                <w:iCs/>
                <w:sz w:val="18"/>
              </w:rPr>
            </w:pPr>
            <w:r w:rsidRPr="00254495">
              <w:rPr>
                <w:iCs/>
                <w:sz w:val="18"/>
              </w:rPr>
              <w:t xml:space="preserve">Therapist </w:t>
            </w:r>
            <w:r w:rsidR="003F4619" w:rsidRPr="00254495">
              <w:rPr>
                <w:iCs/>
                <w:sz w:val="18"/>
              </w:rPr>
              <w:t>and patient</w:t>
            </w:r>
            <w:r w:rsidR="00B35FED" w:rsidRPr="00254495">
              <w:rPr>
                <w:iCs/>
                <w:sz w:val="18"/>
              </w:rPr>
              <w:t xml:space="preserve"> visibility</w:t>
            </w:r>
            <w:r w:rsidR="00A46531" w:rsidRPr="00254495">
              <w:rPr>
                <w:iCs/>
                <w:sz w:val="18"/>
              </w:rPr>
              <w:t xml:space="preserve">: </w:t>
            </w:r>
            <w:r w:rsidR="00557678" w:rsidRPr="00254495">
              <w:rPr>
                <w:iCs/>
                <w:sz w:val="18"/>
              </w:rPr>
              <w:t>Patients</w:t>
            </w:r>
            <w:r w:rsidR="00181FF8" w:rsidRPr="00254495">
              <w:rPr>
                <w:iCs/>
                <w:sz w:val="18"/>
              </w:rPr>
              <w:t xml:space="preserve"> in this group</w:t>
            </w:r>
            <w:r w:rsidR="00557678" w:rsidRPr="00254495">
              <w:rPr>
                <w:iCs/>
                <w:sz w:val="18"/>
              </w:rPr>
              <w:t xml:space="preserve"> will be given a </w:t>
            </w:r>
            <w:proofErr w:type="spellStart"/>
            <w:r w:rsidR="00557678" w:rsidRPr="00254495">
              <w:rPr>
                <w:iCs/>
                <w:sz w:val="18"/>
              </w:rPr>
              <w:t>fitbit</w:t>
            </w:r>
            <w:proofErr w:type="spellEnd"/>
            <w:r w:rsidR="00557678" w:rsidRPr="00254495">
              <w:rPr>
                <w:iCs/>
                <w:sz w:val="18"/>
              </w:rPr>
              <w:t xml:space="preserve"> and access to a mobile app that allows them to </w:t>
            </w:r>
            <w:r w:rsidR="00F44A96" w:rsidRPr="00254495">
              <w:rPr>
                <w:iCs/>
                <w:sz w:val="18"/>
              </w:rPr>
              <w:t>track their activity, location, social interaction and digital interaction biomarkers against their mood.</w:t>
            </w:r>
            <w:r w:rsidR="005C4394" w:rsidRPr="00254495">
              <w:rPr>
                <w:iCs/>
                <w:sz w:val="18"/>
              </w:rPr>
              <w:t xml:space="preserve"> Therapists delivering therapy will also have access to these biomarkers and use this information to tailor the care delivered to each patient and monitor patient outcomes.</w:t>
            </w:r>
          </w:p>
          <w:p w14:paraId="7D7F0A50" w14:textId="77777777" w:rsidR="00A46531" w:rsidRPr="00254495" w:rsidRDefault="00A46531" w:rsidP="003C1161">
            <w:pPr>
              <w:pStyle w:val="ListParagraph"/>
              <w:spacing w:before="60" w:after="60"/>
              <w:rPr>
                <w:iCs/>
                <w:sz w:val="18"/>
              </w:rPr>
            </w:pPr>
          </w:p>
          <w:p w14:paraId="0DBB9767" w14:textId="3429D831" w:rsidR="00EB6C85" w:rsidRPr="00254495" w:rsidRDefault="00B35FED" w:rsidP="00EB6C85">
            <w:pPr>
              <w:pStyle w:val="ListParagraph"/>
              <w:numPr>
                <w:ilvl w:val="0"/>
                <w:numId w:val="6"/>
              </w:numPr>
              <w:spacing w:before="60" w:after="60"/>
              <w:rPr>
                <w:iCs/>
                <w:sz w:val="18"/>
              </w:rPr>
            </w:pPr>
            <w:r w:rsidRPr="00254495">
              <w:rPr>
                <w:iCs/>
                <w:sz w:val="18"/>
              </w:rPr>
              <w:t>Patient visibility only</w:t>
            </w:r>
            <w:r w:rsidR="00A46531" w:rsidRPr="00254495">
              <w:rPr>
                <w:iCs/>
                <w:sz w:val="18"/>
              </w:rPr>
              <w:t xml:space="preserve">: </w:t>
            </w:r>
            <w:r w:rsidRPr="00254495">
              <w:rPr>
                <w:iCs/>
                <w:sz w:val="18"/>
              </w:rPr>
              <w:t>patients in this group</w:t>
            </w:r>
            <w:r w:rsidR="00000928" w:rsidRPr="00254495">
              <w:rPr>
                <w:iCs/>
                <w:sz w:val="18"/>
              </w:rPr>
              <w:t xml:space="preserve"> will be given a </w:t>
            </w:r>
            <w:proofErr w:type="spellStart"/>
            <w:r w:rsidR="00000928" w:rsidRPr="00254495">
              <w:rPr>
                <w:iCs/>
                <w:sz w:val="18"/>
              </w:rPr>
              <w:t>fitbit</w:t>
            </w:r>
            <w:proofErr w:type="spellEnd"/>
            <w:r w:rsidR="00000928" w:rsidRPr="00254495">
              <w:rPr>
                <w:iCs/>
                <w:sz w:val="18"/>
              </w:rPr>
              <w:t xml:space="preserve"> and access to a mobile app that allows them to track their activity, location, social interaction and digital interaction biomarkers against their mood. Therapists will not have access to </w:t>
            </w:r>
            <w:r w:rsidR="00CB0A72" w:rsidRPr="00254495">
              <w:rPr>
                <w:iCs/>
                <w:sz w:val="18"/>
              </w:rPr>
              <w:t>patients’ biomarker data.</w:t>
            </w:r>
          </w:p>
        </w:tc>
      </w:tr>
      <w:tr w:rsidR="00A46531" w:rsidRPr="00254495" w14:paraId="020B5A71" w14:textId="77777777" w:rsidTr="00193F26">
        <w:tc>
          <w:tcPr>
            <w:tcW w:w="1838" w:type="dxa"/>
          </w:tcPr>
          <w:p w14:paraId="114F0AD5" w14:textId="77777777" w:rsidR="00A46531" w:rsidRPr="00254495" w:rsidRDefault="00A46531" w:rsidP="003C1161">
            <w:pPr>
              <w:spacing w:before="60" w:after="60"/>
              <w:rPr>
                <w:b/>
                <w:sz w:val="18"/>
              </w:rPr>
            </w:pPr>
            <w:r w:rsidRPr="00254495">
              <w:rPr>
                <w:b/>
                <w:sz w:val="18"/>
              </w:rPr>
              <w:t>Study Participants</w:t>
            </w:r>
          </w:p>
        </w:tc>
        <w:tc>
          <w:tcPr>
            <w:tcW w:w="7857" w:type="dxa"/>
            <w:gridSpan w:val="3"/>
          </w:tcPr>
          <w:p w14:paraId="205F45F4" w14:textId="62729498" w:rsidR="00A46531" w:rsidRPr="00254495" w:rsidRDefault="00A46531" w:rsidP="003C1161">
            <w:pPr>
              <w:spacing w:before="60" w:after="60"/>
              <w:rPr>
                <w:iCs/>
                <w:sz w:val="18"/>
              </w:rPr>
            </w:pPr>
            <w:r w:rsidRPr="00254495">
              <w:rPr>
                <w:iCs/>
                <w:sz w:val="18"/>
              </w:rPr>
              <w:t xml:space="preserve">Patients referred to Ieso Digital Health, receiving Internet-enabled CBT for the treatment of </w:t>
            </w:r>
            <w:r w:rsidR="00CB0A72" w:rsidRPr="00254495">
              <w:rPr>
                <w:iCs/>
                <w:sz w:val="18"/>
              </w:rPr>
              <w:t>a mental health disorder.</w:t>
            </w:r>
          </w:p>
        </w:tc>
      </w:tr>
      <w:tr w:rsidR="00A46531" w:rsidRPr="00254495" w14:paraId="34C9AA94" w14:textId="77777777" w:rsidTr="00193F26">
        <w:tc>
          <w:tcPr>
            <w:tcW w:w="1838" w:type="dxa"/>
          </w:tcPr>
          <w:p w14:paraId="08994864" w14:textId="77777777" w:rsidR="00A46531" w:rsidRPr="00254495" w:rsidRDefault="00A46531" w:rsidP="003C1161">
            <w:pPr>
              <w:spacing w:before="60" w:after="60"/>
              <w:rPr>
                <w:b/>
                <w:sz w:val="18"/>
              </w:rPr>
            </w:pPr>
            <w:r w:rsidRPr="00254495">
              <w:rPr>
                <w:b/>
                <w:sz w:val="18"/>
              </w:rPr>
              <w:t>Sample Size</w:t>
            </w:r>
          </w:p>
        </w:tc>
        <w:tc>
          <w:tcPr>
            <w:tcW w:w="7857" w:type="dxa"/>
            <w:gridSpan w:val="3"/>
          </w:tcPr>
          <w:p w14:paraId="7B7AE5AA" w14:textId="75A33263" w:rsidR="00A46531" w:rsidRPr="00254495" w:rsidRDefault="003301FD" w:rsidP="003C1161">
            <w:pPr>
              <w:spacing w:before="60" w:after="60"/>
              <w:rPr>
                <w:sz w:val="18"/>
                <w:highlight w:val="yellow"/>
              </w:rPr>
            </w:pPr>
            <w:r w:rsidRPr="00254495">
              <w:rPr>
                <w:sz w:val="18"/>
              </w:rPr>
              <w:t>200</w:t>
            </w:r>
            <w:r w:rsidR="000108FD" w:rsidRPr="00254495">
              <w:rPr>
                <w:sz w:val="18"/>
              </w:rPr>
              <w:t xml:space="preserve"> patients in total. </w:t>
            </w:r>
            <w:r w:rsidRPr="00254495">
              <w:rPr>
                <w:sz w:val="18"/>
              </w:rPr>
              <w:t>1</w:t>
            </w:r>
            <w:r w:rsidR="000108FD" w:rsidRPr="00254495">
              <w:rPr>
                <w:sz w:val="18"/>
              </w:rPr>
              <w:t xml:space="preserve">00 patients allocated to the </w:t>
            </w:r>
            <w:r w:rsidR="00836EAB" w:rsidRPr="00254495">
              <w:rPr>
                <w:iCs/>
                <w:sz w:val="18"/>
              </w:rPr>
              <w:t>Biomarker enhanced therapy – therapist and patient</w:t>
            </w:r>
            <w:r w:rsidR="00836EAB" w:rsidRPr="00254495">
              <w:rPr>
                <w:sz w:val="18"/>
              </w:rPr>
              <w:t xml:space="preserve"> gr</w:t>
            </w:r>
            <w:r w:rsidR="005222C3" w:rsidRPr="00254495">
              <w:rPr>
                <w:sz w:val="18"/>
              </w:rPr>
              <w:t xml:space="preserve">oup, </w:t>
            </w:r>
            <w:r w:rsidRPr="00254495">
              <w:rPr>
                <w:sz w:val="18"/>
              </w:rPr>
              <w:t>1</w:t>
            </w:r>
            <w:r w:rsidR="005222C3" w:rsidRPr="00254495">
              <w:rPr>
                <w:sz w:val="18"/>
              </w:rPr>
              <w:t xml:space="preserve">00 patients allocated to the </w:t>
            </w:r>
            <w:r w:rsidR="005222C3" w:rsidRPr="00254495">
              <w:rPr>
                <w:iCs/>
                <w:sz w:val="18"/>
              </w:rPr>
              <w:t>Biomarker enhanced therapy – patient only</w:t>
            </w:r>
            <w:r w:rsidR="005222C3" w:rsidRPr="00254495">
              <w:rPr>
                <w:sz w:val="18"/>
              </w:rPr>
              <w:t xml:space="preserve"> group</w:t>
            </w:r>
            <w:r w:rsidR="00A46531" w:rsidRPr="00254495">
              <w:rPr>
                <w:sz w:val="18"/>
              </w:rPr>
              <w:t>.</w:t>
            </w:r>
          </w:p>
        </w:tc>
      </w:tr>
      <w:tr w:rsidR="00A46531" w:rsidRPr="00254495" w14:paraId="2EBB1370" w14:textId="77777777" w:rsidTr="00193F26">
        <w:tc>
          <w:tcPr>
            <w:tcW w:w="1838" w:type="dxa"/>
          </w:tcPr>
          <w:p w14:paraId="37A1B5D3" w14:textId="77777777" w:rsidR="00A46531" w:rsidRPr="00254495" w:rsidRDefault="00A46531" w:rsidP="003C1161">
            <w:pPr>
              <w:spacing w:before="60" w:after="60"/>
              <w:rPr>
                <w:b/>
                <w:sz w:val="18"/>
              </w:rPr>
            </w:pPr>
            <w:r w:rsidRPr="00254495">
              <w:rPr>
                <w:b/>
                <w:sz w:val="18"/>
              </w:rPr>
              <w:t>Planned Study Period</w:t>
            </w:r>
          </w:p>
        </w:tc>
        <w:tc>
          <w:tcPr>
            <w:tcW w:w="7857" w:type="dxa"/>
            <w:gridSpan w:val="3"/>
          </w:tcPr>
          <w:p w14:paraId="51C9331F" w14:textId="7B55780F" w:rsidR="00A46531" w:rsidRPr="00254495" w:rsidRDefault="00A46531" w:rsidP="003C1161">
            <w:pPr>
              <w:spacing w:before="60" w:after="60"/>
              <w:rPr>
                <w:sz w:val="18"/>
              </w:rPr>
            </w:pPr>
            <w:r w:rsidRPr="00254495">
              <w:rPr>
                <w:sz w:val="18"/>
              </w:rPr>
              <w:t xml:space="preserve">Total project length = </w:t>
            </w:r>
            <w:r w:rsidR="00BA17F1" w:rsidRPr="00254495">
              <w:rPr>
                <w:sz w:val="18"/>
              </w:rPr>
              <w:t>8</w:t>
            </w:r>
            <w:r w:rsidRPr="00254495">
              <w:rPr>
                <w:sz w:val="18"/>
              </w:rPr>
              <w:t xml:space="preserve"> months. </w:t>
            </w:r>
          </w:p>
        </w:tc>
      </w:tr>
      <w:tr w:rsidR="00A46531" w:rsidRPr="00254495" w14:paraId="67166E33" w14:textId="77777777" w:rsidTr="00193F26">
        <w:tc>
          <w:tcPr>
            <w:tcW w:w="1838" w:type="dxa"/>
          </w:tcPr>
          <w:p w14:paraId="59E58E19" w14:textId="77777777" w:rsidR="00A46531" w:rsidRPr="00254495" w:rsidRDefault="00A46531" w:rsidP="003C1161">
            <w:pPr>
              <w:spacing w:before="60" w:after="60"/>
              <w:rPr>
                <w:b/>
                <w:sz w:val="18"/>
              </w:rPr>
            </w:pPr>
            <w:r w:rsidRPr="00254495">
              <w:rPr>
                <w:b/>
                <w:sz w:val="18"/>
              </w:rPr>
              <w:t>Planned Recruitment period</w:t>
            </w:r>
          </w:p>
        </w:tc>
        <w:tc>
          <w:tcPr>
            <w:tcW w:w="7857" w:type="dxa"/>
            <w:gridSpan w:val="3"/>
          </w:tcPr>
          <w:p w14:paraId="568929D3" w14:textId="29079570" w:rsidR="00A46531" w:rsidRPr="00254495" w:rsidRDefault="005222C3" w:rsidP="003C1161">
            <w:pPr>
              <w:spacing w:before="60" w:after="60"/>
              <w:rPr>
                <w:sz w:val="18"/>
              </w:rPr>
            </w:pPr>
            <w:r w:rsidRPr="00254495">
              <w:rPr>
                <w:sz w:val="18"/>
              </w:rPr>
              <w:t>Ju</w:t>
            </w:r>
            <w:r w:rsidR="00534690" w:rsidRPr="00254495">
              <w:rPr>
                <w:sz w:val="18"/>
              </w:rPr>
              <w:t>ly</w:t>
            </w:r>
            <w:r w:rsidRPr="00254495">
              <w:rPr>
                <w:sz w:val="18"/>
              </w:rPr>
              <w:t xml:space="preserve"> 2020 – Ma</w:t>
            </w:r>
            <w:r w:rsidR="00534690" w:rsidRPr="00254495">
              <w:rPr>
                <w:sz w:val="18"/>
              </w:rPr>
              <w:t>rch</w:t>
            </w:r>
            <w:r w:rsidRPr="00254495">
              <w:rPr>
                <w:sz w:val="18"/>
              </w:rPr>
              <w:t xml:space="preserve"> 2021.</w:t>
            </w:r>
          </w:p>
        </w:tc>
      </w:tr>
      <w:tr w:rsidR="00A46531" w:rsidRPr="00254495" w14:paraId="4E0FEFDA" w14:textId="77777777" w:rsidTr="00193F26">
        <w:trPr>
          <w:trHeight w:val="144"/>
        </w:trPr>
        <w:tc>
          <w:tcPr>
            <w:tcW w:w="1838" w:type="dxa"/>
          </w:tcPr>
          <w:p w14:paraId="628E7F9B" w14:textId="77777777" w:rsidR="00A46531" w:rsidRPr="00254495" w:rsidRDefault="00A46531" w:rsidP="003C1161">
            <w:pPr>
              <w:spacing w:before="60" w:after="60"/>
              <w:rPr>
                <w:b/>
                <w:sz w:val="18"/>
              </w:rPr>
            </w:pPr>
            <w:r w:rsidRPr="00254495">
              <w:rPr>
                <w:b/>
                <w:sz w:val="18"/>
              </w:rPr>
              <w:t>Primary objectives</w:t>
            </w:r>
          </w:p>
          <w:p w14:paraId="0FC2386D" w14:textId="77777777" w:rsidR="00A46531" w:rsidRPr="00254495" w:rsidRDefault="00A46531" w:rsidP="003C1161">
            <w:pPr>
              <w:spacing w:before="60" w:after="60"/>
              <w:rPr>
                <w:b/>
                <w:sz w:val="18"/>
              </w:rPr>
            </w:pPr>
          </w:p>
        </w:tc>
        <w:tc>
          <w:tcPr>
            <w:tcW w:w="7857" w:type="dxa"/>
            <w:gridSpan w:val="3"/>
          </w:tcPr>
          <w:p w14:paraId="28FB5C48" w14:textId="54779BFB" w:rsidR="00A46531" w:rsidRPr="00254495" w:rsidRDefault="00A46531" w:rsidP="003C1161">
            <w:pPr>
              <w:spacing w:before="60" w:after="60"/>
              <w:rPr>
                <w:sz w:val="18"/>
              </w:rPr>
            </w:pPr>
            <w:r w:rsidRPr="00254495">
              <w:rPr>
                <w:rFonts w:eastAsia="Times New Roman" w:cs="Times New Roman"/>
                <w:sz w:val="18"/>
                <w:szCs w:val="20"/>
                <w:lang w:eastAsia="en-GB"/>
              </w:rPr>
              <w:t>The primary research objective is to explore the efficacy of digital</w:t>
            </w:r>
            <w:r w:rsidR="00BA17F1" w:rsidRPr="00254495">
              <w:rPr>
                <w:rFonts w:eastAsia="Times New Roman" w:cs="Times New Roman"/>
                <w:sz w:val="18"/>
                <w:szCs w:val="20"/>
                <w:lang w:eastAsia="en-GB"/>
              </w:rPr>
              <w:t xml:space="preserve"> mental health monitoring tools</w:t>
            </w:r>
            <w:r w:rsidR="00556526" w:rsidRPr="00254495">
              <w:rPr>
                <w:rFonts w:eastAsia="Times New Roman" w:cs="Times New Roman"/>
                <w:sz w:val="18"/>
                <w:szCs w:val="20"/>
                <w:lang w:eastAsia="en-GB"/>
              </w:rPr>
              <w:t xml:space="preserve"> in providing </w:t>
            </w:r>
            <w:r w:rsidR="001304E1" w:rsidRPr="00254495">
              <w:rPr>
                <w:rFonts w:eastAsia="Times New Roman" w:cs="Times New Roman"/>
                <w:sz w:val="18"/>
                <w:szCs w:val="20"/>
                <w:lang w:eastAsia="en-GB"/>
              </w:rPr>
              <w:t>additional layers of patient information to the therapist, allowing them to personalize care with the aim of improving clinical outcomes.</w:t>
            </w:r>
            <w:r w:rsidRPr="00254495">
              <w:rPr>
                <w:rFonts w:eastAsia="Times New Roman" w:cs="Times New Roman"/>
                <w:sz w:val="18"/>
                <w:szCs w:val="20"/>
                <w:lang w:eastAsia="en-GB"/>
              </w:rPr>
              <w:t xml:space="preserve"> </w:t>
            </w:r>
          </w:p>
        </w:tc>
      </w:tr>
      <w:tr w:rsidR="00A46531" w:rsidRPr="00254495" w14:paraId="1DB80D96" w14:textId="77777777" w:rsidTr="00193F26">
        <w:trPr>
          <w:trHeight w:val="432"/>
        </w:trPr>
        <w:tc>
          <w:tcPr>
            <w:tcW w:w="1838" w:type="dxa"/>
          </w:tcPr>
          <w:p w14:paraId="547152CA" w14:textId="77777777" w:rsidR="00A46531" w:rsidRPr="00254495" w:rsidRDefault="00A46531" w:rsidP="003C1161">
            <w:pPr>
              <w:spacing w:before="60" w:after="60"/>
              <w:rPr>
                <w:b/>
                <w:sz w:val="18"/>
              </w:rPr>
            </w:pPr>
            <w:r w:rsidRPr="00254495">
              <w:rPr>
                <w:b/>
                <w:sz w:val="18"/>
              </w:rPr>
              <w:t>Secondary objectives</w:t>
            </w:r>
          </w:p>
          <w:p w14:paraId="1A81EBFF" w14:textId="77777777" w:rsidR="00A46531" w:rsidRPr="00254495" w:rsidRDefault="00A46531" w:rsidP="003C1161">
            <w:pPr>
              <w:spacing w:before="60" w:after="60"/>
              <w:rPr>
                <w:b/>
                <w:sz w:val="18"/>
              </w:rPr>
            </w:pPr>
          </w:p>
        </w:tc>
        <w:tc>
          <w:tcPr>
            <w:tcW w:w="7857" w:type="dxa"/>
            <w:gridSpan w:val="3"/>
          </w:tcPr>
          <w:p w14:paraId="05475C99" w14:textId="0B764D8F" w:rsidR="00A46531" w:rsidRPr="00254495" w:rsidRDefault="00A46531" w:rsidP="003C1161">
            <w:pPr>
              <w:spacing w:before="60" w:after="60"/>
              <w:rPr>
                <w:sz w:val="18"/>
              </w:rPr>
            </w:pPr>
            <w:r w:rsidRPr="00254495">
              <w:rPr>
                <w:rFonts w:eastAsia="Times New Roman" w:cs="Times New Roman"/>
                <w:sz w:val="18"/>
                <w:szCs w:val="20"/>
                <w:lang w:eastAsia="en-GB"/>
              </w:rPr>
              <w:t>The secondary research objective is to assess the acceptability of these digital</w:t>
            </w:r>
            <w:r w:rsidR="000A19A8" w:rsidRPr="00254495">
              <w:rPr>
                <w:rFonts w:eastAsia="Times New Roman" w:cs="Times New Roman"/>
                <w:sz w:val="18"/>
                <w:szCs w:val="20"/>
                <w:lang w:eastAsia="en-GB"/>
              </w:rPr>
              <w:t xml:space="preserve"> mental health monitoring</w:t>
            </w:r>
            <w:r w:rsidRPr="00254495">
              <w:rPr>
                <w:rFonts w:eastAsia="Times New Roman" w:cs="Times New Roman"/>
                <w:sz w:val="18"/>
                <w:szCs w:val="20"/>
                <w:lang w:eastAsia="en-GB"/>
              </w:rPr>
              <w:t xml:space="preserve"> </w:t>
            </w:r>
            <w:proofErr w:type="gramStart"/>
            <w:r w:rsidRPr="00254495">
              <w:rPr>
                <w:rFonts w:eastAsia="Times New Roman" w:cs="Times New Roman"/>
                <w:sz w:val="18"/>
                <w:szCs w:val="20"/>
                <w:lang w:eastAsia="en-GB"/>
              </w:rPr>
              <w:t>tools,</w:t>
            </w:r>
            <w:r w:rsidR="000A19A8" w:rsidRPr="00254495">
              <w:rPr>
                <w:rFonts w:eastAsia="Times New Roman" w:cs="Times New Roman"/>
                <w:sz w:val="18"/>
                <w:szCs w:val="20"/>
                <w:lang w:eastAsia="en-GB"/>
              </w:rPr>
              <w:t xml:space="preserve"> and</w:t>
            </w:r>
            <w:proofErr w:type="gramEnd"/>
            <w:r w:rsidR="000A19A8" w:rsidRPr="00254495">
              <w:rPr>
                <w:rFonts w:eastAsia="Times New Roman" w:cs="Times New Roman"/>
                <w:sz w:val="18"/>
                <w:szCs w:val="20"/>
                <w:lang w:eastAsia="en-GB"/>
              </w:rPr>
              <w:t xml:space="preserve"> assess the</w:t>
            </w:r>
            <w:r w:rsidRPr="00254495">
              <w:rPr>
                <w:rFonts w:eastAsia="Times New Roman" w:cs="Times New Roman"/>
                <w:sz w:val="18"/>
                <w:szCs w:val="20"/>
                <w:lang w:eastAsia="en-GB"/>
              </w:rPr>
              <w:t xml:space="preserve"> </w:t>
            </w:r>
            <w:r w:rsidR="000A19A8" w:rsidRPr="00254495">
              <w:rPr>
                <w:sz w:val="18"/>
                <w:szCs w:val="20"/>
              </w:rPr>
              <w:t>degree to which patients are willing to volunteer this information within a therapeutic context</w:t>
            </w:r>
            <w:r w:rsidRPr="00254495">
              <w:rPr>
                <w:rFonts w:eastAsia="Times New Roman" w:cs="Times New Roman"/>
                <w:sz w:val="18"/>
                <w:szCs w:val="20"/>
                <w:lang w:eastAsia="en-GB"/>
              </w:rPr>
              <w:t>.</w:t>
            </w:r>
          </w:p>
        </w:tc>
      </w:tr>
    </w:tbl>
    <w:p w14:paraId="1A18C5E3" w14:textId="77777777" w:rsidR="00A46531" w:rsidRDefault="00A46531" w:rsidP="00A46531">
      <w:pPr>
        <w:rPr>
          <w:rFonts w:eastAsiaTheme="majorEastAsia" w:cstheme="majorBidi"/>
          <w:b/>
          <w:smallCaps/>
          <w:color w:val="2F5496" w:themeColor="accent1" w:themeShade="BF"/>
          <w:sz w:val="32"/>
          <w:szCs w:val="32"/>
          <w:lang w:val="en-US"/>
        </w:rPr>
      </w:pPr>
      <w:r>
        <w:rPr>
          <w:lang w:val="en-US"/>
        </w:rPr>
        <w:br w:type="page"/>
      </w:r>
    </w:p>
    <w:p w14:paraId="436C6650" w14:textId="77777777" w:rsidR="00A46531" w:rsidRPr="001E1C21" w:rsidRDefault="00A46531" w:rsidP="00A46531">
      <w:pPr>
        <w:pStyle w:val="Heading1"/>
        <w:rPr>
          <w:lang w:val="en-US"/>
        </w:rPr>
      </w:pPr>
      <w:bookmarkStart w:id="3" w:name="_Toc33801222"/>
      <w:r w:rsidRPr="001E1C21">
        <w:rPr>
          <w:lang w:val="en-US"/>
        </w:rPr>
        <w:lastRenderedPageBreak/>
        <w:t>Background and rationale</w:t>
      </w:r>
      <w:bookmarkEnd w:id="3"/>
    </w:p>
    <w:p w14:paraId="309DE487" w14:textId="129E0714" w:rsidR="00A46531" w:rsidRDefault="00A46531" w:rsidP="00A46531">
      <w:pPr>
        <w:spacing w:after="0" w:line="360" w:lineRule="auto"/>
        <w:rPr>
          <w:rFonts w:eastAsia="Times New Roman" w:cs="Arial"/>
          <w:bCs/>
          <w:szCs w:val="20"/>
          <w:lang w:eastAsia="en-GB"/>
        </w:rPr>
      </w:pPr>
      <w:r w:rsidRPr="001E1C21">
        <w:rPr>
          <w:rFonts w:eastAsia="Times New Roman" w:cs="Arial"/>
          <w:bCs/>
          <w:szCs w:val="20"/>
          <w:lang w:eastAsia="en-GB"/>
        </w:rPr>
        <w:t>Mental health disorders, such as depression and</w:t>
      </w:r>
      <w:r w:rsidR="00CD3DF0">
        <w:rPr>
          <w:rFonts w:eastAsia="Times New Roman" w:cs="Arial"/>
          <w:bCs/>
          <w:szCs w:val="20"/>
          <w:lang w:eastAsia="en-GB"/>
        </w:rPr>
        <w:t xml:space="preserve"> </w:t>
      </w:r>
      <w:r w:rsidRPr="001E1C21">
        <w:rPr>
          <w:rFonts w:eastAsia="Times New Roman" w:cs="Arial"/>
          <w:bCs/>
          <w:szCs w:val="20"/>
          <w:lang w:eastAsia="en-GB"/>
        </w:rPr>
        <w:t>anxiety</w:t>
      </w:r>
      <w:r>
        <w:rPr>
          <w:rFonts w:eastAsia="Times New Roman" w:cs="Arial"/>
          <w:bCs/>
          <w:szCs w:val="20"/>
          <w:lang w:eastAsia="en-GB"/>
        </w:rPr>
        <w:t xml:space="preserve"> disord</w:t>
      </w:r>
      <w:r w:rsidR="00CD3DF0">
        <w:rPr>
          <w:rFonts w:eastAsia="Times New Roman" w:cs="Arial"/>
          <w:bCs/>
          <w:szCs w:val="20"/>
          <w:lang w:eastAsia="en-GB"/>
        </w:rPr>
        <w:t>ers</w:t>
      </w:r>
      <w:r w:rsidRPr="001E1C21">
        <w:rPr>
          <w:rFonts w:eastAsia="Times New Roman" w:cs="Arial"/>
          <w:bCs/>
          <w:szCs w:val="20"/>
          <w:lang w:eastAsia="en-GB"/>
        </w:rPr>
        <w:t>, are prevalent, costly, and in need of timely treatment interventions.</w:t>
      </w:r>
      <w:r w:rsidR="00E65755">
        <w:rPr>
          <w:rFonts w:eastAsia="Times New Roman" w:cs="Arial"/>
          <w:bCs/>
          <w:szCs w:val="20"/>
          <w:lang w:eastAsia="en-GB"/>
        </w:rPr>
        <w:t xml:space="preserve"> </w:t>
      </w:r>
      <w:r w:rsidR="00E65755">
        <w:t>In the UK alone, the global economic cost of mental illness is estimated at £105bn per annum.</w:t>
      </w:r>
      <w:r>
        <w:rPr>
          <w:rFonts w:eastAsia="Times New Roman" w:cs="Arial"/>
          <w:bCs/>
          <w:szCs w:val="20"/>
          <w:lang w:eastAsia="en-GB"/>
        </w:rPr>
        <w:t xml:space="preserve"> Despite the high prevalence of these disorders, and the economic, human and societal costs, access to care remains poor across the globe</w:t>
      </w:r>
      <w:r>
        <w:rPr>
          <w:szCs w:val="20"/>
        </w:rPr>
        <w:t xml:space="preserve">, </w:t>
      </w:r>
      <w:r w:rsidR="00E65755">
        <w:rPr>
          <w:szCs w:val="20"/>
        </w:rPr>
        <w:t>and clinical outcomes have remained stagnant for decades</w:t>
      </w:r>
      <w:r>
        <w:rPr>
          <w:szCs w:val="20"/>
        </w:rPr>
        <w:t xml:space="preserve"> </w:t>
      </w:r>
      <w:r>
        <w:rPr>
          <w:szCs w:val="20"/>
        </w:rPr>
        <w:fldChar w:fldCharType="begin" w:fldLock="1"/>
      </w:r>
      <w:r>
        <w:rPr>
          <w:szCs w:val="20"/>
        </w:rPr>
        <w:instrText>ADDIN CSL_CITATION {"citationItems":[{"id":"ITEM-1","itemData":{"DOI":"10.1037/e360882004-001","abstract":"Mental health is an integral and essential component of health. The WHO constitution states: \"Health is a state of complete physical, mental and social well-being and not merely the absence of disease or infirmity.\" An important consequence of this definition is that mental health is described as more than the absence of mental disorders or disabilities","author":[{"dropping-particle":"","family":"World Health Organisation","given":"","non-dropping-particle":"","parse-names":false,"suffix":""}],"container-title":"Fact sheet N.220","id":"ITEM-1","issued":{"date-parts":[["2014"]]},"title":"Mental health : strengthening our response","type":"article-journal"},"uris":["http://www.mendeley.com/documents/?uuid=acfe0e00-5108-4b21-929d-6dd04a85725b"]},{"id":"ITEM-2","itemData":{"DOI":"10.1093/bja/aes067","ISBN":"9799241564359","ISSN":"1471-6771","PMID":"23154960","abstract":"The WHO Mental Health Atlas 2011 represents the latest estimate of global mental health resources available to prevent and treat mental disorders and help protect the human rights of people living with these conditions. It presents data from 184 WHO Member States, covering 98% of the world’s population. Facts and figures presented in Atlas indicate that resources for mental health remain inadequate. The distribution of resources across regions and income groups is substantially uneven and in many countries resources are extremely scarce. Results from Atlas reinforce the urgent need to scale up resources and care for mental health within countries.","author":[{"dropping-particle":"","family":"World Health Organization","given":"","non-dropping-particle":"","parse-names":false,"suffix":""}],"container-title":"World Health Organization","id":"ITEM-2","issued":{"date-parts":[["2011"]]},"title":"Mental Health Atlas 2011","type":"article-journal"},"uris":["http://www.mendeley.com/documents/?uuid=3af4d4da-f9a7-4ace-abfb-7708933bd3e0"]}],"mendeley":{"formattedCitation":"(World Health Organization, 2011; World Health Organisation, 2014)","plainTextFormattedCitation":"(World Health Organization, 2011; World Health Organisation, 2014)","previouslyFormattedCitation":"(World Health Organization, 2011; World Health Organisation, 2014)"},"properties":{"noteIndex":0},"schema":"https://github.com/citation-style-language/schema/raw/master/csl-citation.json"}</w:instrText>
      </w:r>
      <w:r>
        <w:rPr>
          <w:szCs w:val="20"/>
        </w:rPr>
        <w:fldChar w:fldCharType="separate"/>
      </w:r>
      <w:r w:rsidRPr="00072026">
        <w:rPr>
          <w:noProof/>
          <w:szCs w:val="20"/>
        </w:rPr>
        <w:t>(World Health Organization, 2011; World Health Organisation, 2014)</w:t>
      </w:r>
      <w:r>
        <w:rPr>
          <w:szCs w:val="20"/>
        </w:rPr>
        <w:fldChar w:fldCharType="end"/>
      </w:r>
      <w:r>
        <w:rPr>
          <w:szCs w:val="20"/>
        </w:rPr>
        <w:t>.</w:t>
      </w:r>
    </w:p>
    <w:p w14:paraId="3454E43D" w14:textId="77777777" w:rsidR="00A46531" w:rsidRDefault="00A46531" w:rsidP="00A46531">
      <w:pPr>
        <w:spacing w:after="0" w:line="360" w:lineRule="auto"/>
        <w:rPr>
          <w:rFonts w:eastAsia="Times New Roman" w:cs="Arial"/>
          <w:bCs/>
          <w:szCs w:val="20"/>
          <w:lang w:eastAsia="en-GB"/>
        </w:rPr>
      </w:pPr>
    </w:p>
    <w:p w14:paraId="37C4BFCB" w14:textId="5A6C3A13" w:rsidR="00A46531" w:rsidRDefault="004F50A1" w:rsidP="00A46531">
      <w:pPr>
        <w:spacing w:after="0" w:line="360" w:lineRule="auto"/>
        <w:rPr>
          <w:rFonts w:eastAsia="Times New Roman" w:cs="Arial"/>
          <w:lang w:eastAsia="en-GB"/>
        </w:rPr>
      </w:pPr>
      <w:r>
        <w:rPr>
          <w:rFonts w:eastAsia="Times New Roman" w:cs="Arial"/>
          <w:lang w:eastAsia="en-GB"/>
        </w:rPr>
        <w:t>I</w:t>
      </w:r>
      <w:r w:rsidR="00A46531" w:rsidRPr="4C8E95FF">
        <w:rPr>
          <w:rFonts w:eastAsia="Times New Roman" w:cs="Arial"/>
          <w:lang w:eastAsia="en-GB"/>
        </w:rPr>
        <w:t>n the short and medium term, effective treatments</w:t>
      </w:r>
      <w:r>
        <w:rPr>
          <w:rFonts w:eastAsia="Times New Roman" w:cs="Arial"/>
          <w:lang w:eastAsia="en-GB"/>
        </w:rPr>
        <w:t xml:space="preserve"> for mental health disorders</w:t>
      </w:r>
      <w:r w:rsidR="00A46531" w:rsidRPr="4C8E95FF">
        <w:rPr>
          <w:rFonts w:eastAsia="Times New Roman" w:cs="Arial"/>
          <w:lang w:eastAsia="en-GB"/>
        </w:rPr>
        <w:t xml:space="preserve"> are available, including psychological therapies such as CBT, self-help approaches based on CBT principles, and pharmacological treatments </w:t>
      </w:r>
      <w:r w:rsidR="00A46531" w:rsidRPr="4C8E95FF">
        <w:fldChar w:fldCharType="begin" w:fldLock="1"/>
      </w:r>
      <w:r w:rsidR="00A46531">
        <w:rPr>
          <w:rFonts w:eastAsia="Times New Roman" w:cs="Arial"/>
          <w:bCs/>
          <w:szCs w:val="20"/>
          <w:lang w:eastAsia="en-GB"/>
        </w:rPr>
        <w:instrText>ADDIN CSL_CITATION {"citationItems":[{"id":"ITEM-1","itemData":{"ISBN":"1842578464","abstract":"The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application of the recommendations in this guideline are not mandatory and the guideline does not override the responsibility of healthcare professionals to make decisions appropriate to the circumstances of the individual patient, in consultation with the patient and/or their carer or guardian. 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 Generalised anxiety disorder and panic disorder in adults: management (CG113)","author":[{"dropping-particle":"","family":"National Institute for Health and Clinical Excellence","given":"","non-dropping-particle":"","parse-names":false,"suffix":""}],"container-title":"National Institute for Health and Clinical Excellence","id":"ITEM-1","issued":{"date-parts":[["2011"]]},"title":"Generalised anxiety disorder and panic disorder in adults: Management","type":"article-journal"},"uris":["http://www.mendeley.com/documents/?uuid=d5f4b717-9aa4-4da5-909c-ff71b09a260d"]},{"id":"ITEM-2","itemData":{"DOI":"10.1002/14651858.CD001848.pub4","ISSN":"1469493X","PMID":"17253466","abstract":"Background: Generalised anxiety disorder (GAD) is a highly prevalent condition, characterised by excessive worry or anxiety about everyday events and problems. The effectiveness and comparative effectiveness of psychological therapies as a group has not yet been evaluated in the treatment of GAD. Objectives: To examine the efficacy and acceptability of psychological therapies, categorised as cognitive behavioural therapy (CBT), psychodynamic therapy and supportive therapy, compared with treatment as usual/waiting list (TAU/WL) and compared with one another, for patients with GAD. Search strategy: We searched the Cochrane Depression, Anxiety &amp; Neurosis Group (CCDAN) Controlled Trials Register and conducted supplementary searches of MEDLINE, PsycInfo, EMBASE, LILACS and controlledtrials.comin February 2006. We searched reference lists of retrieved articles, and contacted trial authors and experts in the field for information on ongoing/completed trials. Selection criteria: Randomised and quasi-randomised controlled trials conducted in non-inpatient settings, involving adults aged 18-75 years with a primary diagnosis of GAD, assigned to a psychological therapy condition compared with TAU/WL or another psychological therapy. Data collection and analysis: Data on patients, interventions and outcomes were extracted by two review authors independently, and the methodological quality of each study was assessed. The primary outcome was anxiety reduction, based on a dichotomous measure of clinical response, using relative risk (RR), and on a continuous measure of symptom reduction, using the standardised mean difference (SMD), with 95% confidence intervals. Main results: Twenty five studies (1305 participants) were included in the review, of which 22 studies (1060 participants) contributed data to meta-analyses. Based on thirteen studies, psychological therapies, all using a CBT approach, were more effective than TAU/WL in achieving clinical response at post-treatment (RR 0.64, 95%CI 0.55 to 0.74), and also in reducing anxiety, worry and depression symptoms. No studies conducted longer-term assessments of CBT against TAU/WL. Six studies compared CBT against supportive therapy (nondirective therapy and attention-placebo conditions). No significant difference in clinical response was indicated between CBT and supportive therapy at post-treatment (RR 0.86, 95%CI 0.70 to 1.06), however, significant heterogeneity was indicated, which was partly explained by the number…","author":[{"dropping-particle":"","family":"Hunot","given":"Vivien","non-dropping-particle":"","parse-names":false,"suffix":""},{"dropping-particle":"","family":"Churchill","given":"R.","non-dropping-particle":"","parse-names":false,"suffix":""},{"dropping-particle":"","family":"Teixeira","given":"V.","non-dropping-particle":"","parse-names":false,"suffix":""},{"dropping-particle":"","family":"Silva De Lima","given":"M.","non-dropping-particle":"","parse-names":false,"suffix":""}],"container-title":"Cochrane Database of Systematic Reviews","id":"ITEM-2","issued":{"date-parts":[["2007"]]},"title":"Psychological therapies for generalised anxiety disorder","type":"article"},"uris":["http://www.mendeley.com/documents/?uuid=896a1dcd-feef-4004-bea8-f76a88d3710c"]}],"mendeley":{"formattedCitation":"(Hunot &lt;i&gt;et al.&lt;/i&gt;, 2007; National Institute for Health and Clinical Excellence, 2011)","plainTextFormattedCitation":"(Hunot et al., 2007; National Institute for Health and Clinical Excellence, 2011)","previouslyFormattedCitation":"(Hunot &lt;i&gt;et al.&lt;/i&gt;, 2007; National Institute for Health and Clinical Excellence, 2011)"},"properties":{"noteIndex":0},"schema":"https://github.com/citation-style-language/schema/raw/master/csl-citation.json"}</w:instrText>
      </w:r>
      <w:r w:rsidR="00A46531" w:rsidRPr="4C8E95FF">
        <w:rPr>
          <w:rFonts w:eastAsia="Times New Roman" w:cs="Arial"/>
          <w:bCs/>
          <w:szCs w:val="20"/>
          <w:lang w:eastAsia="en-GB"/>
        </w:rPr>
        <w:fldChar w:fldCharType="separate"/>
      </w:r>
      <w:r w:rsidR="00A46531" w:rsidRPr="4C8E95FF">
        <w:rPr>
          <w:rFonts w:eastAsia="Times New Roman" w:cs="Arial"/>
          <w:noProof/>
          <w:lang w:eastAsia="en-GB"/>
        </w:rPr>
        <w:t xml:space="preserve">(Hunot </w:t>
      </w:r>
      <w:r w:rsidR="00A46531" w:rsidRPr="4C8E95FF">
        <w:rPr>
          <w:rFonts w:eastAsia="Times New Roman" w:cs="Arial"/>
          <w:i/>
          <w:iCs/>
          <w:noProof/>
          <w:lang w:eastAsia="en-GB"/>
        </w:rPr>
        <w:t>et al.</w:t>
      </w:r>
      <w:r w:rsidR="00A46531" w:rsidRPr="4C8E95FF">
        <w:rPr>
          <w:rFonts w:eastAsia="Times New Roman" w:cs="Arial"/>
          <w:noProof/>
          <w:lang w:eastAsia="en-GB"/>
        </w:rPr>
        <w:t>, 2007; National Institute for Health and Clinical Excellence, 2011)</w:t>
      </w:r>
      <w:r w:rsidR="00A46531" w:rsidRPr="4C8E95FF">
        <w:fldChar w:fldCharType="end"/>
      </w:r>
      <w:r w:rsidR="00A46531" w:rsidRPr="4C8E95FF">
        <w:rPr>
          <w:rFonts w:eastAsia="Times New Roman" w:cs="Arial"/>
          <w:lang w:eastAsia="en-GB"/>
        </w:rPr>
        <w:t>.</w:t>
      </w:r>
      <w:r w:rsidR="00BB1D20">
        <w:rPr>
          <w:rFonts w:eastAsia="Times New Roman" w:cs="Arial"/>
          <w:lang w:eastAsia="en-GB"/>
        </w:rPr>
        <w:t xml:space="preserve"> </w:t>
      </w:r>
      <w:r w:rsidR="00E35C5D">
        <w:rPr>
          <w:rFonts w:eastAsia="Times New Roman" w:cs="Arial"/>
          <w:lang w:eastAsia="en-GB"/>
        </w:rPr>
        <w:t>W</w:t>
      </w:r>
      <w:proofErr w:type="spellStart"/>
      <w:r w:rsidR="00BB1D20">
        <w:rPr>
          <w:lang w:val="en-US"/>
        </w:rPr>
        <w:t>hil</w:t>
      </w:r>
      <w:r w:rsidR="003F04F0">
        <w:rPr>
          <w:lang w:val="en-US"/>
        </w:rPr>
        <w:t>e</w:t>
      </w:r>
      <w:proofErr w:type="spellEnd"/>
      <w:r w:rsidR="00BB1D20">
        <w:rPr>
          <w:lang w:val="en-US"/>
        </w:rPr>
        <w:t xml:space="preserve"> there is evidence that pharmacological approaches combined with psychotherapy comprise one of the most effective treatments to date </w:t>
      </w:r>
      <w:r w:rsidR="00BB1D20">
        <w:rPr>
          <w:lang w:val="en-US"/>
        </w:rPr>
        <w:fldChar w:fldCharType="begin" w:fldLock="1"/>
      </w:r>
      <w:r w:rsidR="00BB1D20">
        <w:rPr>
          <w:lang w:val="en-US"/>
        </w:rPr>
        <w:instrText>ADDIN CSL_CITATION {"citationItems":[{"id":"ITEM-1","itemData":{"DOI":"10.1371/journal.pone.0041778","ISSN":"19326203","PMID":"22860015","abstract":"BACKGROUND: Although previous meta-analyses have examined effects of antidepressants, psychotherapy, and alternative therapies for depression, the efficacy of these treatments alone and in combination has not been systematically compared. We hypothesized that the differences between approved depression treatments and controls would be small.\\n\\nMETHODS AND FINDINGS: The authors first reviewed data from Food and Drug Administration Summary Basis of Approval reports of 62 pivotal antidepressant trials consisting of data from 13,802 depressed patients. This was followed by a systematic review of data from 115 published trials evaluating efficacy of psychotherapies and alternative therapies for depression. The published depression trials consisted of 10,310 depressed patients. We assessed the percentage symptom reduction experienced by the patients based on treatment assignment. Overall, antidepressants led to greater symptom reduction compared to placebo among both unpublished FDA data and published trials (F = 38.5, df = 239, p&lt;0.001). In the published trials we noted that the magnitude of symptom reduction with active depression treatments compared to controls was significantly larger when raters evaluating treatment effects were un-blinded compared to the trials with blinded raters (F = 2.17, df = 313, p&lt;0.05). In the blinded trials, the combination of antidepressants and psychotherapy provided a slight advantage over antidepressants (p = 0.027) and psychotherapy (p = 0.022) alone. The magnitude of symptom reduction was greater with psychotherapies compared to placebo (p = 0.019), treatment-as-usual (p = 0.012) and waiting-list (p&lt;0.001). Differences were not seen with psychotherapy compared to antidepressants, alternative therapies or active intervention controls.\\n\\nCONCLUSIONS: In conclusion, the combination of psychotherapy and antidepressants for depression may provide a slight advantage whereas antidepressants alone and psychotherapy alone are not significantly different from alternative therapies or active intervention controls. These data suggest that type of treatment offered is less important than getting depressed patients involved in an active therapeutic program. Future research should consider whether certain patient profiles might justify a specific treatment modality.","author":[{"dropping-particle":"","family":"Khan","given":"Arif","non-dropping-particle":"","parse-names":false,"suffix":""},{"dropping-particle":"","family":"Faucett","given":"James","non-dropping-particle":"","parse-names":false,"suffix":""},{"dropping-particle":"","family":"Lichtenberg","given":"Pesach","non-dropping-particle":"","parse-names":false,"suffix":""},{"dropping-particle":"","family":"Kirsch","given":"Irving","non-dropping-particle":"","parse-names":false,"suffix":""},{"dropping-particle":"","family":"Brown","given":"Walter A.","non-dropping-particle":"","parse-names":false,"suffix":""}],"container-title":"PLoS ONE","id":"ITEM-1","issued":{"date-parts":[["2012"]]},"title":"A systematic review of comparative efficacy of treatments and controls for depression","type":"article-journal"},"uris":["http://www.mendeley.com/documents/?uuid=0b158b2e-f25a-499e-b0cc-c4715a1de0d8"]}],"mendeley":{"formattedCitation":"(Khan &lt;i&gt;et al.&lt;/i&gt;, 2012)","plainTextFormattedCitation":"(Khan et al., 2012)","previouslyFormattedCitation":"(Khan &lt;i&gt;et al.&lt;/i&gt;, 2012)"},"properties":{"noteIndex":0},"schema":"https://github.com/citation-style-language/schema/raw/master/csl-citation.json"}</w:instrText>
      </w:r>
      <w:r w:rsidR="00BB1D20">
        <w:rPr>
          <w:lang w:val="en-US"/>
        </w:rPr>
        <w:fldChar w:fldCharType="separate"/>
      </w:r>
      <w:r w:rsidR="00BB1D20" w:rsidRPr="00F3519D">
        <w:rPr>
          <w:noProof/>
          <w:lang w:val="en-US"/>
        </w:rPr>
        <w:t xml:space="preserve">(Khan </w:t>
      </w:r>
      <w:r w:rsidR="00BB1D20" w:rsidRPr="00F3519D">
        <w:rPr>
          <w:i/>
          <w:noProof/>
          <w:lang w:val="en-US"/>
        </w:rPr>
        <w:t>et al.</w:t>
      </w:r>
      <w:r w:rsidR="00BB1D20" w:rsidRPr="00F3519D">
        <w:rPr>
          <w:noProof/>
          <w:lang w:val="en-US"/>
        </w:rPr>
        <w:t>, 2012)</w:t>
      </w:r>
      <w:r w:rsidR="00BB1D20">
        <w:rPr>
          <w:lang w:val="en-US"/>
        </w:rPr>
        <w:fldChar w:fldCharType="end"/>
      </w:r>
      <w:r w:rsidR="00BB1D20">
        <w:rPr>
          <w:lang w:val="en-US"/>
        </w:rPr>
        <w:t xml:space="preserve">, </w:t>
      </w:r>
      <w:r w:rsidR="00E35C5D">
        <w:rPr>
          <w:lang w:val="en-US"/>
        </w:rPr>
        <w:t xml:space="preserve">approximately </w:t>
      </w:r>
      <w:r w:rsidR="00BB1D20">
        <w:rPr>
          <w:lang w:val="en-US"/>
        </w:rPr>
        <w:t xml:space="preserve">only half of patients undergoing treatment recover </w:t>
      </w:r>
      <w:r w:rsidR="00BB1D20">
        <w:rPr>
          <w:lang w:val="en-US"/>
        </w:rPr>
        <w:fldChar w:fldCharType="begin" w:fldLock="1"/>
      </w:r>
      <w:r w:rsidR="00BB1D20">
        <w:rPr>
          <w:lang w:val="en-US"/>
        </w:rPr>
        <w:instrText>ADDIN CSL_CITATION {"citationItems":[{"id":"ITEM-1","itemData":{"DOI":"http://dx.doi.org/10.1517/14656566.7.17.2323","ISSN":"1465-6566","abstract":"Established treatments for depression are often effective. However, a significant number of patients show limited or no response. With advancements in the explanation of the underlying neurobiology of depression, several novel therapeutic approaches have been developed. Emerging drug targets include novel monoamine oxidase inhibitors, triple monoamine re-uptake inhibitors, omega-3 fatty acids, melatoninergic agonists and receptor antagonists for corticotropin-releasing factor1, glucocorticoid, substance-P and NMDA. Developments in therapeutic focal brain stimulation include vagus nerve stimulation, transcranial magnetic stimulation, magnetic seizure therapy and deep brain stimulation. The role of psychotherapy, both as monotherapy and as adjunctive therapy, is an active avenue of investigation. Although data on these treatments are limited, preliminary results are encouraging. A major goal that remains to be achieved is the identification of predictors of response to the various antidepressant treatments that have diverse mechanisms of action. © 2006 Informa UK Ltd.","author":[{"dropping-particle":"","family":"IIIPE","given":"Holtzheimer","non-dropping-particle":"","parse-names":false,"suffix":""},{"dropping-particle":"","family":"CB","given":"Nemeroff","non-dropping-particle":"","parse-names":false,"suffix":""}],"container-title":"Expert opinion on pharmacotherapy","id":"ITEM-1","issued":{"date-parts":[["2006"]]},"title":"Emerging treatments for depression","type":"article-journal"},"uris":["http://www.mendeley.com/documents/?uuid=051925ba-3343-4ace-9b31-0ebb097bc503"]}],"mendeley":{"formattedCitation":"(IIIPE and CB, 2006)","plainTextFormattedCitation":"(IIIPE and CB, 2006)","previouslyFormattedCitation":"(IIIPE and CB, 2006)"},"properties":{"noteIndex":0},"schema":"https://github.com/citation-style-language/schema/raw/master/csl-citation.json"}</w:instrText>
      </w:r>
      <w:r w:rsidR="00BB1D20">
        <w:rPr>
          <w:lang w:val="en-US"/>
        </w:rPr>
        <w:fldChar w:fldCharType="separate"/>
      </w:r>
      <w:r w:rsidR="00BB1D20" w:rsidRPr="00F3519D">
        <w:rPr>
          <w:noProof/>
          <w:lang w:val="en-US"/>
        </w:rPr>
        <w:t>(IIIPE and CB, 2006)</w:t>
      </w:r>
      <w:r w:rsidR="00BB1D20">
        <w:rPr>
          <w:lang w:val="en-US"/>
        </w:rPr>
        <w:fldChar w:fldCharType="end"/>
      </w:r>
      <w:r w:rsidR="00BB1D20">
        <w:rPr>
          <w:lang w:val="en-US"/>
        </w:rPr>
        <w:t>.</w:t>
      </w:r>
    </w:p>
    <w:p w14:paraId="11FE9B1A" w14:textId="77777777" w:rsidR="00A46531" w:rsidRDefault="00A46531" w:rsidP="00A46531">
      <w:pPr>
        <w:spacing w:after="0" w:line="360" w:lineRule="auto"/>
        <w:rPr>
          <w:rFonts w:eastAsia="Times New Roman" w:cs="Arial"/>
          <w:bCs/>
          <w:szCs w:val="20"/>
          <w:lang w:eastAsia="en-GB"/>
        </w:rPr>
      </w:pPr>
    </w:p>
    <w:p w14:paraId="6F90EB71" w14:textId="5D18B167" w:rsidR="00A46531" w:rsidRPr="001E1C21" w:rsidRDefault="00A46531" w:rsidP="00A46531">
      <w:pPr>
        <w:spacing w:after="0" w:line="360" w:lineRule="auto"/>
        <w:rPr>
          <w:rFonts w:eastAsia="Times New Roman" w:cs="Arial"/>
          <w:lang w:eastAsia="en-GB"/>
        </w:rPr>
      </w:pPr>
      <w:r w:rsidRPr="4C8E95FF">
        <w:rPr>
          <w:rFonts w:eastAsia="Times New Roman" w:cs="Arial"/>
          <w:lang w:eastAsia="en-GB"/>
        </w:rPr>
        <w:t>Ieso Digital Health is a provider of Internet-enabled CBT (IECBT), where patients communicate with an accredited CBT trained clinician using a real-time text-</w:t>
      </w:r>
      <w:proofErr w:type="gramStart"/>
      <w:r w:rsidRPr="4C8E95FF">
        <w:rPr>
          <w:rFonts w:eastAsia="Times New Roman" w:cs="Arial"/>
          <w:lang w:eastAsia="en-GB"/>
        </w:rPr>
        <w:t>based  system</w:t>
      </w:r>
      <w:proofErr w:type="gramEnd"/>
      <w:r w:rsidRPr="4C8E95FF">
        <w:rPr>
          <w:rFonts w:eastAsia="Times New Roman" w:cs="Arial"/>
          <w:lang w:eastAsia="en-GB"/>
        </w:rPr>
        <w:t xml:space="preserve">. The clinical effectiveness of IECBT has been demonstrated in depression and other mental health conditions </w:t>
      </w:r>
      <w:r w:rsidRPr="4C8E95FF">
        <w:fldChar w:fldCharType="begin" w:fldLock="1"/>
      </w:r>
      <w:r>
        <w:rPr>
          <w:rFonts w:eastAsia="Times New Roman" w:cs="Arial"/>
          <w:bCs/>
          <w:szCs w:val="20"/>
          <w:lang w:eastAsia="en-GB"/>
        </w:rPr>
        <w:instrText>ADDIN CSL_CITATION {"citationItems":[{"id":"ITEM-1","itemData":{"DOI":"10.1016/S0140-6736(09)61257-5","ISBN":"0140-6736","ISSN":"01406736","PMID":"19700005","abstract":"Background: Despite strong evidence for its effectiveness, cognitive-behavioural therapy (CBT) remains difficult to access. Computerised programs have been developed to improve accessibility, but whether these interventions are responsive to individual needs is unknown. We investigated the effectiveness of CBT delivered online in real time by a therapist for patients with depression in primary care. Methods: In this multicentre, randomised controlled trial, 297 individuals with a score of 14 or more on the Beck depression inventory (BDI) and a confirmed diagnosis of depression were recruited from 55 general practices in Bristol, London, and Warwickshire, UK. Participants were randomly assigned, by a computer-generated code, to online CBT in addition to usual care (intervention; n=149) or to usual care from their general practitioner while on an 8-month waiting list for online CBT (control; n=148). Participants, researchers involved in recruitment, and therapists were masked in advance to allocation. The primary outcome was recovery from depression (BDI score &lt;10) at 4 months. Analysis was by intention to treat. This trial is registered, number ISRCTN 45444578. Findings: 113 participants in the intervention group and 97 in the control group completed 4-month follow-up. 43 (38%) patients recovered from depression (BDI score &lt;10) in the intervention group versus 23 (24%) in the control group at 4 months (odds ratio 2·39, 95% CI 1·23-4·67; p=0·011), and 46 (42%) versus 26 (26%) at 8 months (2·07, 1·11-3·87; p=0·023). Interpretation: CBT seems to be effective when delivered online in real time by a therapist, with benefits maintained over 8 months. This method of delivery could broaden access to CBT. Funding: BUPA Foundation. © 2009 Elsevier Ltd. All rights reserved.","author":[{"dropping-particle":"","family":"Kessler","given":"David","non-dropping-particle":"","parse-names":false,"suffix":""},{"dropping-particle":"","family":"Lewis","given":"Glyn","non-dropping-particle":"","parse-names":false,"suffix":""},{"dropping-particle":"","family":"Kaur","given":"Surinder","non-dropping-particle":"","parse-names":false,"suffix":""},{"dropping-particle":"","family":"Wiles","given":"Nicola","non-dropping-particle":"","parse-names":false,"suffix":""},{"dropping-particle":"","family":"King","given":"Michael","non-dropping-particle":"","parse-names":false,"suffix":""},{"dropping-particle":"","family":"Weich","given":"Scott","non-dropping-particle":"","parse-names":false,"suffix":""},{"dropping-particle":"","family":"Sharp","given":"Debbie J.","non-dropping-particle":"","parse-names":false,"suffix":""},{"dropping-particle":"","family":"Araya","given":"Ricardo","non-dropping-particle":"","parse-names":false,"suffix":""},{"dropping-particle":"","family":"Hollinghurst","given":"Sandra","non-dropping-particle":"","parse-names":false,"suffix":""},{"dropping-particle":"","family":"Peters","given":"Tim J.","non-dropping-particle":"","parse-names":false,"suffix":""}],"container-title":"The Lancet","id":"ITEM-1","issue":"9690","issued":{"date-parts":[["2009"]]},"page":"628-634","title":"Therapist-delivered internet psychotherapy for depression in primary care: a randomised controlled trial","type":"article-journal","volume":"374"},"uris":["http://www.mendeley.com/documents/?uuid=973530bf-231a-43f1-9646-07c887ffcf73"]},{"id":"ITEM-2","itemData":{"DOI":"10.1192/bjo.2018.57","ISSN":"2056-4724","abstract":"&lt;div class=\"abstract\" data-abstract-type=\"normal\"&gt;&lt;div class='sec'&gt;&lt;span class=\"bold\"&gt;Background&lt;/span&gt;&lt;p&gt;Common mental health problems affect a quarter of the population. Online cognitive–behavioural therapy (CBT) is increasingly used, but the factors modulating response to this treatment modality remain unclear.&lt;/p&gt;&lt;/div&gt;&lt;div class='sec'&gt;&lt;span class=\"bold\"&gt;Aims&lt;/span&gt;&lt;p&gt;This study aims to explore the demographic and clinical predictors of response to one-to-one CBT delivered via the internet.&lt;/p&gt;&lt;/div&gt;&lt;div class='sec'&gt;&lt;span class=\"bold\"&gt;Method&lt;/span&gt;&lt;p&gt;Real-world clinical outcomes data were collected from 2211 NHS England patients completing a course of CBT delivered by a trained clinician via the internet. Logistic regression analyses were performed using patient and service variables to identify significant predictors of response to treatment.&lt;/p&gt;&lt;/div&gt;&lt;div class='sec'&gt;&lt;span class=\"bold\"&gt;Results&lt;/span&gt;&lt;p&gt;Multiple patient variables were significantly associated with positive response to treatment including older age, absence of long-term physical comorbidities and lower symptom severity at start of treatment. Service variables associated with positive response to treatment included shorter waiting times for initial assessment and longer treatment durations in terms of the number of sessions.&lt;/p&gt;&lt;/div&gt;&lt;div class='sec'&gt;&lt;span class=\"bold\"&gt;Conclusions&lt;/span&gt;&lt;p&gt;Knowledge of which patient and service variables are associated with good clinical outcomes can be used to develop personalised treatment programmes, as part of a quality improvement cycle aiming to drive up standards in mental healthcare. This study exemplifies translational research put into practice and deployed at scale in the National Health Service, demonstrating the value of technology-enabled treatment delivery not only in facilitating access to care, but in enabling accelerated data capture for clinical research purposes.&lt;/p&gt;&lt;/div&gt;&lt;div class='sec'&gt;&lt;span class=\"bold\"&gt;Declaration of interest&lt;/span&gt;&lt;p&gt;A.C., S.B., V.T., K.I., S.F., A.R., A.H. and A.D.B. are employees or board members of the sponsor. S.R.C. consults for Cambridge Cognition and Shire. Keywords: Anxiety disorders; cognitive behavioural therapies; depressive disorders; individual psychotherapy&lt;/p&gt;&lt;/div&gt;&lt;/div&gt;","author":[{"dropping-particle":"","family":"Catarino","given":"Ana","non-dropping-particle":"","parse-names":false,"suffix":""},{"dropping-particle":"","family":"Bateup","given":"Sarah","non-dropping-particle":"","parse-names":false,"suffix":""},{"dropping-particle":"","family":"Tablan","given":"Valentin","non-dropping-particle":"","parse-names":false,"suffix":""},{"dropping-particle":"","family":"Innes","given":"Katherine","non-dropping-particle":"","parse-names":false,"suffix":""},{"dropping-particle":"","family":"Freer","given":"Stephen","non-dropping-particle":"","parse-names":false,"suffix":""},{"dropping-particle":"","family":"Richards","given":"Andy","non-dropping-particle":"","parse-names":false,"suffix":""},{"dropping-particle":"","family":"Stott","given":"Richard","non-dropping-particle":"","parse-names":false,"suffix":""},{"dropping-particle":"","family":"Hollon","given":"Steven D.","non-dropping-particle":"","parse-names":false,"suffix":""},{"dropping-particle":"","family":"Chamberlain","given":"Samuel Robin","non-dropping-particle":"","parse-names":false,"suffix":""},{"dropping-particle":"","family":"Hayes","given":"Ann","non-dropping-particle":"","parse-names":false,"suffix":""},{"dropping-particle":"","family":"Blackwell","given":"Andrew D.","non-dropping-particle":"","parse-names":false,"suffix":""}],"container-title":"BJPsych Open","id":"ITEM-2","issue":"5","issued":{"date-parts":[["2018","9","2"]]},"page":"411-418","publisher":"Cambridge University Press","title":"Demographic and clinical predictors of response to internet-enabled cognitive–behavioural therapy for depression and anxiety","type":"article-journal","volume":"4"},"uris":["http://www.mendeley.com/documents/?uuid=f61adb46-059a-316a-9a20-973e5676c50d"]}],"mendeley":{"formattedCitation":"(Kessler &lt;i&gt;et al.&lt;/i&gt;, 2009; Catarino &lt;i&gt;et al.&lt;/i&gt;, 2018)","plainTextFormattedCitation":"(Kessler et al., 2009; Catarino et al., 2018)","previouslyFormattedCitation":"(Kessler &lt;i&gt;et al.&lt;/i&gt;, 2009; Catarino &lt;i&gt;et al.&lt;/i&gt;, 2018)"},"properties":{"noteIndex":0},"schema":"https://github.com/citation-style-language/schema/raw/master/csl-citation.json"}</w:instrText>
      </w:r>
      <w:r w:rsidRPr="4C8E95FF">
        <w:rPr>
          <w:rFonts w:eastAsia="Times New Roman" w:cs="Arial"/>
          <w:bCs/>
          <w:szCs w:val="20"/>
          <w:lang w:eastAsia="en-GB"/>
        </w:rPr>
        <w:fldChar w:fldCharType="separate"/>
      </w:r>
      <w:r w:rsidRPr="4C8E95FF">
        <w:rPr>
          <w:rFonts w:eastAsia="Times New Roman" w:cs="Arial"/>
          <w:noProof/>
          <w:lang w:eastAsia="en-GB"/>
        </w:rPr>
        <w:t xml:space="preserve">(Kessler </w:t>
      </w:r>
      <w:r w:rsidRPr="4C8E95FF">
        <w:rPr>
          <w:rFonts w:eastAsia="Times New Roman" w:cs="Arial"/>
          <w:i/>
          <w:iCs/>
          <w:noProof/>
          <w:lang w:eastAsia="en-GB"/>
        </w:rPr>
        <w:t>et al.</w:t>
      </w:r>
      <w:r w:rsidRPr="4C8E95FF">
        <w:rPr>
          <w:rFonts w:eastAsia="Times New Roman" w:cs="Arial"/>
          <w:noProof/>
          <w:lang w:eastAsia="en-GB"/>
        </w:rPr>
        <w:t xml:space="preserve">, 2009; Catarino </w:t>
      </w:r>
      <w:r w:rsidRPr="4C8E95FF">
        <w:rPr>
          <w:rFonts w:eastAsia="Times New Roman" w:cs="Arial"/>
          <w:i/>
          <w:iCs/>
          <w:noProof/>
          <w:lang w:eastAsia="en-GB"/>
        </w:rPr>
        <w:t>et al.</w:t>
      </w:r>
      <w:r w:rsidRPr="4C8E95FF">
        <w:rPr>
          <w:rFonts w:eastAsia="Times New Roman" w:cs="Arial"/>
          <w:noProof/>
          <w:lang w:eastAsia="en-GB"/>
        </w:rPr>
        <w:t>, 2018)</w:t>
      </w:r>
      <w:r w:rsidRPr="4C8E95FF">
        <w:fldChar w:fldCharType="end"/>
      </w:r>
      <w:r w:rsidRPr="4C8E95FF">
        <w:rPr>
          <w:rFonts w:eastAsia="Times New Roman" w:cs="Arial"/>
          <w:lang w:eastAsia="en-GB"/>
        </w:rPr>
        <w:t xml:space="preserve">. However, many patients do not experience adequate symptom relief from existing first-line treatments – our own data indicate that approximately </w:t>
      </w:r>
      <w:r w:rsidR="001F7223">
        <w:rPr>
          <w:rFonts w:eastAsia="Times New Roman" w:cs="Arial"/>
          <w:lang w:eastAsia="en-GB"/>
        </w:rPr>
        <w:t>5</w:t>
      </w:r>
      <w:r w:rsidRPr="4C8E95FF">
        <w:rPr>
          <w:rFonts w:eastAsia="Times New Roman" w:cs="Arial"/>
          <w:lang w:eastAsia="en-GB"/>
        </w:rPr>
        <w:t xml:space="preserve">0% of patients with </w:t>
      </w:r>
      <w:r w:rsidR="001F7223">
        <w:rPr>
          <w:rFonts w:eastAsia="Times New Roman" w:cs="Arial"/>
          <w:lang w:eastAsia="en-GB"/>
        </w:rPr>
        <w:t>mental health disorders</w:t>
      </w:r>
      <w:r w:rsidRPr="4C8E95FF">
        <w:rPr>
          <w:rFonts w:eastAsia="Times New Roman" w:cs="Arial"/>
          <w:lang w:eastAsia="en-GB"/>
        </w:rPr>
        <w:t xml:space="preserve"> experience treatment resistance to a standard course of IECBT, with similar rates reported elsewhere </w:t>
      </w:r>
      <w:r w:rsidRPr="4C8E95FF">
        <w:fldChar w:fldCharType="begin" w:fldLock="1"/>
      </w:r>
      <w:r w:rsidR="00BF7B1A">
        <w:rPr>
          <w:rFonts w:eastAsia="Times New Roman" w:cs="Arial"/>
          <w:bCs/>
          <w:szCs w:val="20"/>
          <w:lang w:eastAsia="en-GB"/>
        </w:rPr>
        <w:instrText>ADDIN CSL_CITATION {"citationItems":[{"id":"ITEM-1","itemData":{"DOI":"10.1016/S0140-6736(06)69865-6","ISSN":"01406736","abstract":"Generalised anxiety disorder is a persistent and common disorder, in which the patient has unfocused worry and anxiety that is not connected to recent stressful events, although it can be aggravated by certain situations. This disorder is twice as common in women than it is in men. Generalised anxiety disorder is characterised by feelings of threat, restlessness, irritability, sleep disturbance, and tension, and symptoms such as palpitations, dry mouth, and sweating. These symptoms are recognised as part of the anxiety syndrome rather than independent complaints. The symptoms overlap greatly with those of other common mental disorders and we could regard the disorder as part of a spectrum of mood and related disorders rather than an independent disorder. Generalised anxiety disorder has a relapsing course, and intervention rarely results in complete resolution of symptoms, but in the short term and medium term, effective treatments include psychological therapies, such as cognitive behavioural therapy; self-help approaches based on cognitive behavioural therapy principles; and pharmacological treatments, mainly selective serotonin reuptake inhibitors. © 2006 Elsevier Ltd. All rights reserved.","author":[{"dropping-particle":"","family":"Tyrer","given":"Peter","non-dropping-particle":"","parse-names":false,"suffix":""},{"dropping-particle":"","family":"Baldwin","given":"David","non-dropping-particle":"","parse-names":false,"suffix":""}],"container-title":"Lancet","id":"ITEM-1","issued":{"date-parts":[["2006"]]},"title":"Generalised anxiety disorder","type":"article"},"uris":["http://www.mendeley.com/documents/?uuid=342dd67e-73de-424e-990d-e1aee144123d"]},{"id":"ITEM-2","itemData":{"DOI":"http://dx.doi.org/10.1517/14656566.7.17.2323","ISSN":"1465-6566","abstract":"Established treatments for depression are often effective. However, a significant number of patients show limited or no response. With advancements in the explanation of the underlying neurobiology of depression, several novel therapeutic approaches have been developed. Emerging drug targets include novel monoamine oxidase inhibitors, triple monoamine re-uptake inhibitors, omega-3 fatty acids, melatoninergic agonists and receptor antagonists for corticotropin-releasing factor1, glucocorticoid, substance-P and NMDA. Developments in therapeutic focal brain stimulation include vagus nerve stimulation, transcranial magnetic stimulation, magnetic seizure therapy and deep brain stimulation. The role of psychotherapy, both as monotherapy and as adjunctive therapy, is an active avenue of investigation. Although data on these treatments are limited, preliminary results are encouraging. A major goal that remains to be achieved is the identification of predictors of response to the various antidepressant treatments that have diverse mechanisms of action. © 2006 Informa UK Ltd.","author":[{"dropping-particle":"","family":"IIIPE","given":"Holtzheimer","non-dropping-particle":"","parse-names":false,"suffix":""},{"dropping-particle":"","family":"CB","given":"Nemeroff","non-dropping-particle":"","parse-names":false,"suffix":""}],"container-title":"Expert opinion on pharmacotherapy","id":"ITEM-2","issued":{"date-parts":[["2006"]]},"title":"Emerging treatments for depression","type":"article-journal"},"uris":["http://www.mendeley.com/documents/?uuid=051925ba-3343-4ace-9b31-0ebb097bc503"]}],"mendeley":{"formattedCitation":"(IIIPE and CB, 2006; Tyrer and Baldwin, 2006)","plainTextFormattedCitation":"(IIIPE and CB, 2006; Tyrer and Baldwin, 2006)","previouslyFormattedCitation":"(IIIPE and CB, 2006; Tyrer and Baldwin, 2006)"},"properties":{"noteIndex":0},"schema":"https://github.com/citation-style-language/schema/raw/master/csl-citation.json"}</w:instrText>
      </w:r>
      <w:r w:rsidRPr="4C8E95FF">
        <w:rPr>
          <w:rFonts w:eastAsia="Times New Roman" w:cs="Arial"/>
          <w:bCs/>
          <w:szCs w:val="20"/>
          <w:lang w:eastAsia="en-GB"/>
        </w:rPr>
        <w:fldChar w:fldCharType="separate"/>
      </w:r>
      <w:r w:rsidR="009C49F3" w:rsidRPr="009C49F3">
        <w:rPr>
          <w:rFonts w:eastAsia="Times New Roman" w:cs="Arial"/>
          <w:noProof/>
          <w:lang w:eastAsia="en-GB"/>
        </w:rPr>
        <w:t>(IIIPE and CB, 2006; Tyrer and Baldwin, 2006)</w:t>
      </w:r>
      <w:r w:rsidRPr="4C8E95FF">
        <w:fldChar w:fldCharType="end"/>
      </w:r>
      <w:r w:rsidRPr="4C8E95FF">
        <w:rPr>
          <w:rFonts w:eastAsia="Times New Roman" w:cs="Arial"/>
          <w:lang w:eastAsia="en-GB"/>
        </w:rPr>
        <w:t xml:space="preserve">. Understanding and overcoming barriers to improving treatment for common mental health conditions thus constitutes a vital goal, in order to provide the maximal therapeutic benefit to the largest possible numbers of people. </w:t>
      </w:r>
    </w:p>
    <w:p w14:paraId="25A53454" w14:textId="77777777" w:rsidR="00A46531" w:rsidRDefault="00A46531" w:rsidP="00A46531">
      <w:pPr>
        <w:spacing w:after="0" w:line="360" w:lineRule="auto"/>
        <w:rPr>
          <w:rFonts w:eastAsia="Times New Roman" w:cs="Arial"/>
          <w:bCs/>
          <w:szCs w:val="20"/>
          <w:lang w:eastAsia="en-GB"/>
        </w:rPr>
      </w:pPr>
    </w:p>
    <w:p w14:paraId="513B8686" w14:textId="474B7978" w:rsidR="00CB022C" w:rsidRDefault="00D349F0" w:rsidP="00A46531">
      <w:pPr>
        <w:spacing w:after="0" w:line="360" w:lineRule="auto"/>
        <w:rPr>
          <w:rFonts w:eastAsia="Times New Roman" w:cs="Arial"/>
          <w:bCs/>
          <w:szCs w:val="20"/>
          <w:lang w:eastAsia="en-GB"/>
        </w:rPr>
      </w:pPr>
      <w:r>
        <w:rPr>
          <w:rFonts w:eastAsia="Times New Roman" w:cs="Arial"/>
          <w:bCs/>
          <w:szCs w:val="20"/>
          <w:lang w:eastAsia="en-GB"/>
        </w:rPr>
        <w:t>The link between behavioural biomarkers and mood is one that has been widely studied</w:t>
      </w:r>
      <w:r w:rsidR="00F57EF8">
        <w:rPr>
          <w:rFonts w:eastAsia="Times New Roman" w:cs="Arial"/>
          <w:bCs/>
          <w:szCs w:val="20"/>
          <w:lang w:eastAsia="en-GB"/>
        </w:rPr>
        <w:t>, with numerous research groups</w:t>
      </w:r>
      <w:r w:rsidR="00796BC8">
        <w:rPr>
          <w:rFonts w:eastAsia="Times New Roman" w:cs="Arial"/>
          <w:bCs/>
          <w:szCs w:val="20"/>
          <w:lang w:eastAsia="en-GB"/>
        </w:rPr>
        <w:t xml:space="preserve"> exploring the use of passively collected mobile-phone data to </w:t>
      </w:r>
      <w:r w:rsidR="00BA6867">
        <w:rPr>
          <w:rFonts w:eastAsia="Times New Roman" w:cs="Arial"/>
          <w:bCs/>
          <w:szCs w:val="20"/>
          <w:lang w:eastAsia="en-GB"/>
        </w:rPr>
        <w:t>infer</w:t>
      </w:r>
      <w:r w:rsidR="00796BC8">
        <w:rPr>
          <w:rFonts w:eastAsia="Times New Roman" w:cs="Arial"/>
          <w:bCs/>
          <w:szCs w:val="20"/>
          <w:lang w:eastAsia="en-GB"/>
        </w:rPr>
        <w:t xml:space="preserve"> user</w:t>
      </w:r>
      <w:r w:rsidR="003E5C53">
        <w:rPr>
          <w:rFonts w:eastAsia="Times New Roman" w:cs="Arial"/>
          <w:bCs/>
          <w:szCs w:val="20"/>
          <w:lang w:eastAsia="en-GB"/>
        </w:rPr>
        <w:t xml:space="preserve">s’ mood </w:t>
      </w:r>
      <w:r w:rsidR="00BF7B1A">
        <w:rPr>
          <w:rFonts w:eastAsia="Times New Roman" w:cs="Arial"/>
          <w:bCs/>
          <w:szCs w:val="20"/>
          <w:lang w:eastAsia="en-GB"/>
        </w:rPr>
        <w:fldChar w:fldCharType="begin" w:fldLock="1"/>
      </w:r>
      <w:r w:rsidR="000D42FD">
        <w:rPr>
          <w:rFonts w:eastAsia="Times New Roman" w:cs="Arial"/>
          <w:bCs/>
          <w:szCs w:val="20"/>
          <w:lang w:eastAsia="en-GB"/>
        </w:rPr>
        <w:instrText>ADDIN CSL_CITATION {"citationItems":[{"id":"ITEM-1","itemData":{"DOI":"10.2196/jmir.5505","ISSN":"14388871","abstract":"BACKGROUND: Ecological momentary assessment (EMA) is a useful method to tap the dynamics of psychological and behavioral phenomena in real-world contexts. However, the response burden of (self-report) EMA limits its clinical utility.\nOBJECTIVE: The aim was to explore mobile phone-based unobtrusive EMA, in which mobile phone usage logs are considered as proxy measures of clinically relevant user states and contexts.\nMETHODS: This was an uncontrolled explorative pilot study. Our study consisted of 6 weeks of EMA/unobtrusive EMA data collection in a Dutch student population (N=33), followed by a regression modeling analysis. Participants self-monitored their mood on their mobile phone (EMA) with a one-dimensional mood measure (1 to 10) and a two-dimensional circumplex measure (arousal/valence, -2 to 2). Meanwhile, with participants' consent, a mobile phone app unobtrusively collected (meta) data from six smartphone sensor logs (unobtrusive EMA: calls/short message service (SMS) text messages, screen time, application usage, accelerometer, and phone camera events). Through forward stepwise regression (FSR), we built personalized regression models from the unobtrusive EMA variables to predict day-to-day variation in EMA mood ratings. The predictive performance of these models (ie, cross-validated mean squared error and percentage of correct predictions) was compared to naive benchmark regression models (the mean model and a lag-2 history model).\nRESULTS: A total of 27 participants (81%) provided a mean 35.5 days (SD 3.8) of valid EMA/unobtrusive EMA data. The FSR models accurately predicted 55% to 76% of EMA mood scores. However, the predictive performance of these models was significantly inferior to that of naive benchmark models.\nCONCLUSIONS: Mobile phone-based unobtrusive EMA is a technically feasible and potentially powerful EMA variant. The method is young and positive findings may not replicate. At present, we do not recommend the application of FSR-based mood prediction in real-world clinical settings. Further psychometric studies and more advanced data mining techniques are needed to unlock unobtrusive EMA's true potential.","author":[{"dropping-particle":"","family":"Asselbergs","given":"Joost","non-dropping-particle":"","parse-names":false,"suffix":""},{"dropping-particle":"","family":"Ruwaard","given":"Jeroen","non-dropping-particle":"","parse-names":false,"suffix":""},{"dropping-particle":"","family":"Ejdys","given":"Michal","non-dropping-particle":"","parse-names":false,"suffix":""},{"dropping-particle":"","family":"Schrader","given":"Niels","non-dropping-particle":"","parse-names":false,"suffix":""},{"dropping-particle":"","family":"Sijbrandij","given":"Marit","non-dropping-particle":"","parse-names":false,"suffix":""},{"dropping-particle":"","family":"Riper","given":"Heleen","non-dropping-particle":"","parse-names":false,"suffix":""}],"container-title":"Journal of medical Internet research","id":"ITEM-1","issued":{"date-parts":[["2016"]]},"title":"Mobile Phone-Based Unobtrusive Ecological Momentary Assessment of Day-to-Day Mood: An Explorative Study","type":"article-journal"},"uris":["http://www.mendeley.com/documents/?uuid=38c0f71f-a631-4434-8e4e-72a034699a68"]},{"id":"ITEM-2","itemData":{"DOI":"10.1037/prj0000130","ISSN":"1095158X","PMID":"25844912","abstract":"Objective: Optimal mental health care is dependent upon sensitive and early detection of mental health problems. We have introduced a state-of-the-art method for the current study for remote behavioral monitoring that transports assessment out of the clinic and into the environments in which individuals negotiate their daily lives. The objective of this study was to examine whether the information captured with multimodal smartphone sensors can serve as behavioral markers for one's mental health. We hypothesized that (a) unobtrusively collected smartphone sensor data would be associated with individuals' daily levels of stress, and (b) sensor data would be associated with changes in depression, stress, and subjective loneliness over time. Method: A total of 47 young adults (age range: 19-30 years) were recruited for the study. Individuals were enrolled as a single cohort and participated in the study over a 10-week period. Participants were provided with smartphones embedded with a range of sensors and software that enabled continuous tracking of their geospatial activity (using the Global Positioning System and wireless fidelity), kinesthetic activity (using multiaxial accelerometers), sleep duration (modeled using device-usage data, accelerometer inferences, ambient sound features, and ambient light levels), and time spent proximal to human speech (i.e., speech duration using microphone and speech detection algorithms). Participants completed daily ratings of stress, as well as pre- and postmeasures of depression (Patient Health Questionnaire-9; Spitzer, Kroenke, &amp; Williams, 1999), stress (Perceived Stress Scale; Cohen et al., 1983), and loneliness (Revised UCLA Loneliness Scale; Russell, Peplau, &amp; Cutrona, 1980). Results: Mixed-effects linear modeling showed that sensor-derived geospatial activity (p&lt;.05), sleep duration (p&lt;.05), and variability in geospatial activity (p.05), were associated with daily stress levels. Penalized functional regression showed associations between changes in depression and sensor-derived speech duration (p&lt;.05), geospatial activity (p&lt;.05), and sleep duration (p&lt;.05). Changes in loneliness were associated with sensor-derived kinesthetic activity (p&lt;.01). Conclusions and Implications for Practice: Smartphones can be harnessed as instruments for unobtrusive monitoring of several behavioral indicators of mental health. Creative leveraging of smartphone sensing could provide novel opportunities for close-to-invisible psychiat…","author":[{"dropping-particle":"","family":"Ben-Zeev","given":"Dror","non-dropping-particle":"","parse-names":false,"suffix":""},{"dropping-particle":"","family":"Scherer","given":"Emily A.","non-dropping-particle":"","parse-names":false,"suffix":""},{"dropping-particle":"","family":"Wang","given":"Rui","non-dropping-particle":"","parse-names":false,"suffix":""},{"dropping-particle":"","family":"Xie","given":"Haiyi","non-dropping-particle":"","parse-names":false,"suffix":""}],"container-title":"Psychiatric Rehabilitation Journal","id":"ITEM-2","issued":{"date-parts":[["2015"]]},"title":"Next-Generation psychiatric assessment: using smartphone sensors to monitor behavior and mental health","type":"article-journal"},"uris":["http://www.mendeley.com/documents/?uuid=e50f2b29-36a2-4b78-a974-994f04d377ee"]},{"id":"ITEM-3","itemData":{"DOI":"10.2196/10334","ISSN":"14388871","abstract":"Background: To predict and prevent mental health crises, we must develop new approaches that can provide a dramatic advance in the effectiveness, timeliness, and scalability of our interventions. However, current methods of predicting mental health crises (eg, clinical monitoring, screening) usually fail on most, if not all, of these criteria. Luckily for us, 77% of Americans carry with them an unprecedented opportunity to detect risk states and provide precise life-saving interventions. Smartphones present an opportunity to empower individuals to leverage the data they generate through their normal phone use to predict and prevent mental health crises. Objective: To facilitate the collection of high-quality, passive mobile sensing data, we built the Effortless Assessment of Risk States (EARS) tool to enable the generation of predictive machine learning algorithms to solve previously intractable problems and identify risk states before they become crises. Methods: The EARS tool captures multiple indices of a person's social and affective behavior via their naturalistic use of a smartphone. Although other mobile data collection tools exist, the EARS tool places a unique emphasis on capturing the content as well as the form of social communication on the phone. Signals collected include facial expressions, acoustic vocal quality, natural language use, physical activity, music choice, and geographical location. Critically, the EARS tool collects these data passively, with almost no burden on the user. We programmed the EARS tool in Java for the Android mobile platform. In building the EARS tool, we concentrated on two main considerations: (1) privacy and encryption and (2) phone use impact. Results: In a pilot study (N=24), participants tolerated the EARS tool well, reporting minimal burden. None of the participants who completed the study reported needing to use the provided battery packs. Current testing on a range of phones indicated that the tool consumed approximately 15% of the battery over a 16-hour period. Installation of the EARS tool caused minimal change in the user interface and user experience. Once installation is completed, the only difference the user notices is the custom keyboard. Conclusions: The EARS tool offers an innovative approach to passive mobile sensing by emphasizing the centrality of a person's social life to their well-being. We built the EARS tool to power cutting-edge research, with the ultimate goal of leveraging individual…","author":[{"dropping-particle":"","family":"Lind","given":"Monika N.","non-dropping-particle":"","parse-names":false,"suffix":""},{"dropping-particle":"","family":"Byrne","given":"Michelle L.","non-dropping-particle":"","parse-names":false,"suffix":""},{"dropping-particle":"","family":"Wicks","given":"Geordie","non-dropping-particle":"","parse-names":false,"suffix":""},{"dropping-particle":"","family":"Smidt","given":"Alec M.","non-dropping-particle":"","parse-names":false,"suffix":""},{"dropping-particle":"","family":"Allen","given":"Nicholas B.","non-dropping-particle":"","parse-names":false,"suffix":""}],"container-title":"Journal of Medical Internet Research","id":"ITEM-3","issued":{"date-parts":[["2018"]]},"title":"The Effortless Assessment of Risk States (EARS) Tool: An interpersonal approach to mobile sensing","type":"article-journal"},"uris":["http://www.mendeley.com/documents/?uuid=647d42a6-1177-4a38-93fe-ee95b0d01b8a"]}],"mendeley":{"formattedCitation":"(Ben-Zeev &lt;i&gt;et al.&lt;/i&gt;, 2015; Asselbergs &lt;i&gt;et al.&lt;/i&gt;, 2016; Lind &lt;i&gt;et al.&lt;/i&gt;, 2018)","plainTextFormattedCitation":"(Ben-Zeev et al., 2015; Asselbergs et al., 2016; Lind et al., 2018)","previouslyFormattedCitation":"(Ben-Zeev &lt;i&gt;et al.&lt;/i&gt;, 2015; Asselbergs &lt;i&gt;et al.&lt;/i&gt;, 2016; Lind &lt;i&gt;et al.&lt;/i&gt;, 2018)"},"properties":{"noteIndex":0},"schema":"https://github.com/citation-style-language/schema/raw/master/csl-citation.json"}</w:instrText>
      </w:r>
      <w:r w:rsidR="00BF7B1A">
        <w:rPr>
          <w:rFonts w:eastAsia="Times New Roman" w:cs="Arial"/>
          <w:bCs/>
          <w:szCs w:val="20"/>
          <w:lang w:eastAsia="en-GB"/>
        </w:rPr>
        <w:fldChar w:fldCharType="separate"/>
      </w:r>
      <w:r w:rsidR="00CF59F1" w:rsidRPr="00CF59F1">
        <w:rPr>
          <w:rFonts w:eastAsia="Times New Roman" w:cs="Arial"/>
          <w:bCs/>
          <w:noProof/>
          <w:szCs w:val="20"/>
          <w:lang w:eastAsia="en-GB"/>
        </w:rPr>
        <w:t xml:space="preserve">(Ben-Zeev </w:t>
      </w:r>
      <w:r w:rsidR="00CF59F1" w:rsidRPr="00CF59F1">
        <w:rPr>
          <w:rFonts w:eastAsia="Times New Roman" w:cs="Arial"/>
          <w:bCs/>
          <w:i/>
          <w:noProof/>
          <w:szCs w:val="20"/>
          <w:lang w:eastAsia="en-GB"/>
        </w:rPr>
        <w:t>et al.</w:t>
      </w:r>
      <w:r w:rsidR="00CF59F1" w:rsidRPr="00CF59F1">
        <w:rPr>
          <w:rFonts w:eastAsia="Times New Roman" w:cs="Arial"/>
          <w:bCs/>
          <w:noProof/>
          <w:szCs w:val="20"/>
          <w:lang w:eastAsia="en-GB"/>
        </w:rPr>
        <w:t xml:space="preserve">, 2015; Asselbergs </w:t>
      </w:r>
      <w:r w:rsidR="00CF59F1" w:rsidRPr="00CF59F1">
        <w:rPr>
          <w:rFonts w:eastAsia="Times New Roman" w:cs="Arial"/>
          <w:bCs/>
          <w:i/>
          <w:noProof/>
          <w:szCs w:val="20"/>
          <w:lang w:eastAsia="en-GB"/>
        </w:rPr>
        <w:t>et al.</w:t>
      </w:r>
      <w:r w:rsidR="00CF59F1" w:rsidRPr="00CF59F1">
        <w:rPr>
          <w:rFonts w:eastAsia="Times New Roman" w:cs="Arial"/>
          <w:bCs/>
          <w:noProof/>
          <w:szCs w:val="20"/>
          <w:lang w:eastAsia="en-GB"/>
        </w:rPr>
        <w:t xml:space="preserve">, 2016; Lind </w:t>
      </w:r>
      <w:r w:rsidR="00CF59F1" w:rsidRPr="00CF59F1">
        <w:rPr>
          <w:rFonts w:eastAsia="Times New Roman" w:cs="Arial"/>
          <w:bCs/>
          <w:i/>
          <w:noProof/>
          <w:szCs w:val="20"/>
          <w:lang w:eastAsia="en-GB"/>
        </w:rPr>
        <w:t>et al.</w:t>
      </w:r>
      <w:r w:rsidR="00CF59F1" w:rsidRPr="00CF59F1">
        <w:rPr>
          <w:rFonts w:eastAsia="Times New Roman" w:cs="Arial"/>
          <w:bCs/>
          <w:noProof/>
          <w:szCs w:val="20"/>
          <w:lang w:eastAsia="en-GB"/>
        </w:rPr>
        <w:t>, 2018)</w:t>
      </w:r>
      <w:r w:rsidR="00BF7B1A">
        <w:rPr>
          <w:rFonts w:eastAsia="Times New Roman" w:cs="Arial"/>
          <w:bCs/>
          <w:szCs w:val="20"/>
          <w:lang w:eastAsia="en-GB"/>
        </w:rPr>
        <w:fldChar w:fldCharType="end"/>
      </w:r>
      <w:r w:rsidR="00C81567">
        <w:rPr>
          <w:rFonts w:eastAsia="Times New Roman" w:cs="Arial"/>
          <w:bCs/>
          <w:szCs w:val="20"/>
          <w:lang w:eastAsia="en-GB"/>
        </w:rPr>
        <w:t>.</w:t>
      </w:r>
      <w:r w:rsidR="00D462FE">
        <w:rPr>
          <w:rFonts w:eastAsia="Times New Roman" w:cs="Arial"/>
          <w:bCs/>
          <w:szCs w:val="20"/>
          <w:lang w:eastAsia="en-GB"/>
        </w:rPr>
        <w:t xml:space="preserve"> </w:t>
      </w:r>
      <w:r w:rsidR="00047211">
        <w:rPr>
          <w:rFonts w:eastAsia="Times New Roman" w:cs="Arial"/>
          <w:bCs/>
          <w:szCs w:val="20"/>
          <w:lang w:eastAsia="en-GB"/>
        </w:rPr>
        <w:t>Beyond being used as proxy measures of mood, some of these biomarker</w:t>
      </w:r>
      <w:r w:rsidR="00EB5A05">
        <w:rPr>
          <w:rFonts w:eastAsia="Times New Roman" w:cs="Arial"/>
          <w:bCs/>
          <w:szCs w:val="20"/>
          <w:lang w:eastAsia="en-GB"/>
        </w:rPr>
        <w:t>s also have a potential value</w:t>
      </w:r>
      <w:r w:rsidR="005E1C5D">
        <w:rPr>
          <w:rFonts w:eastAsia="Times New Roman" w:cs="Arial"/>
          <w:bCs/>
          <w:szCs w:val="20"/>
          <w:lang w:eastAsia="en-GB"/>
        </w:rPr>
        <w:t xml:space="preserve"> as part of mobile mental health monitoring tools; for example</w:t>
      </w:r>
      <w:r w:rsidR="00DF7D1A">
        <w:rPr>
          <w:rFonts w:eastAsia="Times New Roman" w:cs="Arial"/>
          <w:bCs/>
          <w:szCs w:val="20"/>
          <w:lang w:eastAsia="en-GB"/>
        </w:rPr>
        <w:t>, information derived from</w:t>
      </w:r>
      <w:r w:rsidR="005E1C5D">
        <w:rPr>
          <w:rFonts w:eastAsia="Times New Roman" w:cs="Arial"/>
          <w:bCs/>
          <w:szCs w:val="20"/>
          <w:lang w:eastAsia="en-GB"/>
        </w:rPr>
        <w:t xml:space="preserve"> mobile phone location sensor data has been shown to be</w:t>
      </w:r>
      <w:r w:rsidR="00DF7D1A">
        <w:rPr>
          <w:rFonts w:eastAsia="Times New Roman" w:cs="Arial"/>
          <w:bCs/>
          <w:szCs w:val="20"/>
          <w:lang w:eastAsia="en-GB"/>
        </w:rPr>
        <w:t xml:space="preserve"> associated with</w:t>
      </w:r>
      <w:r w:rsidR="009579E0">
        <w:rPr>
          <w:rFonts w:eastAsia="Times New Roman" w:cs="Arial"/>
          <w:bCs/>
          <w:szCs w:val="20"/>
          <w:lang w:eastAsia="en-GB"/>
        </w:rPr>
        <w:t xml:space="preserve"> </w:t>
      </w:r>
      <w:r w:rsidR="000D42FD">
        <w:rPr>
          <w:rFonts w:eastAsia="Times New Roman" w:cs="Arial"/>
          <w:bCs/>
          <w:szCs w:val="20"/>
          <w:lang w:eastAsia="en-GB"/>
        </w:rPr>
        <w:t xml:space="preserve">symptoms of depression, bipolar disorder and schizophrenia </w:t>
      </w:r>
      <w:r w:rsidR="000D42FD">
        <w:rPr>
          <w:rFonts w:eastAsia="Times New Roman" w:cs="Arial"/>
          <w:bCs/>
          <w:szCs w:val="20"/>
          <w:lang w:eastAsia="en-GB"/>
        </w:rPr>
        <w:fldChar w:fldCharType="begin" w:fldLock="1"/>
      </w:r>
      <w:r w:rsidR="00720D7E">
        <w:rPr>
          <w:rFonts w:eastAsia="Times New Roman" w:cs="Arial"/>
          <w:bCs/>
          <w:szCs w:val="20"/>
          <w:lang w:eastAsia="en-GB"/>
        </w:rPr>
        <w:instrText>ADDIN CSL_CITATION {"citationItems":[{"id":"ITEM-1","itemData":{"DOI":"10.1093/jamia/ocz043","ISSN":"1527974X","PMID":"31260049","abstract":"Objective: The study sought to explore to what extent geolocation data has been used to study serious mental illness (SMI). SMIs such as bipolar disorder and schizophrenia are characterized by fluctuating symptoms and sudden relapse. Currently, monitoring of people with an SMI is largely done through face-to-face visits. Smartphone-based geolocation sensors create opportunities for continuous monitoring and early intervention. Materials and Methods: We searched MEDLINE, PsycINFO, and Scopus by combining terms related to geolocation and smartphones with SMI concepts. Study selection and data extraction were done in duplicate. Results: Eighteen publications describing 16 studies were included in our review. Eleven studies focused on bipolar disorder. Common geolocation-derived digital biomarkers were number of locations visited (n = 8), distance traveled (n = 8), time spent at prespecified locations (n = 7), and number of changes in GSM (Global System for Mobile communications) cell (n = 4). Twelve of 14 publications evaluating clinical aspects found an association between geolocation-derived digital biomarker and SMI concepts, especially mood. Geolocation-derived digital biomarkers were more strongly associated with SMI concepts than other information (eg, accelerometer data, smartphone activity, self-reported symptoms). However, small sample sizes and short follow-up warrant cautious interpretation of these findings: Of all included studies, 7 had a sample of fewer than 10 patients and 11 had a duration shorter than 12 weeks. Conclusions: The growing body of evidence for the association between SMI concepts and geolocation-derived digital biomarkers shows potential for this instrument to be used for continuous monitoring of patients in their everyday lives, but there is a need for larger studies with longer follow-up times.","author":[{"dropping-particle":"","family":"Fraccaro","given":"Paolo","non-dropping-particle":"","parse-names":false,"suffix":""},{"dropping-particle":"","family":"Beukenhorst","given":"Anna","non-dropping-particle":"","parse-names":false,"suffix":""},{"dropping-particle":"","family":"Sperrin","given":"Matthew","non-dropping-particle":"","parse-names":false,"suffix":""},{"dropping-particle":"","family":"Harper","given":"Simon","non-dropping-particle":"","parse-names":false,"suffix":""},{"dropping-particle":"","family":"Palmier-Claus","given":"Jasper","non-dropping-particle":"","parse-names":false,"suffix":""},{"dropping-particle":"","family":"Lewis","given":"Shôn","non-dropping-particle":"","parse-names":false,"suffix":""},{"dropping-particle":"","family":"Veer","given":"Sabine N.","non-dropping-particle":"Van Der","parse-names":false,"suffix":""},{"dropping-particle":"","family":"Peek","given":"Niels","non-dropping-particle":"","parse-names":false,"suffix":""}],"container-title":"Journal of the American Medical Informatics Association","id":"ITEM-1","issued":{"date-parts":[["2019"]]},"title":"Digital biomarkers from geolocation data in bipolar disorder and schizophrenia: A systematic review","type":"article"},"uris":["http://www.mendeley.com/documents/?uuid=e793afc5-4fa9-4b84-8d50-f4e63d164935"]},{"id":"ITEM-2","itemData":{"DOI":"10.7717/peerj.2537","ISSN":"21678359","abstract":"Background. Smartphones offer the hope that depression can be detected using passively collected data from the phone sensors. The aim of this study was to replicate and extend previous work using geographic location (GPS) sensors to identify depressive symptom severity. Methods. We used a dataset collected from 48 college students over a 10-week period, which included GPS phone sensor data and the Patient Health Questionnaire 9-item (PHQ-9) to evaluate depressive symptom severity at baseline and end-of-study. GPS features were calculated over the entire study, for weekdays and weekends, and in 2-week blocks. Results. The results of this study replicated our previous findings that a number of GPS features, including location variance, entropy, and circadian movement, were significantly correlated with PHQ-9 scores (r's ranging from -0.43 to -0.46, p-values &lt; .05). We also found that these relationships were stronger when GPS features were calculated from weekend, compared to weekday, data. Although the correlation between baseline PHQ-9 scores with 2-week GPS features diminished as we moved further from baseline, correlations with the end-of-study scores remained significant regardless of the time point used to calculate the features. Discussion. Our findings were consistent with past research demonstrating that GPS features may be an important and reliable predictor of depressive symptom severity. The varying strength of these relationships on weekends and weekdays suggests the role of weekend/weekday as a moderating variable. The finding that GPS features predict depressive symptom severity up to 10 weeks prior to assessment suggests that GPS features may have the potential as early warning signals of depression.","author":[{"dropping-particle":"","family":"Saeb","given":"Sohrab","non-dropping-particle":"","parse-names":false,"suffix":""},{"dropping-particle":"","family":"Lattie","given":"Emily G.","non-dropping-particle":"","parse-names":false,"suffix":""},{"dropping-particle":"","family":"Schueller","given":"Stephen M.","non-dropping-particle":"","parse-names":false,"suffix":""},{"dropping-particle":"","family":"Kording","given":"Konrad P.","non-dropping-particle":"","parse-names":false,"suffix":""},{"dropping-particle":"","family":"Mohr","given":"David C.","non-dropping-particle":"","parse-names":false,"suffix":""}],"container-title":"PeerJ","id":"ITEM-2","issued":{"date-parts":[["2016"]]},"title":"The relationship between mobile phone location sensor data and depressive symptom severity","type":"article-journal"},"uris":["http://www.mendeley.com/documents/?uuid=b2eb2368-bc8a-4fe7-8f0d-1155e5f66097"]},{"id":"ITEM-3","itemData":{"DOI":"10.1109/TBME.2016.2611862","ISSN":"15582531","PMID":"28113247","abstract":"Objective: This paper aims to identify periods of depression using geolocation movements recorded from mobile phones in a prospective community study of individuals with bipolar disorder (BD). Methods: Anonymized geographic location recordings from 22 BD participants and 14 healthy controls (HC) were collected over 3 months. Participants reported their depressive symptomatology using a weekly questionnaire (QIDS-SR16 ). Recorded location data were preprocessed by detecting and removing imprecise data points and features were extracted to assess the level and regularity of geographic movements of the participant. A subset of features were selected using a wrapper feature selection method and presented to 1) a linear regression model and a quadratic generalized linear model with a logistic link function for questionnaire score estimation; and 2) a quadratic discriminant analysis classifier for depression detection in BD participants based on their questionnaire responses. Results: HC participants did not report depressive symptoms and their features showed similar distributions to nondepressed BD participants. Questionnaire score estimation using geolocation-derived features from BD participants demonstrated an optimal mean absolute error rate of 3.73, while depression detection demonstrated an optimal (median±IQR) F1 score of 0.857±0.022 using five features (classification accuracy: 0.849 ± 0.016; sensitivity: 0.839 ± 0.014; specificity: 0.872±0.047). Conclusion: These results demonstrate a strong link between geographic movements and depression in bipolar disorder. Significance: To our knowledge, this is the first community study of passively recorded objective markers of depression in bipolar disorder of this scale. The techniques could help individuals monitor their depression and enable healthcare providers to detect those in need of care or treatment.","author":[{"dropping-particle":"","family":"Palmius","given":"N.","non-dropping-particle":"","parse-names":false,"suffix":""},{"dropping-particle":"","family":"Tsanas","given":"A.","non-dropping-particle":"","parse-names":false,"suffix":""},{"dropping-particle":"","family":"Saunders","given":"K. E.A.","non-dropping-particle":"","parse-names":false,"suffix":""},{"dropping-particle":"","family":"Bilderbeck","given":"A. C.","non-dropping-particle":"","parse-names":false,"suffix":""},{"dropping-particle":"","family":"Geddes","given":"J. R.","non-dropping-particle":"","parse-names":false,"suffix":""},{"dropping-particle":"","family":"Goodwin","given":"G. M.","non-dropping-particle":"","parse-names":false,"suffix":""},{"dropping-particle":"","family":"Vos","given":"M.","non-dropping-particle":"De","parse-names":false,"suffix":""}],"container-title":"IEEE Transactions on Biomedical Engineering","id":"ITEM-3","issued":{"date-parts":[["2017"]]},"title":"Detecting bipolar depression from geographic location data","type":"article-journal"},"uris":["http://www.mendeley.com/documents/?uuid=5ed816a1-183d-425b-9c73-540e291eb634"]}],"mendeley":{"formattedCitation":"(Saeb &lt;i&gt;et al.&lt;/i&gt;, 2016; Palmius &lt;i&gt;et al.&lt;/i&gt;, 2017; Fraccaro &lt;i&gt;et al.&lt;/i&gt;, 2019)","plainTextFormattedCitation":"(Saeb et al., 2016; Palmius et al., 2017; Fraccaro et al., 2019)","previouslyFormattedCitation":"(Saeb &lt;i&gt;et al.&lt;/i&gt;, 2016; Palmius &lt;i&gt;et al.&lt;/i&gt;, 2017; Fraccaro &lt;i&gt;et al.&lt;/i&gt;, 2019)"},"properties":{"noteIndex":0},"schema":"https://github.com/citation-style-language/schema/raw/master/csl-citation.json"}</w:instrText>
      </w:r>
      <w:r w:rsidR="000D42FD">
        <w:rPr>
          <w:rFonts w:eastAsia="Times New Roman" w:cs="Arial"/>
          <w:bCs/>
          <w:szCs w:val="20"/>
          <w:lang w:eastAsia="en-GB"/>
        </w:rPr>
        <w:fldChar w:fldCharType="separate"/>
      </w:r>
      <w:r w:rsidR="000D42FD" w:rsidRPr="000D42FD">
        <w:rPr>
          <w:rFonts w:eastAsia="Times New Roman" w:cs="Arial"/>
          <w:bCs/>
          <w:noProof/>
          <w:szCs w:val="20"/>
          <w:lang w:eastAsia="en-GB"/>
        </w:rPr>
        <w:t xml:space="preserve">(Saeb </w:t>
      </w:r>
      <w:r w:rsidR="000D42FD" w:rsidRPr="000D42FD">
        <w:rPr>
          <w:rFonts w:eastAsia="Times New Roman" w:cs="Arial"/>
          <w:bCs/>
          <w:i/>
          <w:noProof/>
          <w:szCs w:val="20"/>
          <w:lang w:eastAsia="en-GB"/>
        </w:rPr>
        <w:t>et al.</w:t>
      </w:r>
      <w:r w:rsidR="000D42FD" w:rsidRPr="000D42FD">
        <w:rPr>
          <w:rFonts w:eastAsia="Times New Roman" w:cs="Arial"/>
          <w:bCs/>
          <w:noProof/>
          <w:szCs w:val="20"/>
          <w:lang w:eastAsia="en-GB"/>
        </w:rPr>
        <w:t xml:space="preserve">, 2016; Palmius </w:t>
      </w:r>
      <w:r w:rsidR="000D42FD" w:rsidRPr="000D42FD">
        <w:rPr>
          <w:rFonts w:eastAsia="Times New Roman" w:cs="Arial"/>
          <w:bCs/>
          <w:i/>
          <w:noProof/>
          <w:szCs w:val="20"/>
          <w:lang w:eastAsia="en-GB"/>
        </w:rPr>
        <w:t>et al.</w:t>
      </w:r>
      <w:r w:rsidR="000D42FD" w:rsidRPr="000D42FD">
        <w:rPr>
          <w:rFonts w:eastAsia="Times New Roman" w:cs="Arial"/>
          <w:bCs/>
          <w:noProof/>
          <w:szCs w:val="20"/>
          <w:lang w:eastAsia="en-GB"/>
        </w:rPr>
        <w:t xml:space="preserve">, 2017; Fraccaro </w:t>
      </w:r>
      <w:r w:rsidR="000D42FD" w:rsidRPr="000D42FD">
        <w:rPr>
          <w:rFonts w:eastAsia="Times New Roman" w:cs="Arial"/>
          <w:bCs/>
          <w:i/>
          <w:noProof/>
          <w:szCs w:val="20"/>
          <w:lang w:eastAsia="en-GB"/>
        </w:rPr>
        <w:t>et al.</w:t>
      </w:r>
      <w:r w:rsidR="000D42FD" w:rsidRPr="000D42FD">
        <w:rPr>
          <w:rFonts w:eastAsia="Times New Roman" w:cs="Arial"/>
          <w:bCs/>
          <w:noProof/>
          <w:szCs w:val="20"/>
          <w:lang w:eastAsia="en-GB"/>
        </w:rPr>
        <w:t>, 2019)</w:t>
      </w:r>
      <w:r w:rsidR="000D42FD">
        <w:rPr>
          <w:rFonts w:eastAsia="Times New Roman" w:cs="Arial"/>
          <w:bCs/>
          <w:szCs w:val="20"/>
          <w:lang w:eastAsia="en-GB"/>
        </w:rPr>
        <w:fldChar w:fldCharType="end"/>
      </w:r>
      <w:r w:rsidR="000D42FD">
        <w:rPr>
          <w:rFonts w:eastAsia="Times New Roman" w:cs="Arial"/>
          <w:bCs/>
          <w:szCs w:val="20"/>
          <w:lang w:eastAsia="en-GB"/>
        </w:rPr>
        <w:t xml:space="preserve">. </w:t>
      </w:r>
    </w:p>
    <w:p w14:paraId="31FA011A" w14:textId="7CB166DE" w:rsidR="00E77FCB" w:rsidRDefault="00E77FCB" w:rsidP="00A46531">
      <w:pPr>
        <w:spacing w:after="0" w:line="360" w:lineRule="auto"/>
        <w:rPr>
          <w:rFonts w:eastAsia="Times New Roman" w:cs="Arial"/>
          <w:bCs/>
          <w:szCs w:val="20"/>
          <w:lang w:eastAsia="en-GB"/>
        </w:rPr>
      </w:pPr>
    </w:p>
    <w:p w14:paraId="3CC444D7" w14:textId="48A7D494" w:rsidR="00E77FCB" w:rsidRDefault="00E77FCB" w:rsidP="00A46531">
      <w:pPr>
        <w:spacing w:after="0" w:line="360" w:lineRule="auto"/>
        <w:rPr>
          <w:color w:val="000000"/>
          <w:shd w:val="clear" w:color="auto" w:fill="FFFFFF"/>
        </w:rPr>
      </w:pPr>
      <w:r>
        <w:rPr>
          <w:rFonts w:eastAsia="Times New Roman" w:cs="Arial"/>
          <w:bCs/>
          <w:szCs w:val="20"/>
          <w:lang w:eastAsia="en-GB"/>
        </w:rPr>
        <w:lastRenderedPageBreak/>
        <w:t xml:space="preserve">While </w:t>
      </w:r>
      <w:r w:rsidR="00136E5D">
        <w:rPr>
          <w:rFonts w:eastAsia="Times New Roman" w:cs="Arial"/>
          <w:bCs/>
          <w:szCs w:val="20"/>
          <w:lang w:eastAsia="en-GB"/>
        </w:rPr>
        <w:t xml:space="preserve">there is no doubt about the potential value </w:t>
      </w:r>
      <w:r w:rsidR="004C6CB5">
        <w:rPr>
          <w:rFonts w:eastAsia="Times New Roman" w:cs="Arial"/>
          <w:bCs/>
          <w:szCs w:val="20"/>
          <w:lang w:eastAsia="en-GB"/>
        </w:rPr>
        <w:t xml:space="preserve">and acceptability </w:t>
      </w:r>
      <w:r w:rsidR="00136E5D">
        <w:rPr>
          <w:rFonts w:eastAsia="Times New Roman" w:cs="Arial"/>
          <w:bCs/>
          <w:szCs w:val="20"/>
          <w:lang w:eastAsia="en-GB"/>
        </w:rPr>
        <w:t>of mobile phone and wearable sensing in providing behavioural biomarkers of mental health</w:t>
      </w:r>
      <w:r w:rsidR="001726AA">
        <w:rPr>
          <w:rFonts w:eastAsia="Times New Roman" w:cs="Arial"/>
          <w:bCs/>
          <w:szCs w:val="20"/>
          <w:lang w:eastAsia="en-GB"/>
        </w:rPr>
        <w:t xml:space="preserve">, </w:t>
      </w:r>
      <w:r w:rsidR="007C7ACB">
        <w:rPr>
          <w:rFonts w:eastAsia="Times New Roman" w:cs="Arial"/>
          <w:bCs/>
          <w:szCs w:val="20"/>
          <w:lang w:eastAsia="en-GB"/>
        </w:rPr>
        <w:t xml:space="preserve">so far there </w:t>
      </w:r>
      <w:r w:rsidR="00F5624B">
        <w:rPr>
          <w:rFonts w:eastAsia="Times New Roman" w:cs="Arial"/>
          <w:bCs/>
          <w:szCs w:val="20"/>
          <w:lang w:eastAsia="en-GB"/>
        </w:rPr>
        <w:t>have been very few</w:t>
      </w:r>
      <w:r w:rsidR="007C7ACB">
        <w:rPr>
          <w:rFonts w:eastAsia="Times New Roman" w:cs="Arial"/>
          <w:bCs/>
          <w:szCs w:val="20"/>
          <w:lang w:eastAsia="en-GB"/>
        </w:rPr>
        <w:t xml:space="preserve"> controlled evaluation</w:t>
      </w:r>
      <w:r w:rsidR="00F5624B">
        <w:rPr>
          <w:rFonts w:eastAsia="Times New Roman" w:cs="Arial"/>
          <w:bCs/>
          <w:szCs w:val="20"/>
          <w:lang w:eastAsia="en-GB"/>
        </w:rPr>
        <w:t>s</w:t>
      </w:r>
      <w:r w:rsidR="007C7ACB">
        <w:rPr>
          <w:rFonts w:eastAsia="Times New Roman" w:cs="Arial"/>
          <w:bCs/>
          <w:szCs w:val="20"/>
          <w:lang w:eastAsia="en-GB"/>
        </w:rPr>
        <w:t xml:space="preserve"> of how these data can be used to </w:t>
      </w:r>
      <w:r w:rsidR="00B7228F">
        <w:rPr>
          <w:rFonts w:eastAsia="Times New Roman" w:cs="Arial"/>
          <w:bCs/>
          <w:szCs w:val="20"/>
          <w:lang w:eastAsia="en-GB"/>
        </w:rPr>
        <w:t>enhance the delivery and impact of mental health care</w:t>
      </w:r>
      <w:r w:rsidR="007C7ACB">
        <w:rPr>
          <w:rFonts w:eastAsia="Times New Roman" w:cs="Arial"/>
          <w:bCs/>
          <w:szCs w:val="20"/>
          <w:lang w:eastAsia="en-GB"/>
        </w:rPr>
        <w:t xml:space="preserve"> </w:t>
      </w:r>
      <w:r w:rsidR="00720D7E">
        <w:rPr>
          <w:rFonts w:eastAsia="Times New Roman" w:cs="Arial"/>
          <w:bCs/>
          <w:szCs w:val="20"/>
          <w:lang w:eastAsia="en-GB"/>
        </w:rPr>
        <w:fldChar w:fldCharType="begin" w:fldLock="1"/>
      </w:r>
      <w:r w:rsidR="00D77DFC">
        <w:rPr>
          <w:rFonts w:eastAsia="Times New Roman" w:cs="Arial"/>
          <w:bCs/>
          <w:szCs w:val="20"/>
          <w:lang w:eastAsia="en-GB"/>
        </w:rPr>
        <w:instrText>ADDIN CSL_CITATION {"citationItems":[{"id":"ITEM-1","itemData":{"DOI":"10.2196/10131","ISSN":"14388871","abstract":"BACKGROUND: Mobile phone sensor technology has great potential in providing behavioral markers of mental health. However, this promise has not yet been brought to fruition. OBJECTIVE: The objective of our study was to examine challenges involved in developing an app to extract behavioral markers of mental health from passive sensor data. METHODS: Both technical challenges and acceptability of passive data collection for mental health research were assessed based on literature review and results obtained from a feasibility study. Socialise, a mobile phone app developed at the Black Dog Institute, was used to collect sensor data (Bluetooth, location, and battery status) and investigate views and experiences of a group of people with lived experience of mental health challenges (N=32). RESULTS: On average, sensor data were obtained for 55% (Android) and 45% (iOS) of scheduled scans. Battery life was reduced from 21.3 hours to 18.8 hours when scanning every 5 minutes with a reduction of 2.5 hours or 12%. Despite this relatively small reduction, most participants reported that the app had a noticeable effect on their battery life. In addition to battery life, the purpose of data collection, trust in the organization that collects data, and perceived impact on privacy were identified as main factors for acceptability. CONCLUSIONS: Based on the findings of the feasibility study and literature review, we recommend a commitment to open science and transparent reporting and stronger partnerships and communication with users. Sensing technology has the potential to greatly enhance the delivery and impact of mental health care. Realizing this requires all aspects of mobile phone sensor technology to be rigorously assessed.","author":[{"dropping-particle":"","family":"Boonstra","given":"Tjeerd W.","non-dropping-particle":"","parse-names":false,"suffix":""},{"dropping-particle":"","family":"Nicholas","given":"Jennifer","non-dropping-particle":"","parse-names":false,"suffix":""},{"dropping-particle":"","family":"Wong","given":"Quincy Jj","non-dropping-particle":"","parse-names":false,"suffix":""},{"dropping-particle":"","family":"Shaw","given":"Frances","non-dropping-particle":"","parse-names":false,"suffix":""},{"dropping-particle":"","family":"Townsend","given":"Samuel","non-dropping-particle":"","parse-names":false,"suffix":""},{"dropping-particle":"","family":"Christensen","given":"Helen","non-dropping-particle":"","parse-names":false,"suffix":""}],"container-title":"Journal of medical Internet research","id":"ITEM-1","issued":{"date-parts":[["2018"]]},"title":"Using Mobile Phone Sensor Technology for Mental Health Research: Integrated Analysis to Identify Hidden Challenges and Potential Solutions","type":"article-journal"},"uris":["http://www.mendeley.com/documents/?uuid=ee41d464-a74a-48d2-ac2c-140b81182094"]},{"id":"ITEM-2","itemData":{"DOI":"10.1007/s11920-015-0602-0","ISSN":"15351645","abstract":"Smartphones are now ubiquitous and can be harnessed to offer psychiatry a wealth of real-time data regarding patient behavior, self-reported symptoms, and even physiology. The data collected from smartphones meet the three criteria of big data: velocity, volume, and variety. Although these data have tremendous potential, transforming them into clinically valid and useful information requires using new tools and methods as a part of assessment in psychiatry. In this paper, we introduce and explore numerous analytical methods and tools from the computational and statistical sciences that appear readily applicable to psychiatric data collected using smartphones. By matching smartphone data with appropriate statistical methods, psychiatry can better realize the potential of mobile mental health and empower both patients and providers with novel clinical tools.","author":[{"dropping-particle":"","family":"Torous","given":"John","non-dropping-particle":"","parse-names":false,"suffix":""},{"dropping-particle":"","family":"Staples","given":"Patrick","non-dropping-particle":"","parse-names":false,"suffix":""},{"dropping-particle":"","family":"Onnela","given":"Jukka Pekka","non-dropping-particle":"","parse-names":false,"suffix":""}],"container-title":"Current Psychiatry Reports","id":"ITEM-2","issued":{"date-parts":[["2015"]]},"title":"Realizing the Potential of Mobile Mental Health: New Methods for New Data in Psychiatry","type":"article"},"uris":["http://www.mendeley.com/documents/?uuid=5eeee6cc-8782-4ed8-9edc-3d576c09d53f"]}],"mendeley":{"formattedCitation":"(Torous, Staples and Onnela, 2015; Boonstra &lt;i&gt;et al.&lt;/i&gt;, 2018)","plainTextFormattedCitation":"(Torous, Staples and Onnela, 2015; Boonstra et al., 2018)","previouslyFormattedCitation":"(Torous, Staples and Onnela, 2015; Boonstra &lt;i&gt;et al.&lt;/i&gt;, 2018)"},"properties":{"noteIndex":0},"schema":"https://github.com/citation-style-language/schema/raw/master/csl-citation.json"}</w:instrText>
      </w:r>
      <w:r w:rsidR="00720D7E">
        <w:rPr>
          <w:rFonts w:eastAsia="Times New Roman" w:cs="Arial"/>
          <w:bCs/>
          <w:szCs w:val="20"/>
          <w:lang w:eastAsia="en-GB"/>
        </w:rPr>
        <w:fldChar w:fldCharType="separate"/>
      </w:r>
      <w:r w:rsidR="00383E46" w:rsidRPr="00383E46">
        <w:rPr>
          <w:rFonts w:eastAsia="Times New Roman" w:cs="Arial"/>
          <w:bCs/>
          <w:noProof/>
          <w:szCs w:val="20"/>
          <w:lang w:eastAsia="en-GB"/>
        </w:rPr>
        <w:t xml:space="preserve">(Torous, Staples and Onnela, 2015; Boonstra </w:t>
      </w:r>
      <w:r w:rsidR="00383E46" w:rsidRPr="00383E46">
        <w:rPr>
          <w:rFonts w:eastAsia="Times New Roman" w:cs="Arial"/>
          <w:bCs/>
          <w:i/>
          <w:noProof/>
          <w:szCs w:val="20"/>
          <w:lang w:eastAsia="en-GB"/>
        </w:rPr>
        <w:t>et al.</w:t>
      </w:r>
      <w:r w:rsidR="00383E46" w:rsidRPr="00383E46">
        <w:rPr>
          <w:rFonts w:eastAsia="Times New Roman" w:cs="Arial"/>
          <w:bCs/>
          <w:noProof/>
          <w:szCs w:val="20"/>
          <w:lang w:eastAsia="en-GB"/>
        </w:rPr>
        <w:t>, 2018)</w:t>
      </w:r>
      <w:r w:rsidR="00720D7E">
        <w:rPr>
          <w:rFonts w:eastAsia="Times New Roman" w:cs="Arial"/>
          <w:bCs/>
          <w:szCs w:val="20"/>
          <w:lang w:eastAsia="en-GB"/>
        </w:rPr>
        <w:fldChar w:fldCharType="end"/>
      </w:r>
      <w:r w:rsidR="007C7ACB">
        <w:rPr>
          <w:rFonts w:eastAsia="Times New Roman" w:cs="Arial"/>
          <w:bCs/>
          <w:szCs w:val="20"/>
          <w:lang w:eastAsia="en-GB"/>
        </w:rPr>
        <w:t>.</w:t>
      </w:r>
      <w:r w:rsidR="006951E8">
        <w:rPr>
          <w:rFonts w:eastAsia="Times New Roman" w:cs="Arial"/>
          <w:bCs/>
          <w:szCs w:val="20"/>
          <w:lang w:eastAsia="en-GB"/>
        </w:rPr>
        <w:t xml:space="preserve"> </w:t>
      </w:r>
      <w:r w:rsidR="00563F4B">
        <w:rPr>
          <w:rFonts w:eastAsia="Times New Roman" w:cs="Arial"/>
          <w:bCs/>
          <w:szCs w:val="20"/>
          <w:lang w:eastAsia="en-GB"/>
        </w:rPr>
        <w:t>In their 2017 article, Ben-</w:t>
      </w:r>
      <w:proofErr w:type="spellStart"/>
      <w:r w:rsidR="00563F4B">
        <w:rPr>
          <w:rFonts w:eastAsia="Times New Roman" w:cs="Arial"/>
          <w:bCs/>
          <w:szCs w:val="20"/>
          <w:lang w:eastAsia="en-GB"/>
        </w:rPr>
        <w:t>Zeev</w:t>
      </w:r>
      <w:proofErr w:type="spellEnd"/>
      <w:r w:rsidR="00563F4B">
        <w:rPr>
          <w:rFonts w:eastAsia="Times New Roman" w:cs="Arial"/>
          <w:bCs/>
          <w:szCs w:val="20"/>
          <w:lang w:eastAsia="en-GB"/>
        </w:rPr>
        <w:t xml:space="preserve"> and colleagues describe </w:t>
      </w:r>
      <w:proofErr w:type="spellStart"/>
      <w:r w:rsidR="00563F4B">
        <w:rPr>
          <w:rFonts w:eastAsia="Times New Roman" w:cs="Arial"/>
          <w:bCs/>
          <w:szCs w:val="20"/>
          <w:lang w:eastAsia="en-GB"/>
        </w:rPr>
        <w:t>CrossCheck</w:t>
      </w:r>
      <w:proofErr w:type="spellEnd"/>
      <w:r w:rsidR="00563F4B">
        <w:rPr>
          <w:rFonts w:eastAsia="Times New Roman" w:cs="Arial"/>
          <w:bCs/>
          <w:szCs w:val="20"/>
          <w:lang w:eastAsia="en-GB"/>
        </w:rPr>
        <w:t>,</w:t>
      </w:r>
      <w:r w:rsidR="00563F4B">
        <w:rPr>
          <w:color w:val="000000"/>
          <w:shd w:val="clear" w:color="auto" w:fill="FFFFFF"/>
        </w:rPr>
        <w:t xml:space="preserve"> </w:t>
      </w:r>
      <w:r w:rsidR="00AD5C95">
        <w:rPr>
          <w:color w:val="000000"/>
          <w:shd w:val="clear" w:color="auto" w:fill="FFFFFF"/>
        </w:rPr>
        <w:t>“</w:t>
      </w:r>
      <w:r w:rsidR="00563F4B">
        <w:rPr>
          <w:color w:val="000000"/>
          <w:shd w:val="clear" w:color="auto" w:fill="FFFFFF"/>
        </w:rPr>
        <w:t>a multimodal data collection system designed to aid in continuous remote monitoring and identification of subjective and objective indicators of psychotic relapse</w:t>
      </w:r>
      <w:r w:rsidR="00AD5C95">
        <w:rPr>
          <w:color w:val="000000"/>
          <w:shd w:val="clear" w:color="auto" w:fill="FFFFFF"/>
        </w:rPr>
        <w:t xml:space="preserve">” </w:t>
      </w:r>
      <w:r w:rsidR="00D77DFC">
        <w:rPr>
          <w:color w:val="000000"/>
          <w:shd w:val="clear" w:color="auto" w:fill="FFFFFF"/>
        </w:rPr>
        <w:fldChar w:fldCharType="begin" w:fldLock="1"/>
      </w:r>
      <w:r w:rsidR="00323C4A">
        <w:rPr>
          <w:color w:val="000000"/>
          <w:shd w:val="clear" w:color="auto" w:fill="FFFFFF"/>
        </w:rPr>
        <w:instrText>ADDIN CSL_CITATION {"citationItems":[{"id":"ITEM-1","itemData":{"DOI":"10.1037/prj0000243","ISSN":"1095158X","PMID":"28368138","abstract":"This purpose of this study was to describe and demonstrate CrossCheck, a multimodal data collection system designed to aid in continuous remote monitoring and identification of subjective and objective indicators of psychotic relapse. Method: Individuals with schizophrenia-spectrum disorders received a smartphone with the monitoring system installed along with unlimited data plan for 12 months. Participants were instructed to carry the device with them and to complete brief self-reports multiple times a week. Multimodal behavioral sensing (i.e., physical activity, geospatials activity, speech frequency, and duration) and device use data (i.e., call and text activity, app use) were captured automatically. Five individuals who experienced psychiatric hospitalization were selected and described for instructive purposes. Results: Participants had unique digital indicators of their psychotic relapse. For some, self-reports provided clear and potentially actionable description of symptom exacerbation prior to hospitalization. Others had behavioral sensing data trends (e.g., shifts in geolocation patterns, declines in physical activity) or device use patterns (e.g., increased nighttime app use, discontinuation of all smartphone use) that reflected the changes they experienced more effectively. Conclusion: Advancements in mobile technology are enabling collection of an abundance of information that until recently was largely inaccessible to clinical research and practice. However, remote monitoring and relapse detection is in its nascence. Development and evaluation of innovative data management, modeling, and signal-detection techniques that can identify changes within an individual over time (i.e., unique relapse signatures) will be essential if we are to capitalize on these data to improve treatment and prevention.","author":[{"dropping-particle":"","family":"Ben-Zeev","given":"Dror","non-dropping-particle":"","parse-names":false,"suffix":""},{"dropping-particle":"","family":"Brian","given":"Rachel","non-dropping-particle":"","parse-names":false,"suffix":""},{"dropping-particle":"","family":"Wang","given":"Rui","non-dropping-particle":"","parse-names":false,"suffix":""},{"dropping-particle":"","family":"Wang","given":"Weichen","non-dropping-particle":"","parse-names":false,"suffix":""},{"dropping-particle":"","family":"Campbell","given":"Andrew T.","non-dropping-particle":"","parse-names":false,"suffix":""},{"dropping-particle":"","family":"Aung","given":"Min S.H.","non-dropping-particle":"","parse-names":false,"suffix":""},{"dropping-particle":"","family":"Merrill","given":"Michael","non-dropping-particle":"","parse-names":false,"suffix":""},{"dropping-particle":"","family":"Tseng","given":"Vincent W.S.","non-dropping-particle":"","parse-names":false,"suffix":""},{"dropping-particle":"","family":"Choudhury","given":"Tanzeem","non-dropping-particle":"","parse-names":false,"suffix":""},{"dropping-particle":"","family":"Hauser","given":"Marta","non-dropping-particle":"","parse-names":false,"suffix":""},{"dropping-particle":"","family":"Kane","given":"John M.","non-dropping-particle":"","parse-names":false,"suffix":""},{"dropping-particle":"","family":"Scherer","given":"Emily A.","non-dropping-particle":"","parse-names":false,"suffix":""}],"container-title":"Psychiatric Rehabilitation Journal","id":"ITEM-1","issued":{"date-parts":[["2017"]]},"title":"CrossCheck: Integrating self-report, behavioral sensing, and smartphone use to identify digital indicators of psychotic relapse.","type":"article-journal"},"uris":["http://www.mendeley.com/documents/?uuid=e716d41d-d32b-404e-a710-b1fcd77f49ea"]}],"mendeley":{"formattedCitation":"(Ben-Zeev &lt;i&gt;et al.&lt;/i&gt;, 2017)","plainTextFormattedCitation":"(Ben-Zeev et al., 2017)","previouslyFormattedCitation":"(Ben-Zeev &lt;i&gt;et al.&lt;/i&gt;, 2017)"},"properties":{"noteIndex":0},"schema":"https://github.com/citation-style-language/schema/raw/master/csl-citation.json"}</w:instrText>
      </w:r>
      <w:r w:rsidR="00D77DFC">
        <w:rPr>
          <w:color w:val="000000"/>
          <w:shd w:val="clear" w:color="auto" w:fill="FFFFFF"/>
        </w:rPr>
        <w:fldChar w:fldCharType="separate"/>
      </w:r>
      <w:r w:rsidR="00D77DFC" w:rsidRPr="00D77DFC">
        <w:rPr>
          <w:noProof/>
          <w:color w:val="000000"/>
          <w:shd w:val="clear" w:color="auto" w:fill="FFFFFF"/>
        </w:rPr>
        <w:t xml:space="preserve">(Ben-Zeev </w:t>
      </w:r>
      <w:r w:rsidR="00D77DFC" w:rsidRPr="00D77DFC">
        <w:rPr>
          <w:i/>
          <w:noProof/>
          <w:color w:val="000000"/>
          <w:shd w:val="clear" w:color="auto" w:fill="FFFFFF"/>
        </w:rPr>
        <w:t>et al.</w:t>
      </w:r>
      <w:r w:rsidR="00D77DFC" w:rsidRPr="00D77DFC">
        <w:rPr>
          <w:noProof/>
          <w:color w:val="000000"/>
          <w:shd w:val="clear" w:color="auto" w:fill="FFFFFF"/>
        </w:rPr>
        <w:t>, 2017)</w:t>
      </w:r>
      <w:r w:rsidR="00D77DFC">
        <w:rPr>
          <w:color w:val="000000"/>
          <w:shd w:val="clear" w:color="auto" w:fill="FFFFFF"/>
        </w:rPr>
        <w:fldChar w:fldCharType="end"/>
      </w:r>
      <w:r w:rsidR="00563F4B">
        <w:rPr>
          <w:color w:val="000000"/>
          <w:shd w:val="clear" w:color="auto" w:fill="FFFFFF"/>
        </w:rPr>
        <w:t>.</w:t>
      </w:r>
      <w:r w:rsidR="007730A3">
        <w:rPr>
          <w:color w:val="000000"/>
          <w:shd w:val="clear" w:color="auto" w:fill="FFFFFF"/>
        </w:rPr>
        <w:t xml:space="preserve"> </w:t>
      </w:r>
      <w:r w:rsidR="00DE26A8">
        <w:rPr>
          <w:color w:val="000000"/>
          <w:shd w:val="clear" w:color="auto" w:fill="FFFFFF"/>
        </w:rPr>
        <w:t xml:space="preserve">Other work </w:t>
      </w:r>
      <w:r w:rsidR="00E45231">
        <w:rPr>
          <w:color w:val="000000"/>
          <w:shd w:val="clear" w:color="auto" w:fill="FFFFFF"/>
        </w:rPr>
        <w:t>has</w:t>
      </w:r>
      <w:r w:rsidR="00A65F0F">
        <w:rPr>
          <w:color w:val="000000"/>
          <w:shd w:val="clear" w:color="auto" w:fill="FFFFFF"/>
        </w:rPr>
        <w:t xml:space="preserve"> also</w:t>
      </w:r>
      <w:r w:rsidR="00E45231">
        <w:rPr>
          <w:color w:val="000000"/>
          <w:shd w:val="clear" w:color="auto" w:fill="FFFFFF"/>
        </w:rPr>
        <w:t xml:space="preserve"> demonstrated the value of passive mobile phone sensing for </w:t>
      </w:r>
      <w:r w:rsidR="00A65F0F">
        <w:rPr>
          <w:color w:val="000000"/>
          <w:shd w:val="clear" w:color="auto" w:fill="FFFFFF"/>
        </w:rPr>
        <w:t xml:space="preserve">mental health monitoring, albeit in non-clinical populations </w:t>
      </w:r>
      <w:r w:rsidR="00323C4A">
        <w:rPr>
          <w:color w:val="000000"/>
          <w:shd w:val="clear" w:color="auto" w:fill="FFFFFF"/>
        </w:rPr>
        <w:fldChar w:fldCharType="begin" w:fldLock="1"/>
      </w:r>
      <w:r w:rsidR="0054675F">
        <w:rPr>
          <w:color w:val="000000"/>
          <w:shd w:val="clear" w:color="auto" w:fill="FFFFFF"/>
        </w:rPr>
        <w:instrText>ADDIN CSL_CITATION {"citationItems":[{"id":"ITEM-1","itemData":{"DOI":"10.1037/prj0000130","ISSN":"1095158X","PMID":"25844912","abstract":"Objective: Optimal mental health care is dependent upon sensitive and early detection of mental health problems. We have introduced a state-of-the-art method for the current study for remote behavioral monitoring that transports assessment out of the clinic and into the environments in which individuals negotiate their daily lives. The objective of this study was to examine whether the information captured with multimodal smartphone sensors can serve as behavioral markers for one's mental health. We hypothesized that (a) unobtrusively collected smartphone sensor data would be associated with individuals' daily levels of stress, and (b) sensor data would be associated with changes in depression, stress, and subjective loneliness over time. Method: A total of 47 young adults (age range: 19-30 years) were recruited for the study. Individuals were enrolled as a single cohort and participated in the study over a 10-week period. Participants were provided with smartphones embedded with a range of sensors and software that enabled continuous tracking of their geospatial activity (using the Global Positioning System and wireless fidelity), kinesthetic activity (using multiaxial accelerometers), sleep duration (modeled using device-usage data, accelerometer inferences, ambient sound features, and ambient light levels), and time spent proximal to human speech (i.e., speech duration using microphone and speech detection algorithms). Participants completed daily ratings of stress, as well as pre- and postmeasures of depression (Patient Health Questionnaire-9; Spitzer, Kroenke, &amp; Williams, 1999), stress (Perceived Stress Scale; Cohen et al., 1983), and loneliness (Revised UCLA Loneliness Scale; Russell, Peplau, &amp; Cutrona, 1980). Results: Mixed-effects linear modeling showed that sensor-derived geospatial activity (p&lt;.05), sleep duration (p&lt;.05), and variability in geospatial activity (p.05), were associated with daily stress levels. Penalized functional regression showed associations between changes in depression and sensor-derived speech duration (p&lt;.05), geospatial activity (p&lt;.05), and sleep duration (p&lt;.05). Changes in loneliness were associated with sensor-derived kinesthetic activity (p&lt;.01). Conclusions and Implications for Practice: Smartphones can be harnessed as instruments for unobtrusive monitoring of several behavioral indicators of mental health. Creative leveraging of smartphone sensing could provide novel opportunities for close-to-invisible psychiat…","author":[{"dropping-particle":"","family":"Ben-Zeev","given":"Dror","non-dropping-particle":"","parse-names":false,"suffix":""},{"dropping-particle":"","family":"Scherer","given":"Emily A.","non-dropping-particle":"","parse-names":false,"suffix":""},{"dropping-particle":"","family":"Wang","given":"Rui","non-dropping-particle":"","parse-names":false,"suffix":""},{"dropping-particle":"","family":"Xie","given":"Haiyi","non-dropping-particle":"","parse-names":false,"suffix":""}],"container-title":"Psychiatric Rehabilitation Journal","id":"ITEM-1","issued":{"date-parts":[["2015"]]},"title":"Next-Generation psychiatric assessment: using smartphone sensors to monitor behavior and mental health","type":"article-journal"},"uris":["http://www.mendeley.com/documents/?uuid=e50f2b29-36a2-4b78-a974-994f04d377ee"]},{"id":"ITEM-2","itemData":{"DOI":"10.2196/10334","ISSN":"14388871","abstract":"Background: To predict and prevent mental health crises, we must develop new approaches that can provide a dramatic advance in the effectiveness, timeliness, and scalability of our interventions. However, current methods of predicting mental health crises (eg, clinical monitoring, screening) usually fail on most, if not all, of these criteria. Luckily for us, 77% of Americans carry with them an unprecedented opportunity to detect risk states and provide precise life-saving interventions. Smartphones present an opportunity to empower individuals to leverage the data they generate through their normal phone use to predict and prevent mental health crises. Objective: To facilitate the collection of high-quality, passive mobile sensing data, we built the Effortless Assessment of Risk States (EARS) tool to enable the generation of predictive machine learning algorithms to solve previously intractable problems and identify risk states before they become crises. Methods: The EARS tool captures multiple indices of a person's social and affective behavior via their naturalistic use of a smartphone. Although other mobile data collection tools exist, the EARS tool places a unique emphasis on capturing the content as well as the form of social communication on the phone. Signals collected include facial expressions, acoustic vocal quality, natural language use, physical activity, music choice, and geographical location. Critically, the EARS tool collects these data passively, with almost no burden on the user. We programmed the EARS tool in Java for the Android mobile platform. In building the EARS tool, we concentrated on two main considerations: (1) privacy and encryption and (2) phone use impact. Results: In a pilot study (N=24), participants tolerated the EARS tool well, reporting minimal burden. None of the participants who completed the study reported needing to use the provided battery packs. Current testing on a range of phones indicated that the tool consumed approximately 15% of the battery over a 16-hour period. Installation of the EARS tool caused minimal change in the user interface and user experience. Once installation is completed, the only difference the user notices is the custom keyboard. Conclusions: The EARS tool offers an innovative approach to passive mobile sensing by emphasizing the centrality of a person's social life to their well-being. We built the EARS tool to power cutting-edge research, with the ultimate goal of leveraging individual…","author":[{"dropping-particle":"","family":"Lind","given":"Monika N.","non-dropping-particle":"","parse-names":false,"suffix":""},{"dropping-particle":"","family":"Byrne","given":"Michelle L.","non-dropping-particle":"","parse-names":false,"suffix":""},{"dropping-particle":"","family":"Wicks","given":"Geordie","non-dropping-particle":"","parse-names":false,"suffix":""},{"dropping-particle":"","family":"Smidt","given":"Alec M.","non-dropping-particle":"","parse-names":false,"suffix":""},{"dropping-particle":"","family":"Allen","given":"Nicholas B.","non-dropping-particle":"","parse-names":false,"suffix":""}],"container-title":"Journal of Medical Internet Research","id":"ITEM-2","issued":{"date-parts":[["2018"]]},"title":"The Effortless Assessment of Risk States (EARS) Tool: An interpersonal approach to mobile sensing","type":"article-journal"},"uris":["http://www.mendeley.com/documents/?uuid=647d42a6-1177-4a38-93fe-ee95b0d01b8a"]}],"mendeley":{"formattedCitation":"(Ben-Zeev &lt;i&gt;et al.&lt;/i&gt;, 2015; Lind &lt;i&gt;et al.&lt;/i&gt;, 2018)","plainTextFormattedCitation":"(Ben-Zeev et al., 2015; Lind et al., 2018)","previouslyFormattedCitation":"(Ben-Zeev &lt;i&gt;et al.&lt;/i&gt;, 2015; Lind &lt;i&gt;et al.&lt;/i&gt;, 2018)"},"properties":{"noteIndex":0},"schema":"https://github.com/citation-style-language/schema/raw/master/csl-citation.json"}</w:instrText>
      </w:r>
      <w:r w:rsidR="00323C4A">
        <w:rPr>
          <w:color w:val="000000"/>
          <w:shd w:val="clear" w:color="auto" w:fill="FFFFFF"/>
        </w:rPr>
        <w:fldChar w:fldCharType="separate"/>
      </w:r>
      <w:r w:rsidR="00323C4A" w:rsidRPr="00323C4A">
        <w:rPr>
          <w:noProof/>
          <w:color w:val="000000"/>
          <w:shd w:val="clear" w:color="auto" w:fill="FFFFFF"/>
        </w:rPr>
        <w:t xml:space="preserve">(Ben-Zeev </w:t>
      </w:r>
      <w:r w:rsidR="00323C4A" w:rsidRPr="00323C4A">
        <w:rPr>
          <w:i/>
          <w:noProof/>
          <w:color w:val="000000"/>
          <w:shd w:val="clear" w:color="auto" w:fill="FFFFFF"/>
        </w:rPr>
        <w:t>et al.</w:t>
      </w:r>
      <w:r w:rsidR="00323C4A" w:rsidRPr="00323C4A">
        <w:rPr>
          <w:noProof/>
          <w:color w:val="000000"/>
          <w:shd w:val="clear" w:color="auto" w:fill="FFFFFF"/>
        </w:rPr>
        <w:t xml:space="preserve">, 2015; Lind </w:t>
      </w:r>
      <w:r w:rsidR="00323C4A" w:rsidRPr="00323C4A">
        <w:rPr>
          <w:i/>
          <w:noProof/>
          <w:color w:val="000000"/>
          <w:shd w:val="clear" w:color="auto" w:fill="FFFFFF"/>
        </w:rPr>
        <w:t>et al.</w:t>
      </w:r>
      <w:r w:rsidR="00323C4A" w:rsidRPr="00323C4A">
        <w:rPr>
          <w:noProof/>
          <w:color w:val="000000"/>
          <w:shd w:val="clear" w:color="auto" w:fill="FFFFFF"/>
        </w:rPr>
        <w:t>, 2018)</w:t>
      </w:r>
      <w:r w:rsidR="00323C4A">
        <w:rPr>
          <w:color w:val="000000"/>
          <w:shd w:val="clear" w:color="auto" w:fill="FFFFFF"/>
        </w:rPr>
        <w:fldChar w:fldCharType="end"/>
      </w:r>
      <w:r w:rsidR="00323C4A">
        <w:rPr>
          <w:color w:val="000000"/>
          <w:shd w:val="clear" w:color="auto" w:fill="FFFFFF"/>
        </w:rPr>
        <w:t>.</w:t>
      </w:r>
    </w:p>
    <w:p w14:paraId="77E2C362" w14:textId="516E751F" w:rsidR="00091136" w:rsidRDefault="00091136" w:rsidP="00A46531">
      <w:pPr>
        <w:spacing w:after="0" w:line="360" w:lineRule="auto"/>
        <w:rPr>
          <w:color w:val="000000"/>
          <w:shd w:val="clear" w:color="auto" w:fill="FFFFFF"/>
        </w:rPr>
      </w:pPr>
    </w:p>
    <w:p w14:paraId="7A758CEB" w14:textId="41A1A089" w:rsidR="00A46531" w:rsidRPr="00D942AB" w:rsidRDefault="0059112D" w:rsidP="00A46531">
      <w:pPr>
        <w:spacing w:after="0" w:line="360" w:lineRule="auto"/>
        <w:rPr>
          <w:rFonts w:eastAsia="Times New Roman" w:cs="Arial"/>
          <w:bCs/>
          <w:szCs w:val="20"/>
          <w:lang w:eastAsia="en-GB"/>
        </w:rPr>
      </w:pPr>
      <w:r>
        <w:rPr>
          <w:color w:val="000000"/>
          <w:shd w:val="clear" w:color="auto" w:fill="FFFFFF"/>
        </w:rPr>
        <w:t xml:space="preserve">The current study aims to </w:t>
      </w:r>
      <w:r w:rsidR="000A5324">
        <w:rPr>
          <w:color w:val="000000"/>
          <w:shd w:val="clear" w:color="auto" w:fill="FFFFFF"/>
        </w:rPr>
        <w:t xml:space="preserve">explore the value of activity trackers and mobile phone sensing in mental </w:t>
      </w:r>
      <w:r w:rsidR="006B34A0">
        <w:rPr>
          <w:color w:val="000000"/>
          <w:shd w:val="clear" w:color="auto" w:fill="FFFFFF"/>
        </w:rPr>
        <w:t>health monitoring, in a clinical population of patients</w:t>
      </w:r>
      <w:r w:rsidR="00C67DAF">
        <w:rPr>
          <w:color w:val="000000"/>
          <w:shd w:val="clear" w:color="auto" w:fill="FFFFFF"/>
        </w:rPr>
        <w:t xml:space="preserve"> </w:t>
      </w:r>
      <w:r w:rsidR="009F03FB">
        <w:rPr>
          <w:color w:val="000000"/>
          <w:shd w:val="clear" w:color="auto" w:fill="FFFFFF"/>
        </w:rPr>
        <w:t xml:space="preserve">with a diagnosis of depression or anxiety disorders. This study aims </w:t>
      </w:r>
      <w:r w:rsidR="00294DFE">
        <w:rPr>
          <w:color w:val="000000"/>
          <w:shd w:val="clear" w:color="auto" w:fill="FFFFFF"/>
        </w:rPr>
        <w:t xml:space="preserve">to investigate </w:t>
      </w:r>
      <w:r w:rsidR="00DF0684">
        <w:rPr>
          <w:color w:val="000000"/>
          <w:shd w:val="clear" w:color="auto" w:fill="FFFFFF"/>
        </w:rPr>
        <w:t>changes in</w:t>
      </w:r>
      <w:r w:rsidR="00294DFE">
        <w:rPr>
          <w:color w:val="000000"/>
          <w:shd w:val="clear" w:color="auto" w:fill="FFFFFF"/>
        </w:rPr>
        <w:t xml:space="preserve"> passively collected cognitive and behavioural biomarkers</w:t>
      </w:r>
      <w:r w:rsidR="00DF0684">
        <w:rPr>
          <w:color w:val="000000"/>
          <w:shd w:val="clear" w:color="auto" w:fill="FFFFFF"/>
        </w:rPr>
        <w:t>, as the patient receives a course of IECBT</w:t>
      </w:r>
      <w:r w:rsidR="009C3062">
        <w:rPr>
          <w:color w:val="000000"/>
          <w:shd w:val="clear" w:color="auto" w:fill="FFFFFF"/>
        </w:rPr>
        <w:t xml:space="preserve">, delivered by a qualified clinician. Furthermore, </w:t>
      </w:r>
      <w:r w:rsidR="009A3A68">
        <w:rPr>
          <w:color w:val="000000"/>
          <w:shd w:val="clear" w:color="auto" w:fill="FFFFFF"/>
        </w:rPr>
        <w:t>this is the first study to our knowledge exploring</w:t>
      </w:r>
      <w:r w:rsidR="008B3571">
        <w:rPr>
          <w:color w:val="000000"/>
          <w:shd w:val="clear" w:color="auto" w:fill="FFFFFF"/>
        </w:rPr>
        <w:t xml:space="preserve"> the potential value of sharing patients’ biomarker information with their therapist</w:t>
      </w:r>
      <w:r w:rsidR="00AD0C5B">
        <w:rPr>
          <w:color w:val="000000"/>
          <w:shd w:val="clear" w:color="auto" w:fill="FFFFFF"/>
        </w:rPr>
        <w:t>. We hypothesize the therapist can use this information to personalize the treatment</w:t>
      </w:r>
      <w:r w:rsidR="00176DEC">
        <w:rPr>
          <w:color w:val="000000"/>
          <w:shd w:val="clear" w:color="auto" w:fill="FFFFFF"/>
        </w:rPr>
        <w:t xml:space="preserve"> being delivered to the patient, and thus improve clinical outcomes.</w:t>
      </w:r>
    </w:p>
    <w:p w14:paraId="0AAC0A23" w14:textId="77777777" w:rsidR="00A46531" w:rsidRPr="001E1C21" w:rsidRDefault="00A46531" w:rsidP="00A46531">
      <w:pPr>
        <w:spacing w:line="360" w:lineRule="auto"/>
        <w:rPr>
          <w:b/>
          <w:szCs w:val="20"/>
          <w:lang w:val="en-US"/>
        </w:rPr>
      </w:pPr>
    </w:p>
    <w:p w14:paraId="050D9073" w14:textId="77777777" w:rsidR="00A46531" w:rsidRPr="001E1C21" w:rsidRDefault="00A46531" w:rsidP="00A46531">
      <w:pPr>
        <w:pStyle w:val="Heading1"/>
        <w:rPr>
          <w:lang w:val="en-US"/>
        </w:rPr>
      </w:pPr>
      <w:bookmarkStart w:id="4" w:name="_Toc33801223"/>
      <w:r w:rsidRPr="001E1C21">
        <w:rPr>
          <w:lang w:val="en-US"/>
        </w:rPr>
        <w:t>Objectives</w:t>
      </w:r>
      <w:bookmarkEnd w:id="4"/>
    </w:p>
    <w:p w14:paraId="546F9373" w14:textId="026BF0C7" w:rsidR="00E15C09" w:rsidRDefault="00E15C09" w:rsidP="00A46531">
      <w:pPr>
        <w:spacing w:after="0" w:line="360" w:lineRule="auto"/>
        <w:rPr>
          <w:rFonts w:eastAsia="Times New Roman" w:cs="Times New Roman"/>
          <w:lang w:eastAsia="en-GB"/>
        </w:rPr>
      </w:pPr>
      <w:r>
        <w:rPr>
          <w:rFonts w:eastAsia="Times New Roman" w:cs="Times New Roman"/>
          <w:lang w:eastAsia="en-GB"/>
        </w:rPr>
        <w:t xml:space="preserve">The primary objective of this research is to </w:t>
      </w:r>
      <w:r w:rsidR="00CB7F94">
        <w:rPr>
          <w:rFonts w:eastAsia="Times New Roman" w:cs="Times New Roman"/>
          <w:lang w:eastAsia="en-GB"/>
        </w:rPr>
        <w:t>evaluate the value of passively collected cognitive and behavioural biomarkers</w:t>
      </w:r>
      <w:r w:rsidR="000C1B24">
        <w:rPr>
          <w:rFonts w:eastAsia="Times New Roman" w:cs="Times New Roman"/>
          <w:lang w:eastAsia="en-GB"/>
        </w:rPr>
        <w:t xml:space="preserve"> as mental health monitoring tools</w:t>
      </w:r>
      <w:r w:rsidR="00184CAE">
        <w:rPr>
          <w:rFonts w:eastAsia="Times New Roman" w:cs="Times New Roman"/>
          <w:lang w:eastAsia="en-GB"/>
        </w:rPr>
        <w:t>. We aim to test</w:t>
      </w:r>
      <w:r w:rsidR="003A6A8A">
        <w:rPr>
          <w:rFonts w:eastAsia="Times New Roman" w:cs="Times New Roman"/>
          <w:lang w:eastAsia="en-GB"/>
        </w:rPr>
        <w:t xml:space="preserve"> the hypothesis that sharing patients’ biomarker information with their therapist, </w:t>
      </w:r>
      <w:r w:rsidR="00C046D1">
        <w:rPr>
          <w:rFonts w:eastAsia="Times New Roman" w:cs="Times New Roman"/>
          <w:lang w:eastAsia="en-GB"/>
        </w:rPr>
        <w:t xml:space="preserve">as the patient receives a course of </w:t>
      </w:r>
      <w:r w:rsidR="00435A79">
        <w:rPr>
          <w:rFonts w:eastAsia="Times New Roman" w:cs="Times New Roman"/>
          <w:lang w:eastAsia="en-GB"/>
        </w:rPr>
        <w:t>cognitive behavioural therapy (CBT), can lead</w:t>
      </w:r>
      <w:r w:rsidR="00804802">
        <w:rPr>
          <w:rFonts w:eastAsia="Times New Roman" w:cs="Times New Roman"/>
          <w:lang w:eastAsia="en-GB"/>
        </w:rPr>
        <w:t xml:space="preserve"> to improvements in clinical outcomes, through the delivery of more personalized treatment protocols.</w:t>
      </w:r>
    </w:p>
    <w:p w14:paraId="731C20BB" w14:textId="77777777" w:rsidR="00CB2125" w:rsidRDefault="00CB2125" w:rsidP="00A46531">
      <w:pPr>
        <w:spacing w:after="0" w:line="360" w:lineRule="auto"/>
        <w:rPr>
          <w:rFonts w:eastAsia="Times New Roman" w:cs="Times New Roman"/>
          <w:lang w:eastAsia="en-GB"/>
        </w:rPr>
      </w:pPr>
    </w:p>
    <w:p w14:paraId="56B2BE7E" w14:textId="3386F6FC" w:rsidR="00A46531" w:rsidRPr="00466EC6" w:rsidRDefault="00C80C15" w:rsidP="00A46531">
      <w:pPr>
        <w:spacing w:after="0" w:line="360" w:lineRule="auto"/>
        <w:rPr>
          <w:rFonts w:eastAsia="Times New Roman" w:cs="Times New Roman"/>
          <w:lang w:eastAsia="en-GB"/>
        </w:rPr>
      </w:pPr>
      <w:r>
        <w:rPr>
          <w:rFonts w:eastAsia="Times New Roman" w:cs="Times New Roman"/>
          <w:lang w:eastAsia="en-GB"/>
        </w:rPr>
        <w:t>The</w:t>
      </w:r>
      <w:r w:rsidR="00CB2125">
        <w:rPr>
          <w:rFonts w:eastAsia="Times New Roman" w:cs="Times New Roman"/>
          <w:lang w:eastAsia="en-GB"/>
        </w:rPr>
        <w:t xml:space="preserve"> secondary objective of this research is to evaluate patient acceptability and engagement with mental</w:t>
      </w:r>
      <w:r w:rsidR="00F54FEF">
        <w:rPr>
          <w:rFonts w:eastAsia="Times New Roman" w:cs="Times New Roman"/>
          <w:lang w:eastAsia="en-GB"/>
        </w:rPr>
        <w:t xml:space="preserve"> health monitoring tools. </w:t>
      </w:r>
      <w:r w:rsidR="00216199">
        <w:rPr>
          <w:rFonts w:eastAsia="Times New Roman" w:cs="Times New Roman"/>
          <w:lang w:eastAsia="en-GB"/>
        </w:rPr>
        <w:t xml:space="preserve">Although research shows that patients are willing to consent </w:t>
      </w:r>
      <w:r w:rsidR="00FA1165">
        <w:rPr>
          <w:rFonts w:eastAsia="Times New Roman" w:cs="Times New Roman"/>
          <w:lang w:eastAsia="en-GB"/>
        </w:rPr>
        <w:t xml:space="preserve">to mobile phone data collection for mental health apps, they are less willing to consent with sharing </w:t>
      </w:r>
      <w:r w:rsidR="00431491">
        <w:rPr>
          <w:rFonts w:eastAsia="Times New Roman" w:cs="Times New Roman"/>
          <w:lang w:eastAsia="en-GB"/>
        </w:rPr>
        <w:t>personal data such as location</w:t>
      </w:r>
      <w:r w:rsidR="002047ED">
        <w:rPr>
          <w:rFonts w:eastAsia="Times New Roman" w:cs="Times New Roman"/>
          <w:lang w:eastAsia="en-GB"/>
        </w:rPr>
        <w:t xml:space="preserve"> and communication data</w:t>
      </w:r>
      <w:r w:rsidR="00466EC6">
        <w:rPr>
          <w:rFonts w:eastAsia="Times New Roman" w:cs="Times New Roman"/>
          <w:lang w:eastAsia="en-GB"/>
        </w:rPr>
        <w:t xml:space="preserve">. </w:t>
      </w:r>
      <w:r w:rsidR="00A46531" w:rsidRPr="4C8E95FF">
        <w:rPr>
          <w:rFonts w:eastAsia="Times New Roman" w:cs="Times New Roman"/>
          <w:lang w:eastAsia="en-GB"/>
        </w:rPr>
        <w:t>We hypothesize that</w:t>
      </w:r>
      <w:r w:rsidR="00466EC6">
        <w:rPr>
          <w:rFonts w:eastAsia="Times New Roman" w:cs="Times New Roman"/>
          <w:lang w:eastAsia="en-GB"/>
        </w:rPr>
        <w:t xml:space="preserve"> providing value to the patient, through</w:t>
      </w:r>
      <w:r w:rsidR="00A46531" w:rsidRPr="4C8E95FF">
        <w:rPr>
          <w:rFonts w:eastAsia="Times New Roman" w:cs="Times New Roman"/>
          <w:lang w:eastAsia="en-GB"/>
        </w:rPr>
        <w:t xml:space="preserve"> user-centred and user-informed design, will lead to</w:t>
      </w:r>
      <w:r w:rsidR="00CF76D1">
        <w:rPr>
          <w:rFonts w:eastAsia="Times New Roman" w:cs="Times New Roman"/>
          <w:lang w:eastAsia="en-GB"/>
        </w:rPr>
        <w:t xml:space="preserve"> higher </w:t>
      </w:r>
      <w:r w:rsidR="001D5194">
        <w:rPr>
          <w:rFonts w:eastAsia="Times New Roman" w:cs="Times New Roman"/>
          <w:lang w:eastAsia="en-GB"/>
        </w:rPr>
        <w:t>acceptability rates for these types of tools.</w:t>
      </w:r>
      <w:r w:rsidR="00A46531" w:rsidRPr="4C8E95FF">
        <w:rPr>
          <w:rFonts w:eastAsia="Times New Roman" w:cs="Times New Roman"/>
          <w:lang w:eastAsia="en-GB"/>
        </w:rPr>
        <w:t xml:space="preserve"> </w:t>
      </w:r>
    </w:p>
    <w:p w14:paraId="2242D120" w14:textId="77777777" w:rsidR="00A46531" w:rsidRDefault="00A46531" w:rsidP="00A46531">
      <w:pPr>
        <w:pStyle w:val="Heading1"/>
        <w:rPr>
          <w:lang w:val="en-US"/>
        </w:rPr>
      </w:pPr>
      <w:bookmarkStart w:id="5" w:name="_Toc33801224"/>
      <w:r>
        <w:rPr>
          <w:lang w:val="en-US"/>
        </w:rPr>
        <w:lastRenderedPageBreak/>
        <w:t>Study design</w:t>
      </w:r>
      <w:bookmarkEnd w:id="5"/>
    </w:p>
    <w:p w14:paraId="785D7AEF" w14:textId="42A2DA05" w:rsidR="00A46531" w:rsidRDefault="00A46531" w:rsidP="00A46531">
      <w:pPr>
        <w:spacing w:line="360" w:lineRule="auto"/>
        <w:rPr>
          <w:lang w:val="en-US"/>
        </w:rPr>
      </w:pPr>
      <w:r w:rsidRPr="60A00C42">
        <w:rPr>
          <w:lang w:val="en-US"/>
        </w:rPr>
        <w:t xml:space="preserve">Patients entering into the IECBT service in the normal course of treatment who fulfill eligibility criteria will be invited to participate in the research study, after being given time (at least 48h) to read the Information Sheets and ask any questions they wish of the research team. The same high quality of clinical care will be provided </w:t>
      </w:r>
      <w:proofErr w:type="gramStart"/>
      <w:r w:rsidRPr="60A00C42">
        <w:rPr>
          <w:lang w:val="en-US"/>
        </w:rPr>
        <w:t>whether or not</w:t>
      </w:r>
      <w:proofErr w:type="gramEnd"/>
      <w:r w:rsidRPr="60A00C42">
        <w:rPr>
          <w:lang w:val="en-US"/>
        </w:rPr>
        <w:t xml:space="preserve"> a given individual consents to participate in the study. Consenting patients will be randomized to one of two groups (Figure 1):</w:t>
      </w:r>
    </w:p>
    <w:p w14:paraId="77F3CDD7" w14:textId="37225BC9" w:rsidR="003C1161" w:rsidRDefault="003C1161" w:rsidP="00AB12F4">
      <w:pPr>
        <w:pStyle w:val="ListParagraph"/>
        <w:numPr>
          <w:ilvl w:val="0"/>
          <w:numId w:val="5"/>
        </w:numPr>
        <w:spacing w:before="60" w:after="60" w:line="360" w:lineRule="auto"/>
        <w:rPr>
          <w:iCs/>
        </w:rPr>
      </w:pPr>
      <w:r>
        <w:rPr>
          <w:iCs/>
        </w:rPr>
        <w:t xml:space="preserve">Therapist and patient visibility: Patients </w:t>
      </w:r>
      <w:r w:rsidR="00AB12F4">
        <w:rPr>
          <w:iCs/>
        </w:rPr>
        <w:t>allocated to</w:t>
      </w:r>
      <w:r>
        <w:rPr>
          <w:iCs/>
        </w:rPr>
        <w:t xml:space="preserve"> this group will be given a </w:t>
      </w:r>
      <w:r w:rsidR="00265B66">
        <w:rPr>
          <w:iCs/>
        </w:rPr>
        <w:t>F</w:t>
      </w:r>
      <w:r>
        <w:rPr>
          <w:iCs/>
        </w:rPr>
        <w:t>itbit and access to a mobile app that allows them to track their activity, location, social interaction and digital interaction biomarkers against their mood.</w:t>
      </w:r>
      <w:r w:rsidR="00A14D22">
        <w:rPr>
          <w:iCs/>
        </w:rPr>
        <w:t xml:space="preserve"> They will receive a course of IECBT</w:t>
      </w:r>
      <w:r w:rsidR="00DD56ED">
        <w:rPr>
          <w:iCs/>
        </w:rPr>
        <w:t xml:space="preserve">, </w:t>
      </w:r>
      <w:r w:rsidR="00E71641">
        <w:rPr>
          <w:iCs/>
        </w:rPr>
        <w:t>and their</w:t>
      </w:r>
      <w:r w:rsidR="002E450B">
        <w:rPr>
          <w:iCs/>
        </w:rPr>
        <w:t xml:space="preserve"> </w:t>
      </w:r>
      <w:r w:rsidR="00DD56ED">
        <w:rPr>
          <w:iCs/>
        </w:rPr>
        <w:t>t</w:t>
      </w:r>
      <w:r>
        <w:rPr>
          <w:iCs/>
        </w:rPr>
        <w:t>herapis</w:t>
      </w:r>
      <w:r w:rsidR="00E71641">
        <w:rPr>
          <w:iCs/>
        </w:rPr>
        <w:t>t</w:t>
      </w:r>
      <w:r>
        <w:rPr>
          <w:iCs/>
        </w:rPr>
        <w:t xml:space="preserve"> will also have access to these biomarkers</w:t>
      </w:r>
      <w:r w:rsidR="00E71641">
        <w:rPr>
          <w:iCs/>
        </w:rPr>
        <w:t xml:space="preserve"> </w:t>
      </w:r>
      <w:r>
        <w:rPr>
          <w:iCs/>
        </w:rPr>
        <w:t>and</w:t>
      </w:r>
      <w:r w:rsidR="00E71641">
        <w:rPr>
          <w:iCs/>
        </w:rPr>
        <w:t xml:space="preserve"> will</w:t>
      </w:r>
      <w:r>
        <w:rPr>
          <w:iCs/>
        </w:rPr>
        <w:t xml:space="preserve"> use this information to tailor the care delivered to each patient and monitor patient outcomes.</w:t>
      </w:r>
    </w:p>
    <w:p w14:paraId="5F2C9FB3" w14:textId="77777777" w:rsidR="003C1161" w:rsidRDefault="003C1161" w:rsidP="003C1161">
      <w:pPr>
        <w:pStyle w:val="ListParagraph"/>
        <w:spacing w:before="60" w:after="60"/>
        <w:rPr>
          <w:iCs/>
        </w:rPr>
      </w:pPr>
    </w:p>
    <w:p w14:paraId="42E8CC56" w14:textId="2603064A" w:rsidR="003C1161" w:rsidRPr="00FE79B0" w:rsidRDefault="003C1161" w:rsidP="003C1161">
      <w:pPr>
        <w:pStyle w:val="ListParagraph"/>
        <w:numPr>
          <w:ilvl w:val="0"/>
          <w:numId w:val="5"/>
        </w:numPr>
        <w:spacing w:after="0" w:line="360" w:lineRule="auto"/>
        <w:rPr>
          <w:rFonts w:eastAsia="Times New Roman" w:cs="Arial"/>
          <w:lang w:eastAsia="en-GB"/>
        </w:rPr>
      </w:pPr>
      <w:r>
        <w:rPr>
          <w:iCs/>
        </w:rPr>
        <w:t xml:space="preserve">Patient visibility only: patients </w:t>
      </w:r>
      <w:r w:rsidR="00DD56ED">
        <w:rPr>
          <w:iCs/>
        </w:rPr>
        <w:t>allocated to</w:t>
      </w:r>
      <w:r>
        <w:rPr>
          <w:iCs/>
        </w:rPr>
        <w:t xml:space="preserve"> this group will be given a </w:t>
      </w:r>
      <w:r w:rsidR="002E450B">
        <w:rPr>
          <w:iCs/>
        </w:rPr>
        <w:t>F</w:t>
      </w:r>
      <w:r>
        <w:rPr>
          <w:iCs/>
        </w:rPr>
        <w:t>itbit and access to a mobile app that allows them to track their activity, location, social interaction and digital interaction biomarkers against their mood.</w:t>
      </w:r>
      <w:r w:rsidR="00DD56ED">
        <w:rPr>
          <w:iCs/>
        </w:rPr>
        <w:t xml:space="preserve"> They will </w:t>
      </w:r>
      <w:r w:rsidR="004F22AE">
        <w:rPr>
          <w:iCs/>
        </w:rPr>
        <w:t xml:space="preserve">also </w:t>
      </w:r>
      <w:r w:rsidR="00DD56ED">
        <w:rPr>
          <w:iCs/>
        </w:rPr>
        <w:t>receive a course of IECBT.</w:t>
      </w:r>
      <w:r>
        <w:rPr>
          <w:iCs/>
        </w:rPr>
        <w:t xml:space="preserve"> </w:t>
      </w:r>
      <w:r w:rsidR="00DD56ED">
        <w:rPr>
          <w:iCs/>
        </w:rPr>
        <w:t xml:space="preserve">However, </w:t>
      </w:r>
      <w:r w:rsidR="004F22AE">
        <w:rPr>
          <w:iCs/>
        </w:rPr>
        <w:t xml:space="preserve">their </w:t>
      </w:r>
      <w:r w:rsidR="00DD56ED">
        <w:rPr>
          <w:iCs/>
        </w:rPr>
        <w:t>t</w:t>
      </w:r>
      <w:r>
        <w:rPr>
          <w:iCs/>
        </w:rPr>
        <w:t>herapists</w:t>
      </w:r>
      <w:r w:rsidR="00DD56ED">
        <w:rPr>
          <w:iCs/>
        </w:rPr>
        <w:t xml:space="preserve"> </w:t>
      </w:r>
      <w:r>
        <w:rPr>
          <w:iCs/>
        </w:rPr>
        <w:t>will not have access to patients’ biomarker data.</w:t>
      </w:r>
    </w:p>
    <w:p w14:paraId="0AE8B042" w14:textId="77777777" w:rsidR="00A46531" w:rsidRDefault="00A46531" w:rsidP="00A46531">
      <w:pPr>
        <w:spacing w:after="0" w:line="360" w:lineRule="auto"/>
        <w:rPr>
          <w:rFonts w:eastAsia="Times New Roman" w:cs="Arial"/>
          <w:bCs/>
          <w:szCs w:val="20"/>
          <w:lang w:eastAsia="en-GB"/>
        </w:rPr>
      </w:pPr>
    </w:p>
    <w:p w14:paraId="1BBE98FD" w14:textId="230A3822" w:rsidR="00A46531" w:rsidRDefault="00A46531" w:rsidP="00A46531">
      <w:pPr>
        <w:spacing w:after="0" w:line="360" w:lineRule="auto"/>
        <w:rPr>
          <w:rFonts w:eastAsia="Times New Roman" w:cs="Arial"/>
          <w:bCs/>
          <w:szCs w:val="20"/>
          <w:lang w:eastAsia="en-GB"/>
        </w:rPr>
      </w:pPr>
      <w:r w:rsidRPr="00C62504">
        <w:rPr>
          <w:rFonts w:eastAsia="Times New Roman" w:cs="Arial"/>
          <w:bCs/>
          <w:szCs w:val="20"/>
          <w:lang w:eastAsia="en-GB"/>
        </w:rPr>
        <w:t>Patients</w:t>
      </w:r>
      <w:r>
        <w:rPr>
          <w:rFonts w:eastAsia="Times New Roman" w:cs="Arial"/>
          <w:bCs/>
          <w:szCs w:val="20"/>
          <w:lang w:eastAsia="en-GB"/>
        </w:rPr>
        <w:t>’</w:t>
      </w:r>
      <w:r w:rsidRPr="00C62504">
        <w:rPr>
          <w:rFonts w:eastAsia="Times New Roman" w:cs="Arial"/>
          <w:bCs/>
          <w:szCs w:val="20"/>
          <w:lang w:eastAsia="en-GB"/>
        </w:rPr>
        <w:t xml:space="preserve"> clinical outcomes and response to thera</w:t>
      </w:r>
      <w:bookmarkStart w:id="6" w:name="_GoBack"/>
      <w:bookmarkEnd w:id="6"/>
      <w:r w:rsidRPr="00C62504">
        <w:rPr>
          <w:rFonts w:eastAsia="Times New Roman" w:cs="Arial"/>
          <w:bCs/>
          <w:szCs w:val="20"/>
          <w:lang w:eastAsia="en-GB"/>
        </w:rPr>
        <w:t xml:space="preserve">py will be monitored. Therefore, patients will be involved in the study for the duration of a course of therapy, which is typically between </w:t>
      </w:r>
      <w:r w:rsidR="00034FE2">
        <w:rPr>
          <w:rFonts w:eastAsia="Times New Roman" w:cs="Arial"/>
          <w:bCs/>
          <w:szCs w:val="20"/>
          <w:lang w:eastAsia="en-GB"/>
        </w:rPr>
        <w:t>8 and 1</w:t>
      </w:r>
      <w:r w:rsidR="00A463B7">
        <w:rPr>
          <w:rFonts w:eastAsia="Times New Roman" w:cs="Arial"/>
          <w:bCs/>
          <w:szCs w:val="20"/>
          <w:lang w:eastAsia="en-GB"/>
        </w:rPr>
        <w:t>2</w:t>
      </w:r>
      <w:r w:rsidR="00034FE2">
        <w:rPr>
          <w:rFonts w:eastAsia="Times New Roman" w:cs="Arial"/>
          <w:bCs/>
          <w:szCs w:val="20"/>
          <w:lang w:eastAsia="en-GB"/>
        </w:rPr>
        <w:t xml:space="preserve"> </w:t>
      </w:r>
      <w:r w:rsidRPr="00C62504">
        <w:rPr>
          <w:rFonts w:eastAsia="Times New Roman" w:cs="Arial"/>
          <w:bCs/>
          <w:szCs w:val="20"/>
          <w:lang w:eastAsia="en-GB"/>
        </w:rPr>
        <w:t>weeks.</w:t>
      </w:r>
    </w:p>
    <w:p w14:paraId="79FFE08C" w14:textId="77777777" w:rsidR="00A46531" w:rsidRDefault="00A46531" w:rsidP="00A46531">
      <w:pPr>
        <w:spacing w:after="0" w:line="360" w:lineRule="auto"/>
        <w:rPr>
          <w:rFonts w:eastAsia="Times New Roman" w:cs="Arial"/>
          <w:bCs/>
          <w:szCs w:val="20"/>
          <w:lang w:eastAsia="en-GB"/>
        </w:rPr>
      </w:pPr>
    </w:p>
    <w:p w14:paraId="6856555D" w14:textId="014EC1AB" w:rsidR="00A46531" w:rsidRDefault="00A46531" w:rsidP="00A46531">
      <w:pPr>
        <w:spacing w:after="0" w:line="360" w:lineRule="auto"/>
        <w:rPr>
          <w:rFonts w:eastAsia="Times New Roman" w:cs="Arial"/>
          <w:bCs/>
          <w:szCs w:val="20"/>
          <w:lang w:eastAsia="en-GB"/>
        </w:rPr>
      </w:pPr>
    </w:p>
    <w:p w14:paraId="456876AB" w14:textId="539D44C7" w:rsidR="008C04C7" w:rsidRDefault="008C04C7" w:rsidP="00A46531">
      <w:pPr>
        <w:spacing w:after="0" w:line="360" w:lineRule="auto"/>
        <w:rPr>
          <w:rFonts w:eastAsia="Times New Roman" w:cs="Arial"/>
          <w:bCs/>
          <w:szCs w:val="20"/>
          <w:lang w:eastAsia="en-GB"/>
        </w:rPr>
      </w:pPr>
    </w:p>
    <w:p w14:paraId="5364769C" w14:textId="5027233A" w:rsidR="008C04C7" w:rsidRDefault="008C04C7" w:rsidP="00A46531">
      <w:pPr>
        <w:spacing w:after="0" w:line="360" w:lineRule="auto"/>
        <w:rPr>
          <w:rFonts w:eastAsia="Times New Roman" w:cs="Arial"/>
          <w:bCs/>
          <w:szCs w:val="20"/>
          <w:lang w:eastAsia="en-GB"/>
        </w:rPr>
      </w:pPr>
    </w:p>
    <w:p w14:paraId="087F38C6" w14:textId="13B1A919" w:rsidR="008C04C7" w:rsidRDefault="008C04C7" w:rsidP="00A46531">
      <w:pPr>
        <w:spacing w:after="0" w:line="360" w:lineRule="auto"/>
        <w:rPr>
          <w:rFonts w:eastAsia="Times New Roman" w:cs="Arial"/>
          <w:bCs/>
          <w:szCs w:val="20"/>
          <w:lang w:eastAsia="en-GB"/>
        </w:rPr>
      </w:pPr>
    </w:p>
    <w:p w14:paraId="21B0DB28" w14:textId="18D4546B" w:rsidR="008C04C7" w:rsidRDefault="008C04C7" w:rsidP="00A46531">
      <w:pPr>
        <w:spacing w:after="0" w:line="360" w:lineRule="auto"/>
        <w:rPr>
          <w:rFonts w:eastAsia="Times New Roman" w:cs="Arial"/>
          <w:bCs/>
          <w:szCs w:val="20"/>
          <w:lang w:eastAsia="en-GB"/>
        </w:rPr>
      </w:pPr>
    </w:p>
    <w:p w14:paraId="24B739E8" w14:textId="24353321" w:rsidR="008C04C7" w:rsidRDefault="008C04C7" w:rsidP="00A46531">
      <w:pPr>
        <w:spacing w:after="0" w:line="360" w:lineRule="auto"/>
        <w:rPr>
          <w:rFonts w:eastAsia="Times New Roman" w:cs="Arial"/>
          <w:bCs/>
          <w:szCs w:val="20"/>
          <w:lang w:eastAsia="en-GB"/>
        </w:rPr>
      </w:pPr>
    </w:p>
    <w:p w14:paraId="27F73528" w14:textId="51BF13E6" w:rsidR="008C04C7" w:rsidRDefault="008C04C7" w:rsidP="00A46531">
      <w:pPr>
        <w:spacing w:after="0" w:line="360" w:lineRule="auto"/>
        <w:rPr>
          <w:rFonts w:eastAsia="Times New Roman" w:cs="Arial"/>
          <w:bCs/>
          <w:szCs w:val="20"/>
          <w:lang w:eastAsia="en-GB"/>
        </w:rPr>
      </w:pPr>
    </w:p>
    <w:p w14:paraId="2A6B4CA0" w14:textId="71676971" w:rsidR="008C04C7" w:rsidRDefault="008C04C7" w:rsidP="00A46531">
      <w:pPr>
        <w:spacing w:after="0" w:line="360" w:lineRule="auto"/>
        <w:rPr>
          <w:rFonts w:eastAsia="Times New Roman" w:cs="Arial"/>
          <w:bCs/>
          <w:szCs w:val="20"/>
          <w:lang w:eastAsia="en-GB"/>
        </w:rPr>
      </w:pPr>
    </w:p>
    <w:p w14:paraId="274513A8" w14:textId="200FD466" w:rsidR="008C04C7" w:rsidRDefault="008C04C7" w:rsidP="00A46531">
      <w:pPr>
        <w:spacing w:after="0" w:line="360" w:lineRule="auto"/>
        <w:rPr>
          <w:rFonts w:eastAsia="Times New Roman" w:cs="Arial"/>
          <w:bCs/>
          <w:szCs w:val="20"/>
          <w:lang w:eastAsia="en-GB"/>
        </w:rPr>
      </w:pPr>
    </w:p>
    <w:p w14:paraId="1A5401A8" w14:textId="23D05124" w:rsidR="008C04C7" w:rsidRDefault="008C04C7" w:rsidP="00A46531">
      <w:pPr>
        <w:spacing w:after="0" w:line="360" w:lineRule="auto"/>
        <w:rPr>
          <w:rFonts w:eastAsia="Times New Roman" w:cs="Arial"/>
          <w:bCs/>
          <w:szCs w:val="20"/>
          <w:lang w:eastAsia="en-GB"/>
        </w:rPr>
      </w:pPr>
    </w:p>
    <w:p w14:paraId="09C59405" w14:textId="7BCC314B" w:rsidR="008C04C7" w:rsidRDefault="008C04C7" w:rsidP="00A46531">
      <w:pPr>
        <w:spacing w:after="0" w:line="360" w:lineRule="auto"/>
        <w:rPr>
          <w:rFonts w:eastAsia="Times New Roman" w:cs="Arial"/>
          <w:bCs/>
          <w:szCs w:val="20"/>
          <w:lang w:eastAsia="en-GB"/>
        </w:rPr>
      </w:pPr>
    </w:p>
    <w:p w14:paraId="638C1443" w14:textId="77777777" w:rsidR="008C04C7" w:rsidRPr="00C62504" w:rsidRDefault="008C04C7" w:rsidP="00A46531">
      <w:pPr>
        <w:spacing w:after="0" w:line="360" w:lineRule="auto"/>
        <w:rPr>
          <w:rFonts w:eastAsia="Times New Roman" w:cs="Arial"/>
          <w:bCs/>
          <w:szCs w:val="20"/>
          <w:lang w:eastAsia="en-GB"/>
        </w:rPr>
      </w:pPr>
    </w:p>
    <w:p w14:paraId="5315D063" w14:textId="77777777" w:rsidR="00A46531" w:rsidRPr="00C62504" w:rsidRDefault="00A46531" w:rsidP="00A46531">
      <w:pPr>
        <w:spacing w:after="0" w:line="360" w:lineRule="auto"/>
        <w:rPr>
          <w:rFonts w:eastAsia="Times New Roman" w:cs="Arial"/>
          <w:bCs/>
          <w:szCs w:val="20"/>
          <w:lang w:eastAsia="en-GB"/>
        </w:rPr>
      </w:pPr>
    </w:p>
    <w:p w14:paraId="06E84C9F" w14:textId="77777777" w:rsidR="00A46531" w:rsidRDefault="00A46531" w:rsidP="00A46531">
      <w:pPr>
        <w:spacing w:after="0" w:line="360" w:lineRule="auto"/>
        <w:rPr>
          <w:rFonts w:eastAsia="Times New Roman" w:cs="Arial"/>
          <w:lang w:eastAsia="en-GB"/>
        </w:rPr>
      </w:pPr>
      <w:r w:rsidRPr="4C8E95FF">
        <w:rPr>
          <w:rFonts w:eastAsia="Times New Roman" w:cs="Arial"/>
          <w:b/>
          <w:bCs/>
          <w:lang w:eastAsia="en-GB"/>
        </w:rPr>
        <w:lastRenderedPageBreak/>
        <w:t>Figure 1. Summary of flow for participant involvement in the study.</w:t>
      </w:r>
      <w:r w:rsidRPr="4C8E95FF">
        <w:rPr>
          <w:rFonts w:eastAsia="Times New Roman" w:cs="Arial"/>
          <w:lang w:eastAsia="en-GB"/>
        </w:rPr>
        <w:t xml:space="preserve"> </w:t>
      </w:r>
    </w:p>
    <w:p w14:paraId="18D01D65" w14:textId="77777777" w:rsidR="00A46531" w:rsidRDefault="00A46531" w:rsidP="00A46531">
      <w:pPr>
        <w:spacing w:after="0" w:line="360" w:lineRule="auto"/>
        <w:rPr>
          <w:rFonts w:eastAsia="Times New Roman" w:cs="Arial"/>
          <w:bCs/>
          <w:szCs w:val="20"/>
          <w:lang w:eastAsia="en-GB"/>
        </w:rPr>
      </w:pPr>
    </w:p>
    <w:p w14:paraId="030476EC" w14:textId="793083CB" w:rsidR="00A46531" w:rsidRDefault="005C73D6" w:rsidP="00A46531">
      <w:pPr>
        <w:spacing w:after="0" w:line="360" w:lineRule="auto"/>
        <w:rPr>
          <w:rFonts w:eastAsia="Times New Roman" w:cs="Arial"/>
          <w:bCs/>
          <w:szCs w:val="20"/>
          <w:lang w:eastAsia="en-GB"/>
        </w:rPr>
      </w:pPr>
      <w:r>
        <w:rPr>
          <w:noProof/>
        </w:rPr>
        <w:drawing>
          <wp:inline distT="0" distB="0" distL="0" distR="0" wp14:anchorId="49FA7901" wp14:editId="38271DA7">
            <wp:extent cx="5700397" cy="4706618"/>
            <wp:effectExtent l="0" t="0" r="0" b="0"/>
            <wp:docPr id="867508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700397" cy="4706618"/>
                    </a:xfrm>
                    <a:prstGeom prst="rect">
                      <a:avLst/>
                    </a:prstGeom>
                  </pic:spPr>
                </pic:pic>
              </a:graphicData>
            </a:graphic>
          </wp:inline>
        </w:drawing>
      </w:r>
    </w:p>
    <w:p w14:paraId="5D52FD4C" w14:textId="77777777" w:rsidR="00A46531" w:rsidRDefault="00A46531" w:rsidP="00A46531">
      <w:pPr>
        <w:spacing w:after="0" w:line="360" w:lineRule="auto"/>
        <w:rPr>
          <w:rFonts w:eastAsia="Times New Roman" w:cs="Arial"/>
          <w:bCs/>
          <w:szCs w:val="20"/>
          <w:lang w:eastAsia="en-GB"/>
        </w:rPr>
      </w:pPr>
    </w:p>
    <w:p w14:paraId="53CC23FA" w14:textId="77777777" w:rsidR="00A46531" w:rsidRDefault="00A46531" w:rsidP="00A46531">
      <w:pPr>
        <w:spacing w:after="0" w:line="360" w:lineRule="auto"/>
        <w:rPr>
          <w:rFonts w:eastAsia="Times New Roman" w:cs="Arial"/>
          <w:bCs/>
          <w:szCs w:val="20"/>
          <w:lang w:eastAsia="en-GB"/>
        </w:rPr>
      </w:pPr>
    </w:p>
    <w:p w14:paraId="598D16B8" w14:textId="77777777" w:rsidR="00A46531" w:rsidRDefault="00A46531" w:rsidP="00A46531">
      <w:pPr>
        <w:spacing w:after="0" w:line="360" w:lineRule="auto"/>
        <w:rPr>
          <w:rFonts w:eastAsia="Times New Roman" w:cs="Arial"/>
          <w:bCs/>
          <w:szCs w:val="20"/>
          <w:lang w:eastAsia="en-GB"/>
        </w:rPr>
      </w:pPr>
    </w:p>
    <w:p w14:paraId="14AD7613" w14:textId="77777777" w:rsidR="00A46531" w:rsidRDefault="00A46531" w:rsidP="00A46531">
      <w:pPr>
        <w:spacing w:after="0" w:line="360" w:lineRule="auto"/>
        <w:rPr>
          <w:rFonts w:eastAsia="Times New Roman" w:cs="Arial"/>
          <w:bCs/>
          <w:szCs w:val="20"/>
          <w:lang w:eastAsia="en-GB"/>
        </w:rPr>
      </w:pPr>
    </w:p>
    <w:p w14:paraId="5D977996" w14:textId="77777777" w:rsidR="00A46531" w:rsidRDefault="00A46531" w:rsidP="00A46531">
      <w:pPr>
        <w:spacing w:after="0" w:line="360" w:lineRule="auto"/>
        <w:rPr>
          <w:rFonts w:eastAsia="Times New Roman" w:cs="Arial"/>
          <w:bCs/>
          <w:szCs w:val="20"/>
          <w:lang w:eastAsia="en-GB"/>
        </w:rPr>
      </w:pPr>
    </w:p>
    <w:p w14:paraId="172062A9" w14:textId="77777777" w:rsidR="00A46531" w:rsidRDefault="00A46531" w:rsidP="00A46531">
      <w:pPr>
        <w:spacing w:after="0" w:line="360" w:lineRule="auto"/>
        <w:rPr>
          <w:rFonts w:eastAsia="Times New Roman" w:cs="Arial"/>
          <w:bCs/>
          <w:szCs w:val="20"/>
          <w:lang w:eastAsia="en-GB"/>
        </w:rPr>
      </w:pPr>
    </w:p>
    <w:p w14:paraId="5075A7D7" w14:textId="77777777" w:rsidR="00A46531" w:rsidRDefault="00A46531" w:rsidP="00A46531">
      <w:pPr>
        <w:spacing w:after="0" w:line="360" w:lineRule="auto"/>
        <w:rPr>
          <w:rFonts w:eastAsia="Times New Roman" w:cs="Arial"/>
          <w:bCs/>
          <w:szCs w:val="20"/>
          <w:lang w:eastAsia="en-GB"/>
        </w:rPr>
      </w:pPr>
    </w:p>
    <w:p w14:paraId="4CB4B0A8" w14:textId="77777777" w:rsidR="00A46531" w:rsidRDefault="00A46531" w:rsidP="00A46531">
      <w:pPr>
        <w:spacing w:after="0" w:line="360" w:lineRule="auto"/>
        <w:rPr>
          <w:rFonts w:eastAsia="Times New Roman" w:cs="Arial"/>
          <w:bCs/>
          <w:szCs w:val="20"/>
          <w:lang w:eastAsia="en-GB"/>
        </w:rPr>
      </w:pPr>
    </w:p>
    <w:p w14:paraId="4AE9F6CC" w14:textId="77777777" w:rsidR="00A46531" w:rsidRDefault="00A46531" w:rsidP="00A46531">
      <w:pPr>
        <w:spacing w:after="0" w:line="360" w:lineRule="auto"/>
        <w:rPr>
          <w:rFonts w:eastAsia="Times New Roman" w:cs="Arial"/>
          <w:bCs/>
          <w:szCs w:val="20"/>
          <w:lang w:eastAsia="en-GB"/>
        </w:rPr>
      </w:pPr>
    </w:p>
    <w:p w14:paraId="0CADBAD1" w14:textId="77777777" w:rsidR="00A46531" w:rsidRDefault="00A46531" w:rsidP="00A46531">
      <w:pPr>
        <w:spacing w:after="0" w:line="360" w:lineRule="auto"/>
        <w:rPr>
          <w:rFonts w:eastAsia="Times New Roman" w:cs="Arial"/>
          <w:bCs/>
          <w:szCs w:val="20"/>
          <w:lang w:eastAsia="en-GB"/>
        </w:rPr>
      </w:pPr>
    </w:p>
    <w:p w14:paraId="7FE49B12" w14:textId="77777777" w:rsidR="00A46531" w:rsidRDefault="00A46531" w:rsidP="00A46531">
      <w:pPr>
        <w:spacing w:after="0" w:line="360" w:lineRule="auto"/>
        <w:rPr>
          <w:rFonts w:eastAsia="Times New Roman" w:cs="Arial"/>
          <w:bCs/>
          <w:szCs w:val="20"/>
          <w:lang w:eastAsia="en-GB"/>
        </w:rPr>
      </w:pPr>
    </w:p>
    <w:p w14:paraId="001DF5C2" w14:textId="77777777" w:rsidR="00A46531" w:rsidRDefault="00A46531" w:rsidP="00A46531">
      <w:pPr>
        <w:spacing w:after="0" w:line="360" w:lineRule="auto"/>
        <w:rPr>
          <w:rFonts w:eastAsia="Times New Roman" w:cs="Arial"/>
          <w:bCs/>
          <w:szCs w:val="20"/>
          <w:lang w:eastAsia="en-GB"/>
        </w:rPr>
      </w:pPr>
    </w:p>
    <w:p w14:paraId="1869BC77" w14:textId="77777777" w:rsidR="00A46531" w:rsidRDefault="00A46531" w:rsidP="00A46531">
      <w:pPr>
        <w:spacing w:after="0" w:line="360" w:lineRule="auto"/>
        <w:rPr>
          <w:rFonts w:eastAsia="Times New Roman" w:cs="Arial"/>
          <w:bCs/>
          <w:szCs w:val="20"/>
          <w:lang w:eastAsia="en-GB"/>
        </w:rPr>
      </w:pPr>
    </w:p>
    <w:p w14:paraId="2B6FE26C" w14:textId="77777777" w:rsidR="00A46531" w:rsidRDefault="00A46531" w:rsidP="00A46531">
      <w:pPr>
        <w:spacing w:after="0" w:line="360" w:lineRule="auto"/>
        <w:rPr>
          <w:rFonts w:eastAsia="Times New Roman" w:cs="Arial"/>
          <w:bCs/>
          <w:szCs w:val="20"/>
          <w:lang w:eastAsia="en-GB"/>
        </w:rPr>
      </w:pPr>
    </w:p>
    <w:p w14:paraId="2E5A0072" w14:textId="53D70831" w:rsidR="00A46531" w:rsidRPr="00EC3EBC" w:rsidRDefault="00A46531" w:rsidP="00A46531">
      <w:pPr>
        <w:pStyle w:val="Heading2"/>
        <w:rPr>
          <w:rFonts w:eastAsia="Times New Roman"/>
          <w:lang w:eastAsia="en-GB"/>
        </w:rPr>
      </w:pPr>
      <w:bookmarkStart w:id="7" w:name="_Toc33801225"/>
      <w:r>
        <w:rPr>
          <w:rFonts w:eastAsia="Times New Roman"/>
          <w:lang w:eastAsia="en-GB"/>
        </w:rPr>
        <w:lastRenderedPageBreak/>
        <w:t>Clinical outcomes</w:t>
      </w:r>
      <w:bookmarkEnd w:id="7"/>
    </w:p>
    <w:p w14:paraId="4DCFE297" w14:textId="77777777" w:rsidR="00A46531" w:rsidRDefault="00A46531" w:rsidP="00A46531">
      <w:pPr>
        <w:spacing w:after="0" w:line="360" w:lineRule="auto"/>
      </w:pPr>
      <w:r>
        <w:rPr>
          <w:rFonts w:eastAsia="Times New Roman" w:cs="Times New Roman"/>
          <w:szCs w:val="20"/>
          <w:lang w:eastAsia="en-GB"/>
        </w:rPr>
        <w:t>The clinical outcomes collected in this study are collected as part of existing ‘standard of care’. In the context of this study</w:t>
      </w:r>
      <w:r w:rsidRPr="001E1C21">
        <w:rPr>
          <w:rFonts w:eastAsia="Times New Roman" w:cs="Times New Roman"/>
          <w:szCs w:val="20"/>
          <w:lang w:eastAsia="en-GB"/>
        </w:rPr>
        <w:t xml:space="preserve"> treatment non-response</w:t>
      </w:r>
      <w:r>
        <w:rPr>
          <w:rFonts w:eastAsia="Times New Roman" w:cs="Times New Roman"/>
          <w:szCs w:val="20"/>
          <w:lang w:eastAsia="en-GB"/>
        </w:rPr>
        <w:t xml:space="preserve"> will be</w:t>
      </w:r>
      <w:r w:rsidRPr="001E1C21">
        <w:rPr>
          <w:rFonts w:eastAsia="Times New Roman" w:cs="Times New Roman"/>
          <w:szCs w:val="20"/>
          <w:lang w:eastAsia="en-GB"/>
        </w:rPr>
        <w:t xml:space="preserve"> defined as non-engagement or failure to achieve defined symptom change for recovery and/or improvement.</w:t>
      </w:r>
      <w:r>
        <w:rPr>
          <w:rFonts w:eastAsia="Times New Roman" w:cs="Times New Roman"/>
          <w:szCs w:val="20"/>
          <w:lang w:eastAsia="en-GB"/>
        </w:rPr>
        <w:t xml:space="preserve"> The service provider, Ieso Digital Health, operates within the Improving Access to Psychological Therapies (IAPT) programme. As such, as mandated by IAPT, all patients receiving treatment, whether or not they have opted to participate in the study, will complete two symptom severity measures at initial assessment and before every therapy session:</w:t>
      </w:r>
      <w:r w:rsidRPr="00B060D6">
        <w:t xml:space="preserve"> PHQ-9 </w:t>
      </w:r>
      <w:r w:rsidRPr="00B060D6">
        <w:fldChar w:fldCharType="begin" w:fldLock="1"/>
      </w:r>
      <w:r>
        <w:instrText>ADDIN CSL_CITATION {"citationItems":[{"id":"ITEM-1","itemData":{"DOI":"10.1046/j.1525-1497.2001.016009606.x","ISSN":"0884-8734","PMID":"11556941","abstract":"OBJECTIVE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&gt; or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tool.","author":[{"dropping-particle":"","family":"Kroenke","given":"K","non-dropping-particle":"","parse-names":false,"suffix":""},{"dropping-particle":"","family":"Spitzer","given":"R L","non-dropping-particle":"","parse-names":false,"suffix":""},{"dropping-particle":"","family":"Williams","given":"J B","non-dropping-particle":"","parse-names":false,"suffix":""}],"container-title":"Journal of general internal medicine","id":"ITEM-1","issue":"9","issued":{"date-parts":[["2001","9"]]},"page":"606-13","publisher":"Springer","title":"The PHQ-9: validity of a brief depression severity measure.","type":"article-journal","volume":"16"},"uris":["http://www.mendeley.com/documents/?uuid=56decec1-e4ca-34b6-9160-b3f9f2145b72"]}],"mendeley":{"formattedCitation":"(Kroenke, Spitzer and Williams, 2001)","plainTextFormattedCitation":"(Kroenke, Spitzer and Williams, 2001)","previouslyFormattedCitation":"(Kroenke, Spitzer and Williams, 2001)"},"properties":{"noteIndex":0},"schema":"https://github.com/citation-style-language/schema/raw/master/csl-citation.json"}</w:instrText>
      </w:r>
      <w:r w:rsidRPr="00B060D6">
        <w:fldChar w:fldCharType="separate"/>
      </w:r>
      <w:r w:rsidRPr="00FB2BC8">
        <w:rPr>
          <w:noProof/>
        </w:rPr>
        <w:t>(Kroenke, Spitzer and Williams, 2001)</w:t>
      </w:r>
      <w:r w:rsidRPr="00B060D6">
        <w:fldChar w:fldCharType="end"/>
      </w:r>
      <w:r w:rsidRPr="00B060D6">
        <w:t xml:space="preserve"> and GAD-7 </w:t>
      </w:r>
      <w:r w:rsidRPr="00B060D6">
        <w:fldChar w:fldCharType="begin" w:fldLock="1"/>
      </w:r>
      <w:r>
        <w:instrText>ADDIN CSL_CITATION {"citationItems":[{"id":"ITEM-1","itemData":{"DOI":"10.1001/archinte.166.10.1092","ISBN":"0003-9926","ISSN":"0003-9926","PMID":"16717171","abstract":"BACKGROUND: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 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 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 CONCLUSION: The GAD-7 is a valid and efficient tool for screening for GAD and assessing its severity in clinical practice and research.","author":[{"dropping-particle":"","family":"Spitzer","given":"Robert L.","non-dropping-particle":"","parse-names":false,"suffix":""},{"dropping-particle":"","family":"Kroenke","given":"Kurt","non-dropping-particle":"","parse-names":false,"suffix":""},{"dropping-particle":"","family":"Williams","given":"Janet B. W.","non-dropping-particle":"","parse-names":false,"suffix":""},{"dropping-particle":"","family":"Löwe","given":"Bernd","non-dropping-particle":"","parse-names":false,"suffix":""}],"container-title":"Archives of internal medicine","id":"ITEM-1","issue":"10","issued":{"date-parts":[["2006"]]},"page":"1092-1097","title":"A brief measure for assessing generalized anxiety disorder: the GAD-7.","type":"article-journal","volume":"166"},"uris":["http://www.mendeley.com/documents/?uuid=0cadf205-892d-42ea-a104-602b2816a735"]}],"mendeley":{"formattedCitation":"(Spitzer &lt;i&gt;et al.&lt;/i&gt;, 2006)","plainTextFormattedCitation":"(Spitzer et al., 2006)","previouslyFormattedCitation":"(Spitzer &lt;i&gt;et al.&lt;/i&gt;, 2006)"},"properties":{"noteIndex":0},"schema":"https://github.com/citation-style-language/schema/raw/master/csl-citation.json"}</w:instrText>
      </w:r>
      <w:r w:rsidRPr="00B060D6">
        <w:fldChar w:fldCharType="separate"/>
      </w:r>
      <w:r w:rsidRPr="00FB2BC8">
        <w:rPr>
          <w:noProof/>
        </w:rPr>
        <w:t xml:space="preserve">(Spitzer </w:t>
      </w:r>
      <w:r w:rsidRPr="00FB2BC8">
        <w:rPr>
          <w:i/>
          <w:noProof/>
        </w:rPr>
        <w:t>et al.</w:t>
      </w:r>
      <w:r w:rsidRPr="00FB2BC8">
        <w:rPr>
          <w:noProof/>
        </w:rPr>
        <w:t>, 2006)</w:t>
      </w:r>
      <w:r w:rsidRPr="00B060D6">
        <w:fldChar w:fldCharType="end"/>
      </w:r>
      <w:r w:rsidRPr="00B060D6">
        <w:t>, corresponding to depressive and anxiety symptoms respectively.</w:t>
      </w:r>
      <w:r>
        <w:t xml:space="preserve"> These metrics will be used to calculate clinical outcomes.</w:t>
      </w:r>
    </w:p>
    <w:p w14:paraId="3B349824" w14:textId="77777777" w:rsidR="00A46531" w:rsidRDefault="00A46531" w:rsidP="00A46531">
      <w:pPr>
        <w:spacing w:after="0" w:line="360" w:lineRule="auto"/>
        <w:rPr>
          <w:rFonts w:eastAsia="Times New Roman" w:cs="Times New Roman"/>
          <w:szCs w:val="20"/>
          <w:lang w:eastAsia="en-GB"/>
        </w:rPr>
      </w:pPr>
    </w:p>
    <w:p w14:paraId="6BBD7C62" w14:textId="77777777" w:rsidR="00A46531" w:rsidRDefault="00A46531" w:rsidP="00A46531">
      <w:pPr>
        <w:spacing w:after="0" w:line="360" w:lineRule="auto"/>
        <w:rPr>
          <w:rFonts w:eastAsia="Times New Roman" w:cs="Times New Roman"/>
          <w:lang w:eastAsia="en-GB"/>
        </w:rPr>
      </w:pPr>
      <w:r w:rsidRPr="4C8E95FF">
        <w:rPr>
          <w:rFonts w:eastAsia="Times New Roman" w:cs="Times New Roman"/>
          <w:lang w:eastAsia="en-GB"/>
        </w:rPr>
        <w:t xml:space="preserve">Within this framework, clinical outcomes including engagement, recovery and improvement will be defined following IAPT guidelines </w:t>
      </w:r>
      <w:r w:rsidRPr="4C8E95FF">
        <w:fldChar w:fldCharType="begin" w:fldLock="1"/>
      </w:r>
      <w:r>
        <w:rPr>
          <w:rFonts w:eastAsia="Times New Roman" w:cs="Times New Roman"/>
          <w:szCs w:val="20"/>
          <w:lang w:eastAsia="en-GB"/>
        </w:rPr>
        <w:instrText>ADDIN CSL_CITATION {"citationItems":[{"id":"ITEM-1","itemData":{"ISBN":"0954-0261","author":[{"dropping-particle":"","family":"Clark","given":"David M","non-dropping-particle":"","parse-names":false,"suffix":""}],"container-title":"International Review of Psychiatry","id":"ITEM-1","issue":"4","issued":{"date-parts":[["2011"]]},"page":"318-327","title":"Implementing NICE guidelines for the psychological treatment of depression and anxiety disorders: the IAPT experience","type":"article-journal","volume":"23"},"uris":["http://www.mendeley.com/documents/?uuid=d0d92917-d1e8-4d70-8188-70c3a54554ea"]},{"id":"ITEM-2","itemData":{"DOI":"10.1016/j.brat.2013.06.004","ISBN":"0005-7967","ISSN":"1873622X","PMID":"23872702","abstract":"Background: The English Improving Access to Psychological Therapies (IAPT) initiative aims to make evidence-based psychological therapies for depression and anxiety disorder more widely available in the National Health Service (NHS). 32 IAPT services based on a stepped care model were established in the first year of the programme. We report on the reliable recovery rates achieved by patients treated in the services and identify predictors of recovery at patient level, service level, and as a function of compliance with National Institute of Health and Care Excellence (NICE) Treatment Guidelines. Method: Data from 19,395 patients who were clinical cases at intake, attended at least two sessions, had at least two outcomes scores and had completed their treatment during the period were analysed. Outcome was assessed with the patient health questionnaire depression scale (PHQ-9) and the anxiety scale (GAD-7). Results: Data completeness was high for a routine cohort study. Over 91% of treated patients had paired (pre-post) outcome scores. Overall, 40.3% of patients were reliably recovered at post-treatment, 63.7% showed reliable improvement and 6.6% showed reliable deterioration. Most patients received treatments that were recommended by NICE. When a treatment not recommended by NICE was provided, recovery rates were reduced. Service characteristics that predicted higher reliable recovery rates were: high average number of therapy sessions; higher step-up rates among individuals who started with low intensity treatment; larger services; and a larger proportion of experienced staff. Conclusions: Compliance with the IAPT clinical model is associated with enhanced rates of reliable recovery. © 2013 The Authors.","author":[{"dropping-particle":"","family":"Gyani","given":"Alex","non-dropping-particle":"","parse-names":false,"suffix":""},{"dropping-particle":"","family":"Shafran","given":"Roz","non-dropping-particle":"","parse-names":false,"suffix":""},{"dropping-particle":"","family":"Layard","given":"Richard","non-dropping-particle":"","parse-names":false,"suffix":""},{"dropping-particle":"","family":"Clark","given":"David M.","non-dropping-particle":"","parse-names":false,"suffix":""}],"container-title":"Behaviour Research and Therapy","id":"ITEM-2","issued":{"date-parts":[["2013"]]},"page":"597-606","title":"Enhancing recovery rates: Lessons from year one of IAPT","type":"article-journal","volume":"51"},"uris":["http://www.mendeley.com/documents/?uuid=462c207d-b2b3-4775-964a-256727fa135d"]}],"mendeley":{"formattedCitation":"(Clark, 2011; Gyani &lt;i&gt;et al.&lt;/i&gt;, 2013)","plainTextFormattedCitation":"(Clark, 2011; Gyani et al., 2013)","previouslyFormattedCitation":"(Clark, 2011; Gyani &lt;i&gt;et al.&lt;/i&gt;, 2013)"},"properties":{"noteIndex":0},"schema":"https://github.com/citation-style-language/schema/raw/master/csl-citation.json"}</w:instrText>
      </w:r>
      <w:r w:rsidRPr="4C8E95FF">
        <w:rPr>
          <w:rFonts w:eastAsia="Times New Roman" w:cs="Times New Roman"/>
          <w:szCs w:val="20"/>
          <w:lang w:eastAsia="en-GB"/>
        </w:rPr>
        <w:fldChar w:fldCharType="separate"/>
      </w:r>
      <w:r w:rsidRPr="4C8E95FF">
        <w:rPr>
          <w:rFonts w:eastAsia="Times New Roman" w:cs="Times New Roman"/>
          <w:noProof/>
          <w:lang w:eastAsia="en-GB"/>
        </w:rPr>
        <w:t xml:space="preserve">(Clark, 2011; Gyani </w:t>
      </w:r>
      <w:r w:rsidRPr="4C8E95FF">
        <w:rPr>
          <w:rFonts w:eastAsia="Times New Roman" w:cs="Times New Roman"/>
          <w:i/>
          <w:iCs/>
          <w:noProof/>
          <w:lang w:eastAsia="en-GB"/>
        </w:rPr>
        <w:t>et al.</w:t>
      </w:r>
      <w:r w:rsidRPr="4C8E95FF">
        <w:rPr>
          <w:rFonts w:eastAsia="Times New Roman" w:cs="Times New Roman"/>
          <w:noProof/>
          <w:lang w:eastAsia="en-GB"/>
        </w:rPr>
        <w:t>, 2013)</w:t>
      </w:r>
      <w:r w:rsidRPr="4C8E95FF">
        <w:fldChar w:fldCharType="end"/>
      </w:r>
      <w:r w:rsidRPr="4C8E95FF">
        <w:rPr>
          <w:rFonts w:eastAsia="Times New Roman" w:cs="Times New Roman"/>
          <w:lang w:eastAsia="en-GB"/>
        </w:rPr>
        <w:t xml:space="preserve">. Non-engagement will be defined as failure to attend at least two treatment sessions. This is the minimum dose of therapy a patient must receive such that pre- and post-treatment scores are collected and clinical change can be estimated </w:t>
      </w:r>
      <w:r w:rsidRPr="4C8E95FF">
        <w:fldChar w:fldCharType="begin" w:fldLock="1"/>
      </w:r>
      <w:r>
        <w:rPr>
          <w:rFonts w:eastAsia="Times New Roman" w:cs="Times New Roman"/>
          <w:szCs w:val="20"/>
          <w:lang w:eastAsia="en-GB"/>
        </w:rPr>
        <w:instrText>ADDIN CSL_CITATION {"citationItems":[{"id":"ITEM-1","itemData":{"DOI":"10.1016/j.brat.2013.06.004","ISBN":"0005-7967","ISSN":"1873622X","PMID":"23872702","abstract":"Background: The English Improving Access to Psychological Therapies (IAPT) initiative aims to make evidence-based psychological therapies for depression and anxiety disorder more widely available in the National Health Service (NHS). 32 IAPT services based on a stepped care model were established in the first year of the programme. We report on the reliable recovery rates achieved by patients treated in the services and identify predictors of recovery at patient level, service level, and as a function of compliance with National Institute of Health and Care Excellence (NICE) Treatment Guidelines. Method: Data from 19,395 patients who were clinical cases at intake, attended at least two sessions, had at least two outcomes scores and had completed their treatment during the period were analysed. Outcome was assessed with the patient health questionnaire depression scale (PHQ-9) and the anxiety scale (GAD-7). Results: Data completeness was high for a routine cohort study. Over 91% of treated patients had paired (pre-post) outcome scores. Overall, 40.3% of patients were reliably recovered at post-treatment, 63.7% showed reliable improvement and 6.6% showed reliable deterioration. Most patients received treatments that were recommended by NICE. When a treatment not recommended by NICE was provided, recovery rates were reduced. Service characteristics that predicted higher reliable recovery rates were: high average number of therapy sessions; higher step-up rates among individuals who started with low intensity treatment; larger services; and a larger proportion of experienced staff. Conclusions: Compliance with the IAPT clinical model is associated with enhanced rates of reliable recovery. © 2013 The Authors.","author":[{"dropping-particle":"","family":"Gyani","given":"Alex","non-dropping-particle":"","parse-names":false,"suffix":""},{"dropping-particle":"","family":"Shafran","given":"Roz","non-dropping-particle":"","parse-names":false,"suffix":""},{"dropping-particle":"","family":"Layard","given":"Richard","non-dropping-particle":"","parse-names":false,"suffix":""},{"dropping-particle":"","family":"Clark","given":"David M.","non-dropping-particle":"","parse-names":false,"suffix":""}],"container-title":"Behaviour Research and Therapy","id":"ITEM-1","issued":{"date-parts":[["2013"]]},"page":"597-606","title":"Enhancing recovery rates: Lessons from year one of IAPT","type":"article-journal","volume":"51"},"uris":["http://www.mendeley.com/documents/?uuid=462c207d-b2b3-4775-964a-256727fa135d"]}],"mendeley":{"formattedCitation":"(Gyani &lt;i&gt;et al.&lt;/i&gt;, 2013)","plainTextFormattedCitation":"(Gyani et al., 2013)","previouslyFormattedCitation":"(Gyani &lt;i&gt;et al.&lt;/i&gt;, 2013)"},"properties":{"noteIndex":0},"schema":"https://github.com/citation-style-language/schema/raw/master/csl-citation.json"}</w:instrText>
      </w:r>
      <w:r w:rsidRPr="4C8E95FF">
        <w:rPr>
          <w:rFonts w:eastAsia="Times New Roman" w:cs="Times New Roman"/>
          <w:szCs w:val="20"/>
          <w:lang w:eastAsia="en-GB"/>
        </w:rPr>
        <w:fldChar w:fldCharType="separate"/>
      </w:r>
      <w:r w:rsidRPr="4C8E95FF">
        <w:rPr>
          <w:rFonts w:eastAsia="Times New Roman" w:cs="Times New Roman"/>
          <w:noProof/>
          <w:lang w:eastAsia="en-GB"/>
        </w:rPr>
        <w:t xml:space="preserve">(Gyani </w:t>
      </w:r>
      <w:r w:rsidRPr="4C8E95FF">
        <w:rPr>
          <w:rFonts w:eastAsia="Times New Roman" w:cs="Times New Roman"/>
          <w:i/>
          <w:iCs/>
          <w:noProof/>
          <w:lang w:eastAsia="en-GB"/>
        </w:rPr>
        <w:t>et al.</w:t>
      </w:r>
      <w:r w:rsidRPr="4C8E95FF">
        <w:rPr>
          <w:rFonts w:eastAsia="Times New Roman" w:cs="Times New Roman"/>
          <w:noProof/>
          <w:lang w:eastAsia="en-GB"/>
        </w:rPr>
        <w:t>, 2013)</w:t>
      </w:r>
      <w:r w:rsidRPr="4C8E95FF">
        <w:fldChar w:fldCharType="end"/>
      </w:r>
      <w:r w:rsidRPr="4C8E95FF">
        <w:rPr>
          <w:rFonts w:eastAsia="Times New Roman" w:cs="Times New Roman"/>
          <w:lang w:eastAsia="en-GB"/>
        </w:rPr>
        <w:t xml:space="preserve">. </w:t>
      </w:r>
    </w:p>
    <w:p w14:paraId="5F59BD9A" w14:textId="77777777" w:rsidR="00A46531" w:rsidRDefault="00A46531" w:rsidP="00A46531">
      <w:pPr>
        <w:spacing w:after="0" w:line="360" w:lineRule="auto"/>
        <w:rPr>
          <w:rFonts w:eastAsia="Times New Roman" w:cs="Times New Roman"/>
          <w:lang w:eastAsia="en-GB"/>
        </w:rPr>
      </w:pPr>
    </w:p>
    <w:p w14:paraId="6CE06853" w14:textId="47095B4C" w:rsidR="00CF62BE" w:rsidRDefault="00A46531" w:rsidP="00A46531">
      <w:pPr>
        <w:spacing w:after="0" w:line="360" w:lineRule="auto"/>
        <w:rPr>
          <w:rFonts w:eastAsia="Times New Roman" w:cs="Times New Roman"/>
          <w:lang w:eastAsia="en-GB"/>
        </w:rPr>
      </w:pPr>
      <w:r>
        <w:rPr>
          <w:rFonts w:eastAsia="Times New Roman" w:cs="Times New Roman"/>
          <w:lang w:eastAsia="en-GB"/>
        </w:rPr>
        <w:t>Within the IAPT framework, c</w:t>
      </w:r>
      <w:r w:rsidRPr="4C8E95FF">
        <w:rPr>
          <w:rFonts w:eastAsia="Times New Roman" w:cs="Times New Roman"/>
          <w:lang w:eastAsia="en-GB"/>
        </w:rPr>
        <w:t>linical recovery and reliable improvement are</w:t>
      </w:r>
      <w:r>
        <w:rPr>
          <w:rFonts w:eastAsia="Times New Roman" w:cs="Times New Roman"/>
          <w:lang w:eastAsia="en-GB"/>
        </w:rPr>
        <w:t xml:space="preserve"> </w:t>
      </w:r>
      <w:r w:rsidRPr="4C8E95FF">
        <w:rPr>
          <w:rFonts w:eastAsia="Times New Roman" w:cs="Times New Roman"/>
          <w:lang w:eastAsia="en-GB"/>
        </w:rPr>
        <w:t>calculated based on PHQ-9 and GAD-7 scores.</w:t>
      </w:r>
      <w:r>
        <w:rPr>
          <w:rFonts w:eastAsia="Times New Roman" w:cs="Times New Roman"/>
          <w:lang w:eastAsia="en-GB"/>
        </w:rPr>
        <w:t xml:space="preserve"> </w:t>
      </w:r>
      <w:r w:rsidR="00CF62BE" w:rsidRPr="00DD46D0">
        <w:t xml:space="preserve">Patients with two or more therapy sessions who show a significant reduction in at least one of the outcome measures from assessment to the last treatment session (i.e. decrease of six points or more in the PHQ-9 and/or four points or more in the GAD-7), while not showing a significant increase in the other outcome measure, were classed as </w:t>
      </w:r>
      <w:r w:rsidR="00CF62BE" w:rsidRPr="008C6AA8">
        <w:t>showing reliable improvement.</w:t>
      </w:r>
    </w:p>
    <w:p w14:paraId="239F599C" w14:textId="77777777" w:rsidR="009A2F2D" w:rsidRDefault="009A2F2D" w:rsidP="00A46531">
      <w:pPr>
        <w:spacing w:after="0" w:line="360" w:lineRule="auto"/>
        <w:rPr>
          <w:rFonts w:eastAsia="Times New Roman" w:cs="Times New Roman"/>
          <w:lang w:eastAsia="en-GB"/>
        </w:rPr>
      </w:pPr>
    </w:p>
    <w:p w14:paraId="6E3EE4DC" w14:textId="09F75C99" w:rsidR="00A46531" w:rsidRDefault="00A46531" w:rsidP="00A46531">
      <w:pPr>
        <w:spacing w:after="0" w:line="360" w:lineRule="auto"/>
        <w:rPr>
          <w:rFonts w:eastAsia="Times New Roman" w:cs="Times New Roman"/>
          <w:lang w:eastAsia="en-GB"/>
        </w:rPr>
      </w:pPr>
      <w:r>
        <w:rPr>
          <w:rFonts w:eastAsia="Times New Roman" w:cs="Times New Roman"/>
          <w:lang w:eastAsia="en-GB"/>
        </w:rPr>
        <w:t>I</w:t>
      </w:r>
      <w:r w:rsidRPr="4C8E95FF">
        <w:rPr>
          <w:rFonts w:eastAsia="Times New Roman" w:cs="Times New Roman"/>
          <w:lang w:eastAsia="en-GB"/>
        </w:rPr>
        <w:t>f a patient score</w:t>
      </w:r>
      <w:r>
        <w:rPr>
          <w:rFonts w:eastAsia="Times New Roman" w:cs="Times New Roman"/>
          <w:lang w:eastAsia="en-GB"/>
        </w:rPr>
        <w:t>s</w:t>
      </w:r>
      <w:r w:rsidRPr="4C8E95FF">
        <w:rPr>
          <w:rFonts w:eastAsia="Times New Roman" w:cs="Times New Roman"/>
          <w:lang w:eastAsia="en-GB"/>
        </w:rPr>
        <w:t xml:space="preserve"> </w:t>
      </w:r>
      <w:r w:rsidR="00D03189">
        <w:rPr>
          <w:rFonts w:eastAsia="Times New Roman" w:cs="Times New Roman"/>
          <w:lang w:eastAsia="en-GB"/>
        </w:rPr>
        <w:t>eight</w:t>
      </w:r>
      <w:r>
        <w:rPr>
          <w:rFonts w:eastAsia="Times New Roman" w:cs="Times New Roman"/>
          <w:lang w:eastAsia="en-GB"/>
        </w:rPr>
        <w:t xml:space="preserve"> points</w:t>
      </w:r>
      <w:r w:rsidRPr="4C8E95FF">
        <w:rPr>
          <w:rFonts w:eastAsia="Times New Roman" w:cs="Times New Roman"/>
          <w:lang w:eastAsia="en-GB"/>
        </w:rPr>
        <w:t xml:space="preserve"> or above for GAD-7</w:t>
      </w:r>
      <w:r w:rsidR="009A2F2D">
        <w:rPr>
          <w:rFonts w:eastAsia="Times New Roman" w:cs="Times New Roman"/>
          <w:lang w:eastAsia="en-GB"/>
        </w:rPr>
        <w:t xml:space="preserve">, </w:t>
      </w:r>
      <w:r w:rsidR="00D03189">
        <w:rPr>
          <w:rFonts w:eastAsia="Times New Roman" w:cs="Times New Roman"/>
          <w:lang w:eastAsia="en-GB"/>
        </w:rPr>
        <w:t>and/</w:t>
      </w:r>
      <w:r w:rsidR="009A2F2D">
        <w:rPr>
          <w:rFonts w:eastAsia="Times New Roman" w:cs="Times New Roman"/>
          <w:lang w:eastAsia="en-GB"/>
        </w:rPr>
        <w:t xml:space="preserve">or </w:t>
      </w:r>
      <w:r w:rsidR="00D03189">
        <w:rPr>
          <w:rFonts w:eastAsia="Times New Roman" w:cs="Times New Roman"/>
          <w:lang w:eastAsia="en-GB"/>
        </w:rPr>
        <w:t>ten</w:t>
      </w:r>
      <w:r w:rsidR="009A2F2D">
        <w:rPr>
          <w:rFonts w:eastAsia="Times New Roman" w:cs="Times New Roman"/>
          <w:lang w:eastAsia="en-GB"/>
        </w:rPr>
        <w:t xml:space="preserve"> points or above for the PHQ-9,</w:t>
      </w:r>
      <w:r w:rsidRPr="4C8E95FF">
        <w:rPr>
          <w:rFonts w:eastAsia="Times New Roman" w:cs="Times New Roman"/>
          <w:lang w:eastAsia="en-GB"/>
        </w:rPr>
        <w:t xml:space="preserve"> they </w:t>
      </w:r>
      <w:r>
        <w:rPr>
          <w:rFonts w:eastAsia="Times New Roman" w:cs="Times New Roman"/>
          <w:lang w:eastAsia="en-GB"/>
        </w:rPr>
        <w:t>will be</w:t>
      </w:r>
      <w:r w:rsidRPr="4C8E95FF">
        <w:rPr>
          <w:rFonts w:eastAsia="Times New Roman" w:cs="Times New Roman"/>
          <w:lang w:eastAsia="en-GB"/>
        </w:rPr>
        <w:t xml:space="preserve"> classed as meeting the clinical threshold for </w:t>
      </w:r>
      <w:proofErr w:type="spellStart"/>
      <w:r w:rsidRPr="4C8E95FF">
        <w:rPr>
          <w:rFonts w:eastAsia="Times New Roman" w:cs="Times New Roman"/>
          <w:lang w:eastAsia="en-GB"/>
        </w:rPr>
        <w:t>caseness</w:t>
      </w:r>
      <w:proofErr w:type="spellEnd"/>
      <w:r w:rsidRPr="4C8E95FF">
        <w:rPr>
          <w:rFonts w:eastAsia="Times New Roman" w:cs="Times New Roman"/>
          <w:lang w:eastAsia="en-GB"/>
        </w:rPr>
        <w:t xml:space="preserve">, which means they </w:t>
      </w:r>
      <w:proofErr w:type="gramStart"/>
      <w:r w:rsidRPr="4C8E95FF">
        <w:rPr>
          <w:rFonts w:eastAsia="Times New Roman" w:cs="Times New Roman"/>
          <w:lang w:eastAsia="en-GB"/>
        </w:rPr>
        <w:t>are considered to be</w:t>
      </w:r>
      <w:proofErr w:type="gramEnd"/>
      <w:r w:rsidRPr="4C8E95FF">
        <w:rPr>
          <w:rFonts w:eastAsia="Times New Roman" w:cs="Times New Roman"/>
          <w:lang w:eastAsia="en-GB"/>
        </w:rPr>
        <w:t xml:space="preserve"> suffering from clinically significant anxiety </w:t>
      </w:r>
      <w:r w:rsidR="00D03189">
        <w:rPr>
          <w:rFonts w:eastAsia="Times New Roman" w:cs="Times New Roman"/>
          <w:lang w:eastAsia="en-GB"/>
        </w:rPr>
        <w:t xml:space="preserve">and/or depression </w:t>
      </w:r>
      <w:r w:rsidRPr="4C8E95FF">
        <w:rPr>
          <w:rFonts w:eastAsia="Times New Roman" w:cs="Times New Roman"/>
          <w:lang w:eastAsia="en-GB"/>
        </w:rPr>
        <w:t xml:space="preserve">symptoms. Patients with two or more therapy sessions who move from above </w:t>
      </w:r>
      <w:proofErr w:type="spellStart"/>
      <w:r w:rsidRPr="4C8E95FF">
        <w:rPr>
          <w:rFonts w:eastAsia="Times New Roman" w:cs="Times New Roman"/>
          <w:lang w:eastAsia="en-GB"/>
        </w:rPr>
        <w:t>caseness</w:t>
      </w:r>
      <w:proofErr w:type="spellEnd"/>
      <w:r w:rsidRPr="4C8E95FF">
        <w:rPr>
          <w:rFonts w:eastAsia="Times New Roman" w:cs="Times New Roman"/>
          <w:lang w:eastAsia="en-GB"/>
        </w:rPr>
        <w:t xml:space="preserve"> at assessment to below </w:t>
      </w:r>
      <w:proofErr w:type="spellStart"/>
      <w:r w:rsidRPr="4C8E95FF">
        <w:rPr>
          <w:rFonts w:eastAsia="Times New Roman" w:cs="Times New Roman"/>
          <w:lang w:eastAsia="en-GB"/>
        </w:rPr>
        <w:t>caseness</w:t>
      </w:r>
      <w:proofErr w:type="spellEnd"/>
      <w:r w:rsidRPr="4C8E95FF">
        <w:rPr>
          <w:rFonts w:eastAsia="Times New Roman" w:cs="Times New Roman"/>
          <w:lang w:eastAsia="en-GB"/>
        </w:rPr>
        <w:t xml:space="preserve"> at the last treatment session </w:t>
      </w:r>
      <w:r>
        <w:rPr>
          <w:rFonts w:eastAsia="Times New Roman" w:cs="Times New Roman"/>
          <w:lang w:eastAsia="en-GB"/>
        </w:rPr>
        <w:t>will be</w:t>
      </w:r>
      <w:r w:rsidRPr="4C8E95FF">
        <w:rPr>
          <w:rFonts w:eastAsia="Times New Roman" w:cs="Times New Roman"/>
          <w:lang w:eastAsia="en-GB"/>
        </w:rPr>
        <w:t xml:space="preserve"> classed as recovered.</w:t>
      </w:r>
    </w:p>
    <w:p w14:paraId="7DDEC561" w14:textId="77777777" w:rsidR="00A46531" w:rsidRDefault="00A46531" w:rsidP="00A46531">
      <w:pPr>
        <w:spacing w:after="0" w:line="360" w:lineRule="auto"/>
        <w:rPr>
          <w:rFonts w:eastAsia="Times New Roman" w:cs="Times New Roman"/>
          <w:szCs w:val="20"/>
          <w:lang w:eastAsia="en-GB"/>
        </w:rPr>
      </w:pPr>
    </w:p>
    <w:p w14:paraId="66470502" w14:textId="77777777" w:rsidR="00A46531" w:rsidRPr="00ED38F8" w:rsidRDefault="00A46531" w:rsidP="00A46531">
      <w:pPr>
        <w:pStyle w:val="Heading1"/>
      </w:pPr>
      <w:bookmarkStart w:id="8" w:name="_Toc33801226"/>
      <w:r w:rsidRPr="00ED38F8">
        <w:t>Patient identification</w:t>
      </w:r>
      <w:bookmarkEnd w:id="8"/>
    </w:p>
    <w:p w14:paraId="4D9817C9" w14:textId="1C5A015D" w:rsidR="00A46531" w:rsidRPr="00ED38F8" w:rsidRDefault="00A46531" w:rsidP="00A46531">
      <w:pPr>
        <w:spacing w:line="360" w:lineRule="auto"/>
      </w:pPr>
      <w:r w:rsidRPr="00ED38F8">
        <w:t xml:space="preserve">Patients referred to the IECBT service for the treatment of </w:t>
      </w:r>
      <w:r w:rsidR="00922B2E">
        <w:t>depression or an anxiety disorder</w:t>
      </w:r>
      <w:r w:rsidRPr="00ED38F8">
        <w:t>, who meet the eligibility criteria, will be invited to participate in the study.</w:t>
      </w:r>
    </w:p>
    <w:p w14:paraId="02F80615" w14:textId="43743E1A" w:rsidR="006C67AD" w:rsidRDefault="00A46531" w:rsidP="0013218E">
      <w:pPr>
        <w:pStyle w:val="Heading2"/>
        <w:spacing w:line="360" w:lineRule="auto"/>
      </w:pPr>
      <w:bookmarkStart w:id="9" w:name="_Toc33801227"/>
      <w:r>
        <w:lastRenderedPageBreak/>
        <w:t>Inclusion criteria</w:t>
      </w:r>
      <w:bookmarkEnd w:id="9"/>
    </w:p>
    <w:p w14:paraId="6D261C94" w14:textId="09D1C1A8" w:rsidR="66A69183" w:rsidRDefault="66A69183" w:rsidP="0013218E">
      <w:pPr>
        <w:pStyle w:val="ListParagraph"/>
        <w:numPr>
          <w:ilvl w:val="0"/>
          <w:numId w:val="8"/>
        </w:numPr>
        <w:spacing w:line="360" w:lineRule="auto"/>
      </w:pPr>
      <w:r>
        <w:t>Patients must be over 18 years old at the time of recruitment and registered with a general practitioner in the geographical region where the service is commissioned and</w:t>
      </w:r>
      <w:r w:rsidR="005C202A">
        <w:t xml:space="preserve"> from where</w:t>
      </w:r>
      <w:r>
        <w:t xml:space="preserve"> the study will recruit. </w:t>
      </w:r>
    </w:p>
    <w:p w14:paraId="3AE4457C" w14:textId="24B95C6A" w:rsidR="66A69183" w:rsidRDefault="66A69183" w:rsidP="0013218E">
      <w:pPr>
        <w:numPr>
          <w:ilvl w:val="0"/>
          <w:numId w:val="8"/>
        </w:numPr>
        <w:spacing w:line="360" w:lineRule="auto"/>
      </w:pPr>
      <w:r>
        <w:t>Patients must have a primary diagnosis of depression or anxiety disorder.</w:t>
      </w:r>
    </w:p>
    <w:p w14:paraId="3327311F" w14:textId="5AC0B246" w:rsidR="66A69183" w:rsidRDefault="00D11695" w:rsidP="0013218E">
      <w:pPr>
        <w:numPr>
          <w:ilvl w:val="0"/>
          <w:numId w:val="8"/>
        </w:numPr>
        <w:spacing w:line="360" w:lineRule="auto"/>
      </w:pPr>
      <w:r>
        <w:t>Patients must be a</w:t>
      </w:r>
      <w:r w:rsidR="66A69183">
        <w:t xml:space="preserve">ble and willing to sign a consent form prior to the study.  </w:t>
      </w:r>
    </w:p>
    <w:p w14:paraId="5B03FC6C" w14:textId="1D045AC7" w:rsidR="66A69183" w:rsidRDefault="66A69183" w:rsidP="0013218E">
      <w:pPr>
        <w:pStyle w:val="ListParagraph"/>
        <w:numPr>
          <w:ilvl w:val="0"/>
          <w:numId w:val="8"/>
        </w:numPr>
        <w:spacing w:line="360" w:lineRule="auto"/>
        <w:rPr>
          <w:rFonts w:eastAsia="Verdana" w:cs="Verdana"/>
        </w:rPr>
      </w:pPr>
      <w:r>
        <w:t>Patients must own an internet-connected mobile phone, running Android version 4.0.3 or higher.</w:t>
      </w:r>
    </w:p>
    <w:p w14:paraId="0BF0372C" w14:textId="17DE5108" w:rsidR="00E30784" w:rsidRDefault="00A46531" w:rsidP="0013218E">
      <w:pPr>
        <w:pStyle w:val="Heading2"/>
        <w:spacing w:line="360" w:lineRule="auto"/>
        <w:rPr>
          <w:rFonts w:eastAsia="Verdana" w:cs="Verdana"/>
        </w:rPr>
      </w:pPr>
      <w:bookmarkStart w:id="10" w:name="_Toc33801228"/>
      <w:r>
        <w:t>Exclusion criteria</w:t>
      </w:r>
      <w:bookmarkEnd w:id="10"/>
      <w:r w:rsidR="34C7FAD8">
        <w:t xml:space="preserve"> </w:t>
      </w:r>
    </w:p>
    <w:p w14:paraId="1D2F53F9" w14:textId="4649D5AF" w:rsidR="34C7FAD8" w:rsidRDefault="34C7FAD8" w:rsidP="0013218E">
      <w:pPr>
        <w:pStyle w:val="ListParagraph"/>
        <w:numPr>
          <w:ilvl w:val="0"/>
          <w:numId w:val="8"/>
        </w:numPr>
        <w:spacing w:line="360" w:lineRule="auto"/>
      </w:pPr>
      <w:r>
        <w:t xml:space="preserve">Patients who are not suitable for CBT, this includes patients with a comorbid diagnosis (a diagnosis of multiple disorders) of psychotic or personality disorder, autism spectrum condition or intellectual disability. </w:t>
      </w:r>
    </w:p>
    <w:p w14:paraId="550B9961" w14:textId="6F878526" w:rsidR="34C7FAD8" w:rsidRDefault="34C7FAD8" w:rsidP="0013218E">
      <w:pPr>
        <w:numPr>
          <w:ilvl w:val="0"/>
          <w:numId w:val="8"/>
        </w:numPr>
        <w:spacing w:line="360" w:lineRule="auto"/>
      </w:pPr>
      <w:r>
        <w:t xml:space="preserve">Patients who display a significant risk of self-harm, as assessed by item 9 of the PHQ-9 questionnaire and ongoing assessment by their assigned clinician. </w:t>
      </w:r>
    </w:p>
    <w:p w14:paraId="43D3ABDB" w14:textId="07BF4435" w:rsidR="34C7FAD8" w:rsidRDefault="34C7FAD8" w:rsidP="0013218E">
      <w:pPr>
        <w:numPr>
          <w:ilvl w:val="0"/>
          <w:numId w:val="8"/>
        </w:numPr>
        <w:spacing w:line="360" w:lineRule="auto"/>
      </w:pPr>
      <w:r>
        <w:t xml:space="preserve">Patients who have a poor likelihood of engagement with the therapeutic process, as assessed at triage. </w:t>
      </w:r>
    </w:p>
    <w:p w14:paraId="339519F7" w14:textId="126C7E06" w:rsidR="34C7FAD8" w:rsidRDefault="34C7FAD8" w:rsidP="0013218E">
      <w:pPr>
        <w:numPr>
          <w:ilvl w:val="0"/>
          <w:numId w:val="8"/>
        </w:numPr>
        <w:spacing w:line="360" w:lineRule="auto"/>
      </w:pPr>
      <w:r>
        <w:t xml:space="preserve">Patients who do not have access to an Internet enabled device or an Internet connection. </w:t>
      </w:r>
    </w:p>
    <w:p w14:paraId="1AE62CF5" w14:textId="2624DE20" w:rsidR="34C7FAD8" w:rsidRDefault="34C7FAD8" w:rsidP="0013218E">
      <w:pPr>
        <w:numPr>
          <w:ilvl w:val="0"/>
          <w:numId w:val="8"/>
        </w:numPr>
        <w:spacing w:line="360" w:lineRule="auto"/>
      </w:pPr>
      <w:r>
        <w:t xml:space="preserve">Patients who have a low level of literacy. Patients who cannot write or read emails or texts will be excluded from this study because they will be unable to utilise the intervention. </w:t>
      </w:r>
    </w:p>
    <w:p w14:paraId="46027148" w14:textId="26D6ED49" w:rsidR="34C7FAD8" w:rsidRDefault="34C7FAD8" w:rsidP="0013218E">
      <w:pPr>
        <w:numPr>
          <w:ilvl w:val="0"/>
          <w:numId w:val="8"/>
        </w:numPr>
        <w:spacing w:line="360" w:lineRule="auto"/>
      </w:pPr>
      <w:r>
        <w:t xml:space="preserve">Patients who are visually impaired and are unable to write on or read from a computer and do not have access to appropriate assistive technology for the visually impaired. </w:t>
      </w:r>
    </w:p>
    <w:p w14:paraId="1C326FAE" w14:textId="7D05925D" w:rsidR="34C7FAD8" w:rsidRDefault="34C7FAD8" w:rsidP="0013218E">
      <w:pPr>
        <w:numPr>
          <w:ilvl w:val="0"/>
          <w:numId w:val="8"/>
        </w:numPr>
        <w:spacing w:line="360" w:lineRule="auto"/>
      </w:pPr>
      <w:r>
        <w:t xml:space="preserve">Patients who do not speak English. </w:t>
      </w:r>
    </w:p>
    <w:p w14:paraId="4003E261" w14:textId="22DA12E2" w:rsidR="34C7FAD8" w:rsidRDefault="34C7FAD8" w:rsidP="0013218E">
      <w:pPr>
        <w:numPr>
          <w:ilvl w:val="0"/>
          <w:numId w:val="8"/>
        </w:numPr>
        <w:spacing w:line="360" w:lineRule="auto"/>
      </w:pPr>
      <w:r>
        <w:t xml:space="preserve">Patients who become unsuitable for treatment within an NHS primary care mental health (Improving Access to Psychological Therapy, IAPT) service. The normal NHS IAPT exclusion criteria will be applied whereby patients who become actively suicidal or present as a risk to others require a referral on to a more specialised, secondary care service. In addition, patients who are experiencing symptoms of psychosis, hyper-mania, severe cognitive impairment, severe personality disorder or severe learning disability are also deemed as being unsuitable for an IAPT </w:t>
      </w:r>
      <w:r>
        <w:lastRenderedPageBreak/>
        <w:t xml:space="preserve">service. These patients will be excluded from this study and referred on to more specialised services. </w:t>
      </w:r>
    </w:p>
    <w:p w14:paraId="71628D5B" w14:textId="2F9AF7E7" w:rsidR="34C7FAD8" w:rsidRDefault="34C7FAD8" w:rsidP="0013218E">
      <w:pPr>
        <w:pStyle w:val="ListParagraph"/>
        <w:numPr>
          <w:ilvl w:val="0"/>
          <w:numId w:val="8"/>
        </w:numPr>
        <w:spacing w:line="360" w:lineRule="auto"/>
        <w:rPr>
          <w:rFonts w:eastAsia="Verdana" w:cs="Verdana"/>
        </w:rPr>
      </w:pPr>
      <w:r>
        <w:t>We will exclude participants who are already involved in a different research project.</w:t>
      </w:r>
    </w:p>
    <w:p w14:paraId="4B09F0EB" w14:textId="5123036B" w:rsidR="00F27F28" w:rsidRDefault="00F27F28" w:rsidP="0013218E">
      <w:pPr>
        <w:spacing w:line="360" w:lineRule="auto"/>
      </w:pPr>
    </w:p>
    <w:p w14:paraId="63065A6A" w14:textId="77777777" w:rsidR="00A46531" w:rsidRPr="00A63484" w:rsidRDefault="00A46531" w:rsidP="0013218E">
      <w:pPr>
        <w:pStyle w:val="Heading1"/>
        <w:spacing w:line="360" w:lineRule="auto"/>
      </w:pPr>
      <w:bookmarkStart w:id="11" w:name="_Toc33801234"/>
      <w:r w:rsidRPr="00A63484">
        <w:t>Statistics and data analysis</w:t>
      </w:r>
      <w:bookmarkEnd w:id="11"/>
    </w:p>
    <w:p w14:paraId="05C792EA" w14:textId="77777777" w:rsidR="00A46531" w:rsidRPr="00A63484" w:rsidRDefault="00A46531" w:rsidP="00A46531">
      <w:pPr>
        <w:pStyle w:val="Heading2"/>
      </w:pPr>
      <w:bookmarkStart w:id="12" w:name="_Toc33801235"/>
      <w:r w:rsidRPr="00A63484">
        <w:t>Sample size</w:t>
      </w:r>
      <w:bookmarkEnd w:id="12"/>
    </w:p>
    <w:p w14:paraId="545BDEE4" w14:textId="687AB3C7" w:rsidR="00A46531" w:rsidRPr="007979F3" w:rsidRDefault="00A46531" w:rsidP="00A46531">
      <w:pPr>
        <w:spacing w:line="360" w:lineRule="auto"/>
        <w:rPr>
          <w:szCs w:val="20"/>
        </w:rPr>
      </w:pPr>
      <w:r w:rsidRPr="4C8E95FF">
        <w:t xml:space="preserve">This study aims to recruit a total of </w:t>
      </w:r>
      <w:r w:rsidR="00E47B23">
        <w:t>200</w:t>
      </w:r>
      <w:r w:rsidRPr="4C8E95FF">
        <w:t xml:space="preserve"> patients completing a course of treatment, of whom 100 will be randomly allocated to standard psychotherapy</w:t>
      </w:r>
      <w:r w:rsidR="00E47B23">
        <w:t xml:space="preserve"> with patient visibility of biomarkers</w:t>
      </w:r>
      <w:r w:rsidRPr="4C8E95FF">
        <w:t xml:space="preserve">, and 100 to </w:t>
      </w:r>
      <w:r w:rsidR="00682596">
        <w:t>enhanced psychotherapy, informed by patient and therapist’s visibility of biomarkers</w:t>
      </w:r>
      <w:r w:rsidRPr="4C8E95FF">
        <w:t xml:space="preserve">. A power analysis shows that a sample size of 100 engaged patients (i.e. patients who complete a course of treatment) per study group would be </w:t>
      </w:r>
      <w:proofErr w:type="gramStart"/>
      <w:r w:rsidRPr="4C8E95FF">
        <w:t>sufficient</w:t>
      </w:r>
      <w:proofErr w:type="gramEnd"/>
      <w:r w:rsidRPr="4C8E95FF">
        <w:t xml:space="preserve"> to detect a </w:t>
      </w:r>
      <w:r w:rsidR="002228C6">
        <w:t>small</w:t>
      </w:r>
      <w:r w:rsidRPr="4C8E95FF">
        <w:t xml:space="preserve"> </w:t>
      </w:r>
      <w:r w:rsidR="002047EE">
        <w:t xml:space="preserve">between-groups </w:t>
      </w:r>
      <w:r w:rsidRPr="4C8E95FF">
        <w:t>effect size of approximately 0.</w:t>
      </w:r>
      <w:r w:rsidR="002228C6">
        <w:t>4</w:t>
      </w:r>
      <w:r w:rsidR="00967F48">
        <w:t>0</w:t>
      </w:r>
      <w:r w:rsidR="002047EE">
        <w:t xml:space="preserve">, with 80% power, and </w:t>
      </w:r>
      <w:r w:rsidR="009648B3">
        <w:t>a medium effect size of approximately 0.46</w:t>
      </w:r>
      <w:r w:rsidR="00967F48">
        <w:t>, with 90% power</w:t>
      </w:r>
      <w:r w:rsidRPr="4C8E95FF">
        <w:t xml:space="preserve">. This sample size is </w:t>
      </w:r>
      <w:r w:rsidR="001D098E">
        <w:t xml:space="preserve">considerably larger than </w:t>
      </w:r>
      <w:r w:rsidR="0052179F">
        <w:t>those of</w:t>
      </w:r>
      <w:r w:rsidR="00B30F6C">
        <w:t xml:space="preserve"> existing research on the use of mobile sensing technology </w:t>
      </w:r>
      <w:r w:rsidR="0052179F">
        <w:t xml:space="preserve">for mental health monitoring </w:t>
      </w:r>
      <w:r w:rsidR="0054675F">
        <w:fldChar w:fldCharType="begin" w:fldLock="1"/>
      </w:r>
      <w:r w:rsidR="009D5B50">
        <w:instrText>ADDIN CSL_CITATION {"citationItems":[{"id":"ITEM-1","itemData":{"DOI":"10.2196/jmir.5505","ISSN":"14388871","abstract":"BACKGROUND: Ecological momentary assessment (EMA) is a useful method to tap the dynamics of psychological and behavioral phenomena in real-world contexts. However, the response burden of (self-report) EMA limits its clinical utility.\nOBJECTIVE: The aim was to explore mobile phone-based unobtrusive EMA, in which mobile phone usage logs are considered as proxy measures of clinically relevant user states and contexts.\nMETHODS: This was an uncontrolled explorative pilot study. Our study consisted of 6 weeks of EMA/unobtrusive EMA data collection in a Dutch student population (N=33), followed by a regression modeling analysis. Participants self-monitored their mood on their mobile phone (EMA) with a one-dimensional mood measure (1 to 10) and a two-dimensional circumplex measure (arousal/valence, -2 to 2). Meanwhile, with participants' consent, a mobile phone app unobtrusively collected (meta) data from six smartphone sensor logs (unobtrusive EMA: calls/short message service (SMS) text messages, screen time, application usage, accelerometer, and phone camera events). Through forward stepwise regression (FSR), we built personalized regression models from the unobtrusive EMA variables to predict day-to-day variation in EMA mood ratings. The predictive performance of these models (ie, cross-validated mean squared error and percentage of correct predictions) was compared to naive benchmark regression models (the mean model and a lag-2 history model).\nRESULTS: A total of 27 participants (81%) provided a mean 35.5 days (SD 3.8) of valid EMA/unobtrusive EMA data. The FSR models accurately predicted 55% to 76% of EMA mood scores. However, the predictive performance of these models was significantly inferior to that of naive benchmark models.\nCONCLUSIONS: Mobile phone-based unobtrusive EMA is a technically feasible and potentially powerful EMA variant. The method is young and positive findings may not replicate. At present, we do not recommend the application of FSR-based mood prediction in real-world clinical settings. Further psychometric studies and more advanced data mining techniques are needed to unlock unobtrusive EMA's true potential.","author":[{"dropping-particle":"","family":"Asselbergs","given":"Joost","non-dropping-particle":"","parse-names":false,"suffix":""},{"dropping-particle":"","family":"Ruwaard","given":"Jeroen","non-dropping-particle":"","parse-names":false,"suffix":""},{"dropping-particle":"","family":"Ejdys","given":"Michal","non-dropping-particle":"","parse-names":false,"suffix":""},{"dropping-particle":"","family":"Schrader","given":"Niels","non-dropping-particle":"","parse-names":false,"suffix":""},{"dropping-particle":"","family":"Sijbrandij","given":"Marit","non-dropping-particle":"","parse-names":false,"suffix":""},{"dropping-particle":"","family":"Riper","given":"Heleen","non-dropping-particle":"","parse-names":false,"suffix":""}],"container-title":"Journal of medical Internet research","id":"ITEM-1","issued":{"date-parts":[["2016"]]},"title":"Mobile Phone-Based Unobtrusive Ecological Momentary Assessment of Day-to-Day Mood: An Explorative Study","type":"article-journal"},"uris":["http://www.mendeley.com/documents/?uuid=38c0f71f-a631-4434-8e4e-72a034699a68"]},{"id":"ITEM-2","itemData":{"DOI":"10.1037/prj0000130","ISSN":"1095158X","PMID":"25844912","abstract":"Objective: Optimal mental health care is dependent upon sensitive and early detection of mental health problems. We have introduced a state-of-the-art method for the current study for remote behavioral monitoring that transports assessment out of the clinic and into the environments in which individuals negotiate their daily lives. The objective of this study was to examine whether the information captured with multimodal smartphone sensors can serve as behavioral markers for one's mental health. We hypothesized that (a) unobtrusively collected smartphone sensor data would be associated with individuals' daily levels of stress, and (b) sensor data would be associated with changes in depression, stress, and subjective loneliness over time. Method: A total of 47 young adults (age range: 19-30 years) were recruited for the study. Individuals were enrolled as a single cohort and participated in the study over a 10-week period. Participants were provided with smartphones embedded with a range of sensors and software that enabled continuous tracking of their geospatial activity (using the Global Positioning System and wireless fidelity), kinesthetic activity (using multiaxial accelerometers), sleep duration (modeled using device-usage data, accelerometer inferences, ambient sound features, and ambient light levels), and time spent proximal to human speech (i.e., speech duration using microphone and speech detection algorithms). Participants completed daily ratings of stress, as well as pre- and postmeasures of depression (Patient Health Questionnaire-9; Spitzer, Kroenke, &amp; Williams, 1999), stress (Perceived Stress Scale; Cohen et al., 1983), and loneliness (Revised UCLA Loneliness Scale; Russell, Peplau, &amp; Cutrona, 1980). Results: Mixed-effects linear modeling showed that sensor-derived geospatial activity (p&lt;.05), sleep duration (p&lt;.05), and variability in geospatial activity (p.05), were associated with daily stress levels. Penalized functional regression showed associations between changes in depression and sensor-derived speech duration (p&lt;.05), geospatial activity (p&lt;.05), and sleep duration (p&lt;.05). Changes in loneliness were associated with sensor-derived kinesthetic activity (p&lt;.01). Conclusions and Implications for Practice: Smartphones can be harnessed as instruments for unobtrusive monitoring of several behavioral indicators of mental health. Creative leveraging of smartphone sensing could provide novel opportunities for close-to-invisible psychiat…","author":[{"dropping-particle":"","family":"Ben-Zeev","given":"Dror","non-dropping-particle":"","parse-names":false,"suffix":""},{"dropping-particle":"","family":"Scherer","given":"Emily A.","non-dropping-particle":"","parse-names":false,"suffix":""},{"dropping-particle":"","family":"Wang","given":"Rui","non-dropping-particle":"","parse-names":false,"suffix":""},{"dropping-particle":"","family":"Xie","given":"Haiyi","non-dropping-particle":"","parse-names":false,"suffix":""}],"container-title":"Psychiatric Rehabilitation Journal","id":"ITEM-2","issued":{"date-parts":[["2015"]]},"title":"Next-Generation psychiatric assessment: using smartphone sensors to monitor behavior and mental health","type":"article-journal"},"uris":["http://www.mendeley.com/documents/?uuid=e50f2b29-36a2-4b78-a974-994f04d377ee"]},{"id":"ITEM-3","itemData":{"DOI":"10.2196/10334","ISSN":"14388871","abstract":"Background: To predict and prevent mental health crises, we must develop new approaches that can provide a dramatic advance in the effectiveness, timeliness, and scalability of our interventions. However, current methods of predicting mental health crises (eg, clinical monitoring, screening) usually fail on most, if not all, of these criteria. Luckily for us, 77% of Americans carry with them an unprecedented opportunity to detect risk states and provide precise life-saving interventions. Smartphones present an opportunity to empower individuals to leverage the data they generate through their normal phone use to predict and prevent mental health crises. Objective: To facilitate the collection of high-quality, passive mobile sensing data, we built the Effortless Assessment of Risk States (EARS) tool to enable the generation of predictive machine learning algorithms to solve previously intractable problems and identify risk states before they become crises. Methods: The EARS tool captures multiple indices of a person's social and affective behavior via their naturalistic use of a smartphone. Although other mobile data collection tools exist, the EARS tool places a unique emphasis on capturing the content as well as the form of social communication on the phone. Signals collected include facial expressions, acoustic vocal quality, natural language use, physical activity, music choice, and geographical location. Critically, the EARS tool collects these data passively, with almost no burden on the user. We programmed the EARS tool in Java for the Android mobile platform. In building the EARS tool, we concentrated on two main considerations: (1) privacy and encryption and (2) phone use impact. Results: In a pilot study (N=24), participants tolerated the EARS tool well, reporting minimal burden. None of the participants who completed the study reported needing to use the provided battery packs. Current testing on a range of phones indicated that the tool consumed approximately 15% of the battery over a 16-hour period. Installation of the EARS tool caused minimal change in the user interface and user experience. Once installation is completed, the only difference the user notices is the custom keyboard. Conclusions: The EARS tool offers an innovative approach to passive mobile sensing by emphasizing the centrality of a person's social life to their well-being. We built the EARS tool to power cutting-edge research, with the ultimate goal of leveraging individual…","author":[{"dropping-particle":"","family":"Lind","given":"Monika N.","non-dropping-particle":"","parse-names":false,"suffix":""},{"dropping-particle":"","family":"Byrne","given":"Michelle L.","non-dropping-particle":"","parse-names":false,"suffix":""},{"dropping-particle":"","family":"Wicks","given":"Geordie","non-dropping-particle":"","parse-names":false,"suffix":""},{"dropping-particle":"","family":"Smidt","given":"Alec M.","non-dropping-particle":"","parse-names":false,"suffix":""},{"dropping-particle":"","family":"Allen","given":"Nicholas B.","non-dropping-particle":"","parse-names":false,"suffix":""}],"container-title":"Journal of Medical Internet Research","id":"ITEM-3","issued":{"date-parts":[["2018"]]},"title":"The Effortless Assessment of Risk States (EARS) Tool: An interpersonal approach to mobile sensing","type":"article-journal"},"uris":["http://www.mendeley.com/documents/?uuid=647d42a6-1177-4a38-93fe-ee95b0d01b8a"]},{"id":"ITEM-4","itemData":{"DOI":"10.1109/TBME.2016.2611862","ISSN":"15582531","PMID":"28113247","abstract":"Objective: This paper aims to identify periods of depression using geolocation movements recorded from mobile phones in a prospective community study of individuals with bipolar disorder (BD). Methods: Anonymized geographic location recordings from 22 BD participants and 14 healthy controls (HC) were collected over 3 months. Participants reported their depressive symptomatology using a weekly questionnaire (QIDS-SR16 ). Recorded location data were preprocessed by detecting and removing imprecise data points and features were extracted to assess the level and regularity of geographic movements of the participant. A subset of features were selected using a wrapper feature selection method and presented to 1) a linear regression model and a quadratic generalized linear model with a logistic link function for questionnaire score estimation; and 2) a quadratic discriminant analysis classifier for depression detection in BD participants based on their questionnaire responses. Results: HC participants did not report depressive symptoms and their features showed similar distributions to nondepressed BD participants. Questionnaire score estimation using geolocation-derived features from BD participants demonstrated an optimal mean absolute error rate of 3.73, while depression detection demonstrated an optimal (median±IQR) F1 score of 0.857±0.022 using five features (classification accuracy: 0.849 ± 0.016; sensitivity: 0.839 ± 0.014; specificity: 0.872±0.047). Conclusion: These results demonstrate a strong link between geographic movements and depression in bipolar disorder. Significance: To our knowledge, this is the first community study of passively recorded objective markers of depression in bipolar disorder of this scale. The techniques could help individuals monitor their depression and enable healthcare providers to detect those in need of care or treatment.","author":[{"dropping-particle":"","family":"Palmius","given":"N.","non-dropping-particle":"","parse-names":false,"suffix":""},{"dropping-particle":"","family":"Tsanas","given":"A.","non-dropping-particle":"","parse-names":false,"suffix":""},{"dropping-particle":"","family":"Saunders","given":"K. E.A.","non-dropping-particle":"","parse-names":false,"suffix":""},{"dropping-particle":"","family":"Bilderbeck","given":"A. C.","non-dropping-particle":"","parse-names":false,"suffix":""},{"dropping-particle":"","family":"Geddes","given":"J. R.","non-dropping-particle":"","parse-names":false,"suffix":""},{"dropping-particle":"","family":"Goodwin","given":"G. M.","non-dropping-particle":"","parse-names":false,"suffix":""},{"dropping-particle":"","family":"Vos","given":"M.","non-dropping-particle":"De","parse-names":false,"suffix":""}],"container-title":"IEEE Transactions on Biomedical Engineering","id":"ITEM-4","issued":{"date-parts":[["2017"]]},"title":"Detecting bipolar depression from geographic location data","type":"article-journal"},"uris":["http://www.mendeley.com/documents/?uuid=5ed816a1-183d-425b-9c73-540e291eb634"]},{"id":"ITEM-5","itemData":{"DOI":"10.7717/peerj.2537","ISSN":"21678359","abstract":"Background. Smartphones offer the hope that depression can be detected using passively collected data from the phone sensors. The aim of this study was to replicate and extend previous work using geographic location (GPS) sensors to identify depressive symptom severity. Methods. We used a dataset collected from 48 college students over a 10-week period, which included GPS phone sensor data and the Patient Health Questionnaire 9-item (PHQ-9) to evaluate depressive symptom severity at baseline and end-of-study. GPS features were calculated over the entire study, for weekdays and weekends, and in 2-week blocks. Results. The results of this study replicated our previous findings that a number of GPS features, including location variance, entropy, and circadian movement, were significantly correlated with PHQ-9 scores (r's ranging from -0.43 to -0.46, p-values &lt; .05). We also found that these relationships were stronger when GPS features were calculated from weekend, compared to weekday, data. Although the correlation between baseline PHQ-9 scores with 2-week GPS features diminished as we moved further from baseline, correlations with the end-of-study scores remained significant regardless of the time point used to calculate the features. Discussion. Our findings were consistent with past research demonstrating that GPS features may be an important and reliable predictor of depressive symptom severity. The varying strength of these relationships on weekends and weekdays suggests the role of weekend/weekday as a moderating variable. The finding that GPS features predict depressive symptom severity up to 10 weeks prior to assessment suggests that GPS features may have the potential as early warning signals of depression.","author":[{"dropping-particle":"","family":"Saeb","given":"Sohrab","non-dropping-particle":"","parse-names":false,"suffix":""},{"dropping-particle":"","family":"Lattie","given":"Emily G.","non-dropping-particle":"","parse-names":false,"suffix":""},{"dropping-particle":"","family":"Schueller","given":"Stephen M.","non-dropping-particle":"","parse-names":false,"suffix":""},{"dropping-particle":"","family":"Kording","given":"Konrad P.","non-dropping-particle":"","parse-names":false,"suffix":""},{"dropping-particle":"","family":"Mohr","given":"David C.","non-dropping-particle":"","parse-names":false,"suffix":""}],"container-title":"PeerJ","id":"ITEM-5","issued":{"date-parts":[["2016"]]},"title":"The relationship between mobile phone location sensor data and depressive symptom severity","type":"article-journal"},"uris":["http://www.mendeley.com/documents/?uuid=b2eb2368-bc8a-4fe7-8f0d-1155e5f66097"]}],"mendeley":{"formattedCitation":"(Ben-Zeev &lt;i&gt;et al.&lt;/i&gt;, 2015; Asselbergs &lt;i&gt;et al.&lt;/i&gt;, 2016; Saeb &lt;i&gt;et al.&lt;/i&gt;, 2016; Palmius &lt;i&gt;et al.&lt;/i&gt;, 2017; Lind &lt;i&gt;et al.&lt;/i&gt;, 2018)","plainTextFormattedCitation":"(Ben-Zeev et al., 2015; Asselbergs et al., 2016; Saeb et al., 2016; Palmius et al., 2017; Lind et al., 2018)","previouslyFormattedCitation":"(Ben-Zeev &lt;i&gt;et al.&lt;/i&gt;, 2015; Asselbergs &lt;i&gt;et al.&lt;/i&gt;, 2016; Saeb &lt;i&gt;et al.&lt;/i&gt;, 2016; Palmius &lt;i&gt;et al.&lt;/i&gt;, 2017; Lind &lt;i&gt;et al.&lt;/i&gt;, 2018)"},"properties":{"noteIndex":0},"schema":"https://github.com/citation-style-language/schema/raw/master/csl-citation.json"}</w:instrText>
      </w:r>
      <w:r w:rsidR="0054675F">
        <w:fldChar w:fldCharType="separate"/>
      </w:r>
      <w:r w:rsidR="0054675F" w:rsidRPr="0054675F">
        <w:rPr>
          <w:noProof/>
        </w:rPr>
        <w:t xml:space="preserve">(Ben-Zeev </w:t>
      </w:r>
      <w:r w:rsidR="0054675F" w:rsidRPr="0054675F">
        <w:rPr>
          <w:i/>
          <w:noProof/>
        </w:rPr>
        <w:t>et al.</w:t>
      </w:r>
      <w:r w:rsidR="0054675F" w:rsidRPr="0054675F">
        <w:rPr>
          <w:noProof/>
        </w:rPr>
        <w:t xml:space="preserve">, 2015; Asselbergs </w:t>
      </w:r>
      <w:r w:rsidR="0054675F" w:rsidRPr="0054675F">
        <w:rPr>
          <w:i/>
          <w:noProof/>
        </w:rPr>
        <w:t>et al.</w:t>
      </w:r>
      <w:r w:rsidR="0054675F" w:rsidRPr="0054675F">
        <w:rPr>
          <w:noProof/>
        </w:rPr>
        <w:t xml:space="preserve">, 2016; Saeb </w:t>
      </w:r>
      <w:r w:rsidR="0054675F" w:rsidRPr="0054675F">
        <w:rPr>
          <w:i/>
          <w:noProof/>
        </w:rPr>
        <w:t>et al.</w:t>
      </w:r>
      <w:r w:rsidR="0054675F" w:rsidRPr="0054675F">
        <w:rPr>
          <w:noProof/>
        </w:rPr>
        <w:t xml:space="preserve">, 2016; Palmius </w:t>
      </w:r>
      <w:r w:rsidR="0054675F" w:rsidRPr="0054675F">
        <w:rPr>
          <w:i/>
          <w:noProof/>
        </w:rPr>
        <w:t>et al.</w:t>
      </w:r>
      <w:r w:rsidR="0054675F" w:rsidRPr="0054675F">
        <w:rPr>
          <w:noProof/>
        </w:rPr>
        <w:t xml:space="preserve">, 2017; Lind </w:t>
      </w:r>
      <w:r w:rsidR="0054675F" w:rsidRPr="0054675F">
        <w:rPr>
          <w:i/>
          <w:noProof/>
        </w:rPr>
        <w:t>et al.</w:t>
      </w:r>
      <w:r w:rsidR="0054675F" w:rsidRPr="0054675F">
        <w:rPr>
          <w:noProof/>
        </w:rPr>
        <w:t>, 2018)</w:t>
      </w:r>
      <w:r w:rsidR="0054675F">
        <w:fldChar w:fldCharType="end"/>
      </w:r>
      <w:r w:rsidRPr="4C8E95FF">
        <w:t>.</w:t>
      </w:r>
    </w:p>
    <w:p w14:paraId="6382C065" w14:textId="77777777" w:rsidR="00A46531" w:rsidRPr="00F0513D" w:rsidRDefault="00A46531" w:rsidP="00A46531">
      <w:pPr>
        <w:pStyle w:val="Heading2"/>
      </w:pPr>
      <w:bookmarkStart w:id="13" w:name="_Toc33801236"/>
      <w:r w:rsidRPr="00F0513D">
        <w:t>Analyses</w:t>
      </w:r>
      <w:bookmarkEnd w:id="13"/>
    </w:p>
    <w:p w14:paraId="2A1BCE4A" w14:textId="77777777" w:rsidR="00A46531" w:rsidRPr="00F0513D" w:rsidRDefault="00A46531" w:rsidP="00A46531">
      <w:pPr>
        <w:spacing w:line="360" w:lineRule="auto"/>
        <w:rPr>
          <w:szCs w:val="20"/>
        </w:rPr>
      </w:pPr>
      <w:r w:rsidRPr="00F0513D">
        <w:rPr>
          <w:szCs w:val="20"/>
        </w:rPr>
        <w:t>Summary statistics will be produced separately for all patients enrolled in the study and patients completing a course of treatment per protocol. Summary statistics for continuous variables will include N, mean, standard deviation and median. Tests for normality of the distribution will also be conducted. Summary statistics for categorical variables will include number and percent. Efficacy analyses will be conducted for engaged patients only.</w:t>
      </w:r>
    </w:p>
    <w:p w14:paraId="07C5C06E" w14:textId="4EF448FA" w:rsidR="00A46531" w:rsidRPr="00F0513D" w:rsidRDefault="00A46531" w:rsidP="00A46531">
      <w:pPr>
        <w:spacing w:line="360" w:lineRule="auto"/>
        <w:rPr>
          <w:szCs w:val="20"/>
        </w:rPr>
      </w:pPr>
      <w:r w:rsidRPr="00F0513D">
        <w:rPr>
          <w:szCs w:val="20"/>
        </w:rPr>
        <w:t>Where appropriate continuous predictor variables will be scaled and centred to the mean. Multicollinearity analyses will be performed to investigate potential correlations between independent variables. Statistical significance will be defined as p&lt;.05 two-tailed, uncorrected. All analyses will be performed in R</w:t>
      </w:r>
      <w:r w:rsidR="00DF0BD6">
        <w:rPr>
          <w:szCs w:val="20"/>
        </w:rPr>
        <w:t xml:space="preserve"> </w:t>
      </w:r>
      <w:r w:rsidR="009D5B50">
        <w:rPr>
          <w:szCs w:val="20"/>
        </w:rPr>
        <w:fldChar w:fldCharType="begin" w:fldLock="1"/>
      </w:r>
      <w:r w:rsidR="009D5B50">
        <w:rPr>
          <w:szCs w:val="20"/>
        </w:rPr>
        <w:instrText>ADDIN CSL_CITATION {"citationItems":[{"id":"ITEM-1","itemData":{"ISBN":"3-900051-07-0","abstract":"R Core Team (2015). R: A language and environment for statistical computing. R Foundation for Statistical Computing, Vienna, Austria. ISBN 3-900051-07-0, URL http://www.R-project.org/.","author":[{"dropping-particle":"","family":"R Core Team (2019)","given":"","non-dropping-particle":"","parse-names":false,"suffix":""}],"container-title":"Accessed 1st April 2019","id":"ITEM-1","issued":{"date-parts":[["2019"]]},"title":"R: A language and environment for statistical computing.","type":"article-journal"},"uris":["http://www.mendeley.com/documents/?uuid=b5228d9e-722c-40a2-ae9a-db8c710c9875"]}],"mendeley":{"formattedCitation":"(R Core Team (2019), 2019)","plainTextFormattedCitation":"(R Core Team (2019), 2019)"},"properties":{"noteIndex":0},"schema":"https://github.com/citation-style-language/schema/raw/master/csl-citation.json"}</w:instrText>
      </w:r>
      <w:r w:rsidR="009D5B50">
        <w:rPr>
          <w:szCs w:val="20"/>
        </w:rPr>
        <w:fldChar w:fldCharType="separate"/>
      </w:r>
      <w:r w:rsidR="009D5B50" w:rsidRPr="009D5B50">
        <w:rPr>
          <w:noProof/>
          <w:szCs w:val="20"/>
        </w:rPr>
        <w:t>(R Core Team (2019), 2019)</w:t>
      </w:r>
      <w:r w:rsidR="009D5B50">
        <w:rPr>
          <w:szCs w:val="20"/>
        </w:rPr>
        <w:fldChar w:fldCharType="end"/>
      </w:r>
      <w:r w:rsidRPr="00F0513D">
        <w:rPr>
          <w:szCs w:val="20"/>
        </w:rPr>
        <w:t>.</w:t>
      </w:r>
    </w:p>
    <w:p w14:paraId="487403BE" w14:textId="77777777" w:rsidR="00A46531" w:rsidRPr="00F0513D" w:rsidRDefault="00A46531" w:rsidP="00A46531">
      <w:pPr>
        <w:spacing w:line="360" w:lineRule="auto"/>
        <w:rPr>
          <w:szCs w:val="20"/>
        </w:rPr>
      </w:pPr>
    </w:p>
    <w:p w14:paraId="25C06A50" w14:textId="07F0BFEA" w:rsidR="00A46531" w:rsidRDefault="00A46531" w:rsidP="00A46531">
      <w:pPr>
        <w:spacing w:line="360" w:lineRule="auto"/>
        <w:rPr>
          <w:szCs w:val="20"/>
        </w:rPr>
      </w:pPr>
      <w:r w:rsidRPr="00F0513D">
        <w:rPr>
          <w:szCs w:val="20"/>
        </w:rPr>
        <w:t xml:space="preserve">Primary analysis will be conducted on PHQ-9 and GAD-7 scores. These analyses will also be conducted on variables derived from </w:t>
      </w:r>
      <w:r>
        <w:rPr>
          <w:szCs w:val="20"/>
        </w:rPr>
        <w:t>PHQ-9 and GAD-7</w:t>
      </w:r>
      <w:r w:rsidRPr="00F0513D">
        <w:rPr>
          <w:szCs w:val="20"/>
        </w:rPr>
        <w:t xml:space="preserve"> metrics (i.e. recovery and improvement). For continuous variables (PHQ-9 and GAD-7 scores), a mixed model analysis of variance (ANOVA) will be conducted with time (pre- vs post-treatment) as a </w:t>
      </w:r>
      <w:r w:rsidRPr="00F0513D">
        <w:rPr>
          <w:szCs w:val="20"/>
        </w:rPr>
        <w:lastRenderedPageBreak/>
        <w:t>within-subject variable, and treatment group (</w:t>
      </w:r>
      <w:r w:rsidR="008B6454">
        <w:rPr>
          <w:szCs w:val="20"/>
        </w:rPr>
        <w:t>therapist and patient visibility vs patient visibility only</w:t>
      </w:r>
      <w:r w:rsidRPr="00F0513D">
        <w:rPr>
          <w:szCs w:val="20"/>
        </w:rPr>
        <w:t xml:space="preserve">) as a between-subjects variable. These analyses will test the hypothesis that </w:t>
      </w:r>
      <w:r w:rsidR="008B6454">
        <w:rPr>
          <w:szCs w:val="20"/>
        </w:rPr>
        <w:t>providing therapists</w:t>
      </w:r>
      <w:r w:rsidR="006B4548">
        <w:rPr>
          <w:szCs w:val="20"/>
        </w:rPr>
        <w:t xml:space="preserve"> with visibility of their patients’ biomarkers </w:t>
      </w:r>
      <w:r w:rsidR="002410E2">
        <w:rPr>
          <w:szCs w:val="20"/>
        </w:rPr>
        <w:t xml:space="preserve">leads to </w:t>
      </w:r>
      <w:r w:rsidR="00C33654">
        <w:rPr>
          <w:szCs w:val="20"/>
        </w:rPr>
        <w:t xml:space="preserve">a significant improvement in patients’ clinical outcomes, compared with providing </w:t>
      </w:r>
      <w:r w:rsidR="006D514D">
        <w:rPr>
          <w:szCs w:val="20"/>
        </w:rPr>
        <w:t>visibility of biomarkers to the patient alone.</w:t>
      </w:r>
    </w:p>
    <w:p w14:paraId="73D8F115" w14:textId="16E5B056" w:rsidR="004B3AD4" w:rsidRDefault="00641CD7" w:rsidP="00A46531">
      <w:pPr>
        <w:spacing w:line="360" w:lineRule="auto"/>
        <w:rPr>
          <w:szCs w:val="20"/>
        </w:rPr>
      </w:pPr>
      <w:r>
        <w:rPr>
          <w:szCs w:val="20"/>
        </w:rPr>
        <w:t>Similar</w:t>
      </w:r>
      <w:r w:rsidR="004B3AD4">
        <w:rPr>
          <w:szCs w:val="20"/>
        </w:rPr>
        <w:t xml:space="preserve"> analyses will be conducted on</w:t>
      </w:r>
      <w:r>
        <w:rPr>
          <w:szCs w:val="20"/>
        </w:rPr>
        <w:t xml:space="preserve"> secondary outcome measures of</w:t>
      </w:r>
      <w:r w:rsidR="004B3AD4">
        <w:rPr>
          <w:szCs w:val="20"/>
        </w:rPr>
        <w:t xml:space="preserve"> </w:t>
      </w:r>
      <w:r w:rsidR="007224E1">
        <w:rPr>
          <w:szCs w:val="20"/>
        </w:rPr>
        <w:t xml:space="preserve">daily mood ratings and </w:t>
      </w:r>
      <w:r w:rsidR="004B3AD4">
        <w:rPr>
          <w:szCs w:val="20"/>
        </w:rPr>
        <w:t>behavioural biomarker data, including physical activity, sleep, geolocation, digital and social interaction</w:t>
      </w:r>
      <w:r w:rsidR="00B6534A">
        <w:rPr>
          <w:szCs w:val="20"/>
        </w:rPr>
        <w:t>. A</w:t>
      </w:r>
      <w:r w:rsidR="00B6534A" w:rsidRPr="00F0513D">
        <w:rPr>
          <w:szCs w:val="20"/>
        </w:rPr>
        <w:t xml:space="preserve"> mixed model analysis of variance (ANOVA) will be conducted with time (pre- vs post-treatment) as a within-subject variable, and treatment group (</w:t>
      </w:r>
      <w:r w:rsidR="00B6534A">
        <w:rPr>
          <w:szCs w:val="20"/>
        </w:rPr>
        <w:t>therapist and patient visibility vs patient visibility only</w:t>
      </w:r>
      <w:r w:rsidR="00B6534A" w:rsidRPr="00F0513D">
        <w:rPr>
          <w:szCs w:val="20"/>
        </w:rPr>
        <w:t>) as a between-subjects variable</w:t>
      </w:r>
      <w:r w:rsidR="00B6534A">
        <w:rPr>
          <w:szCs w:val="20"/>
        </w:rPr>
        <w:t xml:space="preserve">. </w:t>
      </w:r>
      <w:r w:rsidR="00343AFA">
        <w:rPr>
          <w:szCs w:val="20"/>
        </w:rPr>
        <w:t>These analyses will test the hypothesis that providing the therapist with visibility of patients’ biomarkers leads not only to changes in clinical outcomes</w:t>
      </w:r>
      <w:r w:rsidR="00F422D8">
        <w:rPr>
          <w:szCs w:val="20"/>
        </w:rPr>
        <w:t xml:space="preserve"> and daily mood</w:t>
      </w:r>
      <w:r w:rsidR="00343AFA">
        <w:rPr>
          <w:szCs w:val="20"/>
        </w:rPr>
        <w:t xml:space="preserve">, but also to changes in </w:t>
      </w:r>
      <w:r w:rsidR="004277DD">
        <w:rPr>
          <w:szCs w:val="20"/>
        </w:rPr>
        <w:t>behavioural biomarkers being targeted as part of more personalized therapeutic interventions.</w:t>
      </w:r>
    </w:p>
    <w:p w14:paraId="39FF1DBE" w14:textId="76E6C470" w:rsidR="009F79EF" w:rsidRDefault="00512E1F" w:rsidP="00A46531">
      <w:pPr>
        <w:spacing w:line="360" w:lineRule="auto"/>
        <w:rPr>
          <w:szCs w:val="20"/>
        </w:rPr>
      </w:pPr>
      <w:r>
        <w:rPr>
          <w:szCs w:val="20"/>
        </w:rPr>
        <w:t>Correlation</w:t>
      </w:r>
      <w:r w:rsidR="0067627C">
        <w:rPr>
          <w:szCs w:val="20"/>
        </w:rPr>
        <w:t xml:space="preserve"> analyses</w:t>
      </w:r>
      <w:r>
        <w:rPr>
          <w:szCs w:val="20"/>
        </w:rPr>
        <w:t xml:space="preserve"> between primary</w:t>
      </w:r>
      <w:r w:rsidR="0067627C">
        <w:rPr>
          <w:szCs w:val="20"/>
        </w:rPr>
        <w:t xml:space="preserve"> outcome measures (PHQ-9 and GAD-7) and secondary outcome measures (</w:t>
      </w:r>
      <w:r w:rsidR="00513D0A">
        <w:rPr>
          <w:szCs w:val="20"/>
        </w:rPr>
        <w:t xml:space="preserve">daily mood and </w:t>
      </w:r>
      <w:r w:rsidR="0067627C">
        <w:rPr>
          <w:szCs w:val="20"/>
        </w:rPr>
        <w:t xml:space="preserve">behavioural </w:t>
      </w:r>
      <w:r w:rsidR="00C84A3D">
        <w:rPr>
          <w:szCs w:val="20"/>
        </w:rPr>
        <w:t xml:space="preserve">biomarker data, </w:t>
      </w:r>
      <w:r w:rsidR="004277DD">
        <w:rPr>
          <w:szCs w:val="20"/>
        </w:rPr>
        <w:t>as detailed above</w:t>
      </w:r>
      <w:r w:rsidR="00C84A3D">
        <w:rPr>
          <w:szCs w:val="20"/>
        </w:rPr>
        <w:t>) will also be conducted. These analyses aim to test the hypothesis that</w:t>
      </w:r>
      <w:r w:rsidR="00BF107C">
        <w:rPr>
          <w:szCs w:val="20"/>
        </w:rPr>
        <w:t xml:space="preserve"> certain passively collected biomarkers data may be highly correlated to mental health symptoms, and thus can be used as </w:t>
      </w:r>
      <w:r w:rsidR="00E70E8F">
        <w:rPr>
          <w:szCs w:val="20"/>
        </w:rPr>
        <w:t>proxies for these measures in a system designed to passively monitor mental health status.</w:t>
      </w:r>
    </w:p>
    <w:p w14:paraId="61BB542E" w14:textId="696BD72A" w:rsidR="00A46531" w:rsidRPr="00F0513D" w:rsidRDefault="00A46531" w:rsidP="00A46531">
      <w:pPr>
        <w:spacing w:line="360" w:lineRule="auto"/>
        <w:rPr>
          <w:szCs w:val="20"/>
        </w:rPr>
      </w:pPr>
      <w:r w:rsidRPr="00F0513D">
        <w:rPr>
          <w:szCs w:val="20"/>
        </w:rPr>
        <w:t xml:space="preserve">To control for the effect of covariate variables such as patient demographics and length of treatment </w:t>
      </w:r>
      <w:r w:rsidRPr="000D3F97">
        <w:rPr>
          <w:szCs w:val="20"/>
        </w:rPr>
        <w:fldChar w:fldCharType="begin" w:fldLock="1"/>
      </w:r>
      <w:r w:rsidR="009C49F3">
        <w:rPr>
          <w:szCs w:val="20"/>
        </w:rPr>
        <w:instrText>ADDIN CSL_CITATION {"citationItems":[{"id":"ITEM-1","itemData":{"DOI":"10.1192/bjo.2018.57","ISSN":"2056-4724","abstract":"&lt;div class=\"abstract\" data-abstract-type=\"normal\"&gt;&lt;div class='sec'&gt;&lt;span class=\"bold\"&gt;Background&lt;/span&gt;&lt;p&gt;Common mental health problems affect a quarter of the population. Online cognitive–behavioural therapy (CBT) is increasingly used, but the factors modulating response to this treatment modality remain unclear.&lt;/p&gt;&lt;/div&gt;&lt;div class='sec'&gt;&lt;span class=\"bold\"&gt;Aims&lt;/span&gt;&lt;p&gt;This study aims to explore the demographic and clinical predictors of response to one-to-one CBT delivered via the internet.&lt;/p&gt;&lt;/div&gt;&lt;div class='sec'&gt;&lt;span class=\"bold\"&gt;Method&lt;/span&gt;&lt;p&gt;Real-world clinical outcomes data were collected from 2211 NHS England patients completing a course of CBT delivered by a trained clinician via the internet. Logistic regression analyses were performed using patient and service variables to identify significant predictors of response to treatment.&lt;/p&gt;&lt;/div&gt;&lt;div class='sec'&gt;&lt;span class=\"bold\"&gt;Results&lt;/span&gt;&lt;p&gt;Multiple patient variables were significantly associated with positive response to treatment including older age, absence of long-term physical comorbidities and lower symptom severity at start of treatment. Service variables associated with positive response to treatment included shorter waiting times for initial assessment and longer treatment durations in terms of the number of sessions.&lt;/p&gt;&lt;/div&gt;&lt;div class='sec'&gt;&lt;span class=\"bold\"&gt;Conclusions&lt;/span&gt;&lt;p&gt;Knowledge of which patient and service variables are associated with good clinical outcomes can be used to develop personalised treatment programmes, as part of a quality improvement cycle aiming to drive up standards in mental healthcare. This study exemplifies translational research put into practice and deployed at scale in the National Health Service, demonstrating the value of technology-enabled treatment delivery not only in facilitating access to care, but in enabling accelerated data capture for clinical research purposes.&lt;/p&gt;&lt;/div&gt;&lt;div class='sec'&gt;&lt;span class=\"bold\"&gt;Declaration of interest&lt;/span&gt;&lt;p&gt;A.C., S.B., V.T., K.I., S.F., A.R., A.H. and A.D.B. are employees or board members of the sponsor. S.R.C. consults for Cambridge Cognition and Shire. Keywords: Anxiety disorders; cognitive behavioural therapies; depressive disorders; individual psychotherapy&lt;/p&gt;&lt;/div&gt;&lt;/div&gt;","author":[{"dropping-particle":"","family":"Catarino","given":"Ana","non-dropping-particle":"","parse-names":false,"suffix":""},{"dropping-particle":"","family":"Bateup","given":"Sarah","non-dropping-particle":"","parse-names":false,"suffix":""},{"dropping-particle":"","family":"Tablan","given":"Valentin","non-dropping-particle":"","parse-names":false,"suffix":""},{"dropping-particle":"","family":"Innes","given":"Katherine","non-dropping-particle":"","parse-names":false,"suffix":""},{"dropping-particle":"","family":"Freer","given":"Stephen","non-dropping-particle":"","parse-names":false,"suffix":""},{"dropping-particle":"","family":"Richards","given":"Andy","non-dropping-particle":"","parse-names":false,"suffix":""},{"dropping-particle":"","family":"Stott","given":"Richard","non-dropping-particle":"","parse-names":false,"suffix":""},{"dropping-particle":"","family":"Hollon","given":"Steven D.","non-dropping-particle":"","parse-names":false,"suffix":""},{"dropping-particle":"","family":"Chamberlain","given":"Samuel Robin","non-dropping-particle":"","parse-names":false,"suffix":""},{"dropping-particle":"","family":"Hayes","given":"Ann","non-dropping-particle":"","parse-names":false,"suffix":""},{"dropping-particle":"","family":"Blackwell","given":"Andrew D.","non-dropping-particle":"","parse-names":false,"suffix":""}],"container-title":"BJPsych Open","id":"ITEM-1","issue":"5","issued":{"date-parts":[["2018","9","2"]]},"page":"411-418","publisher":"Cambridge University Press","title":"Demographic and clinical predictors of response to internet-enabled cognitive–behavioural therapy for depression and anxiety","type":"article-journal","volume":"4"},"uris":["http://www.mendeley.com/documents/?uuid=f61adb46-059a-316a-9a20-973e5676c50d"]}],"mendeley":{"formattedCitation":"(Catarino &lt;i&gt;et al.&lt;/i&gt;, 2018)","plainTextFormattedCitation":"(Catarino et al., 2018)","previouslyFormattedCitation":"(Catarino &lt;i&gt;et al.&lt;/i&gt;, 2018)"},"properties":{"noteIndex":0},"schema":"https://github.com/citation-style-language/schema/raw/master/csl-citation.json"}</w:instrText>
      </w:r>
      <w:r w:rsidRPr="000D3F97">
        <w:rPr>
          <w:szCs w:val="20"/>
        </w:rPr>
        <w:fldChar w:fldCharType="separate"/>
      </w:r>
      <w:r w:rsidRPr="00F0513D">
        <w:rPr>
          <w:noProof/>
          <w:szCs w:val="20"/>
        </w:rPr>
        <w:t xml:space="preserve">(Catarino </w:t>
      </w:r>
      <w:r w:rsidRPr="00F0513D">
        <w:rPr>
          <w:i/>
          <w:noProof/>
          <w:szCs w:val="20"/>
        </w:rPr>
        <w:t>et al.</w:t>
      </w:r>
      <w:r w:rsidRPr="00F0513D">
        <w:rPr>
          <w:noProof/>
          <w:szCs w:val="20"/>
        </w:rPr>
        <w:t>, 2018)</w:t>
      </w:r>
      <w:r w:rsidRPr="000D3F97">
        <w:rPr>
          <w:szCs w:val="20"/>
        </w:rPr>
        <w:fldChar w:fldCharType="end"/>
      </w:r>
      <w:r w:rsidRPr="00F0513D">
        <w:rPr>
          <w:szCs w:val="20"/>
        </w:rPr>
        <w:t>, treatment group (</w:t>
      </w:r>
      <w:r w:rsidR="00B7179A">
        <w:rPr>
          <w:szCs w:val="20"/>
        </w:rPr>
        <w:t>therapist and patient visibility vs patient visibility only</w:t>
      </w:r>
      <w:r w:rsidRPr="00F0513D">
        <w:rPr>
          <w:szCs w:val="20"/>
        </w:rPr>
        <w:t>) will also be included as a between-subjects variable in a secondary ANCOVA analysis, with the demographic variables and number of treatment sessions included as covariates</w:t>
      </w:r>
      <w:r w:rsidR="00051D55">
        <w:rPr>
          <w:szCs w:val="20"/>
        </w:rPr>
        <w:t xml:space="preserve"> and</w:t>
      </w:r>
      <w:r w:rsidRPr="00F0513D">
        <w:rPr>
          <w:szCs w:val="20"/>
        </w:rPr>
        <w:t xml:space="preserve"> time (pre- vs post-treatment) as a within-subject variable.</w:t>
      </w:r>
    </w:p>
    <w:p w14:paraId="6A994FBC" w14:textId="71A3C403" w:rsidR="00A46531" w:rsidRPr="00F0513D" w:rsidRDefault="00A46531" w:rsidP="00A46531">
      <w:pPr>
        <w:spacing w:line="360" w:lineRule="auto"/>
        <w:rPr>
          <w:szCs w:val="20"/>
        </w:rPr>
      </w:pPr>
      <w:r w:rsidRPr="00F0513D">
        <w:rPr>
          <w:szCs w:val="20"/>
        </w:rPr>
        <w:t xml:space="preserve">Growth curve modelling will be used to assess rate of change in </w:t>
      </w:r>
      <w:r w:rsidR="00B71CBB">
        <w:rPr>
          <w:szCs w:val="20"/>
        </w:rPr>
        <w:t>primary and secondary outcome measures</w:t>
      </w:r>
      <w:r w:rsidRPr="00F0513D">
        <w:rPr>
          <w:szCs w:val="20"/>
        </w:rPr>
        <w:t xml:space="preserve"> over </w:t>
      </w:r>
      <w:proofErr w:type="gramStart"/>
      <w:r w:rsidRPr="00F0513D">
        <w:rPr>
          <w:szCs w:val="20"/>
        </w:rPr>
        <w:t>time, and</w:t>
      </w:r>
      <w:proofErr w:type="gramEnd"/>
      <w:r w:rsidRPr="00F0513D">
        <w:rPr>
          <w:szCs w:val="20"/>
        </w:rPr>
        <w:t xml:space="preserve"> calculate the mean number of treatment sessions needed to reach the thresholds for the derived clinical outcomes variables for each group (i.e. mean number of sessions needed to reach recovery or improvement). Descriptive statistics for the mean recovery rate and improvement rate for each group will also be presented.</w:t>
      </w:r>
    </w:p>
    <w:p w14:paraId="1694D623" w14:textId="7E194C37" w:rsidR="00A46531" w:rsidRPr="00F0513D" w:rsidRDefault="00A46531" w:rsidP="00A32770">
      <w:pPr>
        <w:spacing w:line="360" w:lineRule="auto"/>
        <w:rPr>
          <w:szCs w:val="20"/>
        </w:rPr>
      </w:pPr>
      <w:r w:rsidRPr="00F0513D">
        <w:rPr>
          <w:szCs w:val="20"/>
        </w:rPr>
        <w:t xml:space="preserve">Finally, for categorical variables derived from </w:t>
      </w:r>
      <w:r>
        <w:rPr>
          <w:szCs w:val="20"/>
        </w:rPr>
        <w:t>PHQ-9 and GAD-7 scores</w:t>
      </w:r>
      <w:r w:rsidRPr="00F0513D">
        <w:rPr>
          <w:szCs w:val="20"/>
        </w:rPr>
        <w:t xml:space="preserve"> (i.e. recovery and improvement), a chi-square analysis comparing study groups will be performed, to test the hypothesis that </w:t>
      </w:r>
      <w:r w:rsidR="00165272">
        <w:rPr>
          <w:szCs w:val="20"/>
        </w:rPr>
        <w:t>providing therapists with visibility of their patients’ biomarkers leads to a significant improvement in patients’ clinical outcomes, compared with providing visibility of biomarkers to the patient alone</w:t>
      </w:r>
      <w:r w:rsidR="00A32770">
        <w:rPr>
          <w:szCs w:val="20"/>
        </w:rPr>
        <w:t>.</w:t>
      </w:r>
      <w:r w:rsidRPr="00F0513D">
        <w:rPr>
          <w:szCs w:val="20"/>
        </w:rPr>
        <w:t xml:space="preserve"> To control for the effect of covariate </w:t>
      </w:r>
      <w:r w:rsidRPr="00F0513D">
        <w:rPr>
          <w:szCs w:val="20"/>
        </w:rPr>
        <w:lastRenderedPageBreak/>
        <w:t>variables on categorical outcome metrics, a logistic regression with covariate variables and treatment group as independent variables will also be conducted.</w:t>
      </w:r>
    </w:p>
    <w:p w14:paraId="61D7D40A" w14:textId="77777777" w:rsidR="00A46531" w:rsidRPr="00F0513D" w:rsidRDefault="00A46531" w:rsidP="00597D02">
      <w:pPr>
        <w:pStyle w:val="Heading2"/>
      </w:pPr>
      <w:bookmarkStart w:id="14" w:name="_Toc33801237"/>
      <w:r w:rsidRPr="00EC4372">
        <w:t>Data management</w:t>
      </w:r>
      <w:bookmarkEnd w:id="14"/>
    </w:p>
    <w:p w14:paraId="1FDE0404" w14:textId="77777777" w:rsidR="00A55DA9" w:rsidRPr="00F0513D" w:rsidRDefault="00A55DA9" w:rsidP="00A55DA9">
      <w:pPr>
        <w:spacing w:line="360" w:lineRule="auto"/>
      </w:pPr>
      <w:r>
        <w:t xml:space="preserve">Ieso Digital Health follows nationally and internationally recognised standards for information security (Cyber Essentials Plus, ISO 27001 </w:t>
      </w:r>
      <w:r w:rsidRPr="007A0679">
        <w:t>and the 10 National Data Guardian standards self</w:t>
      </w:r>
      <w:r>
        <w:t>-</w:t>
      </w:r>
      <w:r w:rsidRPr="007A0679">
        <w:t>certified via the NHS Data Security and Protection Toolkit</w:t>
      </w:r>
      <w:r>
        <w:t xml:space="preserve">, </w:t>
      </w:r>
      <w:hyperlink r:id="rId16">
        <w:r w:rsidRPr="4C8E95FF">
          <w:rPr>
            <w:rStyle w:val="Hyperlink"/>
          </w:rPr>
          <w:t>https://www.iesohealth.com/en-gb/legal/iso-certificates</w:t>
        </w:r>
      </w:hyperlink>
      <w:r>
        <w:t xml:space="preserve">). All patient data are stored confidentially and securely within the Microsoft Azure cloud environment geolocated within the UK, configured and maintained by Ieso. In all study-specific data and documents, other than the signed consent, the patients will be identified by a unique study-specific number and/or code, not by name. Patients’ names and any other directly identifying details will not be included in any study data electronic files. </w:t>
      </w:r>
    </w:p>
    <w:p w14:paraId="234CC2E1" w14:textId="77777777" w:rsidR="00A55DA9" w:rsidRDefault="00A55DA9" w:rsidP="00A55DA9">
      <w:pPr>
        <w:spacing w:line="360" w:lineRule="auto"/>
      </w:pPr>
      <w:r w:rsidRPr="005B0974">
        <w:t xml:space="preserve">Direct access to the data will only be granted to authorised researchers or the Ieso clinical team; or if required by law, following </w:t>
      </w:r>
      <w:proofErr w:type="gramStart"/>
      <w:r w:rsidRPr="005B0974">
        <w:t>at all times</w:t>
      </w:r>
      <w:proofErr w:type="gramEnd"/>
      <w:r w:rsidRPr="005B0974">
        <w:t xml:space="preserve"> appropriate legislation and good governance procedures. Only aggregated de-identified data will be provided to the sponsor</w:t>
      </w:r>
      <w:r>
        <w:t xml:space="preserve"> or funder</w:t>
      </w:r>
      <w:r w:rsidRPr="005B0974">
        <w:t xml:space="preserve"> for monitoring and/or audit of the study.</w:t>
      </w:r>
    </w:p>
    <w:p w14:paraId="52DCF8C5" w14:textId="77777777" w:rsidR="00A55DA9" w:rsidRPr="00F0513D" w:rsidRDefault="00A55DA9" w:rsidP="00A55DA9">
      <w:pPr>
        <w:spacing w:line="360" w:lineRule="auto"/>
      </w:pPr>
      <w:r>
        <w:t>All research data including personal data held separately from your patient file will be held for a minimum of 20 years in accordance with Medical Research Council guidance.</w:t>
      </w:r>
      <w:r w:rsidRPr="00F0513D">
        <w:t xml:space="preserve"> </w:t>
      </w:r>
      <w:proofErr w:type="gramStart"/>
      <w:r w:rsidRPr="00F0513D">
        <w:t>Personally</w:t>
      </w:r>
      <w:proofErr w:type="gramEnd"/>
      <w:r w:rsidRPr="00F0513D">
        <w:t xml:space="preserve"> identifiable data collected as part of routine practice (standard of care) shall be retained per standard clinical practice.</w:t>
      </w:r>
    </w:p>
    <w:p w14:paraId="52B1E173" w14:textId="77777777" w:rsidR="00597D02" w:rsidRPr="00655AC9" w:rsidRDefault="00597D02" w:rsidP="00597D02">
      <w:pPr>
        <w:spacing w:line="360" w:lineRule="auto"/>
        <w:rPr>
          <w:rFonts w:eastAsiaTheme="majorEastAsia" w:cstheme="majorBidi"/>
          <w:b/>
          <w:smallCaps/>
          <w:color w:val="2F5496" w:themeColor="accent1" w:themeShade="BF"/>
          <w:sz w:val="32"/>
          <w:szCs w:val="32"/>
        </w:rPr>
      </w:pPr>
    </w:p>
    <w:p w14:paraId="09157941" w14:textId="03FF87CE" w:rsidR="00A46531" w:rsidRPr="00655AC9" w:rsidRDefault="00A46531" w:rsidP="00A46531">
      <w:pPr>
        <w:pStyle w:val="Heading1"/>
      </w:pPr>
      <w:bookmarkStart w:id="15" w:name="_Toc33801240"/>
      <w:r w:rsidRPr="00655AC9">
        <w:t>References</w:t>
      </w:r>
      <w:bookmarkEnd w:id="15"/>
    </w:p>
    <w:p w14:paraId="624D4CCC" w14:textId="0EFC81E2" w:rsidR="009D5B50" w:rsidRPr="009D5B50" w:rsidRDefault="00A46531" w:rsidP="009D5B50">
      <w:pPr>
        <w:widowControl w:val="0"/>
        <w:autoSpaceDE w:val="0"/>
        <w:autoSpaceDN w:val="0"/>
        <w:adjustRightInd w:val="0"/>
        <w:spacing w:line="360" w:lineRule="auto"/>
        <w:rPr>
          <w:rFonts w:cs="Times New Roman"/>
          <w:noProof/>
          <w:szCs w:val="24"/>
        </w:rPr>
      </w:pPr>
      <w:r w:rsidRPr="009770B5">
        <w:rPr>
          <w:b/>
          <w:szCs w:val="20"/>
        </w:rPr>
        <w:fldChar w:fldCharType="begin" w:fldLock="1"/>
      </w:r>
      <w:r w:rsidRPr="00655AC9">
        <w:rPr>
          <w:b/>
          <w:szCs w:val="20"/>
        </w:rPr>
        <w:instrText xml:space="preserve">ADDIN Mendeley Bibliography CSL_BIBLIOGRAPHY </w:instrText>
      </w:r>
      <w:r w:rsidRPr="009770B5">
        <w:rPr>
          <w:b/>
          <w:szCs w:val="20"/>
        </w:rPr>
        <w:fldChar w:fldCharType="separate"/>
      </w:r>
      <w:r w:rsidR="009D5B50" w:rsidRPr="009D5B50">
        <w:rPr>
          <w:rFonts w:cs="Times New Roman"/>
          <w:b/>
          <w:bCs/>
          <w:noProof/>
          <w:szCs w:val="24"/>
        </w:rPr>
        <w:t xml:space="preserve">Asselbergs, J. </w:t>
      </w:r>
      <w:r w:rsidR="009D5B50" w:rsidRPr="009D5B50">
        <w:rPr>
          <w:rFonts w:cs="Times New Roman"/>
          <w:b/>
          <w:bCs/>
          <w:i/>
          <w:iCs/>
          <w:noProof/>
          <w:szCs w:val="24"/>
        </w:rPr>
        <w:t>et al.</w:t>
      </w:r>
      <w:r w:rsidR="009D5B50" w:rsidRPr="009D5B50">
        <w:rPr>
          <w:rFonts w:cs="Times New Roman"/>
          <w:noProof/>
          <w:szCs w:val="24"/>
        </w:rPr>
        <w:t xml:space="preserve"> (2016) ‘Mobile Phone-Based Unobtrusive Ecological Momentary Assessment of Day-to-Day Mood: An Explorative Study’, </w:t>
      </w:r>
      <w:r w:rsidR="009D5B50" w:rsidRPr="009D5B50">
        <w:rPr>
          <w:rFonts w:cs="Times New Roman"/>
          <w:i/>
          <w:iCs/>
          <w:noProof/>
          <w:szCs w:val="24"/>
        </w:rPr>
        <w:t>Journal of medical Internet research</w:t>
      </w:r>
      <w:r w:rsidR="009D5B50" w:rsidRPr="009D5B50">
        <w:rPr>
          <w:rFonts w:cs="Times New Roman"/>
          <w:noProof/>
          <w:szCs w:val="24"/>
        </w:rPr>
        <w:t>. doi: 10.2196/jmir.5505.</w:t>
      </w:r>
    </w:p>
    <w:p w14:paraId="4A881403"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Ben-Zeev, D. </w:t>
      </w:r>
      <w:r w:rsidRPr="009D5B50">
        <w:rPr>
          <w:rFonts w:cs="Times New Roman"/>
          <w:b/>
          <w:bCs/>
          <w:i/>
          <w:iCs/>
          <w:noProof/>
          <w:szCs w:val="24"/>
        </w:rPr>
        <w:t>et al.</w:t>
      </w:r>
      <w:r w:rsidRPr="009D5B50">
        <w:rPr>
          <w:rFonts w:cs="Times New Roman"/>
          <w:noProof/>
          <w:szCs w:val="24"/>
        </w:rPr>
        <w:t xml:space="preserve"> (2015) ‘Next-Generation psychiatric assessment: using smartphone sensors to monitor behavior and mental health’, </w:t>
      </w:r>
      <w:r w:rsidRPr="009D5B50">
        <w:rPr>
          <w:rFonts w:cs="Times New Roman"/>
          <w:i/>
          <w:iCs/>
          <w:noProof/>
          <w:szCs w:val="24"/>
        </w:rPr>
        <w:t>Psychiatric Rehabilitation Journal</w:t>
      </w:r>
      <w:r w:rsidRPr="009D5B50">
        <w:rPr>
          <w:rFonts w:cs="Times New Roman"/>
          <w:noProof/>
          <w:szCs w:val="24"/>
        </w:rPr>
        <w:t>. doi: 10.1037/prj0000130.</w:t>
      </w:r>
    </w:p>
    <w:p w14:paraId="61749220"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Ben-Zeev, D. </w:t>
      </w:r>
      <w:r w:rsidRPr="009D5B50">
        <w:rPr>
          <w:rFonts w:cs="Times New Roman"/>
          <w:b/>
          <w:bCs/>
          <w:i/>
          <w:iCs/>
          <w:noProof/>
          <w:szCs w:val="24"/>
        </w:rPr>
        <w:t>et al.</w:t>
      </w:r>
      <w:r w:rsidRPr="009D5B50">
        <w:rPr>
          <w:rFonts w:cs="Times New Roman"/>
          <w:noProof/>
          <w:szCs w:val="24"/>
        </w:rPr>
        <w:t xml:space="preserve"> (2017) ‘CrossCheck: Integrating self-report, behavioral sensing, and smartphone use to identify digital indicators of psychotic relapse.’, </w:t>
      </w:r>
      <w:r w:rsidRPr="009D5B50">
        <w:rPr>
          <w:rFonts w:cs="Times New Roman"/>
          <w:i/>
          <w:iCs/>
          <w:noProof/>
          <w:szCs w:val="24"/>
        </w:rPr>
        <w:t>Psychiatric Rehabilitation Journal</w:t>
      </w:r>
      <w:r w:rsidRPr="009D5B50">
        <w:rPr>
          <w:rFonts w:cs="Times New Roman"/>
          <w:noProof/>
          <w:szCs w:val="24"/>
        </w:rPr>
        <w:t>. doi: 10.1037/prj0000243.</w:t>
      </w:r>
    </w:p>
    <w:p w14:paraId="5016CA10"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Boonstra, T. W. </w:t>
      </w:r>
      <w:r w:rsidRPr="009D5B50">
        <w:rPr>
          <w:rFonts w:cs="Times New Roman"/>
          <w:b/>
          <w:bCs/>
          <w:i/>
          <w:iCs/>
          <w:noProof/>
          <w:szCs w:val="24"/>
        </w:rPr>
        <w:t>et al.</w:t>
      </w:r>
      <w:r w:rsidRPr="009D5B50">
        <w:rPr>
          <w:rFonts w:cs="Times New Roman"/>
          <w:noProof/>
          <w:szCs w:val="24"/>
        </w:rPr>
        <w:t xml:space="preserve"> (2018) ‘Using Mobile Phone Sensor Technology for Mental Health Research: Integrated Analysis to Identify Hidden Challenges and Potential Solutions’, </w:t>
      </w:r>
      <w:r w:rsidRPr="009D5B50">
        <w:rPr>
          <w:rFonts w:cs="Times New Roman"/>
          <w:i/>
          <w:iCs/>
          <w:noProof/>
          <w:szCs w:val="24"/>
        </w:rPr>
        <w:lastRenderedPageBreak/>
        <w:t>Journal of medical Internet research</w:t>
      </w:r>
      <w:r w:rsidRPr="009D5B50">
        <w:rPr>
          <w:rFonts w:cs="Times New Roman"/>
          <w:noProof/>
          <w:szCs w:val="24"/>
        </w:rPr>
        <w:t>. doi: 10.2196/10131.</w:t>
      </w:r>
    </w:p>
    <w:p w14:paraId="1552ABFF"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Catarino, A. </w:t>
      </w:r>
      <w:r w:rsidRPr="009D5B50">
        <w:rPr>
          <w:rFonts w:cs="Times New Roman"/>
          <w:b/>
          <w:bCs/>
          <w:i/>
          <w:iCs/>
          <w:noProof/>
          <w:szCs w:val="24"/>
        </w:rPr>
        <w:t>et al.</w:t>
      </w:r>
      <w:r w:rsidRPr="009D5B50">
        <w:rPr>
          <w:rFonts w:cs="Times New Roman"/>
          <w:noProof/>
          <w:szCs w:val="24"/>
        </w:rPr>
        <w:t xml:space="preserve"> (2018) ‘Demographic and clinical predictors of response to internet-enabled cognitive–behavioural therapy for depression and anxiety’, </w:t>
      </w:r>
      <w:r w:rsidRPr="009D5B50">
        <w:rPr>
          <w:rFonts w:cs="Times New Roman"/>
          <w:i/>
          <w:iCs/>
          <w:noProof/>
          <w:szCs w:val="24"/>
        </w:rPr>
        <w:t>BJPsych Open</w:t>
      </w:r>
      <w:r w:rsidRPr="009D5B50">
        <w:rPr>
          <w:rFonts w:cs="Times New Roman"/>
          <w:noProof/>
          <w:szCs w:val="24"/>
        </w:rPr>
        <w:t>. Cambridge University Press, 4(5), pp. 411–418. doi: 10.1192/bjo.2018.57.</w:t>
      </w:r>
    </w:p>
    <w:p w14:paraId="1F9D037F"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Clark, D. M.</w:t>
      </w:r>
      <w:r w:rsidRPr="009D5B50">
        <w:rPr>
          <w:rFonts w:cs="Times New Roman"/>
          <w:noProof/>
          <w:szCs w:val="24"/>
        </w:rPr>
        <w:t xml:space="preserve"> (2011) ‘Implementing NICE guidelines for the psychological treatment of depression and anxiety disorders: the IAPT experience’, </w:t>
      </w:r>
      <w:r w:rsidRPr="009D5B50">
        <w:rPr>
          <w:rFonts w:cs="Times New Roman"/>
          <w:i/>
          <w:iCs/>
          <w:noProof/>
          <w:szCs w:val="24"/>
        </w:rPr>
        <w:t>International Review of Psychiatry</w:t>
      </w:r>
      <w:r w:rsidRPr="009D5B50">
        <w:rPr>
          <w:rFonts w:cs="Times New Roman"/>
          <w:noProof/>
          <w:szCs w:val="24"/>
        </w:rPr>
        <w:t>, 23(4), pp. 318–327.</w:t>
      </w:r>
    </w:p>
    <w:p w14:paraId="659BD8E8"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Fraccaro, P. </w:t>
      </w:r>
      <w:r w:rsidRPr="009D5B50">
        <w:rPr>
          <w:rFonts w:cs="Times New Roman"/>
          <w:b/>
          <w:bCs/>
          <w:i/>
          <w:iCs/>
          <w:noProof/>
          <w:szCs w:val="24"/>
        </w:rPr>
        <w:t>et al.</w:t>
      </w:r>
      <w:r w:rsidRPr="009D5B50">
        <w:rPr>
          <w:rFonts w:cs="Times New Roman"/>
          <w:noProof/>
          <w:szCs w:val="24"/>
        </w:rPr>
        <w:t xml:space="preserve"> (2019) ‘Digital biomarkers from geolocation data in bipolar disorder and schizophrenia: A systematic review’, </w:t>
      </w:r>
      <w:r w:rsidRPr="009D5B50">
        <w:rPr>
          <w:rFonts w:cs="Times New Roman"/>
          <w:i/>
          <w:iCs/>
          <w:noProof/>
          <w:szCs w:val="24"/>
        </w:rPr>
        <w:t>Journal of the American Medical Informatics Association</w:t>
      </w:r>
      <w:r w:rsidRPr="009D5B50">
        <w:rPr>
          <w:rFonts w:cs="Times New Roman"/>
          <w:noProof/>
          <w:szCs w:val="24"/>
        </w:rPr>
        <w:t>. doi: 10.1093/jamia/ocz043.</w:t>
      </w:r>
    </w:p>
    <w:p w14:paraId="26DD17D8"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Gyani, A. </w:t>
      </w:r>
      <w:r w:rsidRPr="009D5B50">
        <w:rPr>
          <w:rFonts w:cs="Times New Roman"/>
          <w:b/>
          <w:bCs/>
          <w:i/>
          <w:iCs/>
          <w:noProof/>
          <w:szCs w:val="24"/>
        </w:rPr>
        <w:t>et al.</w:t>
      </w:r>
      <w:r w:rsidRPr="009D5B50">
        <w:rPr>
          <w:rFonts w:cs="Times New Roman"/>
          <w:noProof/>
          <w:szCs w:val="24"/>
        </w:rPr>
        <w:t xml:space="preserve"> (2013) ‘Enhancing recovery rates: Lessons from year one of IAPT’, </w:t>
      </w:r>
      <w:r w:rsidRPr="009D5B50">
        <w:rPr>
          <w:rFonts w:cs="Times New Roman"/>
          <w:i/>
          <w:iCs/>
          <w:noProof/>
          <w:szCs w:val="24"/>
        </w:rPr>
        <w:t>Behaviour Research and Therapy</w:t>
      </w:r>
      <w:r w:rsidRPr="009D5B50">
        <w:rPr>
          <w:rFonts w:cs="Times New Roman"/>
          <w:noProof/>
          <w:szCs w:val="24"/>
        </w:rPr>
        <w:t>, 51, pp. 597–606. doi: 10.1016/j.brat.2013.06.004.</w:t>
      </w:r>
    </w:p>
    <w:p w14:paraId="0AE891F6"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Hunot, V. </w:t>
      </w:r>
      <w:r w:rsidRPr="009D5B50">
        <w:rPr>
          <w:rFonts w:cs="Times New Roman"/>
          <w:b/>
          <w:bCs/>
          <w:i/>
          <w:iCs/>
          <w:noProof/>
          <w:szCs w:val="24"/>
        </w:rPr>
        <w:t>et al.</w:t>
      </w:r>
      <w:r w:rsidRPr="009D5B50">
        <w:rPr>
          <w:rFonts w:cs="Times New Roman"/>
          <w:noProof/>
          <w:szCs w:val="24"/>
        </w:rPr>
        <w:t xml:space="preserve"> (2007) ‘Psychological therapies for generalised anxiety disorder’, </w:t>
      </w:r>
      <w:r w:rsidRPr="009D5B50">
        <w:rPr>
          <w:rFonts w:cs="Times New Roman"/>
          <w:i/>
          <w:iCs/>
          <w:noProof/>
          <w:szCs w:val="24"/>
        </w:rPr>
        <w:t>Cochrane Database of Systematic Reviews</w:t>
      </w:r>
      <w:r w:rsidRPr="009D5B50">
        <w:rPr>
          <w:rFonts w:cs="Times New Roman"/>
          <w:noProof/>
          <w:szCs w:val="24"/>
        </w:rPr>
        <w:t>. doi: 10.1002/14651858.CD001848.pub4.</w:t>
      </w:r>
    </w:p>
    <w:p w14:paraId="173451B4"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IIIPE, H. and CB, N.</w:t>
      </w:r>
      <w:r w:rsidRPr="009D5B50">
        <w:rPr>
          <w:rFonts w:cs="Times New Roman"/>
          <w:noProof/>
          <w:szCs w:val="24"/>
        </w:rPr>
        <w:t xml:space="preserve"> (2006) ‘Emerging treatments for depression’, </w:t>
      </w:r>
      <w:r w:rsidRPr="009D5B50">
        <w:rPr>
          <w:rFonts w:cs="Times New Roman"/>
          <w:i/>
          <w:iCs/>
          <w:noProof/>
          <w:szCs w:val="24"/>
        </w:rPr>
        <w:t>Expert opinion on pharmacotherapy</w:t>
      </w:r>
      <w:r w:rsidRPr="009D5B50">
        <w:rPr>
          <w:rFonts w:cs="Times New Roman"/>
          <w:noProof/>
          <w:szCs w:val="24"/>
        </w:rPr>
        <w:t>. doi: http://dx.doi.org/10.1517/14656566.7.17.2323.</w:t>
      </w:r>
    </w:p>
    <w:p w14:paraId="4D2F16DE"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Kessler, D. </w:t>
      </w:r>
      <w:r w:rsidRPr="009D5B50">
        <w:rPr>
          <w:rFonts w:cs="Times New Roman"/>
          <w:b/>
          <w:bCs/>
          <w:i/>
          <w:iCs/>
          <w:noProof/>
          <w:szCs w:val="24"/>
        </w:rPr>
        <w:t>et al.</w:t>
      </w:r>
      <w:r w:rsidRPr="009D5B50">
        <w:rPr>
          <w:rFonts w:cs="Times New Roman"/>
          <w:noProof/>
          <w:szCs w:val="24"/>
        </w:rPr>
        <w:t xml:space="preserve"> (2009) ‘Therapist-delivered internet psychotherapy for depression in primary care: a randomised controlled trial’, </w:t>
      </w:r>
      <w:r w:rsidRPr="009D5B50">
        <w:rPr>
          <w:rFonts w:cs="Times New Roman"/>
          <w:i/>
          <w:iCs/>
          <w:noProof/>
          <w:szCs w:val="24"/>
        </w:rPr>
        <w:t>The Lancet</w:t>
      </w:r>
      <w:r w:rsidRPr="009D5B50">
        <w:rPr>
          <w:rFonts w:cs="Times New Roman"/>
          <w:noProof/>
          <w:szCs w:val="24"/>
        </w:rPr>
        <w:t>, 374(9690), pp. 628–634. doi: 10.1016/S0140-6736(09)61257-5.</w:t>
      </w:r>
    </w:p>
    <w:p w14:paraId="228D307F"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Khan, A. </w:t>
      </w:r>
      <w:r w:rsidRPr="009D5B50">
        <w:rPr>
          <w:rFonts w:cs="Times New Roman"/>
          <w:b/>
          <w:bCs/>
          <w:i/>
          <w:iCs/>
          <w:noProof/>
          <w:szCs w:val="24"/>
        </w:rPr>
        <w:t>et al.</w:t>
      </w:r>
      <w:r w:rsidRPr="009D5B50">
        <w:rPr>
          <w:rFonts w:cs="Times New Roman"/>
          <w:noProof/>
          <w:szCs w:val="24"/>
        </w:rPr>
        <w:t xml:space="preserve"> (2012) ‘A systematic review of comparative efficacy of treatments and controls for depression’, </w:t>
      </w:r>
      <w:r w:rsidRPr="009D5B50">
        <w:rPr>
          <w:rFonts w:cs="Times New Roman"/>
          <w:i/>
          <w:iCs/>
          <w:noProof/>
          <w:szCs w:val="24"/>
        </w:rPr>
        <w:t>PLoS ONE</w:t>
      </w:r>
      <w:r w:rsidRPr="009D5B50">
        <w:rPr>
          <w:rFonts w:cs="Times New Roman"/>
          <w:noProof/>
          <w:szCs w:val="24"/>
        </w:rPr>
        <w:t>. doi: 10.1371/journal.pone.0041778.</w:t>
      </w:r>
    </w:p>
    <w:p w14:paraId="1D8A368E"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Kroenke, K., Spitzer, R. L. and Williams, J. B.</w:t>
      </w:r>
      <w:r w:rsidRPr="009D5B50">
        <w:rPr>
          <w:rFonts w:cs="Times New Roman"/>
          <w:noProof/>
          <w:szCs w:val="24"/>
        </w:rPr>
        <w:t xml:space="preserve"> (2001) ‘The PHQ-9: validity of a brief depression severity measure.’, </w:t>
      </w:r>
      <w:r w:rsidRPr="009D5B50">
        <w:rPr>
          <w:rFonts w:cs="Times New Roman"/>
          <w:i/>
          <w:iCs/>
          <w:noProof/>
          <w:szCs w:val="24"/>
        </w:rPr>
        <w:t>Journal of general internal medicine</w:t>
      </w:r>
      <w:r w:rsidRPr="009D5B50">
        <w:rPr>
          <w:rFonts w:cs="Times New Roman"/>
          <w:noProof/>
          <w:szCs w:val="24"/>
        </w:rPr>
        <w:t>. Springer, 16(9), pp. 606–13. doi: 10.1046/j.1525-1497.2001.016009606.x.</w:t>
      </w:r>
    </w:p>
    <w:p w14:paraId="5A5BA4D3"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Lind, M. N. </w:t>
      </w:r>
      <w:r w:rsidRPr="009D5B50">
        <w:rPr>
          <w:rFonts w:cs="Times New Roman"/>
          <w:b/>
          <w:bCs/>
          <w:i/>
          <w:iCs/>
          <w:noProof/>
          <w:szCs w:val="24"/>
        </w:rPr>
        <w:t>et al.</w:t>
      </w:r>
      <w:r w:rsidRPr="009D5B50">
        <w:rPr>
          <w:rFonts w:cs="Times New Roman"/>
          <w:noProof/>
          <w:szCs w:val="24"/>
        </w:rPr>
        <w:t xml:space="preserve"> (2018) ‘The Effortless Assessment of Risk States (EARS) Tool: An interpersonal approach to mobile sensing’, </w:t>
      </w:r>
      <w:r w:rsidRPr="009D5B50">
        <w:rPr>
          <w:rFonts w:cs="Times New Roman"/>
          <w:i/>
          <w:iCs/>
          <w:noProof/>
          <w:szCs w:val="24"/>
        </w:rPr>
        <w:t>Journal of Medical Internet Research</w:t>
      </w:r>
      <w:r w:rsidRPr="009D5B50">
        <w:rPr>
          <w:rFonts w:cs="Times New Roman"/>
          <w:noProof/>
          <w:szCs w:val="24"/>
        </w:rPr>
        <w:t>. doi: 10.2196/10334.</w:t>
      </w:r>
    </w:p>
    <w:p w14:paraId="08CF182F"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Lozano, R. </w:t>
      </w:r>
      <w:r w:rsidRPr="009D5B50">
        <w:rPr>
          <w:rFonts w:cs="Times New Roman"/>
          <w:b/>
          <w:bCs/>
          <w:i/>
          <w:iCs/>
          <w:noProof/>
          <w:szCs w:val="24"/>
        </w:rPr>
        <w:t>et al.</w:t>
      </w:r>
      <w:r w:rsidRPr="009D5B50">
        <w:rPr>
          <w:rFonts w:cs="Times New Roman"/>
          <w:noProof/>
          <w:szCs w:val="24"/>
        </w:rPr>
        <w:t xml:space="preserve"> (2012) ‘Global and regional mortality from 235 causes of death for 20 age groups in 1990 and 2010: A systematic analysis for the Global Burden of Disease Study 2010’, </w:t>
      </w:r>
      <w:r w:rsidRPr="009D5B50">
        <w:rPr>
          <w:rFonts w:cs="Times New Roman"/>
          <w:i/>
          <w:iCs/>
          <w:noProof/>
          <w:szCs w:val="24"/>
        </w:rPr>
        <w:t>The Lancet</w:t>
      </w:r>
      <w:r w:rsidRPr="009D5B50">
        <w:rPr>
          <w:rFonts w:cs="Times New Roman"/>
          <w:noProof/>
          <w:szCs w:val="24"/>
        </w:rPr>
        <w:t>. doi: 10.1016/S0140-6736(12)61728-0.</w:t>
      </w:r>
    </w:p>
    <w:p w14:paraId="0BDF7B46"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National Institute for Health and Clinical Excellence</w:t>
      </w:r>
      <w:r w:rsidRPr="009D5B50">
        <w:rPr>
          <w:rFonts w:cs="Times New Roman"/>
          <w:noProof/>
          <w:szCs w:val="24"/>
        </w:rPr>
        <w:t xml:space="preserve"> (2011) ‘Generalised anxiety disorder and panic disorder in adults: Management’, </w:t>
      </w:r>
      <w:r w:rsidRPr="009D5B50">
        <w:rPr>
          <w:rFonts w:cs="Times New Roman"/>
          <w:i/>
          <w:iCs/>
          <w:noProof/>
          <w:szCs w:val="24"/>
        </w:rPr>
        <w:t>National Institute for Health and Clinical Excellence</w:t>
      </w:r>
      <w:r w:rsidRPr="009D5B50">
        <w:rPr>
          <w:rFonts w:cs="Times New Roman"/>
          <w:noProof/>
          <w:szCs w:val="24"/>
        </w:rPr>
        <w:t>.</w:t>
      </w:r>
    </w:p>
    <w:p w14:paraId="1788E8C0"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lastRenderedPageBreak/>
        <w:t xml:space="preserve">Palmius, N. </w:t>
      </w:r>
      <w:r w:rsidRPr="009D5B50">
        <w:rPr>
          <w:rFonts w:cs="Times New Roman"/>
          <w:b/>
          <w:bCs/>
          <w:i/>
          <w:iCs/>
          <w:noProof/>
          <w:szCs w:val="24"/>
        </w:rPr>
        <w:t>et al.</w:t>
      </w:r>
      <w:r w:rsidRPr="009D5B50">
        <w:rPr>
          <w:rFonts w:cs="Times New Roman"/>
          <w:noProof/>
          <w:szCs w:val="24"/>
        </w:rPr>
        <w:t xml:space="preserve"> (2017) ‘Detecting bipolar depression from geographic location data’, </w:t>
      </w:r>
      <w:r w:rsidRPr="009D5B50">
        <w:rPr>
          <w:rFonts w:cs="Times New Roman"/>
          <w:i/>
          <w:iCs/>
          <w:noProof/>
          <w:szCs w:val="24"/>
        </w:rPr>
        <w:t>IEEE Transactions on Biomedical Engineering</w:t>
      </w:r>
      <w:r w:rsidRPr="009D5B50">
        <w:rPr>
          <w:rFonts w:cs="Times New Roman"/>
          <w:noProof/>
          <w:szCs w:val="24"/>
        </w:rPr>
        <w:t>. doi: 10.1109/TBME.2016.2611862.</w:t>
      </w:r>
    </w:p>
    <w:p w14:paraId="7A55C9B0"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R Core Team (2019)</w:t>
      </w:r>
      <w:r w:rsidRPr="009D5B50">
        <w:rPr>
          <w:rFonts w:cs="Times New Roman"/>
          <w:noProof/>
          <w:szCs w:val="24"/>
        </w:rPr>
        <w:t xml:space="preserve"> (2019) ‘R: A language and environment for statistical computing.’, </w:t>
      </w:r>
      <w:r w:rsidRPr="009D5B50">
        <w:rPr>
          <w:rFonts w:cs="Times New Roman"/>
          <w:i/>
          <w:iCs/>
          <w:noProof/>
          <w:szCs w:val="24"/>
        </w:rPr>
        <w:t>Accessed 1st April 2019</w:t>
      </w:r>
      <w:r w:rsidRPr="009D5B50">
        <w:rPr>
          <w:rFonts w:cs="Times New Roman"/>
          <w:noProof/>
          <w:szCs w:val="24"/>
        </w:rPr>
        <w:t>.</w:t>
      </w:r>
    </w:p>
    <w:p w14:paraId="48277121"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Saeb, S. </w:t>
      </w:r>
      <w:r w:rsidRPr="009D5B50">
        <w:rPr>
          <w:rFonts w:cs="Times New Roman"/>
          <w:b/>
          <w:bCs/>
          <w:i/>
          <w:iCs/>
          <w:noProof/>
          <w:szCs w:val="24"/>
        </w:rPr>
        <w:t>et al.</w:t>
      </w:r>
      <w:r w:rsidRPr="009D5B50">
        <w:rPr>
          <w:rFonts w:cs="Times New Roman"/>
          <w:noProof/>
          <w:szCs w:val="24"/>
        </w:rPr>
        <w:t xml:space="preserve"> (2016) ‘The relationship between mobile phone location sensor data and depressive symptom severity’, </w:t>
      </w:r>
      <w:r w:rsidRPr="009D5B50">
        <w:rPr>
          <w:rFonts w:cs="Times New Roman"/>
          <w:i/>
          <w:iCs/>
          <w:noProof/>
          <w:szCs w:val="24"/>
        </w:rPr>
        <w:t>PeerJ</w:t>
      </w:r>
      <w:r w:rsidRPr="009D5B50">
        <w:rPr>
          <w:rFonts w:cs="Times New Roman"/>
          <w:noProof/>
          <w:szCs w:val="24"/>
        </w:rPr>
        <w:t>. doi: 10.7717/peerj.2537.</w:t>
      </w:r>
    </w:p>
    <w:p w14:paraId="2C2BD322"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Spitzer, R. L. </w:t>
      </w:r>
      <w:r w:rsidRPr="009D5B50">
        <w:rPr>
          <w:rFonts w:cs="Times New Roman"/>
          <w:b/>
          <w:bCs/>
          <w:i/>
          <w:iCs/>
          <w:noProof/>
          <w:szCs w:val="24"/>
        </w:rPr>
        <w:t>et al.</w:t>
      </w:r>
      <w:r w:rsidRPr="009D5B50">
        <w:rPr>
          <w:rFonts w:cs="Times New Roman"/>
          <w:noProof/>
          <w:szCs w:val="24"/>
        </w:rPr>
        <w:t xml:space="preserve"> (2006) ‘A brief measure for assessing generalized anxiety disorder: the GAD-7.’, </w:t>
      </w:r>
      <w:r w:rsidRPr="009D5B50">
        <w:rPr>
          <w:rFonts w:cs="Times New Roman"/>
          <w:i/>
          <w:iCs/>
          <w:noProof/>
          <w:szCs w:val="24"/>
        </w:rPr>
        <w:t>Archives of internal medicine</w:t>
      </w:r>
      <w:r w:rsidRPr="009D5B50">
        <w:rPr>
          <w:rFonts w:cs="Times New Roman"/>
          <w:noProof/>
          <w:szCs w:val="24"/>
        </w:rPr>
        <w:t>, 166(10), pp. 1092–1097. doi: 10.1001/archinte.166.10.1092.</w:t>
      </w:r>
    </w:p>
    <w:p w14:paraId="284F9885"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Torous, J., Staples, P. and Onnela, J. P.</w:t>
      </w:r>
      <w:r w:rsidRPr="009D5B50">
        <w:rPr>
          <w:rFonts w:cs="Times New Roman"/>
          <w:noProof/>
          <w:szCs w:val="24"/>
        </w:rPr>
        <w:t xml:space="preserve"> (2015) ‘Realizing the Potential of Mobile Mental Health: New Methods for New Data in Psychiatry’, </w:t>
      </w:r>
      <w:r w:rsidRPr="009D5B50">
        <w:rPr>
          <w:rFonts w:cs="Times New Roman"/>
          <w:i/>
          <w:iCs/>
          <w:noProof/>
          <w:szCs w:val="24"/>
        </w:rPr>
        <w:t>Current Psychiatry Reports</w:t>
      </w:r>
      <w:r w:rsidRPr="009D5B50">
        <w:rPr>
          <w:rFonts w:cs="Times New Roman"/>
          <w:noProof/>
          <w:szCs w:val="24"/>
        </w:rPr>
        <w:t>. doi: 10.1007/s11920-015-0602-0.</w:t>
      </w:r>
    </w:p>
    <w:p w14:paraId="109ADFA4"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Tyrer, P. and Baldwin, D.</w:t>
      </w:r>
      <w:r w:rsidRPr="009D5B50">
        <w:rPr>
          <w:rFonts w:cs="Times New Roman"/>
          <w:noProof/>
          <w:szCs w:val="24"/>
        </w:rPr>
        <w:t xml:space="preserve"> (2006) ‘Generalised anxiety disorder’, </w:t>
      </w:r>
      <w:r w:rsidRPr="009D5B50">
        <w:rPr>
          <w:rFonts w:cs="Times New Roman"/>
          <w:i/>
          <w:iCs/>
          <w:noProof/>
          <w:szCs w:val="24"/>
        </w:rPr>
        <w:t>Lancet</w:t>
      </w:r>
      <w:r w:rsidRPr="009D5B50">
        <w:rPr>
          <w:rFonts w:cs="Times New Roman"/>
          <w:noProof/>
          <w:szCs w:val="24"/>
        </w:rPr>
        <w:t>. doi: 10.1016/S0140-6736(06)69865-6.</w:t>
      </w:r>
    </w:p>
    <w:p w14:paraId="20824855"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 xml:space="preserve">Vos, T. </w:t>
      </w:r>
      <w:r w:rsidRPr="009D5B50">
        <w:rPr>
          <w:rFonts w:cs="Times New Roman"/>
          <w:b/>
          <w:bCs/>
          <w:i/>
          <w:iCs/>
          <w:noProof/>
          <w:szCs w:val="24"/>
        </w:rPr>
        <w:t>et al.</w:t>
      </w:r>
      <w:r w:rsidRPr="009D5B50">
        <w:rPr>
          <w:rFonts w:cs="Times New Roman"/>
          <w:noProof/>
          <w:szCs w:val="24"/>
        </w:rPr>
        <w:t xml:space="preserve"> (2016) ‘Global, regional, and national incidence, prevalence, and years lived with disability for 310 diseases and injuries, 1990–2015: a systematic analysis for the Global Burden of Disease Study 2015’, </w:t>
      </w:r>
      <w:r w:rsidRPr="009D5B50">
        <w:rPr>
          <w:rFonts w:cs="Times New Roman"/>
          <w:i/>
          <w:iCs/>
          <w:noProof/>
          <w:szCs w:val="24"/>
        </w:rPr>
        <w:t>The Lancet</w:t>
      </w:r>
      <w:r w:rsidRPr="009D5B50">
        <w:rPr>
          <w:rFonts w:cs="Times New Roman"/>
          <w:noProof/>
          <w:szCs w:val="24"/>
        </w:rPr>
        <w:t>, 388(10053), pp. 1545–1602. doi: 10.1016/S0140-6736(16)31678-6.</w:t>
      </w:r>
    </w:p>
    <w:p w14:paraId="411DAFBC" w14:textId="77777777" w:rsidR="009D5B50" w:rsidRPr="009D5B50" w:rsidRDefault="009D5B50" w:rsidP="009D5B50">
      <w:pPr>
        <w:widowControl w:val="0"/>
        <w:autoSpaceDE w:val="0"/>
        <w:autoSpaceDN w:val="0"/>
        <w:adjustRightInd w:val="0"/>
        <w:spacing w:line="360" w:lineRule="auto"/>
        <w:rPr>
          <w:rFonts w:cs="Times New Roman"/>
          <w:noProof/>
          <w:szCs w:val="24"/>
        </w:rPr>
      </w:pPr>
      <w:r w:rsidRPr="009D5B50">
        <w:rPr>
          <w:rFonts w:cs="Times New Roman"/>
          <w:b/>
          <w:bCs/>
          <w:noProof/>
          <w:szCs w:val="24"/>
        </w:rPr>
        <w:t>World Health Organisation</w:t>
      </w:r>
      <w:r w:rsidRPr="009D5B50">
        <w:rPr>
          <w:rFonts w:cs="Times New Roman"/>
          <w:noProof/>
          <w:szCs w:val="24"/>
        </w:rPr>
        <w:t xml:space="preserve"> (2014) ‘Mental health : strengthening our response’, </w:t>
      </w:r>
      <w:r w:rsidRPr="009D5B50">
        <w:rPr>
          <w:rFonts w:cs="Times New Roman"/>
          <w:i/>
          <w:iCs/>
          <w:noProof/>
          <w:szCs w:val="24"/>
        </w:rPr>
        <w:t>Fact sheet N.220</w:t>
      </w:r>
      <w:r w:rsidRPr="009D5B50">
        <w:rPr>
          <w:rFonts w:cs="Times New Roman"/>
          <w:noProof/>
          <w:szCs w:val="24"/>
        </w:rPr>
        <w:t>. doi: 10.1037/e360882004-001.</w:t>
      </w:r>
    </w:p>
    <w:p w14:paraId="117E164A" w14:textId="17F390D7" w:rsidR="00A46531" w:rsidRPr="00655AC9" w:rsidRDefault="009D5B50" w:rsidP="00597D02">
      <w:pPr>
        <w:widowControl w:val="0"/>
        <w:autoSpaceDE w:val="0"/>
        <w:autoSpaceDN w:val="0"/>
        <w:adjustRightInd w:val="0"/>
        <w:spacing w:line="360" w:lineRule="auto"/>
        <w:rPr>
          <w:b/>
          <w:szCs w:val="20"/>
        </w:rPr>
      </w:pPr>
      <w:r w:rsidRPr="009D5B50">
        <w:rPr>
          <w:rFonts w:cs="Times New Roman"/>
          <w:b/>
          <w:bCs/>
          <w:noProof/>
          <w:szCs w:val="24"/>
        </w:rPr>
        <w:t>World Health Organization</w:t>
      </w:r>
      <w:r w:rsidRPr="009D5B50">
        <w:rPr>
          <w:rFonts w:cs="Times New Roman"/>
          <w:noProof/>
          <w:szCs w:val="24"/>
        </w:rPr>
        <w:t xml:space="preserve"> (2011) ‘Mental Health Atlas 2011’, </w:t>
      </w:r>
      <w:r w:rsidRPr="009D5B50">
        <w:rPr>
          <w:rFonts w:cs="Times New Roman"/>
          <w:i/>
          <w:iCs/>
          <w:noProof/>
          <w:szCs w:val="24"/>
        </w:rPr>
        <w:t>World Health Organization</w:t>
      </w:r>
      <w:r w:rsidRPr="009D5B50">
        <w:rPr>
          <w:rFonts w:cs="Times New Roman"/>
          <w:noProof/>
          <w:szCs w:val="24"/>
        </w:rPr>
        <w:t>. doi: 10.1093/bja/aes067.</w:t>
      </w:r>
      <w:r w:rsidR="00A46531" w:rsidRPr="009770B5">
        <w:rPr>
          <w:b/>
          <w:szCs w:val="20"/>
        </w:rPr>
        <w:fldChar w:fldCharType="end"/>
      </w:r>
    </w:p>
    <w:p w14:paraId="7BDA4FF0" w14:textId="77777777" w:rsidR="00A46531" w:rsidRPr="009E4AD1" w:rsidRDefault="00A46531" w:rsidP="00A46531"/>
    <w:p w14:paraId="0139A500" w14:textId="77777777" w:rsidR="0038531C" w:rsidRDefault="0038531C"/>
    <w:sectPr w:rsidR="0038531C">
      <w:headerReference w:type="default" r:id="rId17"/>
      <w:foot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77BDC69" w16cex:dateUtc="2020-03-10T16: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05AAD" w14:textId="77777777" w:rsidR="003B4B7F" w:rsidRDefault="003B4B7F">
      <w:pPr>
        <w:spacing w:after="0" w:line="240" w:lineRule="auto"/>
      </w:pPr>
      <w:r>
        <w:separator/>
      </w:r>
    </w:p>
  </w:endnote>
  <w:endnote w:type="continuationSeparator" w:id="0">
    <w:p w14:paraId="6CD424D2" w14:textId="77777777" w:rsidR="003B4B7F" w:rsidRDefault="003B4B7F">
      <w:pPr>
        <w:spacing w:after="0" w:line="240" w:lineRule="auto"/>
      </w:pPr>
      <w:r>
        <w:continuationSeparator/>
      </w:r>
    </w:p>
  </w:endnote>
  <w:endnote w:type="continuationNotice" w:id="1">
    <w:p w14:paraId="014FAEB2" w14:textId="77777777" w:rsidR="003B4B7F" w:rsidRDefault="003B4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880425"/>
      <w:docPartObj>
        <w:docPartGallery w:val="Page Numbers (Bottom of Page)"/>
        <w:docPartUnique/>
      </w:docPartObj>
    </w:sdtPr>
    <w:sdtEndPr>
      <w:rPr>
        <w:noProof/>
      </w:rPr>
    </w:sdtEndPr>
    <w:sdtContent>
      <w:p w14:paraId="396F8FA4" w14:textId="77777777" w:rsidR="003C1161" w:rsidRDefault="003C116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07E65F72" w14:textId="77777777" w:rsidR="003C1161" w:rsidRDefault="003C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F704D" w14:textId="77777777" w:rsidR="003B4B7F" w:rsidRDefault="003B4B7F">
      <w:pPr>
        <w:spacing w:after="0" w:line="240" w:lineRule="auto"/>
      </w:pPr>
      <w:r>
        <w:separator/>
      </w:r>
    </w:p>
  </w:footnote>
  <w:footnote w:type="continuationSeparator" w:id="0">
    <w:p w14:paraId="6E7CE41E" w14:textId="77777777" w:rsidR="003B4B7F" w:rsidRDefault="003B4B7F">
      <w:pPr>
        <w:spacing w:after="0" w:line="240" w:lineRule="auto"/>
      </w:pPr>
      <w:r>
        <w:continuationSeparator/>
      </w:r>
    </w:p>
  </w:footnote>
  <w:footnote w:type="continuationNotice" w:id="1">
    <w:p w14:paraId="19F95A93" w14:textId="77777777" w:rsidR="003B4B7F" w:rsidRDefault="003B4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3C1161" w14:paraId="48C76EC6" w14:textId="77777777" w:rsidTr="003C1161">
      <w:tc>
        <w:tcPr>
          <w:tcW w:w="3009" w:type="dxa"/>
        </w:tcPr>
        <w:p w14:paraId="36DF4F0E" w14:textId="77777777" w:rsidR="003C1161" w:rsidRDefault="003C1161" w:rsidP="003C1161">
          <w:pPr>
            <w:pStyle w:val="Header"/>
            <w:ind w:left="-115"/>
          </w:pPr>
        </w:p>
      </w:tc>
      <w:tc>
        <w:tcPr>
          <w:tcW w:w="3009" w:type="dxa"/>
        </w:tcPr>
        <w:p w14:paraId="2FE8901F" w14:textId="77777777" w:rsidR="003C1161" w:rsidRDefault="003C1161" w:rsidP="003C1161">
          <w:pPr>
            <w:pStyle w:val="Header"/>
            <w:jc w:val="center"/>
          </w:pPr>
        </w:p>
      </w:tc>
      <w:tc>
        <w:tcPr>
          <w:tcW w:w="3009" w:type="dxa"/>
        </w:tcPr>
        <w:p w14:paraId="07EDCC68" w14:textId="77777777" w:rsidR="003C1161" w:rsidRDefault="003C1161" w:rsidP="003C1161">
          <w:pPr>
            <w:pStyle w:val="Header"/>
            <w:ind w:right="-115"/>
            <w:jc w:val="right"/>
          </w:pPr>
        </w:p>
      </w:tc>
    </w:tr>
  </w:tbl>
  <w:p w14:paraId="25F1763A" w14:textId="77777777" w:rsidR="003C1161" w:rsidRDefault="003C1161" w:rsidP="003C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0D0"/>
    <w:multiLevelType w:val="hybridMultilevel"/>
    <w:tmpl w:val="1D4C56F2"/>
    <w:lvl w:ilvl="0" w:tplc="1CD0A5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0375B"/>
    <w:multiLevelType w:val="hybridMultilevel"/>
    <w:tmpl w:val="B79A31E4"/>
    <w:lvl w:ilvl="0" w:tplc="902A2F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372B2C"/>
    <w:multiLevelType w:val="hybridMultilevel"/>
    <w:tmpl w:val="947CFF0E"/>
    <w:lvl w:ilvl="0" w:tplc="AAB2046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92FE0"/>
    <w:multiLevelType w:val="hybridMultilevel"/>
    <w:tmpl w:val="0A408EE8"/>
    <w:lvl w:ilvl="0" w:tplc="08090001">
      <w:start w:val="1"/>
      <w:numFmt w:val="bullet"/>
      <w:lvlText w:val=""/>
      <w:lvlJc w:val="left"/>
      <w:pPr>
        <w:ind w:left="720" w:hanging="360"/>
      </w:pPr>
      <w:rPr>
        <w:rFonts w:ascii="Symbol" w:hAnsi="Symbol" w:hint="default"/>
      </w:rPr>
    </w:lvl>
    <w:lvl w:ilvl="1" w:tplc="CD3ACF54">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83852"/>
    <w:multiLevelType w:val="hybridMultilevel"/>
    <w:tmpl w:val="D7E4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704E1"/>
    <w:multiLevelType w:val="hybridMultilevel"/>
    <w:tmpl w:val="F418F5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00021C"/>
    <w:multiLevelType w:val="hybridMultilevel"/>
    <w:tmpl w:val="283A892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A4090"/>
    <w:multiLevelType w:val="hybridMultilevel"/>
    <w:tmpl w:val="F33AA9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537A3"/>
    <w:multiLevelType w:val="hybridMultilevel"/>
    <w:tmpl w:val="D8523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1"/>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31"/>
    <w:rsid w:val="00000928"/>
    <w:rsid w:val="00000B35"/>
    <w:rsid w:val="0000467B"/>
    <w:rsid w:val="00005A60"/>
    <w:rsid w:val="00007ACE"/>
    <w:rsid w:val="000108FD"/>
    <w:rsid w:val="00016FCC"/>
    <w:rsid w:val="00020818"/>
    <w:rsid w:val="00027ADD"/>
    <w:rsid w:val="00034FE2"/>
    <w:rsid w:val="00047211"/>
    <w:rsid w:val="000502BB"/>
    <w:rsid w:val="00051D55"/>
    <w:rsid w:val="00052F4F"/>
    <w:rsid w:val="00053293"/>
    <w:rsid w:val="00073A2E"/>
    <w:rsid w:val="00074425"/>
    <w:rsid w:val="00087515"/>
    <w:rsid w:val="00091136"/>
    <w:rsid w:val="00092D99"/>
    <w:rsid w:val="000960D6"/>
    <w:rsid w:val="000976D2"/>
    <w:rsid w:val="000A19A8"/>
    <w:rsid w:val="000A4B21"/>
    <w:rsid w:val="000A5324"/>
    <w:rsid w:val="000C1B24"/>
    <w:rsid w:val="000C21B2"/>
    <w:rsid w:val="000D2FCA"/>
    <w:rsid w:val="000D42FD"/>
    <w:rsid w:val="000E0F65"/>
    <w:rsid w:val="000E1D07"/>
    <w:rsid w:val="001011B9"/>
    <w:rsid w:val="001056B1"/>
    <w:rsid w:val="00121FA9"/>
    <w:rsid w:val="00125CCE"/>
    <w:rsid w:val="001304E1"/>
    <w:rsid w:val="0013218E"/>
    <w:rsid w:val="00134678"/>
    <w:rsid w:val="00136E5D"/>
    <w:rsid w:val="00141374"/>
    <w:rsid w:val="00142111"/>
    <w:rsid w:val="00152884"/>
    <w:rsid w:val="00156B54"/>
    <w:rsid w:val="00165272"/>
    <w:rsid w:val="001658BF"/>
    <w:rsid w:val="001726AA"/>
    <w:rsid w:val="00176DEC"/>
    <w:rsid w:val="001770C4"/>
    <w:rsid w:val="00181FF8"/>
    <w:rsid w:val="0018288D"/>
    <w:rsid w:val="00182DC1"/>
    <w:rsid w:val="001832FC"/>
    <w:rsid w:val="00184CAE"/>
    <w:rsid w:val="00187140"/>
    <w:rsid w:val="00193F26"/>
    <w:rsid w:val="001A1F0A"/>
    <w:rsid w:val="001A3C71"/>
    <w:rsid w:val="001B36DF"/>
    <w:rsid w:val="001D098E"/>
    <w:rsid w:val="001D4B29"/>
    <w:rsid w:val="001D5194"/>
    <w:rsid w:val="001E2A99"/>
    <w:rsid w:val="001F3149"/>
    <w:rsid w:val="001F7223"/>
    <w:rsid w:val="002047ED"/>
    <w:rsid w:val="002047EE"/>
    <w:rsid w:val="0020655F"/>
    <w:rsid w:val="00213B8A"/>
    <w:rsid w:val="00216199"/>
    <w:rsid w:val="002228C6"/>
    <w:rsid w:val="002410E2"/>
    <w:rsid w:val="0024232F"/>
    <w:rsid w:val="00254495"/>
    <w:rsid w:val="00265B66"/>
    <w:rsid w:val="002717EA"/>
    <w:rsid w:val="00274443"/>
    <w:rsid w:val="00283F84"/>
    <w:rsid w:val="00286EF2"/>
    <w:rsid w:val="00294DFE"/>
    <w:rsid w:val="002B62E7"/>
    <w:rsid w:val="002C50FA"/>
    <w:rsid w:val="002D2805"/>
    <w:rsid w:val="002E450B"/>
    <w:rsid w:val="002F3F51"/>
    <w:rsid w:val="002F42DA"/>
    <w:rsid w:val="002F548A"/>
    <w:rsid w:val="00303AE6"/>
    <w:rsid w:val="003050D0"/>
    <w:rsid w:val="0032326F"/>
    <w:rsid w:val="00323C4A"/>
    <w:rsid w:val="003301FD"/>
    <w:rsid w:val="0033100F"/>
    <w:rsid w:val="00335FED"/>
    <w:rsid w:val="00341A79"/>
    <w:rsid w:val="00343AFA"/>
    <w:rsid w:val="003524A3"/>
    <w:rsid w:val="003551BC"/>
    <w:rsid w:val="003552A2"/>
    <w:rsid w:val="00362D8B"/>
    <w:rsid w:val="00381150"/>
    <w:rsid w:val="00383E46"/>
    <w:rsid w:val="0038531C"/>
    <w:rsid w:val="00386F86"/>
    <w:rsid w:val="00387CD2"/>
    <w:rsid w:val="0039461F"/>
    <w:rsid w:val="00396D3D"/>
    <w:rsid w:val="003A6A8A"/>
    <w:rsid w:val="003B2DFF"/>
    <w:rsid w:val="003B433A"/>
    <w:rsid w:val="003B4B7F"/>
    <w:rsid w:val="003C1161"/>
    <w:rsid w:val="003D7EB8"/>
    <w:rsid w:val="003E5C53"/>
    <w:rsid w:val="003E73F4"/>
    <w:rsid w:val="003F04F0"/>
    <w:rsid w:val="003F3FDC"/>
    <w:rsid w:val="003F4619"/>
    <w:rsid w:val="003F48CD"/>
    <w:rsid w:val="00404EB1"/>
    <w:rsid w:val="00405C1E"/>
    <w:rsid w:val="00423AD0"/>
    <w:rsid w:val="0042466F"/>
    <w:rsid w:val="004277DD"/>
    <w:rsid w:val="00431491"/>
    <w:rsid w:val="00435A79"/>
    <w:rsid w:val="00442414"/>
    <w:rsid w:val="00465203"/>
    <w:rsid w:val="00466589"/>
    <w:rsid w:val="00466EC6"/>
    <w:rsid w:val="004731ED"/>
    <w:rsid w:val="00480986"/>
    <w:rsid w:val="0049668D"/>
    <w:rsid w:val="004A5E9A"/>
    <w:rsid w:val="004B3AD4"/>
    <w:rsid w:val="004C6CB5"/>
    <w:rsid w:val="004D129D"/>
    <w:rsid w:val="004D6364"/>
    <w:rsid w:val="004E7701"/>
    <w:rsid w:val="004F191E"/>
    <w:rsid w:val="004F22AE"/>
    <w:rsid w:val="004F50A1"/>
    <w:rsid w:val="00503C36"/>
    <w:rsid w:val="00512E1F"/>
    <w:rsid w:val="00513D0A"/>
    <w:rsid w:val="00514700"/>
    <w:rsid w:val="00515506"/>
    <w:rsid w:val="0052179F"/>
    <w:rsid w:val="00521BB7"/>
    <w:rsid w:val="005222C3"/>
    <w:rsid w:val="005234E9"/>
    <w:rsid w:val="00526449"/>
    <w:rsid w:val="00530EEF"/>
    <w:rsid w:val="0053176E"/>
    <w:rsid w:val="00534690"/>
    <w:rsid w:val="00541532"/>
    <w:rsid w:val="0054178C"/>
    <w:rsid w:val="005419FE"/>
    <w:rsid w:val="00545C58"/>
    <w:rsid w:val="0054675F"/>
    <w:rsid w:val="00552DA3"/>
    <w:rsid w:val="0055393D"/>
    <w:rsid w:val="00556526"/>
    <w:rsid w:val="00557678"/>
    <w:rsid w:val="00563F4B"/>
    <w:rsid w:val="00565D88"/>
    <w:rsid w:val="00575EF9"/>
    <w:rsid w:val="005814C2"/>
    <w:rsid w:val="005863C0"/>
    <w:rsid w:val="00587B79"/>
    <w:rsid w:val="0059112D"/>
    <w:rsid w:val="00594BBA"/>
    <w:rsid w:val="005955A5"/>
    <w:rsid w:val="00597D02"/>
    <w:rsid w:val="005C202A"/>
    <w:rsid w:val="005C2615"/>
    <w:rsid w:val="005C4394"/>
    <w:rsid w:val="005C53E5"/>
    <w:rsid w:val="005C73D6"/>
    <w:rsid w:val="005D2719"/>
    <w:rsid w:val="005D7B92"/>
    <w:rsid w:val="005E1C5D"/>
    <w:rsid w:val="005F79FC"/>
    <w:rsid w:val="00601DD7"/>
    <w:rsid w:val="00607697"/>
    <w:rsid w:val="006100C5"/>
    <w:rsid w:val="00615CE2"/>
    <w:rsid w:val="006179F5"/>
    <w:rsid w:val="00620A90"/>
    <w:rsid w:val="006242FE"/>
    <w:rsid w:val="006248C1"/>
    <w:rsid w:val="00641CD7"/>
    <w:rsid w:val="006451F0"/>
    <w:rsid w:val="00662843"/>
    <w:rsid w:val="0067627C"/>
    <w:rsid w:val="006763CD"/>
    <w:rsid w:val="00681445"/>
    <w:rsid w:val="00682596"/>
    <w:rsid w:val="00690782"/>
    <w:rsid w:val="00694409"/>
    <w:rsid w:val="006951E8"/>
    <w:rsid w:val="006B34A0"/>
    <w:rsid w:val="006B4417"/>
    <w:rsid w:val="006B4548"/>
    <w:rsid w:val="006C67AD"/>
    <w:rsid w:val="006C6E3C"/>
    <w:rsid w:val="006C6FD0"/>
    <w:rsid w:val="006D514D"/>
    <w:rsid w:val="006D5C5F"/>
    <w:rsid w:val="006D5C75"/>
    <w:rsid w:val="006F3A98"/>
    <w:rsid w:val="006F43C9"/>
    <w:rsid w:val="007055CB"/>
    <w:rsid w:val="00720D7E"/>
    <w:rsid w:val="00721048"/>
    <w:rsid w:val="007221B7"/>
    <w:rsid w:val="007224E1"/>
    <w:rsid w:val="007225D4"/>
    <w:rsid w:val="0072323F"/>
    <w:rsid w:val="00726969"/>
    <w:rsid w:val="00753590"/>
    <w:rsid w:val="0075486E"/>
    <w:rsid w:val="00755BC8"/>
    <w:rsid w:val="007612EB"/>
    <w:rsid w:val="00767FD7"/>
    <w:rsid w:val="007730A3"/>
    <w:rsid w:val="00775DC1"/>
    <w:rsid w:val="007801FB"/>
    <w:rsid w:val="0079689C"/>
    <w:rsid w:val="00796BC8"/>
    <w:rsid w:val="007A2C61"/>
    <w:rsid w:val="007C74D1"/>
    <w:rsid w:val="007C7ACB"/>
    <w:rsid w:val="007C7EE9"/>
    <w:rsid w:val="007D2875"/>
    <w:rsid w:val="007D42C5"/>
    <w:rsid w:val="007E0891"/>
    <w:rsid w:val="007E2EF8"/>
    <w:rsid w:val="007F231A"/>
    <w:rsid w:val="007F4798"/>
    <w:rsid w:val="00803711"/>
    <w:rsid w:val="00804802"/>
    <w:rsid w:val="008049C2"/>
    <w:rsid w:val="00821F1A"/>
    <w:rsid w:val="0082387F"/>
    <w:rsid w:val="008353BC"/>
    <w:rsid w:val="00836EAB"/>
    <w:rsid w:val="00855EB0"/>
    <w:rsid w:val="008569F6"/>
    <w:rsid w:val="008615AE"/>
    <w:rsid w:val="0086479B"/>
    <w:rsid w:val="00895A3A"/>
    <w:rsid w:val="008B3571"/>
    <w:rsid w:val="008B6454"/>
    <w:rsid w:val="008C04C7"/>
    <w:rsid w:val="008C26EE"/>
    <w:rsid w:val="008C295E"/>
    <w:rsid w:val="008C6AA8"/>
    <w:rsid w:val="008C7163"/>
    <w:rsid w:val="008D122D"/>
    <w:rsid w:val="008D2EDB"/>
    <w:rsid w:val="008D3BFD"/>
    <w:rsid w:val="008D3CC9"/>
    <w:rsid w:val="008D54CC"/>
    <w:rsid w:val="008E1861"/>
    <w:rsid w:val="008E7C53"/>
    <w:rsid w:val="008F167A"/>
    <w:rsid w:val="008F2814"/>
    <w:rsid w:val="008F3340"/>
    <w:rsid w:val="008F6AA7"/>
    <w:rsid w:val="00901E7C"/>
    <w:rsid w:val="009170B0"/>
    <w:rsid w:val="00922B2E"/>
    <w:rsid w:val="00934DA8"/>
    <w:rsid w:val="0094667E"/>
    <w:rsid w:val="00951522"/>
    <w:rsid w:val="00955534"/>
    <w:rsid w:val="009579E0"/>
    <w:rsid w:val="009648B3"/>
    <w:rsid w:val="00965AE8"/>
    <w:rsid w:val="00967F48"/>
    <w:rsid w:val="0097004D"/>
    <w:rsid w:val="00976290"/>
    <w:rsid w:val="00981E34"/>
    <w:rsid w:val="009850C3"/>
    <w:rsid w:val="00986C29"/>
    <w:rsid w:val="009A0B9B"/>
    <w:rsid w:val="009A18A6"/>
    <w:rsid w:val="009A2AE2"/>
    <w:rsid w:val="009A2F2D"/>
    <w:rsid w:val="009A3A68"/>
    <w:rsid w:val="009B1020"/>
    <w:rsid w:val="009B4B4C"/>
    <w:rsid w:val="009C3062"/>
    <w:rsid w:val="009C49F3"/>
    <w:rsid w:val="009D4F1C"/>
    <w:rsid w:val="009D5B50"/>
    <w:rsid w:val="009E1DCD"/>
    <w:rsid w:val="009F03FB"/>
    <w:rsid w:val="009F1C83"/>
    <w:rsid w:val="009F79EF"/>
    <w:rsid w:val="00A06664"/>
    <w:rsid w:val="00A11AC8"/>
    <w:rsid w:val="00A14D22"/>
    <w:rsid w:val="00A17182"/>
    <w:rsid w:val="00A22C2E"/>
    <w:rsid w:val="00A32770"/>
    <w:rsid w:val="00A41348"/>
    <w:rsid w:val="00A42C70"/>
    <w:rsid w:val="00A463B7"/>
    <w:rsid w:val="00A46531"/>
    <w:rsid w:val="00A4756D"/>
    <w:rsid w:val="00A51C51"/>
    <w:rsid w:val="00A55DA9"/>
    <w:rsid w:val="00A56689"/>
    <w:rsid w:val="00A61659"/>
    <w:rsid w:val="00A65F0F"/>
    <w:rsid w:val="00A800EB"/>
    <w:rsid w:val="00A82D32"/>
    <w:rsid w:val="00A86B81"/>
    <w:rsid w:val="00A911FE"/>
    <w:rsid w:val="00A952DA"/>
    <w:rsid w:val="00AA2E6B"/>
    <w:rsid w:val="00AB12F4"/>
    <w:rsid w:val="00AB38A4"/>
    <w:rsid w:val="00AC225F"/>
    <w:rsid w:val="00AC7928"/>
    <w:rsid w:val="00AD0C5B"/>
    <w:rsid w:val="00AD4BBC"/>
    <w:rsid w:val="00AD5C95"/>
    <w:rsid w:val="00AE0A6F"/>
    <w:rsid w:val="00AE141D"/>
    <w:rsid w:val="00AE5F84"/>
    <w:rsid w:val="00AF678B"/>
    <w:rsid w:val="00B01885"/>
    <w:rsid w:val="00B03BB6"/>
    <w:rsid w:val="00B13305"/>
    <w:rsid w:val="00B16F82"/>
    <w:rsid w:val="00B30F6C"/>
    <w:rsid w:val="00B34B61"/>
    <w:rsid w:val="00B35FED"/>
    <w:rsid w:val="00B472D8"/>
    <w:rsid w:val="00B5087B"/>
    <w:rsid w:val="00B624CE"/>
    <w:rsid w:val="00B64B7A"/>
    <w:rsid w:val="00B6534A"/>
    <w:rsid w:val="00B7179A"/>
    <w:rsid w:val="00B71CBB"/>
    <w:rsid w:val="00B7228F"/>
    <w:rsid w:val="00B76088"/>
    <w:rsid w:val="00BA17F1"/>
    <w:rsid w:val="00BA6867"/>
    <w:rsid w:val="00BB1D20"/>
    <w:rsid w:val="00BB28F5"/>
    <w:rsid w:val="00BB7F88"/>
    <w:rsid w:val="00BC031A"/>
    <w:rsid w:val="00BC22B5"/>
    <w:rsid w:val="00BC5601"/>
    <w:rsid w:val="00BD0EEC"/>
    <w:rsid w:val="00BE0A55"/>
    <w:rsid w:val="00BE31F1"/>
    <w:rsid w:val="00BF107C"/>
    <w:rsid w:val="00BF3D03"/>
    <w:rsid w:val="00BF7B1A"/>
    <w:rsid w:val="00C022A3"/>
    <w:rsid w:val="00C046D1"/>
    <w:rsid w:val="00C10137"/>
    <w:rsid w:val="00C33654"/>
    <w:rsid w:val="00C45F44"/>
    <w:rsid w:val="00C62254"/>
    <w:rsid w:val="00C63B64"/>
    <w:rsid w:val="00C66F9B"/>
    <w:rsid w:val="00C67DAF"/>
    <w:rsid w:val="00C76EA2"/>
    <w:rsid w:val="00C80C15"/>
    <w:rsid w:val="00C81567"/>
    <w:rsid w:val="00C84A3D"/>
    <w:rsid w:val="00C84A49"/>
    <w:rsid w:val="00C85739"/>
    <w:rsid w:val="00C858E3"/>
    <w:rsid w:val="00C87EF9"/>
    <w:rsid w:val="00CA0F14"/>
    <w:rsid w:val="00CB022C"/>
    <w:rsid w:val="00CB0A72"/>
    <w:rsid w:val="00CB2125"/>
    <w:rsid w:val="00CB7F94"/>
    <w:rsid w:val="00CC10CA"/>
    <w:rsid w:val="00CD3DF0"/>
    <w:rsid w:val="00CD6CAD"/>
    <w:rsid w:val="00CE47B3"/>
    <w:rsid w:val="00CE65CF"/>
    <w:rsid w:val="00CF43F4"/>
    <w:rsid w:val="00CF59F1"/>
    <w:rsid w:val="00CF62BE"/>
    <w:rsid w:val="00CF76D1"/>
    <w:rsid w:val="00D03189"/>
    <w:rsid w:val="00D04419"/>
    <w:rsid w:val="00D05A84"/>
    <w:rsid w:val="00D06BB6"/>
    <w:rsid w:val="00D1031B"/>
    <w:rsid w:val="00D11695"/>
    <w:rsid w:val="00D22D84"/>
    <w:rsid w:val="00D349A5"/>
    <w:rsid w:val="00D349F0"/>
    <w:rsid w:val="00D4141B"/>
    <w:rsid w:val="00D44240"/>
    <w:rsid w:val="00D462FE"/>
    <w:rsid w:val="00D473D4"/>
    <w:rsid w:val="00D51872"/>
    <w:rsid w:val="00D53D73"/>
    <w:rsid w:val="00D5658C"/>
    <w:rsid w:val="00D77DFC"/>
    <w:rsid w:val="00D848E8"/>
    <w:rsid w:val="00D92B4B"/>
    <w:rsid w:val="00D942AB"/>
    <w:rsid w:val="00DA1A3A"/>
    <w:rsid w:val="00DA2120"/>
    <w:rsid w:val="00DA2F8E"/>
    <w:rsid w:val="00DA627D"/>
    <w:rsid w:val="00DC3B5C"/>
    <w:rsid w:val="00DD56ED"/>
    <w:rsid w:val="00DE26A8"/>
    <w:rsid w:val="00DF0684"/>
    <w:rsid w:val="00DF0BD6"/>
    <w:rsid w:val="00DF7D1A"/>
    <w:rsid w:val="00E107A3"/>
    <w:rsid w:val="00E15C09"/>
    <w:rsid w:val="00E235EA"/>
    <w:rsid w:val="00E23B18"/>
    <w:rsid w:val="00E25A61"/>
    <w:rsid w:val="00E30784"/>
    <w:rsid w:val="00E35C5D"/>
    <w:rsid w:val="00E37D31"/>
    <w:rsid w:val="00E45231"/>
    <w:rsid w:val="00E452CE"/>
    <w:rsid w:val="00E47B23"/>
    <w:rsid w:val="00E54A9D"/>
    <w:rsid w:val="00E65755"/>
    <w:rsid w:val="00E70E8F"/>
    <w:rsid w:val="00E71387"/>
    <w:rsid w:val="00E71641"/>
    <w:rsid w:val="00E72477"/>
    <w:rsid w:val="00E72C28"/>
    <w:rsid w:val="00E73343"/>
    <w:rsid w:val="00E740F0"/>
    <w:rsid w:val="00E77FCB"/>
    <w:rsid w:val="00E83C80"/>
    <w:rsid w:val="00E93C34"/>
    <w:rsid w:val="00E97FDA"/>
    <w:rsid w:val="00EB5A05"/>
    <w:rsid w:val="00EB5FE3"/>
    <w:rsid w:val="00EB6C85"/>
    <w:rsid w:val="00EB7CBB"/>
    <w:rsid w:val="00EC3B3C"/>
    <w:rsid w:val="00EC4372"/>
    <w:rsid w:val="00F02D2D"/>
    <w:rsid w:val="00F138EF"/>
    <w:rsid w:val="00F20A8D"/>
    <w:rsid w:val="00F248F2"/>
    <w:rsid w:val="00F27F28"/>
    <w:rsid w:val="00F323FE"/>
    <w:rsid w:val="00F422D8"/>
    <w:rsid w:val="00F44A96"/>
    <w:rsid w:val="00F54FEF"/>
    <w:rsid w:val="00F5624B"/>
    <w:rsid w:val="00F57EF8"/>
    <w:rsid w:val="00F73416"/>
    <w:rsid w:val="00F7697D"/>
    <w:rsid w:val="00F80DF6"/>
    <w:rsid w:val="00F83F95"/>
    <w:rsid w:val="00F90631"/>
    <w:rsid w:val="00F912EE"/>
    <w:rsid w:val="00F963D9"/>
    <w:rsid w:val="00FA1165"/>
    <w:rsid w:val="00FB01EA"/>
    <w:rsid w:val="00FC262B"/>
    <w:rsid w:val="00FC2E43"/>
    <w:rsid w:val="00FD47AE"/>
    <w:rsid w:val="00FD563A"/>
    <w:rsid w:val="00FE79B0"/>
    <w:rsid w:val="023D4AB9"/>
    <w:rsid w:val="03F6528D"/>
    <w:rsid w:val="05B55C6A"/>
    <w:rsid w:val="08D7EB26"/>
    <w:rsid w:val="105A288E"/>
    <w:rsid w:val="142244B5"/>
    <w:rsid w:val="1B50167F"/>
    <w:rsid w:val="1D03ED00"/>
    <w:rsid w:val="1D4FB121"/>
    <w:rsid w:val="1D582E23"/>
    <w:rsid w:val="33B51FA4"/>
    <w:rsid w:val="34C7FAD8"/>
    <w:rsid w:val="39F78AA4"/>
    <w:rsid w:val="3F250ADB"/>
    <w:rsid w:val="456494F2"/>
    <w:rsid w:val="48406BAC"/>
    <w:rsid w:val="48494E50"/>
    <w:rsid w:val="49145977"/>
    <w:rsid w:val="5154A23F"/>
    <w:rsid w:val="538B0003"/>
    <w:rsid w:val="53EF7BF0"/>
    <w:rsid w:val="54B2D58E"/>
    <w:rsid w:val="581B3A98"/>
    <w:rsid w:val="5F4896F9"/>
    <w:rsid w:val="60A00C42"/>
    <w:rsid w:val="66A69183"/>
    <w:rsid w:val="671A1E59"/>
    <w:rsid w:val="6BB47D2B"/>
    <w:rsid w:val="6DFFD148"/>
    <w:rsid w:val="72EB9F27"/>
    <w:rsid w:val="73878C63"/>
    <w:rsid w:val="79A9BE9D"/>
    <w:rsid w:val="7C40A463"/>
    <w:rsid w:val="7FBFBA5B"/>
    <w:rsid w:val="7FF4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73678"/>
  <w15:chartTrackingRefBased/>
  <w15:docId w15:val="{60C16442-1FAC-41DC-8DBB-7352E8F8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531"/>
  </w:style>
  <w:style w:type="paragraph" w:styleId="Heading1">
    <w:name w:val="heading 1"/>
    <w:basedOn w:val="Normal"/>
    <w:next w:val="Normal"/>
    <w:link w:val="Heading1Char"/>
    <w:uiPriority w:val="9"/>
    <w:qFormat/>
    <w:rsid w:val="00A46531"/>
    <w:pPr>
      <w:keepNext/>
      <w:keepLines/>
      <w:spacing w:before="360" w:after="120"/>
      <w:outlineLvl w:val="0"/>
    </w:pPr>
    <w:rPr>
      <w:rFonts w:eastAsiaTheme="majorEastAsia" w:cstheme="majorBidi"/>
      <w:b/>
      <w:smallCaps/>
      <w:color w:val="2F5496" w:themeColor="accent1" w:themeShade="BF"/>
      <w:sz w:val="32"/>
      <w:szCs w:val="32"/>
    </w:rPr>
  </w:style>
  <w:style w:type="paragraph" w:styleId="Heading2">
    <w:name w:val="heading 2"/>
    <w:basedOn w:val="Normal"/>
    <w:next w:val="Normal"/>
    <w:link w:val="Heading2Char"/>
    <w:uiPriority w:val="9"/>
    <w:unhideWhenUsed/>
    <w:qFormat/>
    <w:rsid w:val="00A46531"/>
    <w:pPr>
      <w:keepNext/>
      <w:keepLines/>
      <w:spacing w:before="160" w:after="120"/>
      <w:outlineLvl w:val="1"/>
    </w:pPr>
    <w:rPr>
      <w:rFonts w:eastAsiaTheme="majorEastAsia"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A46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531"/>
    <w:rPr>
      <w:rFonts w:eastAsiaTheme="majorEastAsia" w:cstheme="majorBidi"/>
      <w:b/>
      <w:smallCaps/>
      <w:color w:val="2F5496" w:themeColor="accent1" w:themeShade="BF"/>
      <w:sz w:val="32"/>
      <w:szCs w:val="32"/>
    </w:rPr>
  </w:style>
  <w:style w:type="character" w:customStyle="1" w:styleId="Heading2Char">
    <w:name w:val="Heading 2 Char"/>
    <w:basedOn w:val="DefaultParagraphFont"/>
    <w:link w:val="Heading2"/>
    <w:uiPriority w:val="9"/>
    <w:rsid w:val="00A46531"/>
    <w:rPr>
      <w:rFonts w:eastAsiaTheme="majorEastAsia" w:cstheme="majorBidi"/>
      <w:color w:val="2F5496" w:themeColor="accent1" w:themeShade="BF"/>
      <w:sz w:val="24"/>
      <w:szCs w:val="26"/>
    </w:rPr>
  </w:style>
  <w:style w:type="character" w:customStyle="1" w:styleId="Heading3Char">
    <w:name w:val="Heading 3 Char"/>
    <w:basedOn w:val="DefaultParagraphFont"/>
    <w:link w:val="Heading3"/>
    <w:uiPriority w:val="9"/>
    <w:rsid w:val="00A46531"/>
    <w:rPr>
      <w:rFonts w:asciiTheme="majorHAnsi" w:eastAsiaTheme="majorEastAsia" w:hAnsiTheme="majorHAnsi" w:cstheme="majorBidi"/>
      <w:color w:val="1F3763" w:themeColor="accent1" w:themeShade="7F"/>
      <w:sz w:val="24"/>
      <w:szCs w:val="24"/>
    </w:rPr>
  </w:style>
  <w:style w:type="paragraph" w:styleId="Caption">
    <w:name w:val="caption"/>
    <w:basedOn w:val="Normal"/>
    <w:qFormat/>
    <w:rsid w:val="00A46531"/>
    <w:pPr>
      <w:suppressLineNumbers/>
      <w:suppressAutoHyphens/>
      <w:spacing w:before="120" w:after="120" w:line="276" w:lineRule="auto"/>
    </w:pPr>
    <w:rPr>
      <w:rFonts w:ascii="Calibri" w:eastAsia="Calibri" w:hAnsi="Calibri" w:cs="Mangal"/>
      <w:i/>
      <w:iCs/>
      <w:sz w:val="24"/>
      <w:szCs w:val="24"/>
      <w:lang w:eastAsia="ar-SA"/>
    </w:rPr>
  </w:style>
  <w:style w:type="character" w:styleId="CommentReference">
    <w:name w:val="annotation reference"/>
    <w:basedOn w:val="DefaultParagraphFont"/>
    <w:uiPriority w:val="99"/>
    <w:semiHidden/>
    <w:unhideWhenUsed/>
    <w:rsid w:val="00A46531"/>
    <w:rPr>
      <w:sz w:val="16"/>
      <w:szCs w:val="16"/>
    </w:rPr>
  </w:style>
  <w:style w:type="paragraph" w:styleId="CommentText">
    <w:name w:val="annotation text"/>
    <w:basedOn w:val="Normal"/>
    <w:link w:val="CommentTextChar"/>
    <w:uiPriority w:val="99"/>
    <w:semiHidden/>
    <w:unhideWhenUsed/>
    <w:rsid w:val="00A46531"/>
    <w:pPr>
      <w:spacing w:line="240" w:lineRule="auto"/>
    </w:pPr>
    <w:rPr>
      <w:szCs w:val="20"/>
    </w:rPr>
  </w:style>
  <w:style w:type="character" w:customStyle="1" w:styleId="CommentTextChar">
    <w:name w:val="Comment Text Char"/>
    <w:basedOn w:val="DefaultParagraphFont"/>
    <w:link w:val="CommentText"/>
    <w:uiPriority w:val="99"/>
    <w:semiHidden/>
    <w:rsid w:val="00A46531"/>
    <w:rPr>
      <w:szCs w:val="20"/>
    </w:rPr>
  </w:style>
  <w:style w:type="paragraph" w:styleId="CommentSubject">
    <w:name w:val="annotation subject"/>
    <w:basedOn w:val="CommentText"/>
    <w:next w:val="CommentText"/>
    <w:link w:val="CommentSubjectChar"/>
    <w:uiPriority w:val="99"/>
    <w:semiHidden/>
    <w:unhideWhenUsed/>
    <w:rsid w:val="00A46531"/>
    <w:rPr>
      <w:b/>
      <w:bCs/>
    </w:rPr>
  </w:style>
  <w:style w:type="character" w:customStyle="1" w:styleId="CommentSubjectChar">
    <w:name w:val="Comment Subject Char"/>
    <w:basedOn w:val="CommentTextChar"/>
    <w:link w:val="CommentSubject"/>
    <w:uiPriority w:val="99"/>
    <w:semiHidden/>
    <w:rsid w:val="00A46531"/>
    <w:rPr>
      <w:b/>
      <w:bCs/>
      <w:szCs w:val="20"/>
    </w:rPr>
  </w:style>
  <w:style w:type="paragraph" w:styleId="BalloonText">
    <w:name w:val="Balloon Text"/>
    <w:basedOn w:val="Normal"/>
    <w:link w:val="BalloonTextChar"/>
    <w:uiPriority w:val="99"/>
    <w:semiHidden/>
    <w:unhideWhenUsed/>
    <w:rsid w:val="00A46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31"/>
    <w:rPr>
      <w:rFonts w:ascii="Segoe UI" w:hAnsi="Segoe UI" w:cs="Segoe UI"/>
      <w:sz w:val="18"/>
      <w:szCs w:val="18"/>
    </w:rPr>
  </w:style>
  <w:style w:type="paragraph" w:styleId="Header">
    <w:name w:val="header"/>
    <w:basedOn w:val="Normal"/>
    <w:link w:val="HeaderChar"/>
    <w:uiPriority w:val="99"/>
    <w:unhideWhenUsed/>
    <w:rsid w:val="00A46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531"/>
  </w:style>
  <w:style w:type="paragraph" w:styleId="Footer">
    <w:name w:val="footer"/>
    <w:basedOn w:val="Normal"/>
    <w:link w:val="FooterChar"/>
    <w:uiPriority w:val="99"/>
    <w:unhideWhenUsed/>
    <w:rsid w:val="00A46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531"/>
  </w:style>
  <w:style w:type="paragraph" w:styleId="ListParagraph">
    <w:name w:val="List Paragraph"/>
    <w:basedOn w:val="Normal"/>
    <w:uiPriority w:val="34"/>
    <w:qFormat/>
    <w:rsid w:val="00A46531"/>
    <w:pPr>
      <w:ind w:left="720"/>
      <w:contextualSpacing/>
    </w:pPr>
  </w:style>
  <w:style w:type="table" w:styleId="TableGrid">
    <w:name w:val="Table Grid"/>
    <w:basedOn w:val="TableNormal"/>
    <w:uiPriority w:val="59"/>
    <w:rsid w:val="00A4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6531"/>
    <w:rPr>
      <w:color w:val="0000FF"/>
      <w:u w:val="single"/>
    </w:rPr>
  </w:style>
  <w:style w:type="character" w:styleId="Strong">
    <w:name w:val="Strong"/>
    <w:basedOn w:val="DefaultParagraphFont"/>
    <w:uiPriority w:val="22"/>
    <w:qFormat/>
    <w:rsid w:val="00A46531"/>
    <w:rPr>
      <w:b/>
      <w:bCs/>
    </w:rPr>
  </w:style>
  <w:style w:type="character" w:customStyle="1" w:styleId="go">
    <w:name w:val="go"/>
    <w:basedOn w:val="DefaultParagraphFont"/>
    <w:rsid w:val="00A46531"/>
  </w:style>
  <w:style w:type="character" w:styleId="UnresolvedMention">
    <w:name w:val="Unresolved Mention"/>
    <w:basedOn w:val="DefaultParagraphFont"/>
    <w:uiPriority w:val="99"/>
    <w:semiHidden/>
    <w:unhideWhenUsed/>
    <w:rsid w:val="00A46531"/>
    <w:rPr>
      <w:color w:val="605E5C"/>
      <w:shd w:val="clear" w:color="auto" w:fill="E1DFDD"/>
    </w:rPr>
  </w:style>
  <w:style w:type="paragraph" w:styleId="TOCHeading">
    <w:name w:val="TOC Heading"/>
    <w:basedOn w:val="Heading1"/>
    <w:next w:val="Normal"/>
    <w:uiPriority w:val="39"/>
    <w:unhideWhenUsed/>
    <w:qFormat/>
    <w:rsid w:val="00A46531"/>
    <w:pPr>
      <w:spacing w:before="240" w:after="0"/>
      <w:outlineLvl w:val="9"/>
    </w:pPr>
    <w:rPr>
      <w:rFonts w:asciiTheme="majorHAnsi" w:hAnsiTheme="majorHAnsi"/>
      <w:b w:val="0"/>
      <w:smallCaps w:val="0"/>
      <w:lang w:val="en-US"/>
    </w:rPr>
  </w:style>
  <w:style w:type="paragraph" w:styleId="TOC1">
    <w:name w:val="toc 1"/>
    <w:basedOn w:val="Normal"/>
    <w:next w:val="Normal"/>
    <w:autoRedefine/>
    <w:uiPriority w:val="39"/>
    <w:unhideWhenUsed/>
    <w:rsid w:val="00A46531"/>
    <w:pPr>
      <w:spacing w:after="100"/>
    </w:pPr>
  </w:style>
  <w:style w:type="paragraph" w:styleId="TOC2">
    <w:name w:val="toc 2"/>
    <w:basedOn w:val="Normal"/>
    <w:next w:val="Normal"/>
    <w:autoRedefine/>
    <w:uiPriority w:val="39"/>
    <w:unhideWhenUsed/>
    <w:rsid w:val="00A46531"/>
    <w:pPr>
      <w:spacing w:after="100"/>
      <w:ind w:left="200"/>
    </w:pPr>
  </w:style>
  <w:style w:type="paragraph" w:styleId="TOC3">
    <w:name w:val="toc 3"/>
    <w:basedOn w:val="Normal"/>
    <w:next w:val="Normal"/>
    <w:autoRedefine/>
    <w:uiPriority w:val="39"/>
    <w:unhideWhenUsed/>
    <w:rsid w:val="00A46531"/>
    <w:pPr>
      <w:spacing w:after="100"/>
      <w:ind w:left="400"/>
    </w:pPr>
  </w:style>
  <w:style w:type="paragraph" w:styleId="Revision">
    <w:name w:val="Revision"/>
    <w:hidden/>
    <w:uiPriority w:val="99"/>
    <w:semiHidden/>
    <w:rsid w:val="00A46531"/>
    <w:pPr>
      <w:spacing w:after="0" w:line="240" w:lineRule="auto"/>
    </w:pPr>
  </w:style>
  <w:style w:type="character" w:styleId="FollowedHyperlink">
    <w:name w:val="FollowedHyperlink"/>
    <w:basedOn w:val="DefaultParagraphFont"/>
    <w:uiPriority w:val="99"/>
    <w:semiHidden/>
    <w:unhideWhenUsed/>
    <w:rsid w:val="00A46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elab@iesohealth.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atarino@iesohealt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esohealth.com/en-gb/legal/iso-certific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mon.morris@biota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eeaa36a-9f2b-4fc7-a03b-bdaad7d4618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59B04ED1E2CB84AAF84C110E03EB769" ma:contentTypeVersion="16" ma:contentTypeDescription="Create a new document." ma:contentTypeScope="" ma:versionID="165a81b68ae833b6c04011d988e830d0">
  <xsd:schema xmlns:xsd="http://www.w3.org/2001/XMLSchema" xmlns:xs="http://www.w3.org/2001/XMLSchema" xmlns:p="http://schemas.microsoft.com/office/2006/metadata/properties" xmlns:ns1="http://schemas.microsoft.com/sharepoint/v3" xmlns:ns2="9019c21b-8d32-46d8-8bce-05c913c53494" xmlns:ns3="78aabe2c-5831-4fe8-84a3-8eed259f4a35" targetNamespace="http://schemas.microsoft.com/office/2006/metadata/properties" ma:root="true" ma:fieldsID="21a6774f99c6eb7ae0a1402860feb187" ns1:_="" ns2:_="" ns3:_="">
    <xsd:import namespace="http://schemas.microsoft.com/sharepoint/v3"/>
    <xsd:import namespace="9019c21b-8d32-46d8-8bce-05c913c53494"/>
    <xsd:import namespace="78aabe2c-5831-4fe8-84a3-8eed259f4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9c21b-8d32-46d8-8bce-05c913c53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abe2c-5831-4fe8-84a3-8eed259f4a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4D2A7-F960-4666-BAC1-BCBCA0821B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810860-EE2C-4C19-A69E-CF50AF3BB361}">
  <ds:schemaRefs>
    <ds:schemaRef ds:uri="http://schemas.microsoft.com/sharepoint/v3/contenttype/forms"/>
  </ds:schemaRefs>
</ds:datastoreItem>
</file>

<file path=customXml/itemProps3.xml><?xml version="1.0" encoding="utf-8"?>
<ds:datastoreItem xmlns:ds="http://schemas.openxmlformats.org/officeDocument/2006/customXml" ds:itemID="{E086B94B-6C66-4FFD-A4A2-8FC1F8F1CFF3}">
  <ds:schemaRefs>
    <ds:schemaRef ds:uri="Microsoft.SharePoint.Taxonomy.ContentTypeSync"/>
  </ds:schemaRefs>
</ds:datastoreItem>
</file>

<file path=customXml/itemProps4.xml><?xml version="1.0" encoding="utf-8"?>
<ds:datastoreItem xmlns:ds="http://schemas.openxmlformats.org/officeDocument/2006/customXml" ds:itemID="{83A6792C-3933-4CE7-AFB7-4C37586C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9c21b-8d32-46d8-8bce-05c913c53494"/>
    <ds:schemaRef ds:uri="78aabe2c-5831-4fe8-84a3-8eed259f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5CDBEA-118F-414D-8578-3D0FE787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15</Pages>
  <Words>35470</Words>
  <Characters>202179</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Catarino</dc:creator>
  <cp:keywords/>
  <dc:description/>
  <cp:lastModifiedBy>Ana Catarino</cp:lastModifiedBy>
  <cp:revision>32</cp:revision>
  <dcterms:created xsi:type="dcterms:W3CDTF">2020-03-25T06:44:00Z</dcterms:created>
  <dcterms:modified xsi:type="dcterms:W3CDTF">2020-03-31T05:37:00Z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0x010100859B04ED1E2CB84AAF84C110E03EB769</vt:lpwstr>
  </property>
  <property fmtid="{D5CDD505-2E9C-101B-9397-08002B2CF9AE}" pid="3" name="Mendeley Document_1">
    <vt:lpwstr>True</vt:lpwstr>
  </property>
  <property fmtid="{D5CDD505-2E9C-101B-9397-08002B2CF9AE}" pid="4" name="Mendeley Unique User Id_1">
    <vt:lpwstr>5a245ca7-d907-3cbc-b69f-dd03677f0f34</vt:lpwstr>
  </property>
  <property fmtid="{D5CDD505-2E9C-101B-9397-08002B2CF9AE}" pid="5" name="Mendeley Citation Style_1">
    <vt:lpwstr>http://csl.mendeley.com/styles/481206881/harvard-cite-them-right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http://csl.mendeley.com/styles/481206881/harvard-cite-them-right</vt:lpwstr>
  </property>
  <property fmtid="{D5CDD505-2E9C-101B-9397-08002B2CF9AE}" pid="17" name="Mendeley Recent Style Name 5_1">
    <vt:lpwstr>Cite Them Right 10th edition - Harvard - Ana Catarino</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