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0BC6" w14:textId="77777777" w:rsidR="006D4E26" w:rsidRDefault="00BC55BF" w:rsidP="00851EF9">
      <w:pPr>
        <w:pStyle w:val="Title"/>
        <w:pBdr>
          <w:bottom w:val="none" w:sz="0" w:space="0" w:color="auto"/>
        </w:pBdr>
        <w:rPr>
          <w:rFonts w:ascii="Calibri" w:hAnsi="Calibri"/>
          <w:b/>
          <w:color w:val="auto"/>
        </w:rPr>
      </w:pPr>
      <w:bookmarkStart w:id="0" w:name="_GoBack"/>
      <w:bookmarkEnd w:id="0"/>
      <w:r w:rsidRPr="007008C0">
        <w:rPr>
          <w:rFonts w:ascii="Calibri" w:hAnsi="Calibri"/>
          <w:b/>
          <w:color w:val="auto"/>
        </w:rPr>
        <w:t>Statistical Analysis Plan</w:t>
      </w:r>
    </w:p>
    <w:p w14:paraId="57F87735" w14:textId="77777777" w:rsidR="006D4E26" w:rsidRPr="006D4E26" w:rsidRDefault="006D4E26" w:rsidP="006D4E26">
      <w:pPr>
        <w:rPr>
          <w:rFonts w:ascii="Calibri" w:hAnsi="Calibri"/>
          <w:b/>
          <w:sz w:val="32"/>
          <w:szCs w:val="32"/>
        </w:rPr>
      </w:pPr>
    </w:p>
    <w:p w14:paraId="0F2698ED" w14:textId="26A3866E" w:rsidR="008D6347" w:rsidRDefault="008D6347" w:rsidP="008D6347">
      <w:pPr>
        <w:rPr>
          <w:rFonts w:ascii="Calibri" w:eastAsiaTheme="majorEastAsia" w:hAnsi="Calibri" w:cstheme="majorBidi"/>
          <w:b/>
          <w:bCs/>
          <w:sz w:val="36"/>
          <w:szCs w:val="28"/>
        </w:rPr>
      </w:pPr>
      <w:r w:rsidRPr="008D6347">
        <w:rPr>
          <w:rFonts w:ascii="Calibri" w:eastAsiaTheme="majorEastAsia" w:hAnsi="Calibri" w:cstheme="majorBidi"/>
          <w:b/>
          <w:bCs/>
          <w:sz w:val="36"/>
          <w:szCs w:val="28"/>
        </w:rPr>
        <w:t>Supporting Weight Management during COVID-19 (SWiM-C)</w:t>
      </w:r>
    </w:p>
    <w:p w14:paraId="6A68FB42" w14:textId="1327B959" w:rsidR="008D6347" w:rsidRPr="008D6347" w:rsidRDefault="008D6347" w:rsidP="008D6347">
      <w:r>
        <w:t xml:space="preserve">Scientific title: </w:t>
      </w:r>
      <w:r w:rsidRPr="008D6347">
        <w:t>An acceptance-based programme for weight management during the COVID-19 pandemic in people with overweight and obesity (SWiM-C Study).</w:t>
      </w:r>
    </w:p>
    <w:p w14:paraId="522C5E57" w14:textId="1BC034A9" w:rsidR="007008C0" w:rsidRPr="00BD6209" w:rsidRDefault="007008C0" w:rsidP="007008C0">
      <w:pPr>
        <w:rPr>
          <w:rFonts w:ascii="Calibri" w:hAnsi="Calibri"/>
          <w:sz w:val="32"/>
          <w:szCs w:val="32"/>
        </w:rPr>
      </w:pPr>
      <w:r w:rsidRPr="00BD6209">
        <w:rPr>
          <w:rFonts w:ascii="Calibri" w:hAnsi="Calibri"/>
          <w:sz w:val="32"/>
          <w:szCs w:val="32"/>
        </w:rPr>
        <w:t>Trial registration number</w:t>
      </w:r>
      <w:r w:rsidR="008D6347">
        <w:rPr>
          <w:rFonts w:ascii="Calibri" w:hAnsi="Calibri"/>
          <w:sz w:val="32"/>
          <w:szCs w:val="32"/>
        </w:rPr>
        <w:t xml:space="preserve">: </w:t>
      </w:r>
      <w:r w:rsidR="008D6347" w:rsidRPr="008D6347">
        <w:rPr>
          <w:rFonts w:ascii="Calibri" w:hAnsi="Calibri"/>
          <w:sz w:val="32"/>
          <w:szCs w:val="32"/>
        </w:rPr>
        <w:t>ISRCTN</w:t>
      </w:r>
      <w:r w:rsidR="00A77E3E" w:rsidRPr="00A77E3E">
        <w:t xml:space="preserve"> </w:t>
      </w:r>
      <w:r w:rsidR="00A77E3E" w:rsidRPr="00A77E3E">
        <w:rPr>
          <w:rFonts w:ascii="Calibri" w:hAnsi="Calibri"/>
          <w:sz w:val="32"/>
          <w:szCs w:val="32"/>
        </w:rPr>
        <w:t>12107048</w:t>
      </w:r>
    </w:p>
    <w:p w14:paraId="0B2C06C0" w14:textId="77777777" w:rsidR="00EA4A8E" w:rsidRDefault="00EA4A8E" w:rsidP="007008C0">
      <w:pPr>
        <w:rPr>
          <w:rFonts w:ascii="Calibri" w:hAnsi="Calibri"/>
          <w:b/>
          <w:sz w:val="32"/>
          <w:szCs w:val="32"/>
        </w:rPr>
      </w:pPr>
    </w:p>
    <w:p w14:paraId="330BB0BE" w14:textId="77777777" w:rsidR="00EA4A8E" w:rsidRDefault="00EA4A8E" w:rsidP="007008C0">
      <w:pPr>
        <w:rPr>
          <w:rFonts w:ascii="Calibri" w:hAnsi="Calibri"/>
          <w:sz w:val="32"/>
          <w:szCs w:val="32"/>
        </w:rPr>
      </w:pPr>
      <w:r>
        <w:rPr>
          <w:rFonts w:ascii="Calibri" w:hAnsi="Calibri"/>
          <w:b/>
          <w:sz w:val="32"/>
          <w:szCs w:val="32"/>
        </w:rPr>
        <w:t>SAP revision history</w:t>
      </w:r>
    </w:p>
    <w:tbl>
      <w:tblPr>
        <w:tblStyle w:val="TableGrid"/>
        <w:tblW w:w="0" w:type="auto"/>
        <w:tblLook w:val="04A0" w:firstRow="1" w:lastRow="0" w:firstColumn="1" w:lastColumn="0" w:noHBand="0" w:noVBand="1"/>
      </w:tblPr>
      <w:tblGrid>
        <w:gridCol w:w="2991"/>
        <w:gridCol w:w="1533"/>
        <w:gridCol w:w="4492"/>
      </w:tblGrid>
      <w:tr w:rsidR="00EA4A8E" w14:paraId="3B2B02EA" w14:textId="77777777" w:rsidTr="00B56853">
        <w:tc>
          <w:tcPr>
            <w:tcW w:w="2991" w:type="dxa"/>
          </w:tcPr>
          <w:p w14:paraId="62883D51" w14:textId="77777777" w:rsidR="00EA4A8E" w:rsidRPr="00087477" w:rsidRDefault="00EA4A8E" w:rsidP="007008C0">
            <w:pPr>
              <w:rPr>
                <w:rFonts w:ascii="Calibri" w:hAnsi="Calibri"/>
                <w:b/>
                <w:sz w:val="24"/>
                <w:szCs w:val="24"/>
              </w:rPr>
            </w:pPr>
            <w:r w:rsidRPr="00087477">
              <w:rPr>
                <w:rFonts w:ascii="Calibri" w:hAnsi="Calibri"/>
                <w:b/>
                <w:sz w:val="24"/>
                <w:szCs w:val="24"/>
              </w:rPr>
              <w:t>Date</w:t>
            </w:r>
          </w:p>
        </w:tc>
        <w:tc>
          <w:tcPr>
            <w:tcW w:w="1533" w:type="dxa"/>
          </w:tcPr>
          <w:p w14:paraId="1FA53388" w14:textId="77777777" w:rsidR="00EA4A8E" w:rsidRPr="00087477" w:rsidRDefault="00EA4A8E" w:rsidP="007008C0">
            <w:pPr>
              <w:rPr>
                <w:rFonts w:ascii="Calibri" w:hAnsi="Calibri"/>
                <w:b/>
                <w:sz w:val="24"/>
                <w:szCs w:val="24"/>
              </w:rPr>
            </w:pPr>
            <w:r w:rsidRPr="00087477">
              <w:rPr>
                <w:rFonts w:ascii="Calibri" w:hAnsi="Calibri"/>
                <w:b/>
                <w:sz w:val="24"/>
                <w:szCs w:val="24"/>
              </w:rPr>
              <w:t>Version</w:t>
            </w:r>
          </w:p>
        </w:tc>
        <w:tc>
          <w:tcPr>
            <w:tcW w:w="4492" w:type="dxa"/>
          </w:tcPr>
          <w:p w14:paraId="1FB6997D" w14:textId="77777777" w:rsidR="00EA4A8E" w:rsidRPr="00087477" w:rsidRDefault="00EA4A8E" w:rsidP="007008C0">
            <w:pPr>
              <w:rPr>
                <w:rFonts w:ascii="Calibri" w:hAnsi="Calibri"/>
                <w:b/>
                <w:sz w:val="24"/>
                <w:szCs w:val="24"/>
              </w:rPr>
            </w:pPr>
            <w:r w:rsidRPr="00087477">
              <w:rPr>
                <w:rFonts w:ascii="Calibri" w:hAnsi="Calibri"/>
                <w:b/>
                <w:sz w:val="24"/>
                <w:szCs w:val="24"/>
              </w:rPr>
              <w:t>Justification</w:t>
            </w:r>
            <w:r w:rsidR="00087477" w:rsidRPr="00087477">
              <w:rPr>
                <w:rFonts w:ascii="Calibri" w:hAnsi="Calibri"/>
                <w:b/>
                <w:sz w:val="24"/>
                <w:szCs w:val="24"/>
              </w:rPr>
              <w:t xml:space="preserve"> for SAP version</w:t>
            </w:r>
          </w:p>
        </w:tc>
      </w:tr>
      <w:tr w:rsidR="00EA4A8E" w14:paraId="1CB7E03A" w14:textId="77777777" w:rsidTr="00B56853">
        <w:tc>
          <w:tcPr>
            <w:tcW w:w="2991" w:type="dxa"/>
          </w:tcPr>
          <w:p w14:paraId="7C1B8ED1" w14:textId="33FBB9E7" w:rsidR="00EA4A8E" w:rsidRPr="00087477" w:rsidRDefault="00327DAE" w:rsidP="007008C0">
            <w:pPr>
              <w:rPr>
                <w:rFonts w:ascii="Calibri" w:hAnsi="Calibri"/>
                <w:sz w:val="24"/>
                <w:szCs w:val="24"/>
              </w:rPr>
            </w:pPr>
            <w:r>
              <w:rPr>
                <w:rFonts w:ascii="Calibri" w:hAnsi="Calibri"/>
                <w:sz w:val="24"/>
                <w:szCs w:val="24"/>
              </w:rPr>
              <w:t>20/01/2021</w:t>
            </w:r>
          </w:p>
        </w:tc>
        <w:tc>
          <w:tcPr>
            <w:tcW w:w="1533" w:type="dxa"/>
          </w:tcPr>
          <w:p w14:paraId="4842D087" w14:textId="63027EA6" w:rsidR="00EA4A8E" w:rsidRPr="00087477" w:rsidRDefault="00310B6A" w:rsidP="007008C0">
            <w:pPr>
              <w:rPr>
                <w:rFonts w:ascii="Calibri" w:hAnsi="Calibri"/>
                <w:sz w:val="24"/>
                <w:szCs w:val="24"/>
              </w:rPr>
            </w:pPr>
            <w:r>
              <w:rPr>
                <w:rFonts w:ascii="Calibri" w:hAnsi="Calibri"/>
                <w:sz w:val="24"/>
                <w:szCs w:val="24"/>
              </w:rPr>
              <w:t>1.0</w:t>
            </w:r>
          </w:p>
        </w:tc>
        <w:tc>
          <w:tcPr>
            <w:tcW w:w="4492" w:type="dxa"/>
          </w:tcPr>
          <w:p w14:paraId="46469466" w14:textId="1F8BD8E5" w:rsidR="00EA4A8E" w:rsidRPr="00087477" w:rsidRDefault="00310B6A" w:rsidP="007008C0">
            <w:pPr>
              <w:rPr>
                <w:rFonts w:ascii="Calibri" w:hAnsi="Calibri"/>
                <w:sz w:val="24"/>
                <w:szCs w:val="24"/>
              </w:rPr>
            </w:pPr>
            <w:r>
              <w:rPr>
                <w:rFonts w:ascii="Calibri" w:hAnsi="Calibri"/>
                <w:sz w:val="24"/>
                <w:szCs w:val="24"/>
              </w:rPr>
              <w:t>First draft</w:t>
            </w:r>
            <w:r w:rsidR="00327DAE">
              <w:rPr>
                <w:rFonts w:ascii="Calibri" w:hAnsi="Calibri"/>
                <w:sz w:val="24"/>
                <w:szCs w:val="24"/>
              </w:rPr>
              <w:t xml:space="preserve"> sent out to </w:t>
            </w:r>
            <w:r w:rsidR="00363DB1">
              <w:rPr>
                <w:rFonts w:ascii="Calibri" w:hAnsi="Calibri"/>
                <w:sz w:val="24"/>
                <w:szCs w:val="24"/>
              </w:rPr>
              <w:t>AA and SJS</w:t>
            </w:r>
          </w:p>
        </w:tc>
      </w:tr>
      <w:tr w:rsidR="00EA4A8E" w14:paraId="099312D1" w14:textId="77777777" w:rsidTr="00B56853">
        <w:tc>
          <w:tcPr>
            <w:tcW w:w="2991" w:type="dxa"/>
          </w:tcPr>
          <w:p w14:paraId="5521DC5F" w14:textId="014216E4" w:rsidR="00EA4A8E" w:rsidRPr="00087477" w:rsidRDefault="003063F0" w:rsidP="007008C0">
            <w:pPr>
              <w:rPr>
                <w:rFonts w:ascii="Calibri" w:hAnsi="Calibri"/>
                <w:sz w:val="24"/>
                <w:szCs w:val="24"/>
              </w:rPr>
            </w:pPr>
            <w:r>
              <w:rPr>
                <w:rFonts w:ascii="Calibri" w:hAnsi="Calibri"/>
                <w:sz w:val="24"/>
                <w:szCs w:val="24"/>
              </w:rPr>
              <w:t>1</w:t>
            </w:r>
            <w:r w:rsidR="00363DB1">
              <w:rPr>
                <w:rFonts w:ascii="Calibri" w:hAnsi="Calibri"/>
                <w:sz w:val="24"/>
                <w:szCs w:val="24"/>
              </w:rPr>
              <w:t>5</w:t>
            </w:r>
            <w:r>
              <w:rPr>
                <w:rFonts w:ascii="Calibri" w:hAnsi="Calibri"/>
                <w:sz w:val="24"/>
                <w:szCs w:val="24"/>
              </w:rPr>
              <w:t>/02/2021</w:t>
            </w:r>
          </w:p>
        </w:tc>
        <w:tc>
          <w:tcPr>
            <w:tcW w:w="1533" w:type="dxa"/>
          </w:tcPr>
          <w:p w14:paraId="0F101769" w14:textId="09BE24A0" w:rsidR="00EA4A8E" w:rsidRPr="00087477" w:rsidRDefault="003063F0" w:rsidP="007008C0">
            <w:pPr>
              <w:rPr>
                <w:rFonts w:ascii="Calibri" w:hAnsi="Calibri"/>
                <w:sz w:val="24"/>
                <w:szCs w:val="24"/>
              </w:rPr>
            </w:pPr>
            <w:r>
              <w:rPr>
                <w:rFonts w:ascii="Calibri" w:hAnsi="Calibri"/>
                <w:sz w:val="24"/>
                <w:szCs w:val="24"/>
              </w:rPr>
              <w:t>2.0</w:t>
            </w:r>
          </w:p>
        </w:tc>
        <w:tc>
          <w:tcPr>
            <w:tcW w:w="4492" w:type="dxa"/>
          </w:tcPr>
          <w:p w14:paraId="775EC406" w14:textId="262B70FD" w:rsidR="00EA4A8E" w:rsidRPr="00087477" w:rsidRDefault="003063F0" w:rsidP="007008C0">
            <w:pPr>
              <w:rPr>
                <w:rFonts w:ascii="Calibri" w:hAnsi="Calibri"/>
                <w:sz w:val="24"/>
                <w:szCs w:val="24"/>
              </w:rPr>
            </w:pPr>
            <w:r>
              <w:rPr>
                <w:rFonts w:ascii="Calibri" w:hAnsi="Calibri"/>
                <w:sz w:val="24"/>
                <w:szCs w:val="24"/>
              </w:rPr>
              <w:t>Comments from AA and SJS incorporated</w:t>
            </w:r>
            <w:r w:rsidR="00363DB1">
              <w:rPr>
                <w:rFonts w:ascii="Calibri" w:hAnsi="Calibri"/>
                <w:sz w:val="24"/>
                <w:szCs w:val="24"/>
              </w:rPr>
              <w:t>; second version circulated to AA and SJS</w:t>
            </w:r>
          </w:p>
        </w:tc>
      </w:tr>
      <w:tr w:rsidR="00EA4A8E" w14:paraId="376DEED8" w14:textId="77777777" w:rsidTr="00B56853">
        <w:tc>
          <w:tcPr>
            <w:tcW w:w="2991" w:type="dxa"/>
          </w:tcPr>
          <w:p w14:paraId="6A45A07C" w14:textId="7C972C11" w:rsidR="00EA4A8E" w:rsidRPr="00087477" w:rsidRDefault="00571A40" w:rsidP="007008C0">
            <w:pPr>
              <w:rPr>
                <w:rFonts w:ascii="Calibri" w:hAnsi="Calibri"/>
                <w:sz w:val="24"/>
                <w:szCs w:val="24"/>
              </w:rPr>
            </w:pPr>
            <w:r>
              <w:rPr>
                <w:rFonts w:ascii="Calibri" w:hAnsi="Calibri"/>
                <w:sz w:val="24"/>
                <w:szCs w:val="24"/>
              </w:rPr>
              <w:t>23</w:t>
            </w:r>
            <w:r w:rsidR="00CF3FAD">
              <w:rPr>
                <w:rFonts w:ascii="Calibri" w:hAnsi="Calibri"/>
                <w:sz w:val="24"/>
                <w:szCs w:val="24"/>
              </w:rPr>
              <w:t>/02/2021</w:t>
            </w:r>
          </w:p>
        </w:tc>
        <w:tc>
          <w:tcPr>
            <w:tcW w:w="1533" w:type="dxa"/>
          </w:tcPr>
          <w:p w14:paraId="0C2A969B" w14:textId="2F7B4A81" w:rsidR="00EA4A8E" w:rsidRPr="00087477" w:rsidRDefault="00CF3FAD" w:rsidP="007008C0">
            <w:pPr>
              <w:rPr>
                <w:rFonts w:ascii="Calibri" w:hAnsi="Calibri"/>
                <w:sz w:val="24"/>
                <w:szCs w:val="24"/>
              </w:rPr>
            </w:pPr>
            <w:r>
              <w:rPr>
                <w:rFonts w:ascii="Calibri" w:hAnsi="Calibri"/>
                <w:sz w:val="24"/>
                <w:szCs w:val="24"/>
              </w:rPr>
              <w:t>3.0</w:t>
            </w:r>
          </w:p>
        </w:tc>
        <w:tc>
          <w:tcPr>
            <w:tcW w:w="4492" w:type="dxa"/>
          </w:tcPr>
          <w:p w14:paraId="28600334" w14:textId="77777777" w:rsidR="00EA4A8E" w:rsidRDefault="00351154" w:rsidP="007008C0">
            <w:pPr>
              <w:rPr>
                <w:rFonts w:ascii="Calibri" w:hAnsi="Calibri"/>
                <w:sz w:val="24"/>
                <w:szCs w:val="24"/>
              </w:rPr>
            </w:pPr>
            <w:r>
              <w:rPr>
                <w:rFonts w:ascii="Calibri" w:hAnsi="Calibri"/>
                <w:sz w:val="24"/>
                <w:szCs w:val="24"/>
              </w:rPr>
              <w:t>Further comments from AA incorporated</w:t>
            </w:r>
            <w:r w:rsidR="00BC0126">
              <w:rPr>
                <w:rFonts w:ascii="Calibri" w:hAnsi="Calibri"/>
                <w:sz w:val="24"/>
                <w:szCs w:val="24"/>
              </w:rPr>
              <w:t xml:space="preserve"> (removed all but key variables on intervention adherence/engagement as these will be reported on in the process evaluation)</w:t>
            </w:r>
          </w:p>
          <w:p w14:paraId="4F38E48D" w14:textId="77777777" w:rsidR="00990789" w:rsidRDefault="00990789" w:rsidP="007008C0">
            <w:pPr>
              <w:rPr>
                <w:rFonts w:ascii="Calibri" w:hAnsi="Calibri"/>
                <w:sz w:val="24"/>
                <w:szCs w:val="24"/>
              </w:rPr>
            </w:pPr>
          </w:p>
          <w:p w14:paraId="58E07ED1" w14:textId="678EA426" w:rsidR="00990789" w:rsidRPr="00087477" w:rsidRDefault="00990789" w:rsidP="007008C0">
            <w:pPr>
              <w:rPr>
                <w:rFonts w:ascii="Calibri" w:hAnsi="Calibri"/>
                <w:sz w:val="24"/>
                <w:szCs w:val="24"/>
              </w:rPr>
            </w:pPr>
            <w:r>
              <w:rPr>
                <w:rFonts w:ascii="Calibri" w:hAnsi="Calibri"/>
                <w:sz w:val="24"/>
                <w:szCs w:val="24"/>
              </w:rPr>
              <w:t>Version sent out to all collaborators on 23/02/2021</w:t>
            </w:r>
          </w:p>
        </w:tc>
      </w:tr>
      <w:tr w:rsidR="00EA4A8E" w14:paraId="155BBC67" w14:textId="77777777" w:rsidTr="00B56853">
        <w:tc>
          <w:tcPr>
            <w:tcW w:w="2991" w:type="dxa"/>
          </w:tcPr>
          <w:p w14:paraId="0F70A2EC" w14:textId="235208CC" w:rsidR="00EA4A8E" w:rsidRPr="00087477" w:rsidRDefault="00684F8F" w:rsidP="007008C0">
            <w:pPr>
              <w:rPr>
                <w:rFonts w:ascii="Calibri" w:hAnsi="Calibri"/>
                <w:sz w:val="24"/>
                <w:szCs w:val="24"/>
              </w:rPr>
            </w:pPr>
            <w:r>
              <w:rPr>
                <w:rFonts w:ascii="Calibri" w:hAnsi="Calibri"/>
                <w:sz w:val="24"/>
                <w:szCs w:val="24"/>
              </w:rPr>
              <w:t>09/03/2021</w:t>
            </w:r>
          </w:p>
        </w:tc>
        <w:tc>
          <w:tcPr>
            <w:tcW w:w="1533" w:type="dxa"/>
          </w:tcPr>
          <w:p w14:paraId="6F26F207" w14:textId="1F109B30" w:rsidR="00EA4A8E" w:rsidRPr="00087477" w:rsidRDefault="00EE3E3C" w:rsidP="007008C0">
            <w:pPr>
              <w:rPr>
                <w:rFonts w:ascii="Calibri" w:hAnsi="Calibri"/>
                <w:sz w:val="24"/>
                <w:szCs w:val="24"/>
              </w:rPr>
            </w:pPr>
            <w:r>
              <w:rPr>
                <w:rFonts w:ascii="Calibri" w:hAnsi="Calibri"/>
                <w:sz w:val="24"/>
                <w:szCs w:val="24"/>
              </w:rPr>
              <w:t>4.0</w:t>
            </w:r>
          </w:p>
        </w:tc>
        <w:tc>
          <w:tcPr>
            <w:tcW w:w="4492" w:type="dxa"/>
          </w:tcPr>
          <w:p w14:paraId="441FDC85" w14:textId="411CEFFE" w:rsidR="00EA4A8E" w:rsidRPr="00087477" w:rsidRDefault="00EE3E3C" w:rsidP="007008C0">
            <w:pPr>
              <w:rPr>
                <w:rFonts w:ascii="Calibri" w:hAnsi="Calibri"/>
                <w:sz w:val="24"/>
                <w:szCs w:val="24"/>
              </w:rPr>
            </w:pPr>
            <w:r>
              <w:rPr>
                <w:rFonts w:ascii="Calibri" w:hAnsi="Calibri"/>
                <w:sz w:val="24"/>
                <w:szCs w:val="24"/>
              </w:rPr>
              <w:t xml:space="preserve">Incorporated comments by </w:t>
            </w:r>
            <w:r w:rsidR="00DF17BD">
              <w:rPr>
                <w:rFonts w:ascii="Calibri" w:hAnsi="Calibri"/>
                <w:sz w:val="24"/>
                <w:szCs w:val="24"/>
              </w:rPr>
              <w:t xml:space="preserve">RAJ, AJH, JW, CAH, RR, </w:t>
            </w:r>
          </w:p>
        </w:tc>
      </w:tr>
      <w:tr w:rsidR="00EA4A8E" w14:paraId="27CDE5D1" w14:textId="77777777" w:rsidTr="00B56853">
        <w:tc>
          <w:tcPr>
            <w:tcW w:w="2991" w:type="dxa"/>
          </w:tcPr>
          <w:p w14:paraId="7B5765F9" w14:textId="5CC28DFF" w:rsidR="00EA4A8E" w:rsidRPr="00087477" w:rsidRDefault="00DF17BD" w:rsidP="007008C0">
            <w:pPr>
              <w:rPr>
                <w:rFonts w:ascii="Calibri" w:hAnsi="Calibri"/>
                <w:sz w:val="24"/>
                <w:szCs w:val="24"/>
              </w:rPr>
            </w:pPr>
            <w:r>
              <w:rPr>
                <w:rFonts w:ascii="Calibri" w:hAnsi="Calibri"/>
                <w:sz w:val="24"/>
                <w:szCs w:val="24"/>
              </w:rPr>
              <w:t>10/03/2021</w:t>
            </w:r>
          </w:p>
        </w:tc>
        <w:tc>
          <w:tcPr>
            <w:tcW w:w="1533" w:type="dxa"/>
          </w:tcPr>
          <w:p w14:paraId="62F00840" w14:textId="7B630C6F" w:rsidR="00EA4A8E" w:rsidRPr="00087477" w:rsidRDefault="00DF17BD" w:rsidP="007008C0">
            <w:pPr>
              <w:rPr>
                <w:rFonts w:ascii="Calibri" w:hAnsi="Calibri"/>
                <w:sz w:val="24"/>
                <w:szCs w:val="24"/>
              </w:rPr>
            </w:pPr>
            <w:r>
              <w:rPr>
                <w:rFonts w:ascii="Calibri" w:hAnsi="Calibri"/>
                <w:sz w:val="24"/>
                <w:szCs w:val="24"/>
              </w:rPr>
              <w:t>5.0</w:t>
            </w:r>
          </w:p>
        </w:tc>
        <w:tc>
          <w:tcPr>
            <w:tcW w:w="4492" w:type="dxa"/>
          </w:tcPr>
          <w:p w14:paraId="2D7976C3" w14:textId="4AE9C401" w:rsidR="00EA4A8E" w:rsidRPr="00087477" w:rsidRDefault="00DF17BD" w:rsidP="007008C0">
            <w:pPr>
              <w:rPr>
                <w:rFonts w:ascii="Calibri" w:hAnsi="Calibri"/>
                <w:sz w:val="24"/>
                <w:szCs w:val="24"/>
              </w:rPr>
            </w:pPr>
            <w:r>
              <w:rPr>
                <w:rFonts w:ascii="Calibri" w:hAnsi="Calibri"/>
                <w:sz w:val="24"/>
                <w:szCs w:val="24"/>
              </w:rPr>
              <w:t>Incorporated comments by SG</w:t>
            </w:r>
          </w:p>
        </w:tc>
      </w:tr>
    </w:tbl>
    <w:p w14:paraId="361BA8A8" w14:textId="77777777" w:rsidR="00EA4A8E" w:rsidRDefault="00EA4A8E" w:rsidP="007008C0">
      <w:pPr>
        <w:rPr>
          <w:rFonts w:ascii="Calibri" w:hAnsi="Calibri"/>
          <w:sz w:val="32"/>
          <w:szCs w:val="32"/>
        </w:rPr>
      </w:pPr>
    </w:p>
    <w:p w14:paraId="5E2212EA" w14:textId="77777777" w:rsidR="00087477" w:rsidRDefault="00087477" w:rsidP="00087477">
      <w:pPr>
        <w:rPr>
          <w:rFonts w:ascii="Calibri" w:hAnsi="Calibri"/>
          <w:sz w:val="32"/>
          <w:szCs w:val="32"/>
        </w:rPr>
      </w:pPr>
      <w:r>
        <w:rPr>
          <w:rFonts w:ascii="Calibri" w:hAnsi="Calibri"/>
          <w:b/>
          <w:sz w:val="32"/>
          <w:szCs w:val="32"/>
        </w:rPr>
        <w:t>SAP responsibilities</w:t>
      </w:r>
    </w:p>
    <w:tbl>
      <w:tblPr>
        <w:tblStyle w:val="TableGrid"/>
        <w:tblW w:w="0" w:type="auto"/>
        <w:tblLook w:val="04A0" w:firstRow="1" w:lastRow="0" w:firstColumn="1" w:lastColumn="0" w:noHBand="0" w:noVBand="1"/>
      </w:tblPr>
      <w:tblGrid>
        <w:gridCol w:w="2882"/>
        <w:gridCol w:w="2360"/>
        <w:gridCol w:w="3774"/>
      </w:tblGrid>
      <w:tr w:rsidR="00087477" w14:paraId="476B99AF" w14:textId="77777777" w:rsidTr="00087477">
        <w:tc>
          <w:tcPr>
            <w:tcW w:w="2943" w:type="dxa"/>
          </w:tcPr>
          <w:p w14:paraId="5C3C8BB3" w14:textId="77777777" w:rsidR="00087477" w:rsidRPr="00087477" w:rsidRDefault="00087477" w:rsidP="00087477">
            <w:pPr>
              <w:rPr>
                <w:rFonts w:ascii="Calibri" w:hAnsi="Calibri"/>
                <w:b/>
                <w:sz w:val="24"/>
                <w:szCs w:val="24"/>
              </w:rPr>
            </w:pPr>
            <w:r w:rsidRPr="00087477">
              <w:rPr>
                <w:rFonts w:ascii="Calibri" w:hAnsi="Calibri"/>
                <w:b/>
                <w:sz w:val="24"/>
                <w:szCs w:val="24"/>
              </w:rPr>
              <w:t xml:space="preserve">Role </w:t>
            </w:r>
            <w:r>
              <w:rPr>
                <w:rFonts w:ascii="Calibri" w:hAnsi="Calibri"/>
                <w:b/>
                <w:sz w:val="24"/>
                <w:szCs w:val="24"/>
              </w:rPr>
              <w:t>in</w:t>
            </w:r>
            <w:r w:rsidRPr="00087477">
              <w:rPr>
                <w:rFonts w:ascii="Calibri" w:hAnsi="Calibri"/>
                <w:b/>
                <w:sz w:val="24"/>
                <w:szCs w:val="24"/>
              </w:rPr>
              <w:t xml:space="preserve"> SAP</w:t>
            </w:r>
            <w:r>
              <w:rPr>
                <w:rFonts w:ascii="Calibri" w:hAnsi="Calibri"/>
                <w:b/>
                <w:sz w:val="24"/>
                <w:szCs w:val="24"/>
              </w:rPr>
              <w:t xml:space="preserve"> development</w:t>
            </w:r>
          </w:p>
        </w:tc>
        <w:tc>
          <w:tcPr>
            <w:tcW w:w="2410" w:type="dxa"/>
          </w:tcPr>
          <w:p w14:paraId="19C83310" w14:textId="77777777" w:rsidR="00087477" w:rsidRPr="00087477" w:rsidRDefault="00087477" w:rsidP="007008C0">
            <w:pPr>
              <w:rPr>
                <w:rFonts w:ascii="Calibri" w:hAnsi="Calibri"/>
                <w:b/>
                <w:sz w:val="24"/>
                <w:szCs w:val="24"/>
              </w:rPr>
            </w:pPr>
            <w:r w:rsidRPr="00087477">
              <w:rPr>
                <w:rFonts w:ascii="Calibri" w:hAnsi="Calibri"/>
                <w:b/>
                <w:sz w:val="24"/>
                <w:szCs w:val="24"/>
              </w:rPr>
              <w:t>Name, affiliation</w:t>
            </w:r>
          </w:p>
        </w:tc>
        <w:tc>
          <w:tcPr>
            <w:tcW w:w="3889" w:type="dxa"/>
          </w:tcPr>
          <w:p w14:paraId="305BA8E8" w14:textId="77777777" w:rsidR="00087477" w:rsidRPr="00087477" w:rsidRDefault="00087477" w:rsidP="00087477">
            <w:pPr>
              <w:rPr>
                <w:rFonts w:ascii="Calibri" w:hAnsi="Calibri"/>
                <w:b/>
                <w:sz w:val="24"/>
                <w:szCs w:val="24"/>
              </w:rPr>
            </w:pPr>
            <w:r w:rsidRPr="00087477">
              <w:rPr>
                <w:rFonts w:ascii="Calibri" w:hAnsi="Calibri"/>
                <w:b/>
                <w:sz w:val="24"/>
                <w:szCs w:val="24"/>
              </w:rPr>
              <w:t xml:space="preserve">Role </w:t>
            </w:r>
            <w:r>
              <w:rPr>
                <w:rFonts w:ascii="Calibri" w:hAnsi="Calibri"/>
                <w:b/>
                <w:sz w:val="24"/>
                <w:szCs w:val="24"/>
              </w:rPr>
              <w:t>in</w:t>
            </w:r>
            <w:r w:rsidRPr="00087477">
              <w:rPr>
                <w:rFonts w:ascii="Calibri" w:hAnsi="Calibri"/>
                <w:b/>
                <w:sz w:val="24"/>
                <w:szCs w:val="24"/>
              </w:rPr>
              <w:t xml:space="preserve"> trial</w:t>
            </w:r>
          </w:p>
        </w:tc>
      </w:tr>
      <w:tr w:rsidR="00087477" w14:paraId="2E21BFE8" w14:textId="77777777" w:rsidTr="00087477">
        <w:tc>
          <w:tcPr>
            <w:tcW w:w="2943" w:type="dxa"/>
          </w:tcPr>
          <w:p w14:paraId="05F39A68" w14:textId="77777777" w:rsidR="00087477" w:rsidRPr="00FF061E" w:rsidRDefault="00FF061E" w:rsidP="00FF061E">
            <w:pPr>
              <w:rPr>
                <w:rFonts w:ascii="Calibri" w:hAnsi="Calibri"/>
                <w:sz w:val="24"/>
                <w:szCs w:val="24"/>
              </w:rPr>
            </w:pPr>
            <w:r>
              <w:rPr>
                <w:rFonts w:ascii="Calibri" w:hAnsi="Calibri"/>
                <w:sz w:val="24"/>
                <w:szCs w:val="24"/>
              </w:rPr>
              <w:t>SAP author</w:t>
            </w:r>
          </w:p>
        </w:tc>
        <w:tc>
          <w:tcPr>
            <w:tcW w:w="2410" w:type="dxa"/>
          </w:tcPr>
          <w:p w14:paraId="6D77345C" w14:textId="3224FA24" w:rsidR="00087477" w:rsidRPr="00FF061E" w:rsidRDefault="008D6347" w:rsidP="007008C0">
            <w:pPr>
              <w:rPr>
                <w:rFonts w:ascii="Calibri" w:hAnsi="Calibri"/>
                <w:sz w:val="24"/>
                <w:szCs w:val="24"/>
              </w:rPr>
            </w:pPr>
            <w:r>
              <w:rPr>
                <w:rFonts w:ascii="Calibri" w:hAnsi="Calibri"/>
                <w:sz w:val="24"/>
                <w:szCs w:val="24"/>
              </w:rPr>
              <w:t>Julia Mueller, MRC Unit, University of Cambridge</w:t>
            </w:r>
          </w:p>
        </w:tc>
        <w:tc>
          <w:tcPr>
            <w:tcW w:w="3889" w:type="dxa"/>
          </w:tcPr>
          <w:p w14:paraId="1120B08D" w14:textId="23715139" w:rsidR="00087477" w:rsidRPr="00FF061E" w:rsidRDefault="008D6347" w:rsidP="007008C0">
            <w:pPr>
              <w:rPr>
                <w:rFonts w:ascii="Calibri" w:hAnsi="Calibri"/>
                <w:sz w:val="24"/>
                <w:szCs w:val="24"/>
              </w:rPr>
            </w:pPr>
            <w:r>
              <w:rPr>
                <w:rFonts w:ascii="Calibri" w:hAnsi="Calibri"/>
                <w:sz w:val="24"/>
                <w:szCs w:val="24"/>
              </w:rPr>
              <w:t xml:space="preserve">Research Associate </w:t>
            </w:r>
          </w:p>
        </w:tc>
      </w:tr>
      <w:tr w:rsidR="00327DAE" w14:paraId="4756B8A3" w14:textId="77777777" w:rsidTr="00087477">
        <w:tc>
          <w:tcPr>
            <w:tcW w:w="2943" w:type="dxa"/>
          </w:tcPr>
          <w:p w14:paraId="099A217D" w14:textId="21C51E08" w:rsidR="00327DAE" w:rsidRDefault="00327DAE" w:rsidP="00FF061E">
            <w:pPr>
              <w:rPr>
                <w:rFonts w:ascii="Calibri" w:hAnsi="Calibri"/>
                <w:sz w:val="24"/>
                <w:szCs w:val="24"/>
              </w:rPr>
            </w:pPr>
            <w:r>
              <w:rPr>
                <w:rFonts w:ascii="Calibri" w:hAnsi="Calibri"/>
                <w:sz w:val="24"/>
                <w:szCs w:val="24"/>
              </w:rPr>
              <w:t xml:space="preserve">SAP reviewer </w:t>
            </w:r>
          </w:p>
        </w:tc>
        <w:tc>
          <w:tcPr>
            <w:tcW w:w="2410" w:type="dxa"/>
          </w:tcPr>
          <w:p w14:paraId="79037746" w14:textId="16267EEB" w:rsidR="00327DAE" w:rsidRDefault="00327DAE" w:rsidP="007008C0">
            <w:pPr>
              <w:rPr>
                <w:rFonts w:ascii="Calibri" w:hAnsi="Calibri"/>
                <w:sz w:val="24"/>
                <w:szCs w:val="24"/>
              </w:rPr>
            </w:pPr>
            <w:r>
              <w:rPr>
                <w:rFonts w:ascii="Calibri" w:hAnsi="Calibri"/>
                <w:sz w:val="24"/>
                <w:szCs w:val="24"/>
              </w:rPr>
              <w:t>Rebecca Richards, MRC Unit, University of Cambridge</w:t>
            </w:r>
          </w:p>
        </w:tc>
        <w:tc>
          <w:tcPr>
            <w:tcW w:w="3889" w:type="dxa"/>
          </w:tcPr>
          <w:p w14:paraId="1503A17B" w14:textId="66E683D4" w:rsidR="00327DAE" w:rsidRDefault="00327DAE" w:rsidP="007008C0">
            <w:pPr>
              <w:rPr>
                <w:rFonts w:ascii="Calibri" w:hAnsi="Calibri"/>
                <w:sz w:val="24"/>
                <w:szCs w:val="24"/>
              </w:rPr>
            </w:pPr>
            <w:r>
              <w:rPr>
                <w:rFonts w:ascii="Calibri" w:hAnsi="Calibri"/>
                <w:sz w:val="24"/>
                <w:szCs w:val="24"/>
              </w:rPr>
              <w:t>Research Associate</w:t>
            </w:r>
          </w:p>
        </w:tc>
      </w:tr>
      <w:tr w:rsidR="00087477" w14:paraId="6FB41237" w14:textId="77777777" w:rsidTr="00087477">
        <w:tc>
          <w:tcPr>
            <w:tcW w:w="2943" w:type="dxa"/>
          </w:tcPr>
          <w:p w14:paraId="5FCBE0F9" w14:textId="221DD7EC" w:rsidR="00087477" w:rsidRPr="00FF061E" w:rsidRDefault="00FF061E" w:rsidP="00FF061E">
            <w:pPr>
              <w:rPr>
                <w:rFonts w:ascii="Calibri" w:hAnsi="Calibri"/>
                <w:sz w:val="24"/>
                <w:szCs w:val="24"/>
              </w:rPr>
            </w:pPr>
            <w:r>
              <w:rPr>
                <w:rFonts w:ascii="Calibri" w:hAnsi="Calibri"/>
                <w:sz w:val="24"/>
                <w:szCs w:val="24"/>
              </w:rPr>
              <w:lastRenderedPageBreak/>
              <w:t xml:space="preserve">SAP reviewer </w:t>
            </w:r>
          </w:p>
        </w:tc>
        <w:tc>
          <w:tcPr>
            <w:tcW w:w="2410" w:type="dxa"/>
          </w:tcPr>
          <w:p w14:paraId="2B82AB6A" w14:textId="17EA90D0" w:rsidR="00087477" w:rsidRPr="00FF061E" w:rsidRDefault="008D6347" w:rsidP="007008C0">
            <w:pPr>
              <w:rPr>
                <w:rFonts w:ascii="Calibri" w:hAnsi="Calibri"/>
                <w:sz w:val="24"/>
                <w:szCs w:val="24"/>
              </w:rPr>
            </w:pPr>
            <w:r>
              <w:rPr>
                <w:rFonts w:ascii="Calibri" w:hAnsi="Calibri"/>
                <w:sz w:val="24"/>
                <w:szCs w:val="24"/>
              </w:rPr>
              <w:t>Amy Ahern, MRC Unit, University of Cambridge</w:t>
            </w:r>
          </w:p>
        </w:tc>
        <w:tc>
          <w:tcPr>
            <w:tcW w:w="3889" w:type="dxa"/>
          </w:tcPr>
          <w:p w14:paraId="4EF6DE1E" w14:textId="60262938" w:rsidR="00087477" w:rsidRPr="00FF061E" w:rsidRDefault="008D6347" w:rsidP="007008C0">
            <w:pPr>
              <w:rPr>
                <w:rFonts w:ascii="Calibri" w:hAnsi="Calibri"/>
                <w:sz w:val="24"/>
                <w:szCs w:val="24"/>
              </w:rPr>
            </w:pPr>
            <w:r>
              <w:rPr>
                <w:rFonts w:ascii="Calibri" w:hAnsi="Calibri"/>
                <w:sz w:val="24"/>
                <w:szCs w:val="24"/>
              </w:rPr>
              <w:t>PI</w:t>
            </w:r>
          </w:p>
        </w:tc>
      </w:tr>
      <w:tr w:rsidR="00087477" w14:paraId="43CCE1B8" w14:textId="77777777" w:rsidTr="00087477">
        <w:tc>
          <w:tcPr>
            <w:tcW w:w="2943" w:type="dxa"/>
          </w:tcPr>
          <w:p w14:paraId="6A2BC8B4" w14:textId="6DF1495B" w:rsidR="00087477" w:rsidRPr="00FF061E" w:rsidRDefault="00FF061E" w:rsidP="007008C0">
            <w:pPr>
              <w:rPr>
                <w:rFonts w:ascii="Calibri" w:hAnsi="Calibri"/>
                <w:sz w:val="24"/>
                <w:szCs w:val="24"/>
              </w:rPr>
            </w:pPr>
            <w:r>
              <w:rPr>
                <w:rFonts w:ascii="Calibri" w:hAnsi="Calibri"/>
                <w:sz w:val="24"/>
                <w:szCs w:val="24"/>
              </w:rPr>
              <w:t xml:space="preserve">SAP reviewer </w:t>
            </w:r>
          </w:p>
        </w:tc>
        <w:tc>
          <w:tcPr>
            <w:tcW w:w="2410" w:type="dxa"/>
          </w:tcPr>
          <w:p w14:paraId="2CBFA3FE" w14:textId="6BACA725" w:rsidR="00087477" w:rsidRPr="00FF061E" w:rsidRDefault="008D6347" w:rsidP="007008C0">
            <w:pPr>
              <w:rPr>
                <w:rFonts w:ascii="Calibri" w:hAnsi="Calibri"/>
                <w:sz w:val="24"/>
                <w:szCs w:val="24"/>
              </w:rPr>
            </w:pPr>
            <w:r>
              <w:rPr>
                <w:rFonts w:ascii="Calibri" w:hAnsi="Calibri"/>
                <w:sz w:val="24"/>
                <w:szCs w:val="24"/>
              </w:rPr>
              <w:t xml:space="preserve">Stephen </w:t>
            </w:r>
            <w:r w:rsidR="00363DB1">
              <w:rPr>
                <w:rFonts w:ascii="Calibri" w:hAnsi="Calibri"/>
                <w:sz w:val="24"/>
                <w:szCs w:val="24"/>
              </w:rPr>
              <w:t xml:space="preserve">J. </w:t>
            </w:r>
            <w:r>
              <w:rPr>
                <w:rFonts w:ascii="Calibri" w:hAnsi="Calibri"/>
                <w:sz w:val="24"/>
                <w:szCs w:val="24"/>
              </w:rPr>
              <w:t>Sharp, MRC Unit, University of Cambridge</w:t>
            </w:r>
          </w:p>
        </w:tc>
        <w:tc>
          <w:tcPr>
            <w:tcW w:w="3889" w:type="dxa"/>
          </w:tcPr>
          <w:p w14:paraId="4F0311C0" w14:textId="7AC7C225" w:rsidR="00087477" w:rsidRPr="00FF061E" w:rsidRDefault="008D6347" w:rsidP="007008C0">
            <w:pPr>
              <w:rPr>
                <w:rFonts w:ascii="Calibri" w:hAnsi="Calibri"/>
                <w:sz w:val="24"/>
                <w:szCs w:val="24"/>
              </w:rPr>
            </w:pPr>
            <w:r>
              <w:rPr>
                <w:rFonts w:ascii="Calibri" w:hAnsi="Calibri"/>
                <w:sz w:val="24"/>
                <w:szCs w:val="24"/>
              </w:rPr>
              <w:t>Statistician</w:t>
            </w:r>
          </w:p>
        </w:tc>
      </w:tr>
      <w:tr w:rsidR="00087477" w14:paraId="34655508" w14:textId="77777777" w:rsidTr="00087477">
        <w:tc>
          <w:tcPr>
            <w:tcW w:w="2943" w:type="dxa"/>
          </w:tcPr>
          <w:p w14:paraId="25FC2A0F" w14:textId="5C9812FB" w:rsidR="00087477" w:rsidRPr="00FF061E" w:rsidRDefault="00F03134" w:rsidP="007008C0">
            <w:pPr>
              <w:rPr>
                <w:rFonts w:ascii="Calibri" w:hAnsi="Calibri"/>
                <w:sz w:val="24"/>
                <w:szCs w:val="24"/>
              </w:rPr>
            </w:pPr>
            <w:r>
              <w:rPr>
                <w:rFonts w:ascii="Calibri" w:hAnsi="Calibri"/>
                <w:sz w:val="24"/>
                <w:szCs w:val="24"/>
              </w:rPr>
              <w:t xml:space="preserve">SAP reviewer </w:t>
            </w:r>
          </w:p>
        </w:tc>
        <w:tc>
          <w:tcPr>
            <w:tcW w:w="2410" w:type="dxa"/>
          </w:tcPr>
          <w:p w14:paraId="55E64F99" w14:textId="1A794847" w:rsidR="00087477" w:rsidRPr="00FF061E" w:rsidRDefault="00F03134" w:rsidP="007008C0">
            <w:pPr>
              <w:rPr>
                <w:rFonts w:ascii="Calibri" w:hAnsi="Calibri"/>
                <w:sz w:val="24"/>
                <w:szCs w:val="24"/>
              </w:rPr>
            </w:pPr>
            <w:r>
              <w:rPr>
                <w:rFonts w:ascii="Calibri" w:hAnsi="Calibri"/>
                <w:sz w:val="24"/>
                <w:szCs w:val="24"/>
              </w:rPr>
              <w:t>Simon Griffin, MRC Unit, University of Cambridge</w:t>
            </w:r>
          </w:p>
        </w:tc>
        <w:tc>
          <w:tcPr>
            <w:tcW w:w="3889" w:type="dxa"/>
          </w:tcPr>
          <w:p w14:paraId="7F888BBA" w14:textId="6284DA6B" w:rsidR="00087477" w:rsidRPr="00FF061E" w:rsidRDefault="00F03134" w:rsidP="007008C0">
            <w:pPr>
              <w:rPr>
                <w:rFonts w:ascii="Calibri" w:hAnsi="Calibri"/>
                <w:sz w:val="24"/>
                <w:szCs w:val="24"/>
              </w:rPr>
            </w:pPr>
            <w:r>
              <w:rPr>
                <w:rFonts w:ascii="Calibri" w:hAnsi="Calibri"/>
                <w:sz w:val="24"/>
                <w:szCs w:val="24"/>
              </w:rPr>
              <w:t>Co-I</w:t>
            </w:r>
          </w:p>
        </w:tc>
      </w:tr>
    </w:tbl>
    <w:p w14:paraId="2E7BF47D" w14:textId="77777777" w:rsidR="00087477" w:rsidRDefault="00087477" w:rsidP="007008C0">
      <w:pPr>
        <w:rPr>
          <w:rFonts w:ascii="Calibri" w:hAnsi="Calibri"/>
          <w:sz w:val="32"/>
          <w:szCs w:val="32"/>
        </w:rPr>
      </w:pPr>
    </w:p>
    <w:p w14:paraId="645F3E6B" w14:textId="77777777" w:rsidR="00D90784" w:rsidRDefault="00D90784" w:rsidP="00D90784">
      <w:pPr>
        <w:rPr>
          <w:rFonts w:ascii="Calibri" w:hAnsi="Calibri"/>
          <w:sz w:val="32"/>
          <w:szCs w:val="32"/>
        </w:rPr>
      </w:pPr>
      <w:r>
        <w:rPr>
          <w:rFonts w:ascii="Calibri" w:hAnsi="Calibri"/>
          <w:b/>
          <w:sz w:val="32"/>
          <w:szCs w:val="32"/>
        </w:rPr>
        <w:t>SAP signatures</w:t>
      </w:r>
    </w:p>
    <w:tbl>
      <w:tblPr>
        <w:tblStyle w:val="TableGrid"/>
        <w:tblW w:w="0" w:type="auto"/>
        <w:tblLook w:val="04A0" w:firstRow="1" w:lastRow="0" w:firstColumn="1" w:lastColumn="0" w:noHBand="0" w:noVBand="1"/>
      </w:tblPr>
      <w:tblGrid>
        <w:gridCol w:w="2357"/>
        <w:gridCol w:w="1990"/>
        <w:gridCol w:w="1198"/>
        <w:gridCol w:w="3471"/>
      </w:tblGrid>
      <w:tr w:rsidR="00690907" w14:paraId="649EFDCC" w14:textId="77777777" w:rsidTr="00D90784">
        <w:tc>
          <w:tcPr>
            <w:tcW w:w="2734" w:type="dxa"/>
          </w:tcPr>
          <w:p w14:paraId="34EA7500" w14:textId="77777777" w:rsidR="00D90784" w:rsidRPr="00D90784" w:rsidRDefault="00D90784" w:rsidP="00CC1476">
            <w:pPr>
              <w:rPr>
                <w:rFonts w:ascii="Calibri" w:hAnsi="Calibri"/>
                <w:b/>
                <w:sz w:val="24"/>
                <w:szCs w:val="24"/>
              </w:rPr>
            </w:pPr>
            <w:r w:rsidRPr="00D90784">
              <w:rPr>
                <w:rFonts w:ascii="Calibri" w:hAnsi="Calibri"/>
                <w:b/>
                <w:sz w:val="24"/>
                <w:szCs w:val="24"/>
              </w:rPr>
              <w:t>Role</w:t>
            </w:r>
          </w:p>
        </w:tc>
        <w:tc>
          <w:tcPr>
            <w:tcW w:w="2248" w:type="dxa"/>
          </w:tcPr>
          <w:p w14:paraId="21974A95" w14:textId="77777777" w:rsidR="00D90784" w:rsidRPr="00D90784" w:rsidRDefault="00D90784" w:rsidP="00CC1476">
            <w:pPr>
              <w:rPr>
                <w:rFonts w:ascii="Calibri" w:hAnsi="Calibri"/>
                <w:b/>
                <w:sz w:val="24"/>
                <w:szCs w:val="24"/>
              </w:rPr>
            </w:pPr>
            <w:r w:rsidRPr="00D90784">
              <w:rPr>
                <w:rFonts w:ascii="Calibri" w:hAnsi="Calibri"/>
                <w:b/>
                <w:sz w:val="24"/>
                <w:szCs w:val="24"/>
              </w:rPr>
              <w:t>Name, affiliation</w:t>
            </w:r>
          </w:p>
        </w:tc>
        <w:tc>
          <w:tcPr>
            <w:tcW w:w="1222" w:type="dxa"/>
          </w:tcPr>
          <w:p w14:paraId="4414F7D7" w14:textId="77777777" w:rsidR="00D90784" w:rsidRPr="00D90784" w:rsidRDefault="00D90784" w:rsidP="00CC1476">
            <w:pPr>
              <w:rPr>
                <w:rFonts w:ascii="Calibri" w:hAnsi="Calibri"/>
                <w:b/>
                <w:sz w:val="24"/>
                <w:szCs w:val="24"/>
              </w:rPr>
            </w:pPr>
            <w:r w:rsidRPr="00D90784">
              <w:rPr>
                <w:rFonts w:ascii="Calibri" w:hAnsi="Calibri"/>
                <w:b/>
                <w:sz w:val="24"/>
                <w:szCs w:val="24"/>
              </w:rPr>
              <w:t>Date</w:t>
            </w:r>
          </w:p>
        </w:tc>
        <w:tc>
          <w:tcPr>
            <w:tcW w:w="3038" w:type="dxa"/>
          </w:tcPr>
          <w:p w14:paraId="7374D868" w14:textId="77777777" w:rsidR="00D90784" w:rsidRPr="00D90784" w:rsidRDefault="00D90784" w:rsidP="00CC1476">
            <w:pPr>
              <w:rPr>
                <w:rFonts w:ascii="Calibri" w:hAnsi="Calibri"/>
                <w:b/>
                <w:sz w:val="24"/>
                <w:szCs w:val="24"/>
              </w:rPr>
            </w:pPr>
            <w:r w:rsidRPr="00D90784">
              <w:rPr>
                <w:rFonts w:ascii="Calibri" w:hAnsi="Calibri"/>
                <w:b/>
                <w:sz w:val="24"/>
                <w:szCs w:val="24"/>
              </w:rPr>
              <w:t>Signature</w:t>
            </w:r>
          </w:p>
        </w:tc>
      </w:tr>
      <w:tr w:rsidR="00690907" w14:paraId="40815AE1" w14:textId="77777777" w:rsidTr="00D90784">
        <w:tc>
          <w:tcPr>
            <w:tcW w:w="2734" w:type="dxa"/>
          </w:tcPr>
          <w:p w14:paraId="427B6A3A" w14:textId="77777777" w:rsidR="00D90784" w:rsidRPr="00D90784" w:rsidRDefault="00D90784" w:rsidP="00CC1476">
            <w:pPr>
              <w:rPr>
                <w:rFonts w:ascii="Calibri" w:hAnsi="Calibri"/>
                <w:sz w:val="24"/>
                <w:szCs w:val="24"/>
              </w:rPr>
            </w:pPr>
            <w:r>
              <w:rPr>
                <w:rFonts w:ascii="Calibri" w:hAnsi="Calibri"/>
                <w:sz w:val="24"/>
                <w:szCs w:val="24"/>
              </w:rPr>
              <w:t>Trial PI</w:t>
            </w:r>
          </w:p>
        </w:tc>
        <w:tc>
          <w:tcPr>
            <w:tcW w:w="2248" w:type="dxa"/>
          </w:tcPr>
          <w:p w14:paraId="13A71B39" w14:textId="2D777BE5" w:rsidR="00D90784" w:rsidRPr="00D90784" w:rsidRDefault="00F03134" w:rsidP="00CC1476">
            <w:pPr>
              <w:rPr>
                <w:rFonts w:ascii="Calibri" w:hAnsi="Calibri"/>
                <w:sz w:val="24"/>
                <w:szCs w:val="24"/>
              </w:rPr>
            </w:pPr>
            <w:r>
              <w:rPr>
                <w:rFonts w:ascii="Calibri" w:hAnsi="Calibri"/>
                <w:sz w:val="24"/>
                <w:szCs w:val="24"/>
              </w:rPr>
              <w:t>Amy Ahern, MRC Unit, University of Cambridge</w:t>
            </w:r>
          </w:p>
        </w:tc>
        <w:tc>
          <w:tcPr>
            <w:tcW w:w="1222" w:type="dxa"/>
          </w:tcPr>
          <w:p w14:paraId="0CCC1F9E" w14:textId="07E44121" w:rsidR="00D90784" w:rsidRDefault="00363815" w:rsidP="00CC1476">
            <w:pPr>
              <w:rPr>
                <w:rFonts w:ascii="Calibri" w:hAnsi="Calibri"/>
                <w:sz w:val="24"/>
                <w:szCs w:val="24"/>
              </w:rPr>
            </w:pPr>
            <w:r>
              <w:rPr>
                <w:rFonts w:ascii="Calibri" w:hAnsi="Calibri"/>
                <w:sz w:val="24"/>
                <w:szCs w:val="24"/>
              </w:rPr>
              <w:t>10/03/21</w:t>
            </w:r>
          </w:p>
        </w:tc>
        <w:tc>
          <w:tcPr>
            <w:tcW w:w="3038" w:type="dxa"/>
          </w:tcPr>
          <w:p w14:paraId="0DE5B5EF" w14:textId="43D5056E" w:rsidR="00D90784" w:rsidRDefault="00363815" w:rsidP="00CC1476">
            <w:pPr>
              <w:rPr>
                <w:rFonts w:ascii="Calibri" w:hAnsi="Calibri"/>
                <w:sz w:val="24"/>
                <w:szCs w:val="24"/>
              </w:rPr>
            </w:pPr>
            <w:r>
              <w:rPr>
                <w:rFonts w:ascii="Calibri" w:hAnsi="Calibri"/>
                <w:noProof/>
                <w:sz w:val="24"/>
                <w:szCs w:val="24"/>
                <w:lang w:eastAsia="en-GB"/>
              </w:rPr>
              <w:drawing>
                <wp:inline distT="0" distB="0" distL="0" distR="0" wp14:anchorId="5E3E1D22" wp14:editId="33C1F076">
                  <wp:extent cx="1667256" cy="77114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7256" cy="771144"/>
                          </a:xfrm>
                          <a:prstGeom prst="rect">
                            <a:avLst/>
                          </a:prstGeom>
                        </pic:spPr>
                      </pic:pic>
                    </a:graphicData>
                  </a:graphic>
                </wp:inline>
              </w:drawing>
            </w:r>
          </w:p>
        </w:tc>
      </w:tr>
      <w:tr w:rsidR="00690907" w14:paraId="1E4EEE59" w14:textId="77777777" w:rsidTr="00D90784">
        <w:tc>
          <w:tcPr>
            <w:tcW w:w="2734" w:type="dxa"/>
          </w:tcPr>
          <w:p w14:paraId="3D884766" w14:textId="77777777" w:rsidR="00D90784" w:rsidRPr="00D90784" w:rsidRDefault="00D90784" w:rsidP="00CC1476">
            <w:pPr>
              <w:rPr>
                <w:rFonts w:ascii="Calibri" w:hAnsi="Calibri"/>
                <w:sz w:val="24"/>
                <w:szCs w:val="24"/>
              </w:rPr>
            </w:pPr>
            <w:r w:rsidRPr="00D90784">
              <w:rPr>
                <w:rFonts w:ascii="Calibri" w:hAnsi="Calibri"/>
                <w:sz w:val="24"/>
                <w:szCs w:val="24"/>
              </w:rPr>
              <w:t>SAP author</w:t>
            </w:r>
          </w:p>
        </w:tc>
        <w:tc>
          <w:tcPr>
            <w:tcW w:w="2248" w:type="dxa"/>
          </w:tcPr>
          <w:p w14:paraId="3027EFD8" w14:textId="066BD12A" w:rsidR="00D90784" w:rsidRPr="00D90784" w:rsidRDefault="00F03134" w:rsidP="00CC1476">
            <w:pPr>
              <w:rPr>
                <w:rFonts w:ascii="Calibri" w:hAnsi="Calibri"/>
                <w:sz w:val="24"/>
                <w:szCs w:val="24"/>
              </w:rPr>
            </w:pPr>
            <w:r>
              <w:rPr>
                <w:rFonts w:ascii="Calibri" w:hAnsi="Calibri"/>
                <w:sz w:val="24"/>
                <w:szCs w:val="24"/>
              </w:rPr>
              <w:t>Julia Mueller, MRC Unit, University of Cambridge</w:t>
            </w:r>
          </w:p>
        </w:tc>
        <w:tc>
          <w:tcPr>
            <w:tcW w:w="1222" w:type="dxa"/>
          </w:tcPr>
          <w:p w14:paraId="0728F881" w14:textId="235DEDB7" w:rsidR="00D90784" w:rsidRPr="00D90784" w:rsidRDefault="00690907" w:rsidP="00CC1476">
            <w:pPr>
              <w:rPr>
                <w:rFonts w:ascii="Calibri" w:hAnsi="Calibri"/>
                <w:sz w:val="24"/>
                <w:szCs w:val="24"/>
              </w:rPr>
            </w:pPr>
            <w:r>
              <w:rPr>
                <w:rFonts w:ascii="Calibri" w:hAnsi="Calibri"/>
                <w:sz w:val="24"/>
                <w:szCs w:val="24"/>
              </w:rPr>
              <w:t>16/03/</w:t>
            </w:r>
            <w:r w:rsidR="009160DF">
              <w:rPr>
                <w:rFonts w:ascii="Calibri" w:hAnsi="Calibri"/>
                <w:sz w:val="24"/>
                <w:szCs w:val="24"/>
              </w:rPr>
              <w:t>2</w:t>
            </w:r>
            <w:r>
              <w:rPr>
                <w:rFonts w:ascii="Calibri" w:hAnsi="Calibri"/>
                <w:sz w:val="24"/>
                <w:szCs w:val="24"/>
              </w:rPr>
              <w:t>1</w:t>
            </w:r>
          </w:p>
        </w:tc>
        <w:tc>
          <w:tcPr>
            <w:tcW w:w="3038" w:type="dxa"/>
          </w:tcPr>
          <w:p w14:paraId="49D227D5" w14:textId="78DD2607" w:rsidR="00D90784" w:rsidRPr="00D90784" w:rsidRDefault="00690907" w:rsidP="00CC1476">
            <w:pPr>
              <w:rPr>
                <w:rFonts w:ascii="Calibri" w:hAnsi="Calibri"/>
                <w:sz w:val="24"/>
                <w:szCs w:val="24"/>
              </w:rPr>
            </w:pPr>
            <w:r>
              <w:rPr>
                <w:rFonts w:ascii="Calibri" w:hAnsi="Calibri"/>
                <w:noProof/>
                <w:sz w:val="24"/>
                <w:szCs w:val="24"/>
                <w:lang w:eastAsia="en-GB"/>
              </w:rPr>
              <w:drawing>
                <wp:inline distT="0" distB="0" distL="0" distR="0" wp14:anchorId="5708CB4F" wp14:editId="2C830C5E">
                  <wp:extent cx="1162050" cy="5599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9861" cy="573388"/>
                          </a:xfrm>
                          <a:prstGeom prst="rect">
                            <a:avLst/>
                          </a:prstGeom>
                        </pic:spPr>
                      </pic:pic>
                    </a:graphicData>
                  </a:graphic>
                </wp:inline>
              </w:drawing>
            </w:r>
          </w:p>
        </w:tc>
      </w:tr>
      <w:tr w:rsidR="00690907" w14:paraId="50EFD00F" w14:textId="77777777" w:rsidTr="00D90784">
        <w:tc>
          <w:tcPr>
            <w:tcW w:w="2734" w:type="dxa"/>
          </w:tcPr>
          <w:p w14:paraId="551A893F" w14:textId="77777777" w:rsidR="00D90784" w:rsidRPr="00D90784" w:rsidRDefault="00D90784" w:rsidP="00CC1476">
            <w:pPr>
              <w:rPr>
                <w:rFonts w:ascii="Calibri" w:hAnsi="Calibri"/>
                <w:sz w:val="24"/>
                <w:szCs w:val="24"/>
              </w:rPr>
            </w:pPr>
            <w:r w:rsidRPr="00D90784">
              <w:rPr>
                <w:rFonts w:ascii="Calibri" w:hAnsi="Calibri"/>
                <w:sz w:val="24"/>
                <w:szCs w:val="24"/>
              </w:rPr>
              <w:t>Overseeing statistician</w:t>
            </w:r>
          </w:p>
        </w:tc>
        <w:tc>
          <w:tcPr>
            <w:tcW w:w="2248" w:type="dxa"/>
          </w:tcPr>
          <w:p w14:paraId="76102993" w14:textId="760586AE" w:rsidR="00D90784" w:rsidRPr="00D90784" w:rsidRDefault="00F03134" w:rsidP="00CC1476">
            <w:pPr>
              <w:rPr>
                <w:rFonts w:ascii="Calibri" w:hAnsi="Calibri"/>
                <w:sz w:val="24"/>
                <w:szCs w:val="24"/>
              </w:rPr>
            </w:pPr>
            <w:r>
              <w:rPr>
                <w:rFonts w:ascii="Calibri" w:hAnsi="Calibri"/>
                <w:sz w:val="24"/>
                <w:szCs w:val="24"/>
              </w:rPr>
              <w:t>Stephen Sharp, MRC Unit, University of Cambridge</w:t>
            </w:r>
          </w:p>
        </w:tc>
        <w:tc>
          <w:tcPr>
            <w:tcW w:w="1222" w:type="dxa"/>
          </w:tcPr>
          <w:p w14:paraId="6517D79F" w14:textId="2E1887E4" w:rsidR="00D90784" w:rsidRPr="00D90784" w:rsidRDefault="001110F4" w:rsidP="00CC1476">
            <w:pPr>
              <w:rPr>
                <w:rFonts w:ascii="Calibri" w:hAnsi="Calibri"/>
                <w:sz w:val="24"/>
                <w:szCs w:val="24"/>
              </w:rPr>
            </w:pPr>
            <w:r>
              <w:rPr>
                <w:rFonts w:ascii="Calibri" w:hAnsi="Calibri"/>
                <w:sz w:val="24"/>
                <w:szCs w:val="24"/>
              </w:rPr>
              <w:t>1</w:t>
            </w:r>
            <w:r w:rsidR="002E45C7">
              <w:rPr>
                <w:rFonts w:ascii="Calibri" w:hAnsi="Calibri"/>
                <w:sz w:val="24"/>
                <w:szCs w:val="24"/>
              </w:rPr>
              <w:t>6</w:t>
            </w:r>
            <w:r>
              <w:rPr>
                <w:rFonts w:ascii="Calibri" w:hAnsi="Calibri"/>
                <w:sz w:val="24"/>
                <w:szCs w:val="24"/>
              </w:rPr>
              <w:t>/</w:t>
            </w:r>
            <w:r w:rsidR="00690907">
              <w:rPr>
                <w:rFonts w:ascii="Calibri" w:hAnsi="Calibri"/>
                <w:sz w:val="24"/>
                <w:szCs w:val="24"/>
              </w:rPr>
              <w:t>0</w:t>
            </w:r>
            <w:r w:rsidR="002E45C7">
              <w:rPr>
                <w:rFonts w:ascii="Calibri" w:hAnsi="Calibri"/>
                <w:sz w:val="24"/>
                <w:szCs w:val="24"/>
              </w:rPr>
              <w:t>3</w:t>
            </w:r>
            <w:r>
              <w:rPr>
                <w:rFonts w:ascii="Calibri" w:hAnsi="Calibri"/>
                <w:sz w:val="24"/>
                <w:szCs w:val="24"/>
              </w:rPr>
              <w:t>/21</w:t>
            </w:r>
          </w:p>
        </w:tc>
        <w:tc>
          <w:tcPr>
            <w:tcW w:w="3038" w:type="dxa"/>
          </w:tcPr>
          <w:p w14:paraId="5EB7EC44" w14:textId="7FC5CBB7" w:rsidR="00D90784" w:rsidRPr="00D90784" w:rsidRDefault="001110F4" w:rsidP="00CC1476">
            <w:pPr>
              <w:rPr>
                <w:rFonts w:ascii="Calibri" w:hAnsi="Calibri"/>
                <w:sz w:val="24"/>
                <w:szCs w:val="24"/>
              </w:rPr>
            </w:pPr>
            <w:r>
              <w:rPr>
                <w:rFonts w:ascii="Calibri" w:hAnsi="Calibri"/>
                <w:noProof/>
                <w:sz w:val="24"/>
                <w:szCs w:val="24"/>
                <w:lang w:eastAsia="en-GB"/>
              </w:rPr>
              <w:drawing>
                <wp:inline distT="0" distB="0" distL="0" distR="0" wp14:anchorId="62253A71" wp14:editId="1E588D64">
                  <wp:extent cx="2066925" cy="744698"/>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4181" cy="754518"/>
                          </a:xfrm>
                          <a:prstGeom prst="rect">
                            <a:avLst/>
                          </a:prstGeom>
                        </pic:spPr>
                      </pic:pic>
                    </a:graphicData>
                  </a:graphic>
                </wp:inline>
              </w:drawing>
            </w:r>
          </w:p>
        </w:tc>
      </w:tr>
    </w:tbl>
    <w:p w14:paraId="1B0DA3BF" w14:textId="77777777" w:rsidR="00D90784" w:rsidRPr="00EA4A8E" w:rsidRDefault="00D90784" w:rsidP="007008C0">
      <w:pPr>
        <w:rPr>
          <w:rFonts w:ascii="Calibri" w:hAnsi="Calibri"/>
          <w:sz w:val="32"/>
          <w:szCs w:val="32"/>
        </w:rPr>
      </w:pPr>
    </w:p>
    <w:p w14:paraId="754F971F" w14:textId="77777777" w:rsidR="00BC55BF" w:rsidRPr="007008C0" w:rsidRDefault="00BC55BF" w:rsidP="00BC55BF">
      <w:pPr>
        <w:pStyle w:val="Heading5"/>
        <w:rPr>
          <w:rFonts w:ascii="Calibri" w:hAnsi="Calibri"/>
          <w:color w:val="auto"/>
        </w:rPr>
      </w:pPr>
      <w:r w:rsidRPr="007008C0">
        <w:rPr>
          <w:rFonts w:ascii="Calibri" w:hAnsi="Calibri"/>
          <w:color w:val="auto"/>
        </w:rPr>
        <w:br w:type="page"/>
      </w:r>
    </w:p>
    <w:p w14:paraId="09657E12" w14:textId="77777777" w:rsidR="00BC55BF" w:rsidRDefault="00BC55BF" w:rsidP="00851EF9">
      <w:pPr>
        <w:pStyle w:val="Heading1"/>
      </w:pPr>
      <w:r w:rsidRPr="00851EF9">
        <w:lastRenderedPageBreak/>
        <w:t>1</w:t>
      </w:r>
      <w:r w:rsidRPr="00851EF9">
        <w:tab/>
        <w:t>Introduction</w:t>
      </w:r>
    </w:p>
    <w:p w14:paraId="15A22B1E" w14:textId="77777777" w:rsidR="00851EF9" w:rsidRPr="00851EF9" w:rsidRDefault="00851EF9" w:rsidP="00851EF9">
      <w:pPr>
        <w:pStyle w:val="Heading2"/>
      </w:pPr>
      <w:r>
        <w:t>1.1</w:t>
      </w:r>
      <w:r>
        <w:tab/>
        <w:t>Trial background and rationale</w:t>
      </w:r>
    </w:p>
    <w:p w14:paraId="1AD9A6DF" w14:textId="530C8AC1" w:rsidR="00F03134" w:rsidRDefault="00F03134" w:rsidP="00851EF9">
      <w:pPr>
        <w:rPr>
          <w:rFonts w:ascii="Calibri" w:hAnsi="Calibri"/>
          <w:sz w:val="24"/>
          <w:szCs w:val="24"/>
        </w:rPr>
      </w:pPr>
      <w:r w:rsidRPr="00F03134">
        <w:rPr>
          <w:rFonts w:ascii="Calibri" w:hAnsi="Calibri"/>
          <w:sz w:val="24"/>
          <w:szCs w:val="24"/>
        </w:rPr>
        <w:t xml:space="preserve">The social distancing and isolation measures imposed during the COVID-19 pandemic beginning March 2020, including the closure </w:t>
      </w:r>
      <w:r w:rsidR="00C45C34">
        <w:rPr>
          <w:rFonts w:ascii="Calibri" w:hAnsi="Calibri"/>
          <w:sz w:val="24"/>
          <w:szCs w:val="24"/>
        </w:rPr>
        <w:t xml:space="preserve">or reduced operating </w:t>
      </w:r>
      <w:r w:rsidRPr="00F03134">
        <w:rPr>
          <w:rFonts w:ascii="Calibri" w:hAnsi="Calibri"/>
          <w:sz w:val="24"/>
          <w:szCs w:val="24"/>
        </w:rPr>
        <w:t xml:space="preserve">of </w:t>
      </w:r>
      <w:r w:rsidR="00C45C34">
        <w:rPr>
          <w:rFonts w:ascii="Calibri" w:hAnsi="Calibri"/>
          <w:sz w:val="24"/>
          <w:szCs w:val="24"/>
        </w:rPr>
        <w:t xml:space="preserve">some </w:t>
      </w:r>
      <w:r w:rsidRPr="00F03134">
        <w:rPr>
          <w:rFonts w:ascii="Calibri" w:hAnsi="Calibri"/>
          <w:sz w:val="24"/>
          <w:szCs w:val="24"/>
        </w:rPr>
        <w:t>weight management programmes and services, mean that adults with overweight and obesity in the UK are at increasing vulnerability to weight gain, and associated negative impacts on physical health and mental wellbeing.</w:t>
      </w:r>
      <w:r>
        <w:rPr>
          <w:rFonts w:ascii="Calibri" w:hAnsi="Calibri"/>
          <w:sz w:val="24"/>
          <w:szCs w:val="24"/>
        </w:rPr>
        <w:t xml:space="preserve"> </w:t>
      </w:r>
      <w:r w:rsidRPr="00F03134">
        <w:rPr>
          <w:rFonts w:ascii="Calibri" w:hAnsi="Calibri"/>
          <w:sz w:val="24"/>
          <w:szCs w:val="24"/>
        </w:rPr>
        <w:t>There is good evidence that interventions based on acceptance and commitment therapy (ACT) are effective for weight management and may improve mental wellbeing and psychological determinants of weight control.(4) However, acceptance-based programmes are usually psychologist-led and the cost and scarcity of psychologists specialising in obesity mean it is not possible to support everyone who would benefit from this type of intervention.</w:t>
      </w:r>
    </w:p>
    <w:p w14:paraId="73D68FE0" w14:textId="75CDAD8E" w:rsidR="002E2C6D" w:rsidRDefault="002E2C6D" w:rsidP="00851EF9">
      <w:pPr>
        <w:rPr>
          <w:rFonts w:ascii="Calibri" w:hAnsi="Calibri"/>
          <w:sz w:val="24"/>
          <w:szCs w:val="24"/>
        </w:rPr>
      </w:pPr>
      <w:r w:rsidRPr="002E2C6D">
        <w:rPr>
          <w:rFonts w:ascii="Calibri" w:hAnsi="Calibri"/>
          <w:sz w:val="24"/>
          <w:szCs w:val="24"/>
        </w:rPr>
        <w:t>We developed a supported self-help intervention (SWiM-C; Supporting Weight Management during COVID 19) that aims to help adults with overweight and obesity to manage their weight and eating behaviour, be more physically active, and protect their emotional wellbeing</w:t>
      </w:r>
      <w:r w:rsidR="00C45C34">
        <w:rPr>
          <w:rFonts w:ascii="Calibri" w:hAnsi="Calibri"/>
          <w:sz w:val="24"/>
          <w:szCs w:val="24"/>
        </w:rPr>
        <w:t xml:space="preserve"> during the COVID pandemic</w:t>
      </w:r>
      <w:r w:rsidRPr="002E2C6D">
        <w:rPr>
          <w:rFonts w:ascii="Calibri" w:hAnsi="Calibri"/>
          <w:sz w:val="24"/>
          <w:szCs w:val="24"/>
        </w:rPr>
        <w:t>.</w:t>
      </w:r>
      <w:r>
        <w:rPr>
          <w:rFonts w:ascii="Calibri" w:hAnsi="Calibri"/>
          <w:sz w:val="24"/>
          <w:szCs w:val="24"/>
        </w:rPr>
        <w:t xml:space="preserve"> </w:t>
      </w:r>
      <w:r w:rsidR="004A50CD" w:rsidRPr="002E2C6D">
        <w:rPr>
          <w:rFonts w:ascii="Calibri" w:hAnsi="Calibri"/>
          <w:sz w:val="24"/>
          <w:szCs w:val="24"/>
        </w:rPr>
        <w:t>The 12-week intervention is based on ACT, targets known psychological determinants of weight management and is delivered via an online platform with remote support from a guide or coach.</w:t>
      </w:r>
      <w:r w:rsidR="004A50CD">
        <w:rPr>
          <w:rFonts w:ascii="Calibri" w:hAnsi="Calibri"/>
          <w:sz w:val="24"/>
          <w:szCs w:val="24"/>
        </w:rPr>
        <w:t xml:space="preserve"> </w:t>
      </w:r>
      <w:r w:rsidR="00E234FD">
        <w:rPr>
          <w:rFonts w:ascii="Calibri" w:hAnsi="Calibri"/>
          <w:sz w:val="24"/>
          <w:szCs w:val="24"/>
        </w:rPr>
        <w:t xml:space="preserve"> </w:t>
      </w:r>
    </w:p>
    <w:p w14:paraId="1C9E8CE2" w14:textId="19207050" w:rsidR="002E2C6D" w:rsidRDefault="002E2C6D" w:rsidP="00851EF9">
      <w:pPr>
        <w:rPr>
          <w:rFonts w:ascii="Calibri" w:hAnsi="Calibri"/>
          <w:sz w:val="24"/>
          <w:szCs w:val="24"/>
        </w:rPr>
      </w:pPr>
      <w:r w:rsidRPr="002E2C6D">
        <w:rPr>
          <w:rFonts w:ascii="Calibri" w:hAnsi="Calibri"/>
          <w:sz w:val="24"/>
          <w:szCs w:val="24"/>
        </w:rPr>
        <w:t>The current study compares the effectiveness of SWiM-C with standard written materials giving advice on diet, physical activity and mental health during the COVID-19 pandemic.</w:t>
      </w:r>
      <w:r>
        <w:rPr>
          <w:rFonts w:ascii="Calibri" w:hAnsi="Calibri"/>
          <w:sz w:val="24"/>
          <w:szCs w:val="24"/>
        </w:rPr>
        <w:t xml:space="preserve"> </w:t>
      </w:r>
      <w:r w:rsidRPr="002E2C6D">
        <w:rPr>
          <w:rFonts w:ascii="Calibri" w:hAnsi="Calibri"/>
          <w:sz w:val="24"/>
          <w:szCs w:val="24"/>
        </w:rPr>
        <w:t>If the SWiM-C intervention proves to be effective it could be rolled out on a larger scale to support people through the current crisis. Findings may also be generalisable to other situations involving high levels of stress, reduced access to resources, and/or low levels of mobility.</w:t>
      </w:r>
    </w:p>
    <w:p w14:paraId="4C571953" w14:textId="3726F75A" w:rsidR="00851EF9" w:rsidRDefault="00851EF9" w:rsidP="00851EF9">
      <w:pPr>
        <w:pStyle w:val="Heading2"/>
      </w:pPr>
      <w:r>
        <w:t>1.2</w:t>
      </w:r>
      <w:r>
        <w:tab/>
        <w:t>Trial objectives/hypotheses</w:t>
      </w:r>
    </w:p>
    <w:p w14:paraId="5C56618D" w14:textId="04BFCA98" w:rsidR="002E2C6D" w:rsidRPr="002E2C6D" w:rsidRDefault="002E2C6D" w:rsidP="002E2C6D">
      <w:pPr>
        <w:rPr>
          <w:b/>
          <w:bCs/>
        </w:rPr>
      </w:pPr>
      <w:r w:rsidRPr="002E2C6D">
        <w:rPr>
          <w:rFonts w:ascii="Calibri" w:hAnsi="Calibri" w:cs="Calibri"/>
          <w:b/>
          <w:bCs/>
          <w:sz w:val="24"/>
          <w:szCs w:val="24"/>
        </w:rPr>
        <w:t>Primary objective:</w:t>
      </w:r>
      <w:r w:rsidRPr="002E2C6D">
        <w:rPr>
          <w:b/>
          <w:bCs/>
        </w:rPr>
        <w:t xml:space="preserve"> </w:t>
      </w:r>
    </w:p>
    <w:p w14:paraId="38E5617A" w14:textId="22030F22" w:rsidR="002E2C6D" w:rsidRDefault="002E2C6D" w:rsidP="002E2C6D">
      <w:pPr>
        <w:rPr>
          <w:rFonts w:ascii="Calibri" w:hAnsi="Calibri" w:cs="Calibri"/>
          <w:sz w:val="24"/>
          <w:szCs w:val="24"/>
        </w:rPr>
      </w:pPr>
      <w:r w:rsidRPr="002E2C6D">
        <w:rPr>
          <w:rFonts w:ascii="Calibri" w:hAnsi="Calibri" w:cs="Calibri"/>
          <w:sz w:val="24"/>
          <w:szCs w:val="24"/>
        </w:rPr>
        <w:t xml:space="preserve">To evaluate </w:t>
      </w:r>
      <w:r w:rsidR="008327DD">
        <w:rPr>
          <w:rFonts w:ascii="Calibri" w:hAnsi="Calibri" w:cs="Calibri"/>
          <w:sz w:val="24"/>
          <w:szCs w:val="24"/>
        </w:rPr>
        <w:t>the effect of</w:t>
      </w:r>
      <w:r w:rsidR="008327DD" w:rsidRPr="002E2C6D">
        <w:rPr>
          <w:rFonts w:ascii="Calibri" w:hAnsi="Calibri" w:cs="Calibri"/>
          <w:sz w:val="24"/>
          <w:szCs w:val="24"/>
        </w:rPr>
        <w:t xml:space="preserve"> </w:t>
      </w:r>
      <w:r w:rsidRPr="002E2C6D">
        <w:rPr>
          <w:rFonts w:ascii="Calibri" w:hAnsi="Calibri" w:cs="Calibri"/>
          <w:sz w:val="24"/>
          <w:szCs w:val="24"/>
        </w:rPr>
        <w:t xml:space="preserve">SWiM-C </w:t>
      </w:r>
      <w:r w:rsidR="008327DD">
        <w:rPr>
          <w:rFonts w:ascii="Calibri" w:hAnsi="Calibri" w:cs="Calibri"/>
          <w:sz w:val="24"/>
          <w:szCs w:val="24"/>
        </w:rPr>
        <w:t>on</w:t>
      </w:r>
      <w:r w:rsidR="008327DD" w:rsidRPr="002E2C6D">
        <w:rPr>
          <w:rFonts w:ascii="Calibri" w:hAnsi="Calibri" w:cs="Calibri"/>
          <w:sz w:val="24"/>
          <w:szCs w:val="24"/>
        </w:rPr>
        <w:t xml:space="preserve"> </w:t>
      </w:r>
      <w:r w:rsidRPr="002E2C6D">
        <w:rPr>
          <w:rFonts w:ascii="Calibri" w:hAnsi="Calibri" w:cs="Calibri"/>
          <w:sz w:val="24"/>
          <w:szCs w:val="24"/>
        </w:rPr>
        <w:t xml:space="preserve">weight over </w:t>
      </w:r>
      <w:r w:rsidR="00E814C0">
        <w:rPr>
          <w:rFonts w:ascii="Calibri" w:hAnsi="Calibri" w:cs="Calibri"/>
          <w:sz w:val="24"/>
          <w:szCs w:val="24"/>
        </w:rPr>
        <w:t>4</w:t>
      </w:r>
      <w:r w:rsidR="00E814C0" w:rsidRPr="002E2C6D">
        <w:rPr>
          <w:rFonts w:ascii="Calibri" w:hAnsi="Calibri" w:cs="Calibri"/>
          <w:sz w:val="24"/>
          <w:szCs w:val="24"/>
        </w:rPr>
        <w:t xml:space="preserve"> </w:t>
      </w:r>
      <w:r w:rsidRPr="002E2C6D">
        <w:rPr>
          <w:rFonts w:ascii="Calibri" w:hAnsi="Calibri" w:cs="Calibri"/>
          <w:sz w:val="24"/>
          <w:szCs w:val="24"/>
        </w:rPr>
        <w:t xml:space="preserve">months compared to </w:t>
      </w:r>
      <w:r w:rsidR="00E814C0" w:rsidRPr="00E814C0">
        <w:rPr>
          <w:rFonts w:ascii="Calibri" w:hAnsi="Calibri" w:cs="Calibri"/>
          <w:sz w:val="24"/>
          <w:szCs w:val="24"/>
        </w:rPr>
        <w:t>current standard advice for people with overweight and obesity</w:t>
      </w:r>
      <w:r w:rsidRPr="002E2C6D">
        <w:rPr>
          <w:rFonts w:ascii="Calibri" w:hAnsi="Calibri" w:cs="Calibri"/>
          <w:sz w:val="24"/>
          <w:szCs w:val="24"/>
        </w:rPr>
        <w:t>.</w:t>
      </w:r>
    </w:p>
    <w:p w14:paraId="79025168" w14:textId="4CC5BA13" w:rsidR="002E2C6D" w:rsidRPr="002E2C6D" w:rsidRDefault="002E2C6D" w:rsidP="002E2C6D">
      <w:pPr>
        <w:rPr>
          <w:rFonts w:ascii="Calibri" w:hAnsi="Calibri" w:cs="Calibri"/>
          <w:b/>
          <w:bCs/>
          <w:sz w:val="24"/>
          <w:szCs w:val="24"/>
        </w:rPr>
      </w:pPr>
      <w:r w:rsidRPr="002E2C6D">
        <w:rPr>
          <w:rFonts w:ascii="Calibri" w:hAnsi="Calibri" w:cs="Calibri"/>
          <w:b/>
          <w:bCs/>
          <w:sz w:val="24"/>
          <w:szCs w:val="24"/>
        </w:rPr>
        <w:t xml:space="preserve">Secondary objectives: </w:t>
      </w:r>
    </w:p>
    <w:p w14:paraId="7B9DF9B4" w14:textId="77777777" w:rsidR="007122C0" w:rsidRDefault="002E2C6D" w:rsidP="007122C0">
      <w:pPr>
        <w:pStyle w:val="ListParagraph"/>
        <w:numPr>
          <w:ilvl w:val="0"/>
          <w:numId w:val="7"/>
        </w:numPr>
        <w:rPr>
          <w:rFonts w:ascii="Calibri" w:hAnsi="Calibri" w:cs="Calibri"/>
          <w:sz w:val="24"/>
          <w:szCs w:val="24"/>
        </w:rPr>
      </w:pPr>
      <w:r w:rsidRPr="002E2C6D">
        <w:rPr>
          <w:rFonts w:ascii="Calibri" w:hAnsi="Calibri" w:cs="Calibri"/>
          <w:sz w:val="24"/>
          <w:szCs w:val="24"/>
        </w:rPr>
        <w:t xml:space="preserve">To evaluate whether SWiM-C achieves greater improvements </w:t>
      </w:r>
      <w:r w:rsidR="007815B1">
        <w:rPr>
          <w:rFonts w:ascii="Calibri" w:hAnsi="Calibri" w:cs="Calibri"/>
          <w:sz w:val="24"/>
          <w:szCs w:val="24"/>
        </w:rPr>
        <w:t xml:space="preserve">over 4 months </w:t>
      </w:r>
      <w:r w:rsidRPr="002E2C6D">
        <w:rPr>
          <w:rFonts w:ascii="Calibri" w:hAnsi="Calibri" w:cs="Calibri"/>
          <w:sz w:val="24"/>
          <w:szCs w:val="24"/>
        </w:rPr>
        <w:t>in eating behaviour, physical activity</w:t>
      </w:r>
      <w:r w:rsidR="00507252">
        <w:rPr>
          <w:rFonts w:ascii="Calibri" w:hAnsi="Calibri" w:cs="Calibri"/>
          <w:sz w:val="24"/>
          <w:szCs w:val="24"/>
        </w:rPr>
        <w:t xml:space="preserve">, </w:t>
      </w:r>
      <w:r w:rsidR="00A43BB2">
        <w:rPr>
          <w:rFonts w:ascii="Calibri" w:hAnsi="Calibri" w:cs="Calibri"/>
          <w:sz w:val="24"/>
          <w:szCs w:val="24"/>
        </w:rPr>
        <w:t>and wellbeing (</w:t>
      </w:r>
      <w:r w:rsidR="00507252">
        <w:rPr>
          <w:rFonts w:ascii="Calibri" w:hAnsi="Calibri" w:cs="Calibri"/>
          <w:sz w:val="24"/>
          <w:szCs w:val="24"/>
        </w:rPr>
        <w:t>health-related quality of life</w:t>
      </w:r>
      <w:r w:rsidR="00D4381B">
        <w:rPr>
          <w:rFonts w:ascii="Calibri" w:hAnsi="Calibri" w:cs="Calibri"/>
          <w:sz w:val="24"/>
          <w:szCs w:val="24"/>
        </w:rPr>
        <w:t>, capability and wellbeing,</w:t>
      </w:r>
      <w:r w:rsidR="00507252">
        <w:rPr>
          <w:rFonts w:ascii="Calibri" w:hAnsi="Calibri" w:cs="Calibri"/>
          <w:sz w:val="24"/>
          <w:szCs w:val="24"/>
        </w:rPr>
        <w:t xml:space="preserve"> depression, anxiety, perceived stress, </w:t>
      </w:r>
      <w:r w:rsidR="00507252" w:rsidRPr="00507252">
        <w:rPr>
          <w:rFonts w:ascii="Calibri" w:hAnsi="Calibri" w:cs="Calibri"/>
          <w:sz w:val="24"/>
          <w:szCs w:val="24"/>
        </w:rPr>
        <w:t>experiential avoidance</w:t>
      </w:r>
      <w:r w:rsidR="00507252">
        <w:rPr>
          <w:rFonts w:ascii="Calibri" w:hAnsi="Calibri" w:cs="Calibri"/>
          <w:sz w:val="24"/>
          <w:szCs w:val="24"/>
        </w:rPr>
        <w:t>/</w:t>
      </w:r>
      <w:r w:rsidR="00507252" w:rsidRPr="00507252">
        <w:rPr>
          <w:rFonts w:ascii="Calibri" w:hAnsi="Calibri" w:cs="Calibri"/>
          <w:sz w:val="24"/>
          <w:szCs w:val="24"/>
        </w:rPr>
        <w:t>psychological flexibility</w:t>
      </w:r>
      <w:r w:rsidR="00507252">
        <w:rPr>
          <w:rFonts w:ascii="Calibri" w:hAnsi="Calibri" w:cs="Calibri"/>
          <w:sz w:val="24"/>
          <w:szCs w:val="24"/>
        </w:rPr>
        <w:t xml:space="preserve">) </w:t>
      </w:r>
      <w:r w:rsidRPr="002E2C6D">
        <w:rPr>
          <w:rFonts w:ascii="Calibri" w:hAnsi="Calibri" w:cs="Calibri"/>
          <w:sz w:val="24"/>
          <w:szCs w:val="24"/>
        </w:rPr>
        <w:t>compared to standard advice.</w:t>
      </w:r>
    </w:p>
    <w:p w14:paraId="6287610A" w14:textId="4222C6D5" w:rsidR="007122C0" w:rsidRDefault="00A43BB2" w:rsidP="007122C0">
      <w:pPr>
        <w:pStyle w:val="ListParagraph"/>
        <w:numPr>
          <w:ilvl w:val="0"/>
          <w:numId w:val="7"/>
        </w:numPr>
        <w:rPr>
          <w:rFonts w:ascii="Calibri" w:hAnsi="Calibri" w:cs="Calibri"/>
          <w:sz w:val="24"/>
          <w:szCs w:val="24"/>
        </w:rPr>
      </w:pPr>
      <w:r w:rsidRPr="007122C0">
        <w:rPr>
          <w:rFonts w:ascii="Calibri" w:hAnsi="Calibri" w:cs="Calibri"/>
          <w:sz w:val="24"/>
          <w:szCs w:val="24"/>
        </w:rPr>
        <w:t>To explore if the intervention effect differs by age, gender, education level, and baseline BMI category</w:t>
      </w:r>
      <w:r w:rsidR="00C50CDE">
        <w:rPr>
          <w:rFonts w:ascii="Calibri" w:hAnsi="Calibri" w:cs="Calibri"/>
          <w:sz w:val="24"/>
          <w:szCs w:val="24"/>
        </w:rPr>
        <w:t>.</w:t>
      </w:r>
    </w:p>
    <w:p w14:paraId="499E466B" w14:textId="0A14FF00" w:rsidR="00B72CA3" w:rsidRPr="007122C0" w:rsidRDefault="00A43BB2" w:rsidP="007122C0">
      <w:pPr>
        <w:rPr>
          <w:rFonts w:ascii="Calibri" w:hAnsi="Calibri" w:cs="Calibri"/>
          <w:sz w:val="24"/>
          <w:szCs w:val="24"/>
        </w:rPr>
      </w:pPr>
      <w:r w:rsidRPr="007122C0">
        <w:rPr>
          <w:rFonts w:ascii="Calibri" w:hAnsi="Calibri" w:cs="Calibri"/>
          <w:sz w:val="24"/>
          <w:szCs w:val="24"/>
        </w:rPr>
        <w:lastRenderedPageBreak/>
        <w:t>A mixed-methods process evaluation (to be published separately to the main trial findings) will explore</w:t>
      </w:r>
      <w:r w:rsidR="002E2C6D" w:rsidRPr="007122C0">
        <w:rPr>
          <w:rFonts w:ascii="Calibri" w:hAnsi="Calibri" w:cs="Calibri"/>
          <w:sz w:val="24"/>
          <w:szCs w:val="24"/>
        </w:rPr>
        <w:t xml:space="preserve"> potential causal mechanisms and contextual factors that may be associated with variations in outcome</w:t>
      </w:r>
      <w:r w:rsidR="00F71E8D" w:rsidRPr="007122C0">
        <w:rPr>
          <w:rFonts w:ascii="Calibri" w:hAnsi="Calibri" w:cs="Calibri"/>
          <w:sz w:val="24"/>
          <w:szCs w:val="24"/>
        </w:rPr>
        <w:t>.</w:t>
      </w:r>
    </w:p>
    <w:p w14:paraId="1C65C18A" w14:textId="6E881878" w:rsidR="00C63AA8" w:rsidRDefault="00C63AA8" w:rsidP="00C63AA8">
      <w:pPr>
        <w:pStyle w:val="Heading1"/>
      </w:pPr>
      <w:r>
        <w:t>2</w:t>
      </w:r>
      <w:r w:rsidRPr="00851EF9">
        <w:tab/>
      </w:r>
      <w:r>
        <w:t>Methods</w:t>
      </w:r>
    </w:p>
    <w:p w14:paraId="761FA568" w14:textId="364C4328" w:rsidR="00E234FD" w:rsidRDefault="00E234FD" w:rsidP="00E234FD">
      <w:pPr>
        <w:pStyle w:val="Heading2"/>
      </w:pPr>
      <w:r>
        <w:t>2.1 Intervention</w:t>
      </w:r>
    </w:p>
    <w:p w14:paraId="26B927CE" w14:textId="6102589D" w:rsidR="00E234FD" w:rsidRPr="0099534D" w:rsidRDefault="00E234FD" w:rsidP="00E234FD">
      <w:pPr>
        <w:rPr>
          <w:rFonts w:ascii="Calibri" w:hAnsi="Calibri" w:cs="Calibri"/>
        </w:rPr>
      </w:pPr>
      <w:r w:rsidRPr="0099534D">
        <w:rPr>
          <w:rFonts w:ascii="Calibri" w:hAnsi="Calibri" w:cs="Calibri"/>
        </w:rPr>
        <w:t xml:space="preserve">A detailed description of the intervention is provided in section 5 of the protocol. Briefly, </w:t>
      </w:r>
      <w:r w:rsidRPr="0099534D">
        <w:rPr>
          <w:rFonts w:ascii="Calibri" w:hAnsi="Calibri" w:cs="Calibri"/>
          <w:sz w:val="24"/>
          <w:szCs w:val="24"/>
        </w:rPr>
        <w:t xml:space="preserve">the intervention includes access to an online web platform with 12 modules (SWiM sessions) consisting of psychoeducational content, reflective exercises, and behavioural experiments, to be completed weekly. </w:t>
      </w:r>
      <w:r w:rsidRPr="00363815">
        <w:rPr>
          <w:rFonts w:ascii="Calibri" w:hAnsi="Calibri" w:cs="Calibri"/>
          <w:sz w:val="24"/>
          <w:szCs w:val="24"/>
        </w:rPr>
        <w:t>After participant</w:t>
      </w:r>
      <w:r w:rsidR="0099534D">
        <w:rPr>
          <w:rFonts w:ascii="Calibri" w:hAnsi="Calibri" w:cs="Calibri"/>
          <w:sz w:val="24"/>
          <w:szCs w:val="24"/>
        </w:rPr>
        <w:t>s</w:t>
      </w:r>
      <w:r w:rsidRPr="0099534D">
        <w:rPr>
          <w:rFonts w:ascii="Calibri" w:hAnsi="Calibri" w:cs="Calibri"/>
          <w:sz w:val="24"/>
          <w:szCs w:val="24"/>
        </w:rPr>
        <w:t xml:space="preserve"> </w:t>
      </w:r>
      <w:r w:rsidR="0099534D">
        <w:rPr>
          <w:rFonts w:ascii="Calibri" w:hAnsi="Calibri" w:cs="Calibri"/>
          <w:sz w:val="24"/>
          <w:szCs w:val="24"/>
        </w:rPr>
        <w:t>had</w:t>
      </w:r>
      <w:r w:rsidRPr="0099534D">
        <w:rPr>
          <w:rFonts w:ascii="Calibri" w:hAnsi="Calibri" w:cs="Calibri"/>
          <w:sz w:val="24"/>
          <w:szCs w:val="24"/>
        </w:rPr>
        <w:t xml:space="preserve"> completed session 4, they received a telephone call from their SWiM Coach. The coach also sent a tailored email at week 10.</w:t>
      </w:r>
    </w:p>
    <w:p w14:paraId="06BE81D6" w14:textId="6A6843C5" w:rsidR="00C63AA8" w:rsidRPr="00851EF9" w:rsidRDefault="00C63AA8" w:rsidP="006E3F31">
      <w:pPr>
        <w:pStyle w:val="Heading2"/>
      </w:pPr>
      <w:r>
        <w:t>2.</w:t>
      </w:r>
      <w:r w:rsidR="00E234FD">
        <w:t>2</w:t>
      </w:r>
      <w:r>
        <w:tab/>
        <w:t>Trial design</w:t>
      </w:r>
    </w:p>
    <w:p w14:paraId="36F7BC9C" w14:textId="4A63B21C" w:rsidR="002E2C6D" w:rsidRPr="00A61C2F" w:rsidRDefault="002E2C6D" w:rsidP="00A61C2F">
      <w:pPr>
        <w:rPr>
          <w:rFonts w:ascii="Calibri" w:hAnsi="Calibri" w:cs="Calibri"/>
          <w:b/>
          <w:bCs/>
          <w:sz w:val="24"/>
          <w:szCs w:val="24"/>
        </w:rPr>
      </w:pPr>
      <w:r w:rsidRPr="00A61C2F">
        <w:rPr>
          <w:rFonts w:ascii="Calibri" w:hAnsi="Calibri" w:cs="Calibri"/>
          <w:sz w:val="24"/>
          <w:szCs w:val="24"/>
        </w:rPr>
        <w:t xml:space="preserve">This is a pragmatic, randomised, single-blind, parallel group, two-arm trial. Participants </w:t>
      </w:r>
      <w:r w:rsidR="00C50CDE">
        <w:rPr>
          <w:rFonts w:ascii="Calibri" w:hAnsi="Calibri" w:cs="Calibri"/>
          <w:sz w:val="24"/>
          <w:szCs w:val="24"/>
        </w:rPr>
        <w:t>were</w:t>
      </w:r>
      <w:r w:rsidRPr="00A61C2F">
        <w:rPr>
          <w:rFonts w:ascii="Calibri" w:hAnsi="Calibri" w:cs="Calibri"/>
          <w:sz w:val="24"/>
          <w:szCs w:val="24"/>
        </w:rPr>
        <w:t xml:space="preserve"> randomised to either the SWiM-C intervention or to a standard advice wait list control. Participants complete</w:t>
      </w:r>
      <w:r w:rsidR="00C50CDE">
        <w:rPr>
          <w:rFonts w:ascii="Calibri" w:hAnsi="Calibri" w:cs="Calibri"/>
          <w:sz w:val="24"/>
          <w:szCs w:val="24"/>
        </w:rPr>
        <w:t>d</w:t>
      </w:r>
      <w:r w:rsidRPr="00A61C2F">
        <w:rPr>
          <w:rFonts w:ascii="Calibri" w:hAnsi="Calibri" w:cs="Calibri"/>
          <w:sz w:val="24"/>
          <w:szCs w:val="24"/>
        </w:rPr>
        <w:t xml:space="preserve"> </w:t>
      </w:r>
      <w:r w:rsidR="00E814C0" w:rsidRPr="00A61C2F">
        <w:rPr>
          <w:rFonts w:ascii="Calibri" w:hAnsi="Calibri" w:cs="Calibri"/>
          <w:sz w:val="24"/>
          <w:szCs w:val="24"/>
        </w:rPr>
        <w:t xml:space="preserve">quantitative </w:t>
      </w:r>
      <w:r w:rsidRPr="00A61C2F">
        <w:rPr>
          <w:rFonts w:ascii="Calibri" w:hAnsi="Calibri" w:cs="Calibri"/>
          <w:sz w:val="24"/>
          <w:szCs w:val="24"/>
        </w:rPr>
        <w:t xml:space="preserve">outcome assessments online at baseline and </w:t>
      </w:r>
      <w:r w:rsidR="00E814C0" w:rsidRPr="00A61C2F">
        <w:rPr>
          <w:rFonts w:ascii="Calibri" w:hAnsi="Calibri" w:cs="Calibri"/>
          <w:sz w:val="24"/>
          <w:szCs w:val="24"/>
        </w:rPr>
        <w:t>at 4 months follow-up</w:t>
      </w:r>
      <w:r w:rsidRPr="00A61C2F">
        <w:rPr>
          <w:rFonts w:ascii="Calibri" w:hAnsi="Calibri" w:cs="Calibri"/>
          <w:sz w:val="24"/>
          <w:szCs w:val="24"/>
        </w:rPr>
        <w:t xml:space="preserve">. </w:t>
      </w:r>
      <w:r w:rsidR="00EB3620">
        <w:rPr>
          <w:rFonts w:ascii="Calibri" w:hAnsi="Calibri" w:cs="Calibri"/>
          <w:sz w:val="24"/>
          <w:szCs w:val="24"/>
        </w:rPr>
        <w:t>We chose to conduct follow-up at 4 months rather than 3 months, although the intended intervention duration is 3 months</w:t>
      </w:r>
      <w:r w:rsidR="004A0958">
        <w:rPr>
          <w:rFonts w:ascii="Calibri" w:hAnsi="Calibri" w:cs="Calibri"/>
          <w:sz w:val="24"/>
          <w:szCs w:val="24"/>
        </w:rPr>
        <w:t xml:space="preserve"> (12 sessions, 1 session per week)</w:t>
      </w:r>
      <w:r w:rsidR="00EB3620">
        <w:rPr>
          <w:rFonts w:ascii="Calibri" w:hAnsi="Calibri" w:cs="Calibri"/>
          <w:sz w:val="24"/>
          <w:szCs w:val="24"/>
        </w:rPr>
        <w:t>, to allow for people who may require more time to complete the intervention</w:t>
      </w:r>
      <w:r w:rsidR="004A0958">
        <w:rPr>
          <w:rFonts w:ascii="Calibri" w:hAnsi="Calibri" w:cs="Calibri"/>
          <w:sz w:val="24"/>
          <w:szCs w:val="24"/>
        </w:rPr>
        <w:t>.</w:t>
      </w:r>
      <w:r w:rsidR="00EB3620">
        <w:rPr>
          <w:rFonts w:ascii="Calibri" w:hAnsi="Calibri" w:cs="Calibri"/>
          <w:sz w:val="24"/>
          <w:szCs w:val="24"/>
        </w:rPr>
        <w:t xml:space="preserve"> </w:t>
      </w:r>
    </w:p>
    <w:p w14:paraId="4D16EAA8" w14:textId="6DB4C31F" w:rsidR="00015C6B" w:rsidRPr="00851EF9" w:rsidRDefault="00015C6B" w:rsidP="006E3F31">
      <w:pPr>
        <w:pStyle w:val="Heading2"/>
      </w:pPr>
      <w:r>
        <w:t>2.</w:t>
      </w:r>
      <w:r w:rsidR="00E234FD">
        <w:t>3</w:t>
      </w:r>
      <w:r>
        <w:tab/>
        <w:t>Randomisation</w:t>
      </w:r>
    </w:p>
    <w:p w14:paraId="1264489F" w14:textId="5092DC73" w:rsidR="00DA2D85" w:rsidRPr="00A61C2F" w:rsidRDefault="00520EF5" w:rsidP="00A61C2F">
      <w:pPr>
        <w:rPr>
          <w:rFonts w:ascii="Calibri" w:hAnsi="Calibri" w:cs="Calibri"/>
          <w:b/>
          <w:bCs/>
          <w:sz w:val="24"/>
          <w:szCs w:val="24"/>
        </w:rPr>
      </w:pPr>
      <w:r w:rsidRPr="00A61C2F">
        <w:rPr>
          <w:rFonts w:ascii="Calibri" w:hAnsi="Calibri" w:cs="Calibri"/>
          <w:sz w:val="24"/>
          <w:szCs w:val="24"/>
        </w:rPr>
        <w:t>S</w:t>
      </w:r>
      <w:r w:rsidR="00310B6A" w:rsidRPr="00A61C2F">
        <w:rPr>
          <w:rFonts w:ascii="Calibri" w:hAnsi="Calibri" w:cs="Calibri"/>
          <w:sz w:val="24"/>
          <w:szCs w:val="24"/>
        </w:rPr>
        <w:t>ee section 4.2 in the study protocol.</w:t>
      </w:r>
    </w:p>
    <w:p w14:paraId="254E9CED" w14:textId="4AAE6C21" w:rsidR="001055AD" w:rsidRPr="00851EF9" w:rsidRDefault="001055AD" w:rsidP="006E3F31">
      <w:pPr>
        <w:pStyle w:val="Heading2"/>
      </w:pPr>
      <w:r>
        <w:t>2.</w:t>
      </w:r>
      <w:r w:rsidR="00E234FD">
        <w:t>4</w:t>
      </w:r>
      <w:r>
        <w:tab/>
        <w:t>Sample size</w:t>
      </w:r>
    </w:p>
    <w:p w14:paraId="344288BB" w14:textId="092C1FF8" w:rsidR="00E97069" w:rsidRPr="007C29F2" w:rsidRDefault="00310B6A" w:rsidP="00430D8D">
      <w:pPr>
        <w:rPr>
          <w:rFonts w:ascii="Calibri" w:hAnsi="Calibri" w:cs="Calibri"/>
          <w:sz w:val="24"/>
          <w:szCs w:val="24"/>
        </w:rPr>
      </w:pPr>
      <w:r w:rsidRPr="007C29F2">
        <w:rPr>
          <w:rFonts w:ascii="Calibri" w:hAnsi="Calibri" w:cs="Calibri"/>
          <w:sz w:val="24"/>
          <w:szCs w:val="24"/>
        </w:rPr>
        <w:t>We aim</w:t>
      </w:r>
      <w:r w:rsidR="00C50CDE">
        <w:rPr>
          <w:rFonts w:ascii="Calibri" w:hAnsi="Calibri" w:cs="Calibri"/>
          <w:sz w:val="24"/>
          <w:szCs w:val="24"/>
        </w:rPr>
        <w:t>ed</w:t>
      </w:r>
      <w:r w:rsidRPr="007C29F2">
        <w:rPr>
          <w:rFonts w:ascii="Calibri" w:hAnsi="Calibri" w:cs="Calibri"/>
          <w:sz w:val="24"/>
          <w:szCs w:val="24"/>
        </w:rPr>
        <w:t xml:space="preserve"> to recruit</w:t>
      </w:r>
      <w:r w:rsidR="00E97069" w:rsidRPr="007C29F2">
        <w:rPr>
          <w:rFonts w:ascii="Calibri" w:hAnsi="Calibri" w:cs="Calibri"/>
          <w:sz w:val="24"/>
          <w:szCs w:val="24"/>
        </w:rPr>
        <w:t xml:space="preserve"> 360 participants (180 per group)</w:t>
      </w:r>
      <w:r w:rsidRPr="007C29F2">
        <w:rPr>
          <w:rFonts w:ascii="Calibri" w:hAnsi="Calibri" w:cs="Calibri"/>
          <w:sz w:val="24"/>
          <w:szCs w:val="24"/>
        </w:rPr>
        <w:t xml:space="preserve">; for details please see section 8.2 in the study protocol. </w:t>
      </w:r>
    </w:p>
    <w:p w14:paraId="5ED4831F" w14:textId="20770F2C" w:rsidR="000E5AE2" w:rsidRPr="00851EF9" w:rsidRDefault="000E5AE2" w:rsidP="006E3F31">
      <w:pPr>
        <w:pStyle w:val="Heading2"/>
      </w:pPr>
      <w:r>
        <w:t>2.</w:t>
      </w:r>
      <w:r w:rsidR="00E234FD">
        <w:t>5</w:t>
      </w:r>
      <w:r>
        <w:tab/>
        <w:t>Framework</w:t>
      </w:r>
    </w:p>
    <w:p w14:paraId="19B73832" w14:textId="57886875" w:rsidR="00851EF9" w:rsidRDefault="00C53588" w:rsidP="006E3F31">
      <w:pPr>
        <w:pStyle w:val="NoSpacing"/>
        <w:rPr>
          <w:szCs w:val="24"/>
        </w:rPr>
      </w:pPr>
      <w:r>
        <w:rPr>
          <w:szCs w:val="24"/>
        </w:rPr>
        <w:t xml:space="preserve">We will adopt a superiority </w:t>
      </w:r>
      <w:r w:rsidR="00982C25" w:rsidRPr="00982C25">
        <w:rPr>
          <w:szCs w:val="24"/>
        </w:rPr>
        <w:t xml:space="preserve">trial hypothesis testing framework, </w:t>
      </w:r>
      <w:r>
        <w:rPr>
          <w:szCs w:val="24"/>
        </w:rPr>
        <w:t xml:space="preserve">testing whether the SWiM-C intervention is superior to </w:t>
      </w:r>
      <w:r w:rsidR="00E814C0">
        <w:t>current standard advice for people with overweight and obesity</w:t>
      </w:r>
      <w:r w:rsidR="00E814C0">
        <w:rPr>
          <w:szCs w:val="24"/>
        </w:rPr>
        <w:t xml:space="preserve"> </w:t>
      </w:r>
      <w:r>
        <w:rPr>
          <w:szCs w:val="24"/>
        </w:rPr>
        <w:t>(</w:t>
      </w:r>
      <w:r w:rsidRPr="00C53588">
        <w:rPr>
          <w:szCs w:val="24"/>
        </w:rPr>
        <w:t>standard advice from the European Association for the Study of Obesity (EASO) on diet, physical activity and mood during the COVID 19 pandemic</w:t>
      </w:r>
      <w:r>
        <w:rPr>
          <w:szCs w:val="24"/>
        </w:rPr>
        <w:t xml:space="preserve">). </w:t>
      </w:r>
    </w:p>
    <w:p w14:paraId="271C4073" w14:textId="22E02E19" w:rsidR="008A6F9D" w:rsidRDefault="008A6F9D" w:rsidP="006E3F31">
      <w:pPr>
        <w:pStyle w:val="NoSpacing"/>
        <w:rPr>
          <w:szCs w:val="24"/>
        </w:rPr>
      </w:pPr>
    </w:p>
    <w:p w14:paraId="204192DB" w14:textId="128DD504" w:rsidR="008A6F9D" w:rsidRDefault="008A6F9D" w:rsidP="008A6F9D">
      <w:pPr>
        <w:pStyle w:val="Heading2"/>
      </w:pPr>
      <w:r>
        <w:t>2.</w:t>
      </w:r>
      <w:r w:rsidR="00E234FD">
        <w:t>6</w:t>
      </w:r>
      <w:r>
        <w:tab/>
        <w:t>Measures</w:t>
      </w:r>
    </w:p>
    <w:p w14:paraId="58968E5B" w14:textId="6631BF9C" w:rsidR="008A6F9D" w:rsidRPr="008A6F9D" w:rsidRDefault="008A6F9D" w:rsidP="008A6F9D">
      <w:pPr>
        <w:rPr>
          <w:rFonts w:ascii="Calibri" w:hAnsi="Calibri" w:cs="Calibri"/>
          <w:sz w:val="24"/>
          <w:szCs w:val="24"/>
        </w:rPr>
      </w:pPr>
      <w:r w:rsidRPr="008A6F9D">
        <w:rPr>
          <w:rFonts w:ascii="Calibri" w:hAnsi="Calibri" w:cs="Calibri"/>
          <w:sz w:val="24"/>
          <w:szCs w:val="24"/>
        </w:rPr>
        <w:t xml:space="preserve">The following measures </w:t>
      </w:r>
      <w:r w:rsidR="0022415F">
        <w:rPr>
          <w:rFonts w:ascii="Calibri" w:hAnsi="Calibri" w:cs="Calibri"/>
          <w:sz w:val="24"/>
          <w:szCs w:val="24"/>
        </w:rPr>
        <w:t>were</w:t>
      </w:r>
      <w:r w:rsidRPr="008A6F9D">
        <w:rPr>
          <w:rFonts w:ascii="Calibri" w:hAnsi="Calibri" w:cs="Calibri"/>
          <w:sz w:val="24"/>
          <w:szCs w:val="24"/>
        </w:rPr>
        <w:t xml:space="preserve"> assessed:</w:t>
      </w:r>
    </w:p>
    <w:p w14:paraId="16831BAB" w14:textId="3156C9FB" w:rsidR="008A6F9D" w:rsidRPr="008A6F9D" w:rsidRDefault="008A6F9D" w:rsidP="008A6F9D">
      <w:pPr>
        <w:pStyle w:val="NoSpacing"/>
        <w:numPr>
          <w:ilvl w:val="0"/>
          <w:numId w:val="19"/>
        </w:numPr>
        <w:rPr>
          <w:szCs w:val="24"/>
        </w:rPr>
      </w:pPr>
      <w:r>
        <w:rPr>
          <w:szCs w:val="24"/>
        </w:rPr>
        <w:t>Weight</w:t>
      </w:r>
      <w:r w:rsidRPr="008A6F9D">
        <w:rPr>
          <w:szCs w:val="24"/>
        </w:rPr>
        <w:t xml:space="preserve"> (kg)</w:t>
      </w:r>
    </w:p>
    <w:p w14:paraId="4968A967" w14:textId="1915111E" w:rsidR="008A6F9D" w:rsidRPr="008A6F9D" w:rsidRDefault="008A6F9D" w:rsidP="008A6F9D">
      <w:pPr>
        <w:pStyle w:val="NoSpacing"/>
        <w:numPr>
          <w:ilvl w:val="0"/>
          <w:numId w:val="19"/>
        </w:numPr>
        <w:rPr>
          <w:szCs w:val="24"/>
        </w:rPr>
      </w:pPr>
      <w:r w:rsidRPr="008A6F9D">
        <w:rPr>
          <w:szCs w:val="24"/>
        </w:rPr>
        <w:t>Patient Health Questionnaire 8-item (PHQ-8)</w:t>
      </w:r>
    </w:p>
    <w:p w14:paraId="4F37B78C" w14:textId="4E06EF58" w:rsidR="008A6F9D" w:rsidRPr="008A6F9D" w:rsidRDefault="008A6F9D" w:rsidP="008A6F9D">
      <w:pPr>
        <w:pStyle w:val="NoSpacing"/>
        <w:numPr>
          <w:ilvl w:val="0"/>
          <w:numId w:val="19"/>
        </w:numPr>
        <w:rPr>
          <w:szCs w:val="24"/>
        </w:rPr>
      </w:pPr>
      <w:r w:rsidRPr="008A6F9D">
        <w:rPr>
          <w:szCs w:val="24"/>
        </w:rPr>
        <w:t>Generalized Anxiety Disorder 7-item (GAD-7) scale</w:t>
      </w:r>
    </w:p>
    <w:p w14:paraId="27895B9D" w14:textId="06322D77" w:rsidR="008A6F9D" w:rsidRPr="008A6F9D" w:rsidRDefault="008A6F9D" w:rsidP="008A6F9D">
      <w:pPr>
        <w:pStyle w:val="NoSpacing"/>
        <w:numPr>
          <w:ilvl w:val="0"/>
          <w:numId w:val="19"/>
        </w:numPr>
        <w:rPr>
          <w:szCs w:val="24"/>
        </w:rPr>
      </w:pPr>
      <w:r w:rsidRPr="008A6F9D">
        <w:rPr>
          <w:szCs w:val="24"/>
        </w:rPr>
        <w:t>Perceived Stress Scale (PSS-4)</w:t>
      </w:r>
    </w:p>
    <w:p w14:paraId="5B8C6323" w14:textId="485529D2" w:rsidR="008A6F9D" w:rsidRPr="008A6F9D" w:rsidRDefault="008A6F9D" w:rsidP="008A6F9D">
      <w:pPr>
        <w:pStyle w:val="NoSpacing"/>
        <w:numPr>
          <w:ilvl w:val="0"/>
          <w:numId w:val="19"/>
        </w:numPr>
        <w:rPr>
          <w:szCs w:val="24"/>
        </w:rPr>
      </w:pPr>
      <w:r w:rsidRPr="008A6F9D">
        <w:rPr>
          <w:szCs w:val="24"/>
        </w:rPr>
        <w:lastRenderedPageBreak/>
        <w:t>Acceptance and Action Questionnaire Weight Related (Revised) (AAQW-R)</w:t>
      </w:r>
    </w:p>
    <w:p w14:paraId="33C40C09" w14:textId="3094678C" w:rsidR="008A6F9D" w:rsidRPr="008A6F9D" w:rsidRDefault="008A6F9D" w:rsidP="008A6F9D">
      <w:pPr>
        <w:pStyle w:val="NoSpacing"/>
        <w:numPr>
          <w:ilvl w:val="0"/>
          <w:numId w:val="19"/>
        </w:numPr>
        <w:rPr>
          <w:szCs w:val="24"/>
        </w:rPr>
      </w:pPr>
      <w:r w:rsidRPr="008A6F9D">
        <w:rPr>
          <w:szCs w:val="24"/>
        </w:rPr>
        <w:t>Three-Factor Eating Questionnaire (TFEQ-R21)</w:t>
      </w:r>
    </w:p>
    <w:p w14:paraId="030E7257" w14:textId="3829A464" w:rsidR="008A6F9D" w:rsidRPr="008A6F9D" w:rsidRDefault="008A6F9D" w:rsidP="008A6F9D">
      <w:pPr>
        <w:pStyle w:val="NoSpacing"/>
        <w:numPr>
          <w:ilvl w:val="0"/>
          <w:numId w:val="19"/>
        </w:numPr>
        <w:rPr>
          <w:szCs w:val="24"/>
        </w:rPr>
      </w:pPr>
      <w:r w:rsidRPr="008A6F9D">
        <w:rPr>
          <w:szCs w:val="24"/>
        </w:rPr>
        <w:t>International Physical Activity Questionnaire (IPAQ )</w:t>
      </w:r>
    </w:p>
    <w:p w14:paraId="5C452881" w14:textId="64F3BB65" w:rsidR="008A6F9D" w:rsidRDefault="008A6F9D" w:rsidP="008A6F9D">
      <w:pPr>
        <w:pStyle w:val="NoSpacing"/>
        <w:numPr>
          <w:ilvl w:val="0"/>
          <w:numId w:val="19"/>
        </w:numPr>
        <w:rPr>
          <w:szCs w:val="24"/>
        </w:rPr>
      </w:pPr>
      <w:r w:rsidRPr="008A6F9D">
        <w:rPr>
          <w:szCs w:val="24"/>
        </w:rPr>
        <w:t>Health related quality of life and wellbeing (EQ-5D-L ; ICECAP-A )</w:t>
      </w:r>
    </w:p>
    <w:p w14:paraId="7568F378" w14:textId="6AFE7B4D" w:rsidR="007C29F2" w:rsidRPr="007C29F2" w:rsidRDefault="007C29F2" w:rsidP="007C29F2">
      <w:pPr>
        <w:pStyle w:val="NoSpacing"/>
        <w:numPr>
          <w:ilvl w:val="0"/>
          <w:numId w:val="19"/>
        </w:numPr>
        <w:rPr>
          <w:szCs w:val="24"/>
        </w:rPr>
      </w:pPr>
      <w:r w:rsidRPr="008A6F9D">
        <w:rPr>
          <w:szCs w:val="24"/>
        </w:rPr>
        <w:t xml:space="preserve">Demographics </w:t>
      </w:r>
    </w:p>
    <w:p w14:paraId="642FBFD8" w14:textId="59F81CD0" w:rsidR="008A6F9D" w:rsidRPr="008A6F9D" w:rsidRDefault="008A6F9D" w:rsidP="008A6F9D">
      <w:pPr>
        <w:pStyle w:val="NoSpacing"/>
        <w:numPr>
          <w:ilvl w:val="0"/>
          <w:numId w:val="19"/>
        </w:numPr>
        <w:rPr>
          <w:szCs w:val="24"/>
        </w:rPr>
      </w:pPr>
      <w:r w:rsidRPr="008A6F9D">
        <w:rPr>
          <w:szCs w:val="24"/>
        </w:rPr>
        <w:t>Website Usage (data analytics)</w:t>
      </w:r>
    </w:p>
    <w:p w14:paraId="16DFB04A" w14:textId="5F108F0F" w:rsidR="008A6F9D" w:rsidRPr="008A6F9D" w:rsidRDefault="008A6F9D" w:rsidP="008A6F9D">
      <w:pPr>
        <w:pStyle w:val="NoSpacing"/>
        <w:numPr>
          <w:ilvl w:val="0"/>
          <w:numId w:val="19"/>
        </w:numPr>
        <w:rPr>
          <w:szCs w:val="24"/>
        </w:rPr>
      </w:pPr>
      <w:r w:rsidRPr="008A6F9D">
        <w:rPr>
          <w:szCs w:val="24"/>
        </w:rPr>
        <w:t xml:space="preserve">Intervention adherence (number of sessions </w:t>
      </w:r>
      <w:r w:rsidR="00D4381B">
        <w:rPr>
          <w:szCs w:val="24"/>
        </w:rPr>
        <w:t xml:space="preserve">and coach calls </w:t>
      </w:r>
      <w:r w:rsidRPr="008A6F9D">
        <w:rPr>
          <w:szCs w:val="24"/>
        </w:rPr>
        <w:t>completed)</w:t>
      </w:r>
    </w:p>
    <w:p w14:paraId="4B75B4EB" w14:textId="77777777" w:rsidR="008A6F9D" w:rsidRPr="008A6F9D" w:rsidRDefault="008A6F9D" w:rsidP="008A6F9D">
      <w:pPr>
        <w:pStyle w:val="NoSpacing"/>
        <w:rPr>
          <w:szCs w:val="24"/>
        </w:rPr>
      </w:pPr>
    </w:p>
    <w:p w14:paraId="3900C9B7" w14:textId="5A58FDAC" w:rsidR="008A6F9D" w:rsidRDefault="008A6F9D" w:rsidP="008A6F9D">
      <w:pPr>
        <w:pStyle w:val="NoSpacing"/>
        <w:rPr>
          <w:szCs w:val="24"/>
        </w:rPr>
      </w:pPr>
      <w:r w:rsidRPr="008A6F9D">
        <w:rPr>
          <w:szCs w:val="24"/>
        </w:rPr>
        <w:t>(For details and references, see section 6 in the study protocol)</w:t>
      </w:r>
    </w:p>
    <w:p w14:paraId="194F896A" w14:textId="1D90B69D" w:rsidR="008A6F9D" w:rsidRDefault="008A6F9D" w:rsidP="008A6F9D">
      <w:pPr>
        <w:pStyle w:val="Heading2"/>
      </w:pPr>
      <w:r>
        <w:t>2.</w:t>
      </w:r>
      <w:r w:rsidR="00E234FD">
        <w:t>7</w:t>
      </w:r>
      <w:r>
        <w:tab/>
        <w:t>Timing of outcome assessments</w:t>
      </w:r>
    </w:p>
    <w:p w14:paraId="1B57603B" w14:textId="328B811A" w:rsidR="008A6F9D" w:rsidRDefault="008A6F9D" w:rsidP="008A6F9D">
      <w:pPr>
        <w:pStyle w:val="NoSpacing"/>
        <w:rPr>
          <w:szCs w:val="24"/>
        </w:rPr>
      </w:pPr>
      <w:r>
        <w:rPr>
          <w:szCs w:val="24"/>
        </w:rPr>
        <w:t>Time points for assessments of the different measures are shown in</w:t>
      </w:r>
      <w:r w:rsidR="00301725">
        <w:rPr>
          <w:szCs w:val="24"/>
        </w:rPr>
        <w:t xml:space="preserve"> </w:t>
      </w:r>
      <w:r w:rsidR="00301725">
        <w:rPr>
          <w:szCs w:val="24"/>
        </w:rPr>
        <w:fldChar w:fldCharType="begin"/>
      </w:r>
      <w:r w:rsidR="00301725">
        <w:rPr>
          <w:szCs w:val="24"/>
        </w:rPr>
        <w:instrText xml:space="preserve"> REF _Ref66208848 \h </w:instrText>
      </w:r>
      <w:r w:rsidR="00301725">
        <w:rPr>
          <w:szCs w:val="24"/>
        </w:rPr>
      </w:r>
      <w:r w:rsidR="00301725">
        <w:rPr>
          <w:szCs w:val="24"/>
        </w:rPr>
        <w:fldChar w:fldCharType="separate"/>
      </w:r>
      <w:r w:rsidR="00301725">
        <w:t xml:space="preserve">Table </w:t>
      </w:r>
      <w:r w:rsidR="00301725">
        <w:rPr>
          <w:noProof/>
        </w:rPr>
        <w:t>1</w:t>
      </w:r>
      <w:r w:rsidR="00301725">
        <w:rPr>
          <w:szCs w:val="24"/>
        </w:rPr>
        <w:fldChar w:fldCharType="end"/>
      </w:r>
      <w:r>
        <w:rPr>
          <w:szCs w:val="24"/>
        </w:rPr>
        <w:t>.</w:t>
      </w:r>
    </w:p>
    <w:p w14:paraId="02137E2C" w14:textId="77777777" w:rsidR="008A6F9D" w:rsidRDefault="008A6F9D" w:rsidP="008A6F9D">
      <w:pPr>
        <w:pStyle w:val="NoSpacing"/>
        <w:rPr>
          <w:szCs w:val="24"/>
        </w:rPr>
      </w:pPr>
    </w:p>
    <w:p w14:paraId="0A50E6DE" w14:textId="6D089B9B" w:rsidR="00301725" w:rsidRDefault="00301725" w:rsidP="00E4591D">
      <w:pPr>
        <w:pStyle w:val="Caption"/>
        <w:keepNext/>
      </w:pPr>
      <w:bookmarkStart w:id="1" w:name="_Ref66208848"/>
      <w:r>
        <w:t xml:space="preserve">Table </w:t>
      </w:r>
      <w:r w:rsidR="0012673E">
        <w:fldChar w:fldCharType="begin"/>
      </w:r>
      <w:r w:rsidR="0012673E">
        <w:instrText xml:space="preserve"> SEQ Table \* AR</w:instrText>
      </w:r>
      <w:r w:rsidR="0012673E">
        <w:instrText xml:space="preserve">ABIC </w:instrText>
      </w:r>
      <w:r w:rsidR="0012673E">
        <w:fldChar w:fldCharType="separate"/>
      </w:r>
      <w:r>
        <w:rPr>
          <w:noProof/>
        </w:rPr>
        <w:t>1</w:t>
      </w:r>
      <w:r w:rsidR="0012673E">
        <w:rPr>
          <w:noProof/>
        </w:rPr>
        <w:fldChar w:fldCharType="end"/>
      </w:r>
      <w:bookmarkEnd w:id="1"/>
      <w:r>
        <w:t xml:space="preserve">. </w:t>
      </w:r>
      <w:r w:rsidRPr="00301725">
        <w:t>Schedule of assessments.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526"/>
        <w:gridCol w:w="1529"/>
      </w:tblGrid>
      <w:tr w:rsidR="008A6F9D" w14:paraId="61FBDF18" w14:textId="77777777" w:rsidTr="00CC1476">
        <w:trPr>
          <w:trHeight w:val="110"/>
        </w:trPr>
        <w:tc>
          <w:tcPr>
            <w:tcW w:w="1526" w:type="dxa"/>
          </w:tcPr>
          <w:p w14:paraId="65BBF543" w14:textId="77777777" w:rsidR="008A6F9D" w:rsidRDefault="008A6F9D" w:rsidP="00CC1476">
            <w:pPr>
              <w:pStyle w:val="Default"/>
              <w:rPr>
                <w:sz w:val="22"/>
                <w:szCs w:val="22"/>
              </w:rPr>
            </w:pPr>
            <w:r>
              <w:rPr>
                <w:sz w:val="22"/>
                <w:szCs w:val="22"/>
              </w:rPr>
              <w:t>TIMEPOINT</w:t>
            </w:r>
          </w:p>
        </w:tc>
        <w:tc>
          <w:tcPr>
            <w:tcW w:w="1526" w:type="dxa"/>
          </w:tcPr>
          <w:p w14:paraId="76BD040C" w14:textId="77777777" w:rsidR="008A6F9D" w:rsidRDefault="008A6F9D" w:rsidP="00CC1476">
            <w:pPr>
              <w:pStyle w:val="Default"/>
              <w:rPr>
                <w:sz w:val="22"/>
                <w:szCs w:val="22"/>
              </w:rPr>
            </w:pPr>
            <w:r>
              <w:rPr>
                <w:sz w:val="22"/>
                <w:szCs w:val="22"/>
              </w:rPr>
              <w:t>0 (baseline)</w:t>
            </w:r>
          </w:p>
        </w:tc>
        <w:tc>
          <w:tcPr>
            <w:tcW w:w="1529" w:type="dxa"/>
          </w:tcPr>
          <w:p w14:paraId="4C51321A" w14:textId="77777777" w:rsidR="008A6F9D" w:rsidRDefault="008A6F9D" w:rsidP="00CC1476">
            <w:pPr>
              <w:pStyle w:val="Default"/>
              <w:rPr>
                <w:sz w:val="22"/>
                <w:szCs w:val="22"/>
              </w:rPr>
            </w:pPr>
            <w:r>
              <w:rPr>
                <w:sz w:val="22"/>
                <w:szCs w:val="22"/>
              </w:rPr>
              <w:t xml:space="preserve">4 months </w:t>
            </w:r>
          </w:p>
        </w:tc>
      </w:tr>
      <w:tr w:rsidR="008A6F9D" w14:paraId="1A07B81D" w14:textId="77777777" w:rsidTr="00CC1476">
        <w:trPr>
          <w:trHeight w:val="110"/>
        </w:trPr>
        <w:tc>
          <w:tcPr>
            <w:tcW w:w="1526" w:type="dxa"/>
          </w:tcPr>
          <w:p w14:paraId="16AA78C8" w14:textId="77777777" w:rsidR="008A6F9D" w:rsidRDefault="008A6F9D" w:rsidP="00CC1476">
            <w:pPr>
              <w:pStyle w:val="Default"/>
              <w:rPr>
                <w:sz w:val="22"/>
                <w:szCs w:val="22"/>
              </w:rPr>
            </w:pPr>
            <w:r>
              <w:rPr>
                <w:sz w:val="22"/>
                <w:szCs w:val="22"/>
              </w:rPr>
              <w:t>Height</w:t>
            </w:r>
          </w:p>
        </w:tc>
        <w:tc>
          <w:tcPr>
            <w:tcW w:w="1526" w:type="dxa"/>
          </w:tcPr>
          <w:p w14:paraId="24E85B10" w14:textId="01117F4D" w:rsidR="008A6F9D" w:rsidRDefault="00C45C34" w:rsidP="00CC1476">
            <w:pPr>
              <w:pStyle w:val="Default"/>
              <w:rPr>
                <w:sz w:val="22"/>
                <w:szCs w:val="22"/>
              </w:rPr>
            </w:pPr>
            <w:r>
              <w:rPr>
                <w:sz w:val="22"/>
                <w:szCs w:val="22"/>
              </w:rPr>
              <w:t>X</w:t>
            </w:r>
          </w:p>
        </w:tc>
        <w:tc>
          <w:tcPr>
            <w:tcW w:w="1529" w:type="dxa"/>
          </w:tcPr>
          <w:p w14:paraId="00FA3674" w14:textId="77777777" w:rsidR="008A6F9D" w:rsidRDefault="008A6F9D" w:rsidP="00CC1476">
            <w:pPr>
              <w:pStyle w:val="Default"/>
              <w:rPr>
                <w:sz w:val="22"/>
                <w:szCs w:val="22"/>
              </w:rPr>
            </w:pPr>
          </w:p>
        </w:tc>
      </w:tr>
      <w:tr w:rsidR="008A6F9D" w14:paraId="398D7D03" w14:textId="77777777" w:rsidTr="00CC1476">
        <w:trPr>
          <w:trHeight w:val="110"/>
        </w:trPr>
        <w:tc>
          <w:tcPr>
            <w:tcW w:w="1526" w:type="dxa"/>
          </w:tcPr>
          <w:p w14:paraId="352EFE50" w14:textId="77777777" w:rsidR="008A6F9D" w:rsidRDefault="008A6F9D" w:rsidP="00CC1476">
            <w:pPr>
              <w:pStyle w:val="Default"/>
              <w:rPr>
                <w:sz w:val="22"/>
                <w:szCs w:val="22"/>
              </w:rPr>
            </w:pPr>
            <w:r>
              <w:rPr>
                <w:sz w:val="22"/>
                <w:szCs w:val="22"/>
              </w:rPr>
              <w:t>Weight</w:t>
            </w:r>
          </w:p>
        </w:tc>
        <w:tc>
          <w:tcPr>
            <w:tcW w:w="1526" w:type="dxa"/>
          </w:tcPr>
          <w:p w14:paraId="66DF16DE" w14:textId="0D437B6C" w:rsidR="008A6F9D" w:rsidRDefault="00C45C34" w:rsidP="00CC1476">
            <w:pPr>
              <w:pStyle w:val="Default"/>
              <w:rPr>
                <w:sz w:val="22"/>
                <w:szCs w:val="22"/>
              </w:rPr>
            </w:pPr>
            <w:r>
              <w:rPr>
                <w:sz w:val="22"/>
                <w:szCs w:val="22"/>
              </w:rPr>
              <w:t>X</w:t>
            </w:r>
          </w:p>
        </w:tc>
        <w:tc>
          <w:tcPr>
            <w:tcW w:w="1529" w:type="dxa"/>
          </w:tcPr>
          <w:p w14:paraId="177D3601" w14:textId="03950E1C" w:rsidR="008A6F9D" w:rsidRDefault="00D4381B" w:rsidP="00CC1476">
            <w:pPr>
              <w:pStyle w:val="Default"/>
              <w:rPr>
                <w:sz w:val="22"/>
                <w:szCs w:val="22"/>
              </w:rPr>
            </w:pPr>
            <w:r>
              <w:rPr>
                <w:sz w:val="22"/>
                <w:szCs w:val="22"/>
              </w:rPr>
              <w:t>X</w:t>
            </w:r>
          </w:p>
        </w:tc>
      </w:tr>
      <w:tr w:rsidR="008A6F9D" w14:paraId="5FC4B2AF" w14:textId="77777777" w:rsidTr="00CC1476">
        <w:trPr>
          <w:trHeight w:val="110"/>
        </w:trPr>
        <w:tc>
          <w:tcPr>
            <w:tcW w:w="1526" w:type="dxa"/>
          </w:tcPr>
          <w:p w14:paraId="04019BDC" w14:textId="77777777" w:rsidR="008A6F9D" w:rsidRDefault="008A6F9D" w:rsidP="00CC1476">
            <w:pPr>
              <w:pStyle w:val="Default"/>
              <w:rPr>
                <w:sz w:val="22"/>
                <w:szCs w:val="22"/>
              </w:rPr>
            </w:pPr>
            <w:r>
              <w:rPr>
                <w:sz w:val="22"/>
                <w:szCs w:val="22"/>
              </w:rPr>
              <w:t xml:space="preserve">Demographics </w:t>
            </w:r>
          </w:p>
        </w:tc>
        <w:tc>
          <w:tcPr>
            <w:tcW w:w="1526" w:type="dxa"/>
          </w:tcPr>
          <w:p w14:paraId="4CC4EA23" w14:textId="3E5A5C19" w:rsidR="008A6F9D" w:rsidRDefault="00C45C34" w:rsidP="00CC1476">
            <w:pPr>
              <w:pStyle w:val="Default"/>
              <w:rPr>
                <w:sz w:val="22"/>
                <w:szCs w:val="22"/>
              </w:rPr>
            </w:pPr>
            <w:r>
              <w:rPr>
                <w:sz w:val="22"/>
                <w:szCs w:val="22"/>
              </w:rPr>
              <w:t>X</w:t>
            </w:r>
          </w:p>
        </w:tc>
        <w:tc>
          <w:tcPr>
            <w:tcW w:w="1529" w:type="dxa"/>
          </w:tcPr>
          <w:p w14:paraId="395728CA" w14:textId="77777777" w:rsidR="008A6F9D" w:rsidRDefault="008A6F9D" w:rsidP="00CC1476">
            <w:pPr>
              <w:pStyle w:val="Default"/>
              <w:rPr>
                <w:sz w:val="22"/>
                <w:szCs w:val="22"/>
              </w:rPr>
            </w:pPr>
          </w:p>
        </w:tc>
      </w:tr>
      <w:tr w:rsidR="00767852" w14:paraId="6420FFE3" w14:textId="77777777" w:rsidTr="00CC1476">
        <w:trPr>
          <w:trHeight w:val="110"/>
        </w:trPr>
        <w:tc>
          <w:tcPr>
            <w:tcW w:w="1526" w:type="dxa"/>
          </w:tcPr>
          <w:p w14:paraId="1647513B" w14:textId="4F933029" w:rsidR="00767852" w:rsidRDefault="00767852" w:rsidP="00CC1476">
            <w:pPr>
              <w:pStyle w:val="Default"/>
              <w:rPr>
                <w:sz w:val="22"/>
                <w:szCs w:val="22"/>
              </w:rPr>
            </w:pPr>
            <w:r>
              <w:rPr>
                <w:sz w:val="22"/>
                <w:szCs w:val="22"/>
              </w:rPr>
              <w:t>Mental wellbeing (depression, anxiety, stress)</w:t>
            </w:r>
          </w:p>
        </w:tc>
        <w:tc>
          <w:tcPr>
            <w:tcW w:w="1526" w:type="dxa"/>
          </w:tcPr>
          <w:p w14:paraId="49040DCA" w14:textId="5CAB867C" w:rsidR="00767852" w:rsidRDefault="00767852" w:rsidP="00CC1476">
            <w:pPr>
              <w:pStyle w:val="Default"/>
              <w:rPr>
                <w:sz w:val="22"/>
                <w:szCs w:val="22"/>
              </w:rPr>
            </w:pPr>
            <w:r>
              <w:rPr>
                <w:sz w:val="22"/>
                <w:szCs w:val="22"/>
              </w:rPr>
              <w:t>x</w:t>
            </w:r>
          </w:p>
        </w:tc>
        <w:tc>
          <w:tcPr>
            <w:tcW w:w="1529" w:type="dxa"/>
          </w:tcPr>
          <w:p w14:paraId="3B91D18E" w14:textId="3B532AF9" w:rsidR="00767852" w:rsidRDefault="00767852" w:rsidP="00CC1476">
            <w:pPr>
              <w:pStyle w:val="Default"/>
              <w:rPr>
                <w:sz w:val="22"/>
                <w:szCs w:val="22"/>
              </w:rPr>
            </w:pPr>
            <w:r>
              <w:rPr>
                <w:sz w:val="22"/>
                <w:szCs w:val="22"/>
              </w:rPr>
              <w:t>x</w:t>
            </w:r>
          </w:p>
        </w:tc>
      </w:tr>
      <w:tr w:rsidR="00767852" w14:paraId="424A8598" w14:textId="77777777" w:rsidTr="00CC1476">
        <w:trPr>
          <w:trHeight w:val="110"/>
        </w:trPr>
        <w:tc>
          <w:tcPr>
            <w:tcW w:w="1526" w:type="dxa"/>
          </w:tcPr>
          <w:p w14:paraId="33CC6DDC" w14:textId="623B2A21" w:rsidR="00767852" w:rsidRDefault="00767852" w:rsidP="00CC1476">
            <w:pPr>
              <w:pStyle w:val="Default"/>
              <w:rPr>
                <w:sz w:val="22"/>
                <w:szCs w:val="22"/>
              </w:rPr>
            </w:pPr>
            <w:r>
              <w:rPr>
                <w:sz w:val="22"/>
                <w:szCs w:val="22"/>
              </w:rPr>
              <w:t>Psychological flexibility</w:t>
            </w:r>
          </w:p>
        </w:tc>
        <w:tc>
          <w:tcPr>
            <w:tcW w:w="1526" w:type="dxa"/>
          </w:tcPr>
          <w:p w14:paraId="449F55C8" w14:textId="12CC1C5E" w:rsidR="00767852" w:rsidRDefault="00767852" w:rsidP="00CC1476">
            <w:pPr>
              <w:pStyle w:val="Default"/>
              <w:rPr>
                <w:sz w:val="22"/>
                <w:szCs w:val="22"/>
              </w:rPr>
            </w:pPr>
            <w:r>
              <w:rPr>
                <w:sz w:val="22"/>
                <w:szCs w:val="22"/>
              </w:rPr>
              <w:t>x</w:t>
            </w:r>
          </w:p>
        </w:tc>
        <w:tc>
          <w:tcPr>
            <w:tcW w:w="1529" w:type="dxa"/>
          </w:tcPr>
          <w:p w14:paraId="2FAAB0B9" w14:textId="3B68F699" w:rsidR="00767852" w:rsidRDefault="00767852" w:rsidP="00CC1476">
            <w:pPr>
              <w:pStyle w:val="Default"/>
              <w:rPr>
                <w:sz w:val="22"/>
                <w:szCs w:val="22"/>
              </w:rPr>
            </w:pPr>
            <w:r>
              <w:rPr>
                <w:sz w:val="22"/>
                <w:szCs w:val="22"/>
              </w:rPr>
              <w:t>x</w:t>
            </w:r>
          </w:p>
        </w:tc>
      </w:tr>
      <w:tr w:rsidR="008A6F9D" w14:paraId="40E97AC4" w14:textId="77777777" w:rsidTr="00CC1476">
        <w:trPr>
          <w:trHeight w:val="110"/>
        </w:trPr>
        <w:tc>
          <w:tcPr>
            <w:tcW w:w="1526" w:type="dxa"/>
          </w:tcPr>
          <w:p w14:paraId="1807D398" w14:textId="77777777" w:rsidR="008A6F9D" w:rsidRDefault="008A6F9D" w:rsidP="00CC1476">
            <w:pPr>
              <w:pStyle w:val="Default"/>
              <w:rPr>
                <w:sz w:val="22"/>
                <w:szCs w:val="22"/>
              </w:rPr>
            </w:pPr>
            <w:r>
              <w:rPr>
                <w:sz w:val="22"/>
                <w:szCs w:val="22"/>
              </w:rPr>
              <w:t xml:space="preserve">Eating Behaviour </w:t>
            </w:r>
          </w:p>
        </w:tc>
        <w:tc>
          <w:tcPr>
            <w:tcW w:w="1526" w:type="dxa"/>
          </w:tcPr>
          <w:p w14:paraId="7F4D36E5" w14:textId="331C00A3" w:rsidR="008A6F9D" w:rsidRDefault="00C45C34" w:rsidP="00CC1476">
            <w:pPr>
              <w:pStyle w:val="Default"/>
              <w:rPr>
                <w:sz w:val="22"/>
                <w:szCs w:val="22"/>
              </w:rPr>
            </w:pPr>
            <w:r>
              <w:rPr>
                <w:sz w:val="22"/>
                <w:szCs w:val="22"/>
              </w:rPr>
              <w:t>X</w:t>
            </w:r>
          </w:p>
        </w:tc>
        <w:tc>
          <w:tcPr>
            <w:tcW w:w="1529" w:type="dxa"/>
          </w:tcPr>
          <w:p w14:paraId="503FF6BC" w14:textId="4225E423" w:rsidR="008A6F9D" w:rsidRDefault="00D4381B" w:rsidP="00CC1476">
            <w:pPr>
              <w:pStyle w:val="Default"/>
              <w:rPr>
                <w:sz w:val="22"/>
                <w:szCs w:val="22"/>
              </w:rPr>
            </w:pPr>
            <w:r>
              <w:rPr>
                <w:sz w:val="22"/>
                <w:szCs w:val="22"/>
              </w:rPr>
              <w:t>X</w:t>
            </w:r>
          </w:p>
        </w:tc>
      </w:tr>
      <w:tr w:rsidR="008A6F9D" w14:paraId="35C735B6" w14:textId="77777777" w:rsidTr="00CC1476">
        <w:trPr>
          <w:trHeight w:val="110"/>
        </w:trPr>
        <w:tc>
          <w:tcPr>
            <w:tcW w:w="1526" w:type="dxa"/>
          </w:tcPr>
          <w:p w14:paraId="58177D54" w14:textId="77777777" w:rsidR="008A6F9D" w:rsidRDefault="008A6F9D" w:rsidP="00CC1476">
            <w:pPr>
              <w:pStyle w:val="Default"/>
              <w:rPr>
                <w:sz w:val="22"/>
                <w:szCs w:val="22"/>
              </w:rPr>
            </w:pPr>
            <w:r>
              <w:rPr>
                <w:sz w:val="22"/>
                <w:szCs w:val="22"/>
              </w:rPr>
              <w:t xml:space="preserve">Physical Activity </w:t>
            </w:r>
          </w:p>
        </w:tc>
        <w:tc>
          <w:tcPr>
            <w:tcW w:w="1526" w:type="dxa"/>
          </w:tcPr>
          <w:p w14:paraId="182FEE56" w14:textId="48E6E662" w:rsidR="008A6F9D" w:rsidRDefault="00C45C34" w:rsidP="00CC1476">
            <w:pPr>
              <w:pStyle w:val="Default"/>
              <w:rPr>
                <w:sz w:val="22"/>
                <w:szCs w:val="22"/>
              </w:rPr>
            </w:pPr>
            <w:r>
              <w:rPr>
                <w:sz w:val="22"/>
                <w:szCs w:val="22"/>
              </w:rPr>
              <w:t>X</w:t>
            </w:r>
          </w:p>
        </w:tc>
        <w:tc>
          <w:tcPr>
            <w:tcW w:w="1529" w:type="dxa"/>
          </w:tcPr>
          <w:p w14:paraId="01D72586" w14:textId="2589B310" w:rsidR="008A6F9D" w:rsidRDefault="00D4381B" w:rsidP="00CC1476">
            <w:pPr>
              <w:pStyle w:val="Default"/>
              <w:rPr>
                <w:sz w:val="22"/>
                <w:szCs w:val="22"/>
              </w:rPr>
            </w:pPr>
            <w:r>
              <w:rPr>
                <w:sz w:val="22"/>
                <w:szCs w:val="22"/>
              </w:rPr>
              <w:t>X</w:t>
            </w:r>
          </w:p>
        </w:tc>
      </w:tr>
      <w:tr w:rsidR="008A6F9D" w14:paraId="368359D1" w14:textId="77777777" w:rsidTr="00CC1476">
        <w:trPr>
          <w:trHeight w:val="110"/>
        </w:trPr>
        <w:tc>
          <w:tcPr>
            <w:tcW w:w="1526" w:type="dxa"/>
          </w:tcPr>
          <w:p w14:paraId="36644B28" w14:textId="77777777" w:rsidR="008A6F9D" w:rsidRDefault="008A6F9D" w:rsidP="00CC1476">
            <w:pPr>
              <w:pStyle w:val="Default"/>
              <w:rPr>
                <w:sz w:val="22"/>
                <w:szCs w:val="22"/>
              </w:rPr>
            </w:pPr>
            <w:r>
              <w:rPr>
                <w:sz w:val="22"/>
                <w:szCs w:val="22"/>
              </w:rPr>
              <w:t xml:space="preserve">Quality of Life /Wellbeing </w:t>
            </w:r>
          </w:p>
        </w:tc>
        <w:tc>
          <w:tcPr>
            <w:tcW w:w="1526" w:type="dxa"/>
          </w:tcPr>
          <w:p w14:paraId="40A40550" w14:textId="5BBAC2A2" w:rsidR="008A6F9D" w:rsidRDefault="00C45C34" w:rsidP="00CC1476">
            <w:pPr>
              <w:pStyle w:val="Default"/>
              <w:rPr>
                <w:sz w:val="22"/>
                <w:szCs w:val="22"/>
              </w:rPr>
            </w:pPr>
            <w:r>
              <w:rPr>
                <w:sz w:val="22"/>
                <w:szCs w:val="22"/>
              </w:rPr>
              <w:t>X</w:t>
            </w:r>
          </w:p>
        </w:tc>
        <w:tc>
          <w:tcPr>
            <w:tcW w:w="1529" w:type="dxa"/>
          </w:tcPr>
          <w:p w14:paraId="6F6CA859" w14:textId="5D7D1DD2" w:rsidR="008A6F9D" w:rsidRDefault="00D4381B" w:rsidP="00CC1476">
            <w:pPr>
              <w:pStyle w:val="Default"/>
              <w:rPr>
                <w:sz w:val="22"/>
                <w:szCs w:val="22"/>
              </w:rPr>
            </w:pPr>
            <w:r>
              <w:rPr>
                <w:sz w:val="22"/>
                <w:szCs w:val="22"/>
              </w:rPr>
              <w:t>X</w:t>
            </w:r>
          </w:p>
        </w:tc>
      </w:tr>
      <w:tr w:rsidR="008A6F9D" w14:paraId="48A89B4C" w14:textId="77777777" w:rsidTr="00CC1476">
        <w:trPr>
          <w:trHeight w:val="110"/>
        </w:trPr>
        <w:tc>
          <w:tcPr>
            <w:tcW w:w="1526" w:type="dxa"/>
          </w:tcPr>
          <w:p w14:paraId="68196796" w14:textId="77777777" w:rsidR="008A6F9D" w:rsidRDefault="008A6F9D" w:rsidP="00CC1476">
            <w:pPr>
              <w:pStyle w:val="Default"/>
              <w:rPr>
                <w:sz w:val="22"/>
                <w:szCs w:val="22"/>
              </w:rPr>
            </w:pPr>
            <w:r>
              <w:rPr>
                <w:sz w:val="22"/>
                <w:szCs w:val="22"/>
              </w:rPr>
              <w:t>Intervention Engagement</w:t>
            </w:r>
          </w:p>
        </w:tc>
        <w:tc>
          <w:tcPr>
            <w:tcW w:w="1526" w:type="dxa"/>
          </w:tcPr>
          <w:p w14:paraId="31A7DC54" w14:textId="77777777" w:rsidR="008A6F9D" w:rsidRDefault="008A6F9D" w:rsidP="00CC1476">
            <w:pPr>
              <w:pStyle w:val="Default"/>
              <w:rPr>
                <w:sz w:val="22"/>
                <w:szCs w:val="22"/>
              </w:rPr>
            </w:pPr>
          </w:p>
        </w:tc>
        <w:tc>
          <w:tcPr>
            <w:tcW w:w="1529" w:type="dxa"/>
          </w:tcPr>
          <w:p w14:paraId="0FBC5F81" w14:textId="7766ADDF" w:rsidR="008A6F9D" w:rsidRDefault="00D4381B" w:rsidP="00CC1476">
            <w:pPr>
              <w:pStyle w:val="Default"/>
              <w:rPr>
                <w:sz w:val="22"/>
                <w:szCs w:val="22"/>
              </w:rPr>
            </w:pPr>
            <w:r>
              <w:rPr>
                <w:sz w:val="22"/>
                <w:szCs w:val="22"/>
              </w:rPr>
              <w:t>X</w:t>
            </w:r>
          </w:p>
        </w:tc>
      </w:tr>
      <w:tr w:rsidR="008A6F9D" w14:paraId="04314353" w14:textId="77777777" w:rsidTr="00CC1476">
        <w:trPr>
          <w:trHeight w:val="110"/>
        </w:trPr>
        <w:tc>
          <w:tcPr>
            <w:tcW w:w="1526" w:type="dxa"/>
          </w:tcPr>
          <w:p w14:paraId="075A9EBC" w14:textId="77777777" w:rsidR="008A6F9D" w:rsidRDefault="008A6F9D" w:rsidP="00CC1476">
            <w:pPr>
              <w:pStyle w:val="Default"/>
              <w:rPr>
                <w:sz w:val="22"/>
                <w:szCs w:val="22"/>
              </w:rPr>
            </w:pPr>
            <w:r>
              <w:rPr>
                <w:sz w:val="22"/>
                <w:szCs w:val="22"/>
              </w:rPr>
              <w:t xml:space="preserve">Adherence to intervention </w:t>
            </w:r>
          </w:p>
        </w:tc>
        <w:tc>
          <w:tcPr>
            <w:tcW w:w="1526" w:type="dxa"/>
          </w:tcPr>
          <w:p w14:paraId="3A8849E5" w14:textId="77777777" w:rsidR="008A6F9D" w:rsidRDefault="008A6F9D" w:rsidP="00CC1476">
            <w:pPr>
              <w:pStyle w:val="Default"/>
              <w:rPr>
                <w:sz w:val="22"/>
                <w:szCs w:val="22"/>
              </w:rPr>
            </w:pPr>
          </w:p>
        </w:tc>
        <w:tc>
          <w:tcPr>
            <w:tcW w:w="1529" w:type="dxa"/>
          </w:tcPr>
          <w:p w14:paraId="1987A77E" w14:textId="7F3EE2E5" w:rsidR="008A6F9D" w:rsidRDefault="00D4381B" w:rsidP="00CC1476">
            <w:pPr>
              <w:pStyle w:val="Default"/>
              <w:rPr>
                <w:sz w:val="22"/>
                <w:szCs w:val="22"/>
              </w:rPr>
            </w:pPr>
            <w:r>
              <w:rPr>
                <w:sz w:val="22"/>
                <w:szCs w:val="22"/>
              </w:rPr>
              <w:t>X</w:t>
            </w:r>
          </w:p>
        </w:tc>
      </w:tr>
    </w:tbl>
    <w:p w14:paraId="70F0839E" w14:textId="77777777" w:rsidR="008A6F9D" w:rsidRDefault="008A6F9D" w:rsidP="008A6F9D">
      <w:pPr>
        <w:pStyle w:val="NoSpacing"/>
        <w:rPr>
          <w:szCs w:val="24"/>
        </w:rPr>
      </w:pPr>
    </w:p>
    <w:p w14:paraId="230887D4" w14:textId="77777777" w:rsidR="008A6F9D" w:rsidRDefault="008A6F9D" w:rsidP="008A6F9D">
      <w:pPr>
        <w:pStyle w:val="NoSpacing"/>
        <w:rPr>
          <w:szCs w:val="24"/>
        </w:rPr>
      </w:pPr>
    </w:p>
    <w:p w14:paraId="24F39A47" w14:textId="3970B7A0" w:rsidR="00982C25" w:rsidRDefault="00982C25" w:rsidP="006E3F31">
      <w:pPr>
        <w:pStyle w:val="Heading2"/>
      </w:pPr>
      <w:r>
        <w:t>2.</w:t>
      </w:r>
      <w:r w:rsidR="00E234FD">
        <w:t>8</w:t>
      </w:r>
      <w:r>
        <w:tab/>
        <w:t>Interim analyses and stopping guidance</w:t>
      </w:r>
    </w:p>
    <w:p w14:paraId="30724D8A" w14:textId="1E4737FD" w:rsidR="00982C25" w:rsidRDefault="00C53588" w:rsidP="006E3F31">
      <w:pPr>
        <w:pStyle w:val="NoSpacing"/>
        <w:rPr>
          <w:szCs w:val="24"/>
        </w:rPr>
      </w:pPr>
      <w:r>
        <w:rPr>
          <w:szCs w:val="24"/>
        </w:rPr>
        <w:t xml:space="preserve">No </w:t>
      </w:r>
      <w:r w:rsidR="00007B1C" w:rsidRPr="00007B1C">
        <w:rPr>
          <w:szCs w:val="24"/>
        </w:rPr>
        <w:t>inter</w:t>
      </w:r>
      <w:r w:rsidR="00007B1C">
        <w:rPr>
          <w:szCs w:val="24"/>
        </w:rPr>
        <w:t>im analyses</w:t>
      </w:r>
      <w:r>
        <w:rPr>
          <w:szCs w:val="24"/>
        </w:rPr>
        <w:t xml:space="preserve"> are planned for this study</w:t>
      </w:r>
      <w:r w:rsidR="007A17D3">
        <w:rPr>
          <w:szCs w:val="24"/>
        </w:rPr>
        <w:t>.</w:t>
      </w:r>
    </w:p>
    <w:p w14:paraId="2C15865E" w14:textId="34414992" w:rsidR="00007B1C" w:rsidRDefault="006E3F31" w:rsidP="006E3F31">
      <w:pPr>
        <w:pStyle w:val="Heading2"/>
      </w:pPr>
      <w:r>
        <w:t>2.</w:t>
      </w:r>
      <w:r w:rsidR="00E234FD">
        <w:t>9</w:t>
      </w:r>
      <w:r>
        <w:tab/>
        <w:t>Timing of final analysis</w:t>
      </w:r>
    </w:p>
    <w:p w14:paraId="18E64024" w14:textId="72A6D3D0" w:rsidR="00265C5A" w:rsidRDefault="007A17D3" w:rsidP="008A6F9D">
      <w:pPr>
        <w:pStyle w:val="NoSpacing"/>
        <w:rPr>
          <w:szCs w:val="24"/>
        </w:rPr>
      </w:pPr>
      <w:r>
        <w:rPr>
          <w:szCs w:val="24"/>
        </w:rPr>
        <w:t xml:space="preserve">All statistical analyses will be undertaken following completion of the study (when </w:t>
      </w:r>
      <w:r w:rsidR="00C45C34">
        <w:rPr>
          <w:szCs w:val="24"/>
        </w:rPr>
        <w:t>the database is closed for 4 month follow up data)</w:t>
      </w:r>
      <w:r>
        <w:rPr>
          <w:szCs w:val="24"/>
        </w:rPr>
        <w:t xml:space="preserve">. </w:t>
      </w:r>
    </w:p>
    <w:p w14:paraId="15A35B8E" w14:textId="77777777" w:rsidR="00065392" w:rsidRDefault="00065392" w:rsidP="00065392">
      <w:pPr>
        <w:pStyle w:val="Heading1"/>
      </w:pPr>
      <w:r>
        <w:lastRenderedPageBreak/>
        <w:t>3</w:t>
      </w:r>
      <w:r>
        <w:tab/>
        <w:t>Statistical principles</w:t>
      </w:r>
    </w:p>
    <w:p w14:paraId="36FC08CA" w14:textId="77777777" w:rsidR="00065392" w:rsidRPr="00851EF9" w:rsidRDefault="00065392" w:rsidP="00065392">
      <w:pPr>
        <w:pStyle w:val="Heading2"/>
      </w:pPr>
      <w:r>
        <w:t>3.1</w:t>
      </w:r>
      <w:r>
        <w:tab/>
        <w:t>Confidence intervals and p-values</w:t>
      </w:r>
    </w:p>
    <w:p w14:paraId="7DE9FBAE" w14:textId="7097CC35" w:rsidR="00007B1C" w:rsidRDefault="00E97069" w:rsidP="00007B1C">
      <w:pPr>
        <w:pStyle w:val="NoSpacing"/>
        <w:rPr>
          <w:szCs w:val="24"/>
        </w:rPr>
      </w:pPr>
      <w:r>
        <w:rPr>
          <w:szCs w:val="24"/>
        </w:rPr>
        <w:t>95% c</w:t>
      </w:r>
      <w:r w:rsidR="00065392">
        <w:rPr>
          <w:szCs w:val="24"/>
        </w:rPr>
        <w:t xml:space="preserve">onfidence intervals </w:t>
      </w:r>
      <w:r>
        <w:rPr>
          <w:szCs w:val="24"/>
        </w:rPr>
        <w:t xml:space="preserve">will be calculated </w:t>
      </w:r>
      <w:r w:rsidR="00D80EBF">
        <w:rPr>
          <w:szCs w:val="24"/>
        </w:rPr>
        <w:t>around</w:t>
      </w:r>
      <w:r>
        <w:rPr>
          <w:szCs w:val="24"/>
        </w:rPr>
        <w:t xml:space="preserve"> relevant</w:t>
      </w:r>
      <w:r w:rsidR="00D80EBF">
        <w:rPr>
          <w:szCs w:val="24"/>
        </w:rPr>
        <w:t xml:space="preserve"> parameters (e.g. means)</w:t>
      </w:r>
      <w:r>
        <w:rPr>
          <w:szCs w:val="24"/>
        </w:rPr>
        <w:t xml:space="preserve">. </w:t>
      </w:r>
    </w:p>
    <w:p w14:paraId="421882FB" w14:textId="77777777" w:rsidR="00520EF5" w:rsidRDefault="00520EF5" w:rsidP="00007B1C">
      <w:pPr>
        <w:pStyle w:val="NoSpacing"/>
        <w:rPr>
          <w:szCs w:val="24"/>
        </w:rPr>
      </w:pPr>
    </w:p>
    <w:p w14:paraId="1E9DAAB0" w14:textId="056C6C87" w:rsidR="00261BA3" w:rsidRPr="00D80EBF" w:rsidRDefault="00D80EBF" w:rsidP="00D80EBF">
      <w:pPr>
        <w:pStyle w:val="NoSpacing"/>
        <w:rPr>
          <w:szCs w:val="24"/>
        </w:rPr>
      </w:pPr>
      <w:r w:rsidRPr="00DA4609">
        <w:rPr>
          <w:b/>
          <w:bCs/>
          <w:szCs w:val="24"/>
        </w:rPr>
        <w:t>Multiplicity</w:t>
      </w:r>
      <w:r>
        <w:rPr>
          <w:szCs w:val="24"/>
        </w:rPr>
        <w:t xml:space="preserve">: </w:t>
      </w:r>
      <w:r w:rsidR="007C29F2">
        <w:rPr>
          <w:szCs w:val="24"/>
        </w:rPr>
        <w:t>As we have specified a single primary endpoint (weight</w:t>
      </w:r>
      <w:r w:rsidR="007815B1">
        <w:rPr>
          <w:szCs w:val="24"/>
        </w:rPr>
        <w:t xml:space="preserve"> change</w:t>
      </w:r>
      <w:r w:rsidR="007C29F2">
        <w:rPr>
          <w:szCs w:val="24"/>
        </w:rPr>
        <w:t xml:space="preserve">) to test the effectiveness of the intervention (confirmatory analysis), adjustments for multiple endpoints are unnecessary </w:t>
      </w:r>
      <w:r w:rsidR="007C29F2">
        <w:rPr>
          <w:szCs w:val="24"/>
        </w:rPr>
        <w:fldChar w:fldCharType="begin" w:fldLock="1"/>
      </w:r>
      <w:r w:rsidR="007C29F2">
        <w:rPr>
          <w:szCs w:val="24"/>
        </w:rPr>
        <w:instrText>ADDIN CSL_CITATION {"citationItems":[{"id":"ITEM-1","itemData":{"DOI":"10.1016/S0895-4356(00)00314-0","ISSN":"08954356","PMID":"11297884","abstract":"Multiplicity of data, hypotheses, and analyses is a common problem in biomedical and epidemiological research. Multiple testing theory provides a framework for defining and controlling appropriate error rates in order to protect against wrong conclusions. However, the corresponding multiple test procedures are underutilized in biomedical and epidemiological research. In this article, the existing multiple test procedures are summarized for the most important multiplicity situations. It is emphasized that adjustments for multiple testing are required in confirmatory studies whenever results from multiple tests have to be combined in one final conclusion and decision. In case of multiple significance tests a note on the error rate that will be controlled for is desirable. Copyright © 2001 Elsevier Science Inc.","author":[{"dropping-particle":"","family":"Bender","given":"Ralf","non-dropping-particle":"","parse-names":false,"suffix":""},{"dropping-particle":"","family":"Lange","given":"Stefan","non-dropping-particle":"","parse-names":false,"suffix":""}],"container-title":"Journal of Clinical Epidemiology","id":"ITEM-1","issue":"4","issued":{"date-parts":[["2001"]]},"page":"343-349","publisher":"J Clin Epidemiol","title":"Adjusting for multiple testing - When and how?","type":"article-journal","volume":"54"},"uris":["http://www.mendeley.com/documents/?uuid=eff7f6b0-64bd-38a2-b04e-c9694ccd1acc"]}],"mendeley":{"formattedCitation":"(1)","plainTextFormattedCitation":"(1)","previouslyFormattedCitation":"(1)"},"properties":{"noteIndex":0},"schema":"https://github.com/citation-style-language/schema/raw/master/csl-citation.json"}</w:instrText>
      </w:r>
      <w:r w:rsidR="007C29F2">
        <w:rPr>
          <w:szCs w:val="24"/>
        </w:rPr>
        <w:fldChar w:fldCharType="separate"/>
      </w:r>
      <w:r w:rsidR="007C29F2" w:rsidRPr="007C29F2">
        <w:rPr>
          <w:noProof/>
          <w:szCs w:val="24"/>
        </w:rPr>
        <w:t>(1)</w:t>
      </w:r>
      <w:r w:rsidR="007C29F2">
        <w:rPr>
          <w:szCs w:val="24"/>
        </w:rPr>
        <w:fldChar w:fldCharType="end"/>
      </w:r>
      <w:r w:rsidR="007C29F2">
        <w:rPr>
          <w:szCs w:val="24"/>
        </w:rPr>
        <w:t>. A</w:t>
      </w:r>
      <w:r w:rsidR="00DA4609">
        <w:rPr>
          <w:szCs w:val="24"/>
        </w:rPr>
        <w:t>ll other outcome measures are secondary and therefore subsidiary and exploratory</w:t>
      </w:r>
      <w:r w:rsidR="00306541">
        <w:rPr>
          <w:szCs w:val="24"/>
        </w:rPr>
        <w:t xml:space="preserve"> </w:t>
      </w:r>
      <w:r w:rsidR="00306541">
        <w:rPr>
          <w:szCs w:val="24"/>
        </w:rPr>
        <w:fldChar w:fldCharType="begin" w:fldLock="1"/>
      </w:r>
      <w:r w:rsidR="00110961">
        <w:rPr>
          <w:szCs w:val="24"/>
        </w:rPr>
        <w:instrText>ADDIN CSL_CITATION {"citationItems":[{"id":"ITEM-1","itemData":{"DOI":"10.1093/ije/dyw320","PMID":"28025257","abstract":"In clinical trials it is not uncommon to face a multiple testing problem which can have an impact on both type I and type II error rates, leading to inappropriate interpretation of trial results. Multiplicity issues may need to be considered at the design, analysis and interpretation stages of a trial. The proportion of trial reports not adequately correcting for multiple testing remains substantial. The purpose of this article is to provide an introduction to multiple testing issues in clinical trials, and to reduce confusion around the need for multiplicity adjustments. We use a tutorial, question-and-answer approach to address the key issues of why, when and how to consider multiplicity adjustments in trials. We summarize the relevant circumstances under which multiplicity adjustments ought to be considered, as well as options for carrying out multiplicity adjustments in terms of trial design factors including Population, Intervention/Comparison, Outcome, Time frame and Analysis (PICOTA). Results are presented in an easy-to-use table and flow diagrams. Confusion about multiplicity issues can be reduced or avoided by considering the potential impact of multiplicity on type I and II errors and, if necessary pre-specifying statistical approaches to either avoid or adjust for multiplicity in the trial protocol or analysis plan.","author":[{"dropping-particle":"","family":"Li","given":"Guowei","non-dropping-particle":"","parse-names":false,"suffix":""},{"dropping-particle":"","family":"Taljaard","given":"Monica","non-dropping-particle":"","parse-names":false,"suffix":""},{"dropping-particle":"","family":"Heuvel","given":"Edwin R.","non-dropping-particle":"Van den","parse-names":false,"suffix":""},{"dropping-particle":"","family":"Levine","given":"Mitchell AH","non-dropping-particle":"","parse-names":false,"suffix":""},{"dropping-particle":"","family":"Cook","given":"Deborah J","non-dropping-particle":"","parse-names":false,"suffix":""},{"dropping-particle":"","family":"Wells","given":"George A","non-dropping-particle":"","parse-names":false,"suffix":""},{"dropping-particle":"","family":"Devereaux","given":"Philip J","non-dropping-particle":"","parse-names":false,"suffix":""},{"dropping-particle":"","family":"Thabane","given":"Lehana","non-dropping-particle":"","parse-names":false,"suffix":""}],"container-title":"International Journal of Epidemiology","id":"ITEM-1","issue":"2","issued":{"date-parts":[["2016"]]},"page":"527-39","title":"An introduction to multiplicity issues in clinical trials: the what, why, when and how. - PubMed - NCBI","type":"article-journal","volume":"46"},"uris":["http://www.mendeley.com/documents/?uuid=70ef367a-c770-3646-b839-636a57a024d2"]},{"id":"ITEM-2","itemData":{"DOI":"10.1016/S0895-4356(00)00314-0","ISSN":"08954356","PMID":"11297884","abstract":"Multiplicity of data, hypotheses, and analyses is a common problem in biomedical and epidemiological research. Multiple testing theory provides a framework for defining and controlling appropriate error rates in order to protect against wrong conclusions. However, the corresponding multiple test procedures are underutilized in biomedical and epidemiological research. In this article, the existing multiple test procedures are summarized for the most important multiplicity situations. It is emphasized that adjustments for multiple testing are required in confirmatory studies whenever results from multiple tests have to be combined in one final conclusion and decision. In case of multiple significance tests a note on the error rate that will be controlled for is desirable. Copyright © 2001 Elsevier Science Inc.","author":[{"dropping-particle":"","family":"Bender","given":"Ralf","non-dropping-particle":"","parse-names":false,"suffix":""},{"dropping-particle":"","family":"Lange","given":"Stefan","non-dropping-particle":"","parse-names":false,"suffix":""}],"container-title":"Journal of Clinical Epidemiology","id":"ITEM-2","issue":"4","issued":{"date-parts":[["2001"]]},"page":"343-349","publisher":"J Clin Epidemiol","title":"Adjusting for multiple testing - When and how?","type":"article-journal","volume":"54"},"uris":["http://www.mendeley.com/documents/?uuid=eff7f6b0-64bd-38a2-b04e-c9694ccd1acc"]}],"mendeley":{"formattedCitation":"(1,2)","plainTextFormattedCitation":"(1,2)","previouslyFormattedCitation":"(1,2)"},"properties":{"noteIndex":0},"schema":"https://github.com/citation-style-language/schema/raw/master/csl-citation.json"}</w:instrText>
      </w:r>
      <w:r w:rsidR="00306541">
        <w:rPr>
          <w:szCs w:val="24"/>
        </w:rPr>
        <w:fldChar w:fldCharType="separate"/>
      </w:r>
      <w:r w:rsidR="007C29F2" w:rsidRPr="007C29F2">
        <w:rPr>
          <w:noProof/>
          <w:szCs w:val="24"/>
        </w:rPr>
        <w:t>(1,2)</w:t>
      </w:r>
      <w:r w:rsidR="00306541">
        <w:rPr>
          <w:szCs w:val="24"/>
        </w:rPr>
        <w:fldChar w:fldCharType="end"/>
      </w:r>
      <w:r w:rsidR="00424933">
        <w:rPr>
          <w:szCs w:val="24"/>
        </w:rPr>
        <w:t xml:space="preserve">. </w:t>
      </w:r>
      <w:r w:rsidR="00EB1ED3" w:rsidRPr="00EB1ED3">
        <w:t xml:space="preserve"> </w:t>
      </w:r>
      <w:r w:rsidR="00A1344D">
        <w:t>P</w:t>
      </w:r>
      <w:r w:rsidR="00A1344D" w:rsidRPr="00A1344D">
        <w:t xml:space="preserve">-values will only be reported for the main effects and interaction analyses of the primary outcome; 95% confidence intervals will be reported </w:t>
      </w:r>
      <w:r w:rsidR="00CE7A2C">
        <w:t xml:space="preserve">for </w:t>
      </w:r>
      <w:r w:rsidR="00A1344D" w:rsidRPr="00A1344D">
        <w:t>all outcomes/comparisons.</w:t>
      </w:r>
      <w:r w:rsidR="00A1344D">
        <w:t xml:space="preserve"> </w:t>
      </w:r>
    </w:p>
    <w:p w14:paraId="14693B4C" w14:textId="77777777" w:rsidR="00065392" w:rsidRPr="00851EF9" w:rsidRDefault="00065392" w:rsidP="00065392">
      <w:pPr>
        <w:pStyle w:val="Heading2"/>
      </w:pPr>
      <w:r>
        <w:t>3.2</w:t>
      </w:r>
      <w:r>
        <w:tab/>
        <w:t>Adherence and protocol deviations</w:t>
      </w:r>
    </w:p>
    <w:p w14:paraId="38A96E86" w14:textId="2D20FFD9" w:rsidR="008F059F" w:rsidRDefault="00E54080" w:rsidP="00B7657C">
      <w:pPr>
        <w:pStyle w:val="NoSpacing"/>
      </w:pPr>
      <w:r>
        <w:t>I</w:t>
      </w:r>
      <w:r w:rsidR="008F059F" w:rsidRPr="008F059F">
        <w:t>ntervention usage will be assessed through website analytics. Reports on frequency and duration of visits</w:t>
      </w:r>
      <w:r>
        <w:t>, as well as activities completed during each visit,</w:t>
      </w:r>
      <w:r w:rsidR="008F059F" w:rsidRPr="008F059F">
        <w:t xml:space="preserve"> will be available via secure download directly from the SWiM-C online platform. </w:t>
      </w:r>
    </w:p>
    <w:p w14:paraId="6603F9CD" w14:textId="7CEBAB25" w:rsidR="00864C81" w:rsidRDefault="00864C81" w:rsidP="00864C81">
      <w:pPr>
        <w:pStyle w:val="NoSpacing"/>
      </w:pPr>
    </w:p>
    <w:p w14:paraId="52267310" w14:textId="2B8C2114" w:rsidR="00A43BB2" w:rsidRDefault="00A43BB2" w:rsidP="001C2702">
      <w:pPr>
        <w:pStyle w:val="NoSpacing"/>
        <w:spacing w:after="120"/>
      </w:pPr>
      <w:r>
        <w:t xml:space="preserve">For the main trial paper we will report basic statistics on intervention </w:t>
      </w:r>
      <w:r w:rsidR="006D365B">
        <w:t>adherence</w:t>
      </w:r>
      <w:r>
        <w:t>, including:</w:t>
      </w:r>
    </w:p>
    <w:p w14:paraId="57DAB16A" w14:textId="4DF1ABC6" w:rsidR="00A43BB2" w:rsidRDefault="00D4381B" w:rsidP="007122C0">
      <w:pPr>
        <w:pStyle w:val="NoSpacing"/>
        <w:numPr>
          <w:ilvl w:val="0"/>
          <w:numId w:val="28"/>
        </w:numPr>
      </w:pPr>
      <w:r>
        <w:t xml:space="preserve">Average </w:t>
      </w:r>
      <w:r w:rsidR="00A43BB2">
        <w:t>number of sessions completed by participants</w:t>
      </w:r>
    </w:p>
    <w:p w14:paraId="44E10E8A" w14:textId="6BABA843" w:rsidR="00D4381B" w:rsidRDefault="00D4381B" w:rsidP="007122C0">
      <w:pPr>
        <w:pStyle w:val="NoSpacing"/>
        <w:numPr>
          <w:ilvl w:val="0"/>
          <w:numId w:val="28"/>
        </w:numPr>
      </w:pPr>
      <w:r>
        <w:t>Number and proportion of people completing the first 4 sessions and coach contact</w:t>
      </w:r>
      <w:r w:rsidR="00E234FD">
        <w:t xml:space="preserve"> (this provides an indication of how participants engaged with the intervention prior to and leading up to the first coach contact)</w:t>
      </w:r>
    </w:p>
    <w:p w14:paraId="33631504" w14:textId="47CD0A60" w:rsidR="00FA3992" w:rsidRDefault="00FA3992" w:rsidP="007122C0">
      <w:pPr>
        <w:pStyle w:val="NoSpacing"/>
        <w:numPr>
          <w:ilvl w:val="0"/>
          <w:numId w:val="28"/>
        </w:numPr>
      </w:pPr>
      <w:r>
        <w:t>Number and proportion of people completing the first 8 sessions (=2/3 of the total intervention)</w:t>
      </w:r>
    </w:p>
    <w:p w14:paraId="78119656" w14:textId="623E8C95" w:rsidR="00A43BB2" w:rsidRDefault="00D4381B" w:rsidP="007122C0">
      <w:pPr>
        <w:pStyle w:val="NoSpacing"/>
        <w:numPr>
          <w:ilvl w:val="0"/>
          <w:numId w:val="28"/>
        </w:numPr>
      </w:pPr>
      <w:r>
        <w:t>Number and proportion of people completing all 12 sessions</w:t>
      </w:r>
      <w:r w:rsidR="00E234FD">
        <w:t xml:space="preserve"> (i.e. the total number of sessions)</w:t>
      </w:r>
    </w:p>
    <w:p w14:paraId="185BAFDD" w14:textId="10768116" w:rsidR="00D4381B" w:rsidRDefault="00D4381B" w:rsidP="00D4381B">
      <w:pPr>
        <w:pStyle w:val="NoSpacing"/>
        <w:ind w:left="50"/>
      </w:pPr>
    </w:p>
    <w:p w14:paraId="7BA2FBA6" w14:textId="77777777" w:rsidR="00D4381B" w:rsidRDefault="00D4381B" w:rsidP="00D4381B">
      <w:pPr>
        <w:pStyle w:val="NoSpacing"/>
      </w:pPr>
      <w:r>
        <w:t>Any deviations from the study protocol will be recorded, including:</w:t>
      </w:r>
    </w:p>
    <w:p w14:paraId="369CF80E" w14:textId="77777777" w:rsidR="00D4381B" w:rsidRDefault="00D4381B" w:rsidP="00D4381B">
      <w:pPr>
        <w:pStyle w:val="NoSpacing"/>
        <w:numPr>
          <w:ilvl w:val="1"/>
          <w:numId w:val="3"/>
        </w:numPr>
      </w:pPr>
      <w:r>
        <w:t>Completion of telephone and email contacts with coaches</w:t>
      </w:r>
    </w:p>
    <w:p w14:paraId="7F0F7FBF" w14:textId="6124AAA0" w:rsidR="001A1545" w:rsidRPr="00391900" w:rsidRDefault="00D4381B" w:rsidP="007122C0">
      <w:pPr>
        <w:pStyle w:val="NoSpacing"/>
        <w:numPr>
          <w:ilvl w:val="1"/>
          <w:numId w:val="3"/>
        </w:numPr>
      </w:pPr>
      <w:r>
        <w:t>Any technical failures (e.g. reminders not sent, questionnaires not sent)</w:t>
      </w:r>
    </w:p>
    <w:p w14:paraId="3FAD7507" w14:textId="45EF297B" w:rsidR="00005EE1" w:rsidRDefault="00005EE1" w:rsidP="00005EE1">
      <w:pPr>
        <w:pStyle w:val="Heading2"/>
      </w:pPr>
      <w:r>
        <w:t>3.3</w:t>
      </w:r>
      <w:r>
        <w:tab/>
        <w:t>Analysis population</w:t>
      </w:r>
    </w:p>
    <w:p w14:paraId="7C6F55EC" w14:textId="1FA54E92" w:rsidR="00005EE1" w:rsidRDefault="008C40EE" w:rsidP="00AA1F33">
      <w:pPr>
        <w:pStyle w:val="NoSpacing"/>
      </w:pPr>
      <w:r w:rsidRPr="008C40EE">
        <w:t>The analysis will be based on the intention-to-treat principle, whereby all individuals are included in the group to which they were randomised, regardless of the extent to which they adhered to the intervention.</w:t>
      </w:r>
      <w:r w:rsidR="00086F47">
        <w:t xml:space="preserve"> </w:t>
      </w:r>
      <w:r w:rsidR="00956062">
        <w:t>P</w:t>
      </w:r>
      <w:r w:rsidR="00AA1F33">
        <w:t xml:space="preserve">articipants with missing outcome data at follow-up </w:t>
      </w:r>
      <w:r w:rsidR="00956062">
        <w:t>will be</w:t>
      </w:r>
      <w:r w:rsidR="00AA1F33">
        <w:t xml:space="preserve"> excluded</w:t>
      </w:r>
      <w:r w:rsidR="00086F47">
        <w:t>. A</w:t>
      </w:r>
      <w:r w:rsidR="00086F47" w:rsidRPr="00086F47">
        <w:t xml:space="preserve"> sensitivity analysis will be performed </w:t>
      </w:r>
      <w:r w:rsidR="00AF53D2">
        <w:t>using</w:t>
      </w:r>
      <w:r w:rsidR="00AF53D2" w:rsidRPr="00086F47">
        <w:t xml:space="preserve"> </w:t>
      </w:r>
      <w:r w:rsidR="00086F47" w:rsidRPr="00086F47">
        <w:t>multiple imputation for missing data</w:t>
      </w:r>
      <w:r w:rsidR="00AA1F33" w:rsidRPr="00086F47">
        <w:t xml:space="preserve"> (see section </w:t>
      </w:r>
      <w:r w:rsidR="00086F47" w:rsidRPr="00086F47">
        <w:t>5.2</w:t>
      </w:r>
      <w:r w:rsidR="00AA1F33" w:rsidRPr="00086F47">
        <w:t>).</w:t>
      </w:r>
    </w:p>
    <w:p w14:paraId="56402A68" w14:textId="77777777" w:rsidR="00397274" w:rsidRDefault="00397274" w:rsidP="00397274">
      <w:pPr>
        <w:pStyle w:val="Heading1"/>
      </w:pPr>
      <w:r>
        <w:t>4</w:t>
      </w:r>
      <w:r>
        <w:tab/>
        <w:t>Trial population</w:t>
      </w:r>
    </w:p>
    <w:p w14:paraId="76A7B25E" w14:textId="77777777" w:rsidR="00AA1F33" w:rsidRPr="00005EE1" w:rsidRDefault="00437F67" w:rsidP="00437F67">
      <w:pPr>
        <w:pStyle w:val="Heading2"/>
      </w:pPr>
      <w:r>
        <w:t>4.1</w:t>
      </w:r>
      <w:r>
        <w:tab/>
        <w:t>Screening data</w:t>
      </w:r>
    </w:p>
    <w:p w14:paraId="4FEBB81E" w14:textId="4DE31FAE" w:rsidR="001A1545" w:rsidRDefault="001A1545" w:rsidP="002E6B6E">
      <w:pPr>
        <w:rPr>
          <w:rFonts w:ascii="Calibri" w:hAnsi="Calibri" w:cs="Calibri"/>
          <w:sz w:val="24"/>
          <w:szCs w:val="24"/>
        </w:rPr>
      </w:pPr>
      <w:r w:rsidRPr="002E6B6E">
        <w:rPr>
          <w:rFonts w:ascii="Calibri" w:hAnsi="Calibri" w:cs="Calibri"/>
          <w:sz w:val="24"/>
          <w:szCs w:val="24"/>
        </w:rPr>
        <w:t>Participants complete</w:t>
      </w:r>
      <w:r w:rsidR="00FA3992">
        <w:rPr>
          <w:rFonts w:ascii="Calibri" w:hAnsi="Calibri" w:cs="Calibri"/>
          <w:sz w:val="24"/>
          <w:szCs w:val="24"/>
        </w:rPr>
        <w:t>d</w:t>
      </w:r>
      <w:r w:rsidRPr="002E6B6E">
        <w:rPr>
          <w:rFonts w:ascii="Calibri" w:hAnsi="Calibri" w:cs="Calibri"/>
          <w:sz w:val="24"/>
          <w:szCs w:val="24"/>
        </w:rPr>
        <w:t xml:space="preserve"> an online screening questionnaire</w:t>
      </w:r>
      <w:r w:rsidR="004B34E9">
        <w:rPr>
          <w:rFonts w:ascii="Calibri" w:hAnsi="Calibri" w:cs="Calibri"/>
          <w:sz w:val="24"/>
          <w:szCs w:val="24"/>
        </w:rPr>
        <w:t xml:space="preserve"> which assess</w:t>
      </w:r>
      <w:r w:rsidR="00FA3992">
        <w:rPr>
          <w:rFonts w:ascii="Calibri" w:hAnsi="Calibri" w:cs="Calibri"/>
          <w:sz w:val="24"/>
          <w:szCs w:val="24"/>
        </w:rPr>
        <w:t>ed</w:t>
      </w:r>
      <w:r w:rsidR="004B34E9">
        <w:rPr>
          <w:rFonts w:ascii="Calibri" w:hAnsi="Calibri" w:cs="Calibri"/>
          <w:sz w:val="24"/>
          <w:szCs w:val="24"/>
        </w:rPr>
        <w:t>:</w:t>
      </w:r>
    </w:p>
    <w:p w14:paraId="520AE0D3" w14:textId="15EC8DCE" w:rsidR="00597620" w:rsidRDefault="00597620" w:rsidP="004B34E9">
      <w:pPr>
        <w:pStyle w:val="ListParagraph"/>
        <w:numPr>
          <w:ilvl w:val="0"/>
          <w:numId w:val="14"/>
        </w:numPr>
        <w:rPr>
          <w:rFonts w:ascii="Calibri" w:hAnsi="Calibri" w:cs="Calibri"/>
          <w:sz w:val="24"/>
          <w:szCs w:val="24"/>
        </w:rPr>
      </w:pPr>
      <w:r>
        <w:rPr>
          <w:rFonts w:ascii="Calibri" w:hAnsi="Calibri" w:cs="Calibri"/>
          <w:sz w:val="24"/>
          <w:szCs w:val="24"/>
        </w:rPr>
        <w:lastRenderedPageBreak/>
        <w:t>Age</w:t>
      </w:r>
    </w:p>
    <w:p w14:paraId="610E1BD5" w14:textId="7727EF0E" w:rsidR="004B34E9" w:rsidRDefault="004B34E9" w:rsidP="004B34E9">
      <w:pPr>
        <w:pStyle w:val="ListParagraph"/>
        <w:numPr>
          <w:ilvl w:val="0"/>
          <w:numId w:val="14"/>
        </w:numPr>
        <w:rPr>
          <w:rFonts w:ascii="Calibri" w:hAnsi="Calibri" w:cs="Calibri"/>
          <w:sz w:val="24"/>
          <w:szCs w:val="24"/>
        </w:rPr>
      </w:pPr>
      <w:r w:rsidRPr="004B34E9">
        <w:rPr>
          <w:rFonts w:ascii="Calibri" w:hAnsi="Calibri" w:cs="Calibri"/>
          <w:sz w:val="24"/>
          <w:szCs w:val="24"/>
        </w:rPr>
        <w:t>Weight, height</w:t>
      </w:r>
      <w:r>
        <w:rPr>
          <w:rFonts w:ascii="Calibri" w:hAnsi="Calibri" w:cs="Calibri"/>
          <w:sz w:val="24"/>
          <w:szCs w:val="24"/>
        </w:rPr>
        <w:t xml:space="preserve"> (to assess </w:t>
      </w:r>
      <w:r w:rsidRPr="004B34E9">
        <w:rPr>
          <w:rFonts w:ascii="Calibri" w:hAnsi="Calibri" w:cs="Calibri"/>
          <w:sz w:val="24"/>
          <w:szCs w:val="24"/>
        </w:rPr>
        <w:t>BMI</w:t>
      </w:r>
      <w:r>
        <w:rPr>
          <w:rFonts w:ascii="Calibri" w:hAnsi="Calibri" w:cs="Calibri"/>
          <w:sz w:val="24"/>
          <w:szCs w:val="24"/>
        </w:rPr>
        <w:t>)</w:t>
      </w:r>
    </w:p>
    <w:p w14:paraId="0550C49E" w14:textId="51D59C7F" w:rsidR="004B34E9" w:rsidRDefault="004B34E9" w:rsidP="004B34E9">
      <w:pPr>
        <w:pStyle w:val="ListParagraph"/>
        <w:numPr>
          <w:ilvl w:val="0"/>
          <w:numId w:val="14"/>
        </w:numPr>
        <w:rPr>
          <w:rFonts w:ascii="Calibri" w:hAnsi="Calibri" w:cs="Calibri"/>
          <w:sz w:val="24"/>
          <w:szCs w:val="24"/>
        </w:rPr>
      </w:pPr>
      <w:r>
        <w:rPr>
          <w:rFonts w:ascii="Calibri" w:hAnsi="Calibri" w:cs="Calibri"/>
          <w:sz w:val="24"/>
          <w:szCs w:val="24"/>
        </w:rPr>
        <w:t xml:space="preserve">Good understanding of written English (yes/no) </w:t>
      </w:r>
    </w:p>
    <w:p w14:paraId="0D0656E8" w14:textId="0AE1A189" w:rsidR="004B34E9" w:rsidRDefault="004B34E9" w:rsidP="004B34E9">
      <w:pPr>
        <w:pStyle w:val="ListParagraph"/>
        <w:numPr>
          <w:ilvl w:val="0"/>
          <w:numId w:val="14"/>
        </w:numPr>
        <w:rPr>
          <w:rFonts w:ascii="Calibri" w:hAnsi="Calibri" w:cs="Calibri"/>
          <w:sz w:val="24"/>
          <w:szCs w:val="24"/>
        </w:rPr>
      </w:pPr>
      <w:r>
        <w:rPr>
          <w:rFonts w:ascii="Calibri" w:hAnsi="Calibri" w:cs="Calibri"/>
          <w:sz w:val="24"/>
          <w:szCs w:val="24"/>
        </w:rPr>
        <w:t xml:space="preserve">Bariatric surgery (yes/no) </w:t>
      </w:r>
    </w:p>
    <w:p w14:paraId="0CFEBFBE" w14:textId="62E21F6C" w:rsidR="004B34E9" w:rsidRPr="004B34E9" w:rsidRDefault="004B34E9" w:rsidP="004B34E9">
      <w:pPr>
        <w:pStyle w:val="ListParagraph"/>
        <w:numPr>
          <w:ilvl w:val="0"/>
          <w:numId w:val="14"/>
        </w:numPr>
        <w:rPr>
          <w:rFonts w:ascii="Calibri" w:hAnsi="Calibri" w:cs="Calibri"/>
          <w:sz w:val="24"/>
          <w:szCs w:val="24"/>
        </w:rPr>
      </w:pPr>
      <w:r>
        <w:rPr>
          <w:rFonts w:ascii="Calibri" w:hAnsi="Calibri" w:cs="Calibri"/>
          <w:sz w:val="24"/>
          <w:szCs w:val="24"/>
        </w:rPr>
        <w:t>Whether they own a set of scales</w:t>
      </w:r>
    </w:p>
    <w:p w14:paraId="146B8D22" w14:textId="32B61A29" w:rsidR="001A1545" w:rsidRDefault="002E6B6E" w:rsidP="001A1545">
      <w:pPr>
        <w:pStyle w:val="Heading2"/>
        <w:numPr>
          <w:ilvl w:val="1"/>
          <w:numId w:val="10"/>
        </w:numPr>
      </w:pPr>
      <w:r>
        <w:t xml:space="preserve"> </w:t>
      </w:r>
      <w:r w:rsidR="00975FC5">
        <w:t>Eligibility criteria</w:t>
      </w:r>
    </w:p>
    <w:p w14:paraId="3C939742" w14:textId="3E1629DA" w:rsidR="001A1545" w:rsidRPr="001A1545" w:rsidRDefault="001A1545" w:rsidP="001A1545">
      <w:pPr>
        <w:rPr>
          <w:rFonts w:ascii="Calibri" w:hAnsi="Calibri" w:cs="Calibri"/>
          <w:sz w:val="24"/>
          <w:szCs w:val="24"/>
        </w:rPr>
      </w:pPr>
      <w:r>
        <w:rPr>
          <w:rFonts w:ascii="Calibri" w:hAnsi="Calibri" w:cs="Calibri"/>
          <w:sz w:val="24"/>
          <w:szCs w:val="24"/>
        </w:rPr>
        <w:t xml:space="preserve">See section 4 in the study protocol. </w:t>
      </w:r>
    </w:p>
    <w:p w14:paraId="255BB433" w14:textId="477F651E" w:rsidR="00975FC5" w:rsidRDefault="00482FF3" w:rsidP="00274BB9">
      <w:pPr>
        <w:pStyle w:val="Heading2"/>
        <w:numPr>
          <w:ilvl w:val="1"/>
          <w:numId w:val="10"/>
        </w:numPr>
      </w:pPr>
      <w:r>
        <w:t xml:space="preserve"> </w:t>
      </w:r>
      <w:r w:rsidR="00975FC5">
        <w:t>Recruitment</w:t>
      </w:r>
    </w:p>
    <w:p w14:paraId="632A8D14" w14:textId="0DEE713E" w:rsidR="00274BB9" w:rsidRPr="00274BB9" w:rsidRDefault="00274BB9" w:rsidP="00274BB9">
      <w:pPr>
        <w:rPr>
          <w:rFonts w:ascii="Calibri" w:hAnsi="Calibri" w:cs="Calibri"/>
          <w:sz w:val="24"/>
          <w:szCs w:val="24"/>
        </w:rPr>
      </w:pPr>
      <w:r w:rsidRPr="00274BB9">
        <w:rPr>
          <w:rFonts w:ascii="Calibri" w:hAnsi="Calibri" w:cs="Calibri"/>
          <w:sz w:val="24"/>
          <w:szCs w:val="24"/>
        </w:rPr>
        <w:t>We will repo</w:t>
      </w:r>
      <w:r>
        <w:rPr>
          <w:rFonts w:ascii="Calibri" w:hAnsi="Calibri" w:cs="Calibri"/>
          <w:sz w:val="24"/>
          <w:szCs w:val="24"/>
        </w:rPr>
        <w:t>rt:</w:t>
      </w:r>
    </w:p>
    <w:p w14:paraId="4A1CC645" w14:textId="35AE37FC" w:rsidR="00975FC5" w:rsidRDefault="00813FAD" w:rsidP="00813FAD">
      <w:pPr>
        <w:pStyle w:val="NoSpacing"/>
        <w:numPr>
          <w:ilvl w:val="0"/>
          <w:numId w:val="11"/>
        </w:numPr>
        <w:rPr>
          <w:szCs w:val="24"/>
        </w:rPr>
      </w:pPr>
      <w:r>
        <w:rPr>
          <w:szCs w:val="24"/>
        </w:rPr>
        <w:t xml:space="preserve">Number of participants </w:t>
      </w:r>
      <w:r w:rsidR="00CE6D3B">
        <w:rPr>
          <w:szCs w:val="24"/>
        </w:rPr>
        <w:t>assessed for eligibility</w:t>
      </w:r>
    </w:p>
    <w:p w14:paraId="6B85AD4B" w14:textId="5E417672" w:rsidR="00CE6D3B" w:rsidRDefault="00CE6D3B" w:rsidP="00813FAD">
      <w:pPr>
        <w:pStyle w:val="NoSpacing"/>
        <w:numPr>
          <w:ilvl w:val="0"/>
          <w:numId w:val="11"/>
        </w:numPr>
        <w:rPr>
          <w:szCs w:val="24"/>
        </w:rPr>
      </w:pPr>
      <w:r>
        <w:rPr>
          <w:szCs w:val="24"/>
        </w:rPr>
        <w:t>Number of participants excluded based on online screening questionnaire</w:t>
      </w:r>
    </w:p>
    <w:p w14:paraId="6BBF75F9" w14:textId="29ABE9CD" w:rsidR="00CE6D3B" w:rsidRDefault="00CE6D3B" w:rsidP="00CE6D3B">
      <w:pPr>
        <w:pStyle w:val="NoSpacing"/>
        <w:numPr>
          <w:ilvl w:val="0"/>
          <w:numId w:val="11"/>
        </w:numPr>
        <w:rPr>
          <w:szCs w:val="24"/>
        </w:rPr>
      </w:pPr>
      <w:r>
        <w:rPr>
          <w:szCs w:val="24"/>
        </w:rPr>
        <w:t>Number of participants randomised to each study arm</w:t>
      </w:r>
    </w:p>
    <w:p w14:paraId="43353297" w14:textId="51BBF2C7" w:rsidR="00CE6D3B" w:rsidRDefault="00CE6D3B" w:rsidP="00CE6D3B">
      <w:pPr>
        <w:pStyle w:val="NoSpacing"/>
        <w:numPr>
          <w:ilvl w:val="0"/>
          <w:numId w:val="11"/>
        </w:numPr>
        <w:rPr>
          <w:szCs w:val="24"/>
        </w:rPr>
      </w:pPr>
      <w:r>
        <w:rPr>
          <w:szCs w:val="24"/>
        </w:rPr>
        <w:t>Number of participants who complete baseline measures (record reasons if participants did not receive the allocated intervention)</w:t>
      </w:r>
    </w:p>
    <w:p w14:paraId="2A7693C8" w14:textId="29C17950" w:rsidR="00CE6D3B" w:rsidRDefault="00CE6D3B" w:rsidP="00CE6D3B">
      <w:pPr>
        <w:pStyle w:val="NoSpacing"/>
        <w:numPr>
          <w:ilvl w:val="0"/>
          <w:numId w:val="11"/>
        </w:numPr>
        <w:rPr>
          <w:szCs w:val="24"/>
        </w:rPr>
      </w:pPr>
      <w:r>
        <w:rPr>
          <w:szCs w:val="24"/>
        </w:rPr>
        <w:t xml:space="preserve">Number of participants who complete </w:t>
      </w:r>
      <w:r w:rsidR="00C008B7">
        <w:rPr>
          <w:szCs w:val="24"/>
        </w:rPr>
        <w:t>4-month</w:t>
      </w:r>
      <w:r>
        <w:rPr>
          <w:szCs w:val="24"/>
        </w:rPr>
        <w:t xml:space="preserve"> follow-up (record reasons where possible if participants discontinued the intervention)</w:t>
      </w:r>
    </w:p>
    <w:p w14:paraId="144B1C47" w14:textId="5393B237" w:rsidR="00CE6D3B" w:rsidRPr="00CE6D3B" w:rsidRDefault="00CE6D3B" w:rsidP="00CE6D3B">
      <w:pPr>
        <w:pStyle w:val="NoSpacing"/>
        <w:numPr>
          <w:ilvl w:val="0"/>
          <w:numId w:val="11"/>
        </w:numPr>
        <w:rPr>
          <w:szCs w:val="24"/>
        </w:rPr>
      </w:pPr>
      <w:r>
        <w:rPr>
          <w:szCs w:val="24"/>
        </w:rPr>
        <w:t>Number of participants included in the analysis (record reasons for any exclusions)</w:t>
      </w:r>
    </w:p>
    <w:p w14:paraId="4CEF1251" w14:textId="77777777" w:rsidR="0095066F" w:rsidRPr="00005EE1" w:rsidRDefault="0095066F" w:rsidP="0095066F">
      <w:pPr>
        <w:pStyle w:val="Heading2"/>
      </w:pPr>
      <w:r>
        <w:t>4.4</w:t>
      </w:r>
      <w:r>
        <w:tab/>
        <w:t>Withdrawal/loss to follow-up</w:t>
      </w:r>
    </w:p>
    <w:p w14:paraId="0A9E91AF" w14:textId="401CACA7" w:rsidR="00BB5D78" w:rsidRDefault="00363DB1" w:rsidP="00CD6B41">
      <w:pPr>
        <w:pStyle w:val="NoSpacing"/>
      </w:pPr>
      <w:r>
        <w:t>W</w:t>
      </w:r>
      <w:r w:rsidR="00CD6B41">
        <w:t>ithdrawal/loss to follow-up</w:t>
      </w:r>
      <w:r>
        <w:t xml:space="preserve"> </w:t>
      </w:r>
      <w:r w:rsidR="00CD6B41">
        <w:t>will be presented</w:t>
      </w:r>
      <w:r w:rsidR="00A11030">
        <w:t xml:space="preserve"> by randomised group</w:t>
      </w:r>
      <w:r>
        <w:t>, specifically:</w:t>
      </w:r>
    </w:p>
    <w:p w14:paraId="3F5A24FE" w14:textId="004A01E7" w:rsidR="00EB1ED3" w:rsidRDefault="00EB1ED3" w:rsidP="00CD6B41">
      <w:pPr>
        <w:pStyle w:val="NoSpacing"/>
      </w:pPr>
    </w:p>
    <w:p w14:paraId="323799A4" w14:textId="6E4E05A0" w:rsidR="00EB1ED3" w:rsidRDefault="00EB1ED3" w:rsidP="00EB1ED3">
      <w:pPr>
        <w:pStyle w:val="NoSpacing"/>
        <w:numPr>
          <w:ilvl w:val="0"/>
          <w:numId w:val="12"/>
        </w:numPr>
      </w:pPr>
      <w:r>
        <w:t>Number and proportion of participants who do not complete baseline measures following informed consent (proportion out of study group, proportion out of total sample)</w:t>
      </w:r>
    </w:p>
    <w:p w14:paraId="131A2500" w14:textId="75F64C5E" w:rsidR="00EB1ED3" w:rsidRDefault="00EB1ED3" w:rsidP="00EB1ED3">
      <w:pPr>
        <w:pStyle w:val="NoSpacing"/>
        <w:numPr>
          <w:ilvl w:val="0"/>
          <w:numId w:val="12"/>
        </w:numPr>
      </w:pPr>
      <w:r>
        <w:t xml:space="preserve">Number and proportion of participants who do not complete follow-up measures at </w:t>
      </w:r>
      <w:r w:rsidR="00C25B7A">
        <w:t>four</w:t>
      </w:r>
      <w:r>
        <w:t>-month follow-up (proportion out of study group, proportion out of total sample)</w:t>
      </w:r>
    </w:p>
    <w:p w14:paraId="04DCAA56" w14:textId="4A6007F0" w:rsidR="00447D18" w:rsidRDefault="00447D18" w:rsidP="00447D18">
      <w:pPr>
        <w:pStyle w:val="NoSpacing"/>
        <w:numPr>
          <w:ilvl w:val="0"/>
          <w:numId w:val="12"/>
        </w:numPr>
      </w:pPr>
      <w:r>
        <w:t>Number and reasons for withdrawal (proportion out of study group, proportion out of total sample)</w:t>
      </w:r>
    </w:p>
    <w:p w14:paraId="237785D9" w14:textId="77777777" w:rsidR="00EB1ED3" w:rsidRDefault="00EB1ED3" w:rsidP="00CD6B41">
      <w:pPr>
        <w:pStyle w:val="NoSpacing"/>
      </w:pPr>
    </w:p>
    <w:p w14:paraId="00479B67" w14:textId="24729AE6" w:rsidR="00CD6B41" w:rsidRDefault="00CD6B41" w:rsidP="00CD6B41">
      <w:pPr>
        <w:pStyle w:val="Heading2"/>
      </w:pPr>
      <w:r>
        <w:t>4.5</w:t>
      </w:r>
      <w:r>
        <w:tab/>
        <w:t>Baseline characteristics</w:t>
      </w:r>
    </w:p>
    <w:p w14:paraId="5BAD3561" w14:textId="03C0EB56" w:rsidR="00086F47" w:rsidRPr="00086F47" w:rsidRDefault="00086F47" w:rsidP="00086F47">
      <w:pPr>
        <w:rPr>
          <w:rFonts w:ascii="Calibri" w:hAnsi="Calibri" w:cs="Calibri"/>
          <w:sz w:val="24"/>
          <w:szCs w:val="24"/>
        </w:rPr>
      </w:pPr>
      <w:r w:rsidRPr="00086F47">
        <w:rPr>
          <w:rFonts w:ascii="Calibri" w:hAnsi="Calibri" w:cs="Calibri"/>
          <w:sz w:val="24"/>
          <w:szCs w:val="24"/>
        </w:rPr>
        <w:t xml:space="preserve">The following baseline characteristics of the study </w:t>
      </w:r>
      <w:r>
        <w:rPr>
          <w:rFonts w:ascii="Calibri" w:hAnsi="Calibri" w:cs="Calibri"/>
          <w:sz w:val="24"/>
          <w:szCs w:val="24"/>
        </w:rPr>
        <w:t>sample</w:t>
      </w:r>
      <w:r w:rsidRPr="00086F47">
        <w:rPr>
          <w:rFonts w:ascii="Calibri" w:hAnsi="Calibri" w:cs="Calibri"/>
          <w:sz w:val="24"/>
          <w:szCs w:val="24"/>
        </w:rPr>
        <w:t xml:space="preserve"> will be summarised separately within each randomised group</w:t>
      </w:r>
      <w:r w:rsidR="00447D18">
        <w:rPr>
          <w:rFonts w:ascii="Calibri" w:hAnsi="Calibri" w:cs="Calibri"/>
          <w:sz w:val="24"/>
          <w:szCs w:val="24"/>
        </w:rPr>
        <w:t xml:space="preserve"> and for the total sample</w:t>
      </w:r>
      <w:r w:rsidRPr="00086F47">
        <w:rPr>
          <w:rFonts w:ascii="Calibri" w:hAnsi="Calibri" w:cs="Calibri"/>
          <w:sz w:val="24"/>
          <w:szCs w:val="24"/>
        </w:rPr>
        <w:t>:</w:t>
      </w:r>
    </w:p>
    <w:p w14:paraId="56217411" w14:textId="18F6E7CB" w:rsidR="00CD6B41" w:rsidRDefault="007B0FBD" w:rsidP="007B0FBD">
      <w:pPr>
        <w:pStyle w:val="NoSpacing"/>
        <w:numPr>
          <w:ilvl w:val="0"/>
          <w:numId w:val="13"/>
        </w:numPr>
      </w:pPr>
      <w:r>
        <w:t xml:space="preserve">Age </w:t>
      </w:r>
      <w:r w:rsidR="00A014D6">
        <w:t>(</w:t>
      </w:r>
      <w:r w:rsidR="00086F47">
        <w:t>years</w:t>
      </w:r>
      <w:r w:rsidR="00A014D6">
        <w:t>)</w:t>
      </w:r>
      <w:r w:rsidR="00086F47">
        <w:t xml:space="preserve"> </w:t>
      </w:r>
      <w:r>
        <w:t>(range, mean, S</w:t>
      </w:r>
      <w:r w:rsidR="00A014D6">
        <w:t>D</w:t>
      </w:r>
      <w:r>
        <w:t>)</w:t>
      </w:r>
    </w:p>
    <w:p w14:paraId="7E419256" w14:textId="6EC9D924" w:rsidR="00086F47" w:rsidRDefault="004E0056" w:rsidP="00086F47">
      <w:pPr>
        <w:pStyle w:val="NoSpacing"/>
        <w:numPr>
          <w:ilvl w:val="0"/>
          <w:numId w:val="13"/>
        </w:numPr>
      </w:pPr>
      <w:r>
        <w:t>Sex</w:t>
      </w:r>
      <w:r w:rsidR="00086F47">
        <w:t xml:space="preserve"> (</w:t>
      </w:r>
      <w:r w:rsidR="00A014D6">
        <w:t>f</w:t>
      </w:r>
      <w:r w:rsidR="00086F47">
        <w:t>emale/</w:t>
      </w:r>
      <w:r w:rsidR="00A014D6">
        <w:t>m</w:t>
      </w:r>
      <w:r w:rsidR="00086F47">
        <w:t>ale</w:t>
      </w:r>
      <w:r w:rsidR="008C4D41">
        <w:t>/other</w:t>
      </w:r>
      <w:r w:rsidR="00086F47">
        <w:t>)</w:t>
      </w:r>
    </w:p>
    <w:p w14:paraId="5899D858" w14:textId="0D360868" w:rsidR="00086F47" w:rsidRDefault="00086F47" w:rsidP="007B0FBD">
      <w:pPr>
        <w:pStyle w:val="NoSpacing"/>
        <w:numPr>
          <w:ilvl w:val="0"/>
          <w:numId w:val="13"/>
        </w:numPr>
      </w:pPr>
      <w:r>
        <w:t xml:space="preserve">Ethnicity </w:t>
      </w:r>
    </w:p>
    <w:p w14:paraId="14FEA7B3" w14:textId="77777777" w:rsidR="008C4D41" w:rsidRDefault="00F0237C" w:rsidP="007B0FBD">
      <w:pPr>
        <w:pStyle w:val="NoSpacing"/>
        <w:numPr>
          <w:ilvl w:val="0"/>
          <w:numId w:val="13"/>
        </w:numPr>
      </w:pPr>
      <w:r>
        <w:t>Educational qualifications</w:t>
      </w:r>
    </w:p>
    <w:p w14:paraId="4F1073EE" w14:textId="77777777" w:rsidR="008C4D41" w:rsidRDefault="008C4D41" w:rsidP="007B0FBD">
      <w:pPr>
        <w:pStyle w:val="NoSpacing"/>
        <w:numPr>
          <w:ilvl w:val="0"/>
          <w:numId w:val="13"/>
        </w:numPr>
      </w:pPr>
      <w:r>
        <w:t>Occupational status</w:t>
      </w:r>
    </w:p>
    <w:p w14:paraId="0D0A778C" w14:textId="77777777" w:rsidR="008C4D41" w:rsidRDefault="008C4D41" w:rsidP="007B0FBD">
      <w:pPr>
        <w:pStyle w:val="NoSpacing"/>
        <w:numPr>
          <w:ilvl w:val="0"/>
          <w:numId w:val="13"/>
        </w:numPr>
      </w:pPr>
      <w:r>
        <w:t>Current situation under lockdown (e.g. working from home, furloughed)</w:t>
      </w:r>
    </w:p>
    <w:p w14:paraId="7A536EF0" w14:textId="77777777" w:rsidR="008C4D41" w:rsidRDefault="008C4D41" w:rsidP="007B0FBD">
      <w:pPr>
        <w:pStyle w:val="NoSpacing"/>
        <w:numPr>
          <w:ilvl w:val="0"/>
          <w:numId w:val="13"/>
        </w:numPr>
      </w:pPr>
      <w:r>
        <w:lastRenderedPageBreak/>
        <w:t>Marital status</w:t>
      </w:r>
    </w:p>
    <w:p w14:paraId="0C8BF8D5" w14:textId="77777777" w:rsidR="008C4D41" w:rsidRDefault="008C4D41" w:rsidP="007B0FBD">
      <w:pPr>
        <w:pStyle w:val="NoSpacing"/>
        <w:numPr>
          <w:ilvl w:val="0"/>
          <w:numId w:val="13"/>
        </w:numPr>
      </w:pPr>
      <w:r>
        <w:t>Number of adults and number of children living in household</w:t>
      </w:r>
    </w:p>
    <w:p w14:paraId="6CED251E" w14:textId="22057178" w:rsidR="00F0237C" w:rsidRDefault="008C4D41" w:rsidP="007B0FBD">
      <w:pPr>
        <w:pStyle w:val="NoSpacing"/>
        <w:numPr>
          <w:ilvl w:val="0"/>
          <w:numId w:val="13"/>
        </w:numPr>
      </w:pPr>
      <w:r>
        <w:t>Caring responsibilities</w:t>
      </w:r>
    </w:p>
    <w:p w14:paraId="213A1D0B" w14:textId="05C07C93" w:rsidR="00F0237C" w:rsidRDefault="00F0237C" w:rsidP="00F0237C">
      <w:pPr>
        <w:pStyle w:val="NoSpacing"/>
        <w:numPr>
          <w:ilvl w:val="0"/>
          <w:numId w:val="13"/>
        </w:numPr>
      </w:pPr>
      <w:r>
        <w:t>Body-mass-index (</w:t>
      </w:r>
      <w:r w:rsidRPr="00F0237C">
        <w:t>kg/m²)</w:t>
      </w:r>
      <w:r w:rsidR="008C4D41">
        <w:t xml:space="preserve"> </w:t>
      </w:r>
    </w:p>
    <w:p w14:paraId="2F0A9B3E" w14:textId="35533C8E" w:rsidR="00F0237C" w:rsidRDefault="00F0237C" w:rsidP="00C707E7">
      <w:pPr>
        <w:pStyle w:val="NoSpacing"/>
        <w:numPr>
          <w:ilvl w:val="0"/>
          <w:numId w:val="13"/>
        </w:numPr>
      </w:pPr>
      <w:r>
        <w:t xml:space="preserve">Proportion of participants reporting </w:t>
      </w:r>
      <w:r w:rsidR="008C4D41">
        <w:t xml:space="preserve">BMI in the following categories: </w:t>
      </w:r>
      <w:r w:rsidR="008C4D41" w:rsidRPr="008C4D41">
        <w:t>25-</w:t>
      </w:r>
      <w:r w:rsidR="00F06B0F">
        <w:t>&lt;</w:t>
      </w:r>
      <w:r w:rsidR="008C4D41" w:rsidRPr="008C4D41">
        <w:t>30, 30-</w:t>
      </w:r>
      <w:r w:rsidR="00F06B0F">
        <w:t>&lt;</w:t>
      </w:r>
      <w:r w:rsidR="008C4D41" w:rsidRPr="008C4D41">
        <w:t>40, 40+</w:t>
      </w:r>
      <w:r>
        <w:t xml:space="preserve"> </w:t>
      </w:r>
    </w:p>
    <w:p w14:paraId="60D23904" w14:textId="7BE22E22" w:rsidR="005136DA" w:rsidRDefault="005136DA" w:rsidP="005136DA">
      <w:pPr>
        <w:pStyle w:val="NoSpacing"/>
      </w:pPr>
    </w:p>
    <w:p w14:paraId="2F10CCD5" w14:textId="0443C987" w:rsidR="005136DA" w:rsidRDefault="005136DA" w:rsidP="005136DA">
      <w:pPr>
        <w:pStyle w:val="NoSpacing"/>
      </w:pPr>
      <w:r>
        <w:t>Questions specific to the Covid-19 lockdown situation:</w:t>
      </w:r>
    </w:p>
    <w:p w14:paraId="3796E253" w14:textId="2D6C1A48" w:rsidR="005136DA" w:rsidRDefault="005136DA" w:rsidP="005136DA">
      <w:pPr>
        <w:pStyle w:val="NoSpacing"/>
        <w:numPr>
          <w:ilvl w:val="0"/>
          <w:numId w:val="15"/>
        </w:numPr>
      </w:pPr>
      <w:r>
        <w:t>Current cost of living situation (from “</w:t>
      </w:r>
      <w:r w:rsidRPr="005136DA">
        <w:t>Find it a strain to get by from week to week</w:t>
      </w:r>
      <w:r>
        <w:t>” to “</w:t>
      </w:r>
      <w:r w:rsidRPr="005136DA">
        <w:t>Quite comfortably off</w:t>
      </w:r>
      <w:r>
        <w:t>”</w:t>
      </w:r>
    </w:p>
    <w:p w14:paraId="27390E48" w14:textId="1F75F6D8" w:rsidR="005136DA" w:rsidRDefault="005136DA" w:rsidP="005136DA">
      <w:pPr>
        <w:pStyle w:val="NoSpacing"/>
        <w:numPr>
          <w:ilvl w:val="0"/>
          <w:numId w:val="15"/>
        </w:numPr>
      </w:pPr>
      <w:r>
        <w:t xml:space="preserve">Walking distance (in minutes) from home to nearest </w:t>
      </w:r>
      <w:r w:rsidRPr="005136DA">
        <w:t>accessible open recreation area</w:t>
      </w:r>
    </w:p>
    <w:p w14:paraId="0B8B7A23" w14:textId="6F83BECA" w:rsidR="005136DA" w:rsidRDefault="005136DA" w:rsidP="005136DA">
      <w:pPr>
        <w:pStyle w:val="NoSpacing"/>
        <w:numPr>
          <w:ilvl w:val="0"/>
          <w:numId w:val="15"/>
        </w:numPr>
      </w:pPr>
      <w:r>
        <w:t>Access to (communal) garden or private outdoor space</w:t>
      </w:r>
    </w:p>
    <w:p w14:paraId="2C3B4571" w14:textId="56F26390" w:rsidR="005136DA" w:rsidRDefault="005136DA" w:rsidP="005136DA">
      <w:pPr>
        <w:pStyle w:val="NoSpacing"/>
        <w:numPr>
          <w:ilvl w:val="0"/>
          <w:numId w:val="15"/>
        </w:numPr>
      </w:pPr>
      <w:r>
        <w:t xml:space="preserve">(Lack of) access to food due to </w:t>
      </w:r>
      <w:r w:rsidRPr="005136DA">
        <w:t>a lack of money, access or other resources</w:t>
      </w:r>
    </w:p>
    <w:p w14:paraId="1B183A96" w14:textId="15DCE964" w:rsidR="00CC39E3" w:rsidRDefault="00CC39E3" w:rsidP="005136DA">
      <w:pPr>
        <w:pStyle w:val="NoSpacing"/>
        <w:numPr>
          <w:ilvl w:val="0"/>
          <w:numId w:val="15"/>
        </w:numPr>
      </w:pPr>
      <w:r>
        <w:t xml:space="preserve">Social support </w:t>
      </w:r>
      <w:r w:rsidRPr="00CC39E3">
        <w:t>during</w:t>
      </w:r>
      <w:r w:rsidR="00E43C6C">
        <w:t xml:space="preserve"> </w:t>
      </w:r>
      <w:r w:rsidRPr="00CC39E3">
        <w:t>social distancing</w:t>
      </w:r>
    </w:p>
    <w:p w14:paraId="78A6F9B2" w14:textId="5C0F10A5" w:rsidR="007B0FBD" w:rsidRDefault="007B0FBD" w:rsidP="007B0FBD">
      <w:pPr>
        <w:pStyle w:val="NoSpacing"/>
      </w:pPr>
    </w:p>
    <w:p w14:paraId="5C07492F" w14:textId="39AEDF2A" w:rsidR="00A014D6" w:rsidRDefault="00A014D6" w:rsidP="007B0FBD">
      <w:pPr>
        <w:pStyle w:val="NoSpacing"/>
      </w:pPr>
      <w:r w:rsidRPr="00A014D6">
        <w:t xml:space="preserve">For continuous variables, means and standard deviations (SDs) will be presented, unless the variable has a skewed distribution, in which case medians, 25th and 75th percentiles will be presented. For categorical variables, the number and percentage of individuals within each category will be presented. For each variable (continuous or categorical), the percent of missing values will be </w:t>
      </w:r>
      <w:r w:rsidR="00C25B7A">
        <w:t>calculated</w:t>
      </w:r>
      <w:r w:rsidRPr="00A014D6">
        <w:t>. For the categorical variables, percentages within sub-categories will be calculated using the number of non-missing values as the denominator.</w:t>
      </w:r>
    </w:p>
    <w:p w14:paraId="6CDAA863" w14:textId="77777777" w:rsidR="00C707E7" w:rsidRDefault="00C707E7" w:rsidP="007B0FBD">
      <w:pPr>
        <w:pStyle w:val="NoSpacing"/>
      </w:pPr>
    </w:p>
    <w:p w14:paraId="50E525D8" w14:textId="5E10AE83" w:rsidR="00F0277A" w:rsidRDefault="00C707E7" w:rsidP="00F0277A">
      <w:pPr>
        <w:pStyle w:val="NoSpacing"/>
      </w:pPr>
      <w:r>
        <w:t xml:space="preserve">P-values for comparing the two study groups on baseline characteristics will not be reported as per the CONSORT statement </w:t>
      </w:r>
      <w:r>
        <w:fldChar w:fldCharType="begin" w:fldLock="1"/>
      </w:r>
      <w:r w:rsidR="007C29F2">
        <w:instrText>ADDIN CSL_CITATION {"citationItems":[{"id":"ITEM-1","itemData":{"DOI":"10.1136/bmj.c332","ISSN":"17561833","PMID":"20332509","abstract":"The CONSORT statement is used worldwide to improve the reporting of randomised controlled trials. Kenneth Schulz and colleagues describe the latest version, CONSORT 2010, which updates the reporting guideline based on new methodological evidence and accumulating experience\n\nRandomised controlled trials, when appropriately designed, conducted, and reported, represent the gold standard in evaluating healthcare interventions. However, randomised trials can yield biased results if they lack methodological rigour.1 To assess a trial accurately, readers of a published report need complete, clear, and transparent information on its methodology and findings. Unfortunately, attempted assessments frequently fail because authors of many trial reports neglect to provide lucid and complete descriptions of that critical information.2 3 4\n\nThat lack of adequate reporting fuelled the development of the original CONSORT (Consolidated Standards of Reporting Trials) statement in 19965 and its revision five years later.6 7 8 While those statements improved the reporting quality for some randomised controlled trials,9 10 many trial reports still remain inadequate.2 Furthermore, new methodological evidence and additional experience has accumulated since the last revision in 2001. Consequently, we organised a CONSORT Group meeting to update the 2001 statement.6 7 8 We introduce here the result of that process, CONSORT 2010.\n\nThe CONSORT 2010 Statement is this paper including the 25 item checklist in the table</w:instrText>
      </w:r>
      <w:r w:rsidR="007C29F2">
        <w:rPr>
          <w:rFonts w:ascii="Cambria Math" w:hAnsi="Cambria Math" w:cs="Cambria Math"/>
        </w:rPr>
        <w:instrText>⇓</w:instrText>
      </w:r>
      <w:r w:rsidR="007C29F2">
        <w:instrText xml:space="preserve"> and the flow diagram</w:instrText>
      </w:r>
      <w:r w:rsidR="007C29F2">
        <w:rPr>
          <w:rFonts w:ascii="Cambria Math" w:hAnsi="Cambria Math" w:cs="Cambria Math"/>
        </w:rPr>
        <w:instrText>⇓</w:instrText>
      </w:r>
      <w:r w:rsidR="007C29F2">
        <w:instrText>. It provides guidance for reporting all randomised controlled trials, but focuses on the most common design type</w:instrText>
      </w:r>
      <w:r w:rsidR="007C29F2">
        <w:rPr>
          <w:rFonts w:cs="Calibri"/>
        </w:rPr>
        <w:instrText>—</w:instrText>
      </w:r>
      <w:r w:rsidR="007C29F2">
        <w:instrText>individually randomised, two group, parallel trials. Other trial designs, such as cluster randomised trials and non-inferiority trials, require varying amounts of additional information. CONSORT extensions for these designs,11 12 and other CONSORT products, can be found through the CONSORT website (www.consort-statement.org). Along with the CONSORT statement, we have updated the explanation and elaboration article,13 which explains …","author":[{"dropping-particle":"","family":"Schulz","given":"Kenneth F.","non-dropping-particle":"","parse-names":false,"suffix":""},{"dropping-particle":"","family":"Altman","given":"Douglas G.","non-dropping-particle":"","parse-names":false,"suffix":""},{"dropping-particle":"","family":"Moher","given":"David","non-dropping-particle":"","parse-names":false,"suffix":""}],"container-title":"BMJ (Online)","id":"ITEM-1","issue":"7748","issued":{"date-parts":[["2010","3","27"]]},"page":"698-702","publisher":"British Medical Journal Publishing Group","title":"CONSORT 2010 Statement: Updated guidelines for reporting parallel group randomised trials","type":"article-journal","volume":"340"},"uris":["http://www.mendeley.com/documents/?uuid=05617b7e-1786-3255-9230-0dc3794698e6"]}],"mendeley":{"formattedCitation":"(4)","plainTextFormattedCitation":"(4)","previouslyFormattedCitation":"(4)"},"properties":{"noteIndex":0},"schema":"https://github.com/citation-style-language/schema/raw/master/csl-citation.json"}</w:instrText>
      </w:r>
      <w:r>
        <w:fldChar w:fldCharType="separate"/>
      </w:r>
      <w:r w:rsidR="007C29F2" w:rsidRPr="007C29F2">
        <w:rPr>
          <w:noProof/>
        </w:rPr>
        <w:t>(4)</w:t>
      </w:r>
      <w:r>
        <w:fldChar w:fldCharType="end"/>
      </w:r>
      <w:r>
        <w:t xml:space="preserve">. </w:t>
      </w:r>
    </w:p>
    <w:p w14:paraId="5C6E8C1D" w14:textId="77777777" w:rsidR="00AC4CDE" w:rsidRDefault="00AC4CDE" w:rsidP="00AC4CDE">
      <w:pPr>
        <w:pStyle w:val="Heading1"/>
      </w:pPr>
      <w:r>
        <w:t>5</w:t>
      </w:r>
      <w:r>
        <w:tab/>
        <w:t>Analysis</w:t>
      </w:r>
    </w:p>
    <w:p w14:paraId="180217E5" w14:textId="28531A6A" w:rsidR="001E64D7" w:rsidRDefault="001E64D7" w:rsidP="001E64D7">
      <w:pPr>
        <w:pStyle w:val="Heading2"/>
      </w:pPr>
      <w:r>
        <w:t>5.1</w:t>
      </w:r>
      <w:r>
        <w:tab/>
        <w:t>Outcome definitions</w:t>
      </w:r>
    </w:p>
    <w:p w14:paraId="0DF3701E" w14:textId="77777777" w:rsidR="00BE33C8" w:rsidRPr="00D80EBF" w:rsidRDefault="00BE33C8" w:rsidP="008A6F9D">
      <w:pPr>
        <w:pStyle w:val="Heading2"/>
      </w:pPr>
      <w:r w:rsidRPr="00D80EBF">
        <w:t>Primary Outcome</w:t>
      </w:r>
    </w:p>
    <w:p w14:paraId="4F20D689" w14:textId="7216C142" w:rsidR="00BE33C8" w:rsidRDefault="00086F47" w:rsidP="00BE33C8">
      <w:pPr>
        <w:pStyle w:val="NoSpacing"/>
        <w:rPr>
          <w:szCs w:val="24"/>
        </w:rPr>
      </w:pPr>
      <w:r>
        <w:rPr>
          <w:szCs w:val="24"/>
        </w:rPr>
        <w:t>Change in</w:t>
      </w:r>
      <w:r w:rsidR="002E6B6E">
        <w:rPr>
          <w:szCs w:val="24"/>
        </w:rPr>
        <w:t xml:space="preserve"> </w:t>
      </w:r>
      <w:r>
        <w:rPr>
          <w:szCs w:val="24"/>
        </w:rPr>
        <w:t>s</w:t>
      </w:r>
      <w:r w:rsidR="00BE33C8" w:rsidRPr="00D80EBF">
        <w:rPr>
          <w:szCs w:val="24"/>
        </w:rPr>
        <w:t xml:space="preserve">elf-reported weight </w:t>
      </w:r>
      <w:r>
        <w:rPr>
          <w:szCs w:val="24"/>
        </w:rPr>
        <w:t>from baseline to</w:t>
      </w:r>
      <w:r w:rsidR="00BE33C8" w:rsidRPr="00D80EBF">
        <w:rPr>
          <w:szCs w:val="24"/>
        </w:rPr>
        <w:t xml:space="preserve"> </w:t>
      </w:r>
      <w:r w:rsidR="00C008B7">
        <w:rPr>
          <w:szCs w:val="24"/>
        </w:rPr>
        <w:t>4-month</w:t>
      </w:r>
      <w:r w:rsidR="005C5122">
        <w:rPr>
          <w:szCs w:val="24"/>
        </w:rPr>
        <w:t xml:space="preserve"> </w:t>
      </w:r>
      <w:r>
        <w:rPr>
          <w:szCs w:val="24"/>
        </w:rPr>
        <w:t xml:space="preserve">follow-up </w:t>
      </w:r>
      <w:r w:rsidR="00BE33C8">
        <w:rPr>
          <w:szCs w:val="24"/>
        </w:rPr>
        <w:t>(kg).</w:t>
      </w:r>
    </w:p>
    <w:p w14:paraId="39D322FB" w14:textId="77777777" w:rsidR="00BE33C8" w:rsidRDefault="00BE33C8" w:rsidP="00BE33C8">
      <w:pPr>
        <w:pStyle w:val="NoSpacing"/>
        <w:rPr>
          <w:szCs w:val="24"/>
        </w:rPr>
      </w:pPr>
    </w:p>
    <w:p w14:paraId="6EF48821" w14:textId="77777777" w:rsidR="00301725" w:rsidRDefault="00BE33C8" w:rsidP="008A6F9D">
      <w:pPr>
        <w:pStyle w:val="Heading2"/>
      </w:pPr>
      <w:r w:rsidRPr="00D80EBF">
        <w:t>Secondary Outcomes</w:t>
      </w:r>
    </w:p>
    <w:p w14:paraId="73F1CF85" w14:textId="1D26C4CF" w:rsidR="00BE33C8" w:rsidRPr="00301725" w:rsidRDefault="00301725" w:rsidP="00301725">
      <w:pPr>
        <w:rPr>
          <w:rFonts w:ascii="Calibri" w:hAnsi="Calibri" w:cs="Calibri"/>
        </w:rPr>
      </w:pPr>
      <w:r w:rsidRPr="00301725">
        <w:rPr>
          <w:rFonts w:ascii="Calibri" w:hAnsi="Calibri" w:cs="Calibri"/>
        </w:rPr>
        <w:t>All secondary outcomes will be defined as change in outcomes (</w:t>
      </w:r>
      <w:r w:rsidRPr="00301725">
        <w:rPr>
          <w:rFonts w:ascii="Calibri" w:hAnsi="Calibri" w:cs="Calibri"/>
        </w:rPr>
        <w:fldChar w:fldCharType="begin"/>
      </w:r>
      <w:r w:rsidRPr="00301725">
        <w:rPr>
          <w:rFonts w:ascii="Calibri" w:hAnsi="Calibri" w:cs="Calibri"/>
        </w:rPr>
        <w:instrText xml:space="preserve"> REF _Ref66208753 \h </w:instrText>
      </w:r>
      <w:r>
        <w:rPr>
          <w:rFonts w:ascii="Calibri" w:hAnsi="Calibri" w:cs="Calibri"/>
        </w:rPr>
        <w:instrText xml:space="preserve"> \* MERGEFORMAT </w:instrText>
      </w:r>
      <w:r w:rsidRPr="00301725">
        <w:rPr>
          <w:rFonts w:ascii="Calibri" w:hAnsi="Calibri" w:cs="Calibri"/>
        </w:rPr>
      </w:r>
      <w:r w:rsidRPr="00301725">
        <w:rPr>
          <w:rFonts w:ascii="Calibri" w:hAnsi="Calibri" w:cs="Calibri"/>
        </w:rPr>
        <w:fldChar w:fldCharType="separate"/>
      </w:r>
      <w:r w:rsidR="00A627F1" w:rsidRPr="00A627F1">
        <w:rPr>
          <w:rFonts w:ascii="Calibri" w:hAnsi="Calibri" w:cs="Calibri"/>
        </w:rPr>
        <w:t xml:space="preserve">Table </w:t>
      </w:r>
      <w:r w:rsidR="00A627F1" w:rsidRPr="00A627F1">
        <w:rPr>
          <w:rFonts w:ascii="Calibri" w:hAnsi="Calibri" w:cs="Calibri"/>
          <w:noProof/>
        </w:rPr>
        <w:t>2</w:t>
      </w:r>
      <w:r w:rsidRPr="00301725">
        <w:rPr>
          <w:rFonts w:ascii="Calibri" w:hAnsi="Calibri" w:cs="Calibri"/>
        </w:rPr>
        <w:fldChar w:fldCharType="end"/>
      </w:r>
      <w:r w:rsidRPr="00301725">
        <w:rPr>
          <w:rFonts w:ascii="Calibri" w:hAnsi="Calibri" w:cs="Calibri"/>
        </w:rPr>
        <w:t xml:space="preserve">) from baseline to follow-up. </w:t>
      </w:r>
    </w:p>
    <w:p w14:paraId="1FB035E5" w14:textId="5AB2292E" w:rsidR="00301725" w:rsidRDefault="00301725" w:rsidP="00301725">
      <w:pPr>
        <w:pStyle w:val="Caption"/>
        <w:keepNext/>
      </w:pPr>
      <w:bookmarkStart w:id="2" w:name="_Ref66208753"/>
      <w:r>
        <w:t xml:space="preserve">Table </w:t>
      </w:r>
      <w:r w:rsidR="0012673E">
        <w:fldChar w:fldCharType="begin"/>
      </w:r>
      <w:r w:rsidR="0012673E">
        <w:instrText xml:space="preserve"> SEQ Table \* ARABIC </w:instrText>
      </w:r>
      <w:r w:rsidR="0012673E">
        <w:fldChar w:fldCharType="separate"/>
      </w:r>
      <w:r>
        <w:rPr>
          <w:noProof/>
        </w:rPr>
        <w:t>2</w:t>
      </w:r>
      <w:r w:rsidR="0012673E">
        <w:rPr>
          <w:noProof/>
        </w:rPr>
        <w:fldChar w:fldCharType="end"/>
      </w:r>
      <w:bookmarkEnd w:id="2"/>
      <w:r>
        <w:t>. Secondary outcomes.</w:t>
      </w:r>
    </w:p>
    <w:tbl>
      <w:tblPr>
        <w:tblStyle w:val="TableGrid"/>
        <w:tblW w:w="0" w:type="auto"/>
        <w:tblLook w:val="04A0" w:firstRow="1" w:lastRow="0" w:firstColumn="1" w:lastColumn="0" w:noHBand="0" w:noVBand="1"/>
      </w:tblPr>
      <w:tblGrid>
        <w:gridCol w:w="3128"/>
        <w:gridCol w:w="2643"/>
        <w:gridCol w:w="3245"/>
      </w:tblGrid>
      <w:tr w:rsidR="00F06B0F" w:rsidRPr="003343BE" w14:paraId="169CE0FE" w14:textId="77777777" w:rsidTr="003343BE">
        <w:tc>
          <w:tcPr>
            <w:tcW w:w="3128" w:type="dxa"/>
          </w:tcPr>
          <w:p w14:paraId="1A81459D" w14:textId="39A7884D" w:rsidR="00F06B0F" w:rsidRPr="003343BE" w:rsidRDefault="00F06B0F" w:rsidP="00F06B0F">
            <w:pPr>
              <w:rPr>
                <w:rFonts w:ascii="Calibri" w:hAnsi="Calibri" w:cs="Calibri"/>
                <w:b/>
                <w:bCs/>
                <w:sz w:val="24"/>
                <w:szCs w:val="24"/>
              </w:rPr>
            </w:pPr>
            <w:r w:rsidRPr="003343BE">
              <w:rPr>
                <w:rFonts w:ascii="Calibri" w:hAnsi="Calibri" w:cs="Calibri"/>
                <w:b/>
                <w:bCs/>
                <w:sz w:val="24"/>
                <w:szCs w:val="24"/>
              </w:rPr>
              <w:t>Outcome</w:t>
            </w:r>
          </w:p>
        </w:tc>
        <w:tc>
          <w:tcPr>
            <w:tcW w:w="2643" w:type="dxa"/>
          </w:tcPr>
          <w:p w14:paraId="57455F18" w14:textId="784D7115" w:rsidR="00F06B0F" w:rsidRPr="003343BE" w:rsidRDefault="00F06B0F" w:rsidP="00F06B0F">
            <w:pPr>
              <w:rPr>
                <w:rFonts w:ascii="Calibri" w:hAnsi="Calibri" w:cs="Calibri"/>
                <w:b/>
                <w:bCs/>
                <w:sz w:val="24"/>
                <w:szCs w:val="24"/>
              </w:rPr>
            </w:pPr>
            <w:r w:rsidRPr="003343BE">
              <w:rPr>
                <w:rFonts w:ascii="Calibri" w:hAnsi="Calibri" w:cs="Calibri"/>
                <w:b/>
                <w:bCs/>
                <w:sz w:val="24"/>
                <w:szCs w:val="24"/>
              </w:rPr>
              <w:t>Type of outcome</w:t>
            </w:r>
          </w:p>
        </w:tc>
        <w:tc>
          <w:tcPr>
            <w:tcW w:w="3245" w:type="dxa"/>
          </w:tcPr>
          <w:p w14:paraId="6C58680E" w14:textId="37741254" w:rsidR="00F06B0F" w:rsidRPr="003343BE" w:rsidRDefault="003343BE" w:rsidP="00F06B0F">
            <w:pPr>
              <w:rPr>
                <w:rFonts w:ascii="Calibri" w:hAnsi="Calibri" w:cs="Calibri"/>
                <w:b/>
                <w:bCs/>
                <w:sz w:val="24"/>
                <w:szCs w:val="24"/>
              </w:rPr>
            </w:pPr>
            <w:r>
              <w:rPr>
                <w:rFonts w:ascii="Calibri" w:hAnsi="Calibri" w:cs="Calibri"/>
                <w:b/>
                <w:bCs/>
                <w:sz w:val="24"/>
                <w:szCs w:val="24"/>
              </w:rPr>
              <w:t>Measure</w:t>
            </w:r>
          </w:p>
        </w:tc>
      </w:tr>
      <w:tr w:rsidR="00F06B0F" w:rsidRPr="003343BE" w14:paraId="60529B20" w14:textId="77777777" w:rsidTr="003343BE">
        <w:tc>
          <w:tcPr>
            <w:tcW w:w="3128" w:type="dxa"/>
          </w:tcPr>
          <w:p w14:paraId="21CB9ED8" w14:textId="43D6D2D4" w:rsidR="00F06B0F" w:rsidRPr="00F06B0F" w:rsidRDefault="00F06B0F" w:rsidP="00F06B0F">
            <w:pPr>
              <w:pStyle w:val="NoSpacing"/>
              <w:rPr>
                <w:rFonts w:cs="Calibri"/>
                <w:szCs w:val="24"/>
              </w:rPr>
            </w:pPr>
            <w:r w:rsidRPr="00F06B0F">
              <w:rPr>
                <w:rFonts w:cs="Calibri"/>
                <w:szCs w:val="24"/>
              </w:rPr>
              <w:t>Depression (depressive symptom severity</w:t>
            </w:r>
            <w:r>
              <w:rPr>
                <w:rFonts w:cs="Calibri"/>
                <w:szCs w:val="24"/>
              </w:rPr>
              <w:t>)</w:t>
            </w:r>
          </w:p>
          <w:p w14:paraId="1B702626" w14:textId="77777777" w:rsidR="00F06B0F" w:rsidRPr="003343BE" w:rsidRDefault="00F06B0F" w:rsidP="00F06B0F">
            <w:pPr>
              <w:rPr>
                <w:rFonts w:ascii="Calibri" w:hAnsi="Calibri" w:cs="Calibri"/>
                <w:sz w:val="24"/>
                <w:szCs w:val="24"/>
              </w:rPr>
            </w:pPr>
          </w:p>
        </w:tc>
        <w:tc>
          <w:tcPr>
            <w:tcW w:w="2643" w:type="dxa"/>
          </w:tcPr>
          <w:p w14:paraId="7F4EB8DC" w14:textId="10136DFE" w:rsidR="00F06B0F" w:rsidRPr="00F06B0F" w:rsidRDefault="00D4381B" w:rsidP="00F06B0F">
            <w:pPr>
              <w:rPr>
                <w:rFonts w:ascii="Calibri" w:hAnsi="Calibri" w:cs="Calibri"/>
                <w:sz w:val="24"/>
                <w:szCs w:val="24"/>
              </w:rPr>
            </w:pPr>
            <w:r w:rsidRPr="00F06B0F">
              <w:rPr>
                <w:rFonts w:ascii="Calibri" w:hAnsi="Calibri" w:cs="Calibri"/>
                <w:sz w:val="24"/>
                <w:szCs w:val="24"/>
              </w:rPr>
              <w:t>C</w:t>
            </w:r>
            <w:r w:rsidR="00F06B0F" w:rsidRPr="00F06B0F">
              <w:rPr>
                <w:rFonts w:ascii="Calibri" w:hAnsi="Calibri" w:cs="Calibri"/>
                <w:sz w:val="24"/>
                <w:szCs w:val="24"/>
              </w:rPr>
              <w:t>ontinuous</w:t>
            </w:r>
            <w:r>
              <w:rPr>
                <w:rFonts w:ascii="Calibri" w:hAnsi="Calibri" w:cs="Calibri"/>
                <w:sz w:val="24"/>
                <w:szCs w:val="24"/>
              </w:rPr>
              <w:t>, summary score</w:t>
            </w:r>
          </w:p>
        </w:tc>
        <w:tc>
          <w:tcPr>
            <w:tcW w:w="3245" w:type="dxa"/>
          </w:tcPr>
          <w:p w14:paraId="38744A49" w14:textId="1B5DFA0E" w:rsidR="00F06B0F" w:rsidRPr="003343BE" w:rsidRDefault="00F06B0F" w:rsidP="00F06B0F">
            <w:pPr>
              <w:rPr>
                <w:rFonts w:ascii="Calibri" w:hAnsi="Calibri" w:cs="Calibri"/>
                <w:sz w:val="24"/>
                <w:szCs w:val="24"/>
              </w:rPr>
            </w:pPr>
            <w:r w:rsidRPr="003343BE">
              <w:rPr>
                <w:rFonts w:ascii="Calibri" w:hAnsi="Calibri" w:cs="Calibri"/>
                <w:sz w:val="24"/>
                <w:szCs w:val="24"/>
              </w:rPr>
              <w:t>Patient Health Questionnaire 8-item (PHQ-8)</w:t>
            </w:r>
          </w:p>
        </w:tc>
      </w:tr>
      <w:tr w:rsidR="00F06B0F" w:rsidRPr="003343BE" w14:paraId="37B66AC3" w14:textId="77777777" w:rsidTr="003343BE">
        <w:tc>
          <w:tcPr>
            <w:tcW w:w="3128" w:type="dxa"/>
          </w:tcPr>
          <w:p w14:paraId="5C15F4D6" w14:textId="033C7B17" w:rsidR="00F06B0F" w:rsidRPr="003343BE" w:rsidRDefault="003343BE" w:rsidP="00F06B0F">
            <w:pPr>
              <w:rPr>
                <w:rFonts w:ascii="Calibri" w:hAnsi="Calibri" w:cs="Calibri"/>
                <w:sz w:val="24"/>
                <w:szCs w:val="24"/>
              </w:rPr>
            </w:pPr>
            <w:r>
              <w:rPr>
                <w:rFonts w:ascii="Calibri" w:hAnsi="Calibri" w:cs="Calibri"/>
                <w:sz w:val="24"/>
                <w:szCs w:val="24"/>
              </w:rPr>
              <w:t>Anxiety (anxious symptom severity)</w:t>
            </w:r>
          </w:p>
        </w:tc>
        <w:tc>
          <w:tcPr>
            <w:tcW w:w="2643" w:type="dxa"/>
          </w:tcPr>
          <w:p w14:paraId="259A8BA3" w14:textId="20202999" w:rsidR="00F06B0F" w:rsidRPr="00F06B0F" w:rsidRDefault="00D4381B" w:rsidP="00F06B0F">
            <w:pPr>
              <w:rPr>
                <w:rFonts w:ascii="Calibri" w:hAnsi="Calibri" w:cs="Calibri"/>
                <w:sz w:val="24"/>
                <w:szCs w:val="24"/>
              </w:rPr>
            </w:pPr>
            <w:r w:rsidRPr="00F06B0F">
              <w:rPr>
                <w:rFonts w:ascii="Calibri" w:hAnsi="Calibri" w:cs="Calibri"/>
                <w:sz w:val="24"/>
                <w:szCs w:val="24"/>
              </w:rPr>
              <w:t>C</w:t>
            </w:r>
            <w:r w:rsidR="003343BE" w:rsidRPr="00F06B0F">
              <w:rPr>
                <w:rFonts w:ascii="Calibri" w:hAnsi="Calibri" w:cs="Calibri"/>
                <w:sz w:val="24"/>
                <w:szCs w:val="24"/>
              </w:rPr>
              <w:t>ontinuous</w:t>
            </w:r>
            <w:r>
              <w:rPr>
                <w:rFonts w:ascii="Calibri" w:hAnsi="Calibri" w:cs="Calibri"/>
                <w:sz w:val="24"/>
                <w:szCs w:val="24"/>
              </w:rPr>
              <w:t>, summary score</w:t>
            </w:r>
          </w:p>
        </w:tc>
        <w:tc>
          <w:tcPr>
            <w:tcW w:w="3245" w:type="dxa"/>
          </w:tcPr>
          <w:p w14:paraId="022FEDF4" w14:textId="0A16BE98" w:rsidR="00F06B0F" w:rsidRPr="003343BE" w:rsidRDefault="00F06B0F" w:rsidP="00F06B0F">
            <w:pPr>
              <w:rPr>
                <w:rFonts w:ascii="Calibri" w:hAnsi="Calibri" w:cs="Calibri"/>
                <w:sz w:val="24"/>
                <w:szCs w:val="24"/>
              </w:rPr>
            </w:pPr>
            <w:r w:rsidRPr="00F06B0F">
              <w:rPr>
                <w:rFonts w:ascii="Calibri" w:hAnsi="Calibri" w:cs="Calibri"/>
                <w:sz w:val="24"/>
                <w:szCs w:val="24"/>
              </w:rPr>
              <w:t>Generalized Anxiety Disorder 7-item (GAD-7) scal</w:t>
            </w:r>
            <w:r w:rsidRPr="003343BE">
              <w:rPr>
                <w:rFonts w:ascii="Calibri" w:hAnsi="Calibri" w:cs="Calibri"/>
                <w:sz w:val="24"/>
                <w:szCs w:val="24"/>
              </w:rPr>
              <w:t>e</w:t>
            </w:r>
          </w:p>
          <w:p w14:paraId="515EAA41" w14:textId="77777777" w:rsidR="00F06B0F" w:rsidRPr="003343BE" w:rsidRDefault="00F06B0F" w:rsidP="00F06B0F">
            <w:pPr>
              <w:rPr>
                <w:rFonts w:ascii="Calibri" w:hAnsi="Calibri" w:cs="Calibri"/>
                <w:sz w:val="24"/>
                <w:szCs w:val="24"/>
              </w:rPr>
            </w:pPr>
          </w:p>
        </w:tc>
      </w:tr>
      <w:tr w:rsidR="00F06B0F" w:rsidRPr="003343BE" w14:paraId="0717F9B5" w14:textId="77777777" w:rsidTr="003343BE">
        <w:tc>
          <w:tcPr>
            <w:tcW w:w="3128" w:type="dxa"/>
          </w:tcPr>
          <w:p w14:paraId="6C2A8AF0" w14:textId="7BF46E0B" w:rsidR="00F06B0F" w:rsidRPr="003343BE" w:rsidRDefault="003343BE" w:rsidP="00F06B0F">
            <w:pPr>
              <w:rPr>
                <w:rFonts w:ascii="Calibri" w:hAnsi="Calibri" w:cs="Calibri"/>
                <w:sz w:val="24"/>
                <w:szCs w:val="24"/>
              </w:rPr>
            </w:pPr>
            <w:r>
              <w:rPr>
                <w:rFonts w:ascii="Calibri" w:hAnsi="Calibri" w:cs="Calibri"/>
                <w:sz w:val="24"/>
                <w:szCs w:val="24"/>
              </w:rPr>
              <w:lastRenderedPageBreak/>
              <w:t>Perceived stress</w:t>
            </w:r>
          </w:p>
        </w:tc>
        <w:tc>
          <w:tcPr>
            <w:tcW w:w="2643" w:type="dxa"/>
          </w:tcPr>
          <w:p w14:paraId="501D66AB" w14:textId="3283015E" w:rsidR="00F06B0F" w:rsidRPr="00F06B0F" w:rsidRDefault="00D4381B" w:rsidP="00F06B0F">
            <w:pPr>
              <w:rPr>
                <w:rFonts w:ascii="Calibri" w:hAnsi="Calibri" w:cs="Calibri"/>
                <w:sz w:val="24"/>
                <w:szCs w:val="24"/>
              </w:rPr>
            </w:pPr>
            <w:r w:rsidRPr="00F06B0F">
              <w:rPr>
                <w:rFonts w:ascii="Calibri" w:hAnsi="Calibri" w:cs="Calibri"/>
                <w:sz w:val="24"/>
                <w:szCs w:val="24"/>
              </w:rPr>
              <w:t>C</w:t>
            </w:r>
            <w:r w:rsidR="003343BE" w:rsidRPr="00F06B0F">
              <w:rPr>
                <w:rFonts w:ascii="Calibri" w:hAnsi="Calibri" w:cs="Calibri"/>
                <w:sz w:val="24"/>
                <w:szCs w:val="24"/>
              </w:rPr>
              <w:t>ontinuous</w:t>
            </w:r>
            <w:r>
              <w:rPr>
                <w:rFonts w:ascii="Calibri" w:hAnsi="Calibri" w:cs="Calibri"/>
                <w:sz w:val="24"/>
                <w:szCs w:val="24"/>
              </w:rPr>
              <w:t>, summary score</w:t>
            </w:r>
          </w:p>
        </w:tc>
        <w:tc>
          <w:tcPr>
            <w:tcW w:w="3245" w:type="dxa"/>
          </w:tcPr>
          <w:p w14:paraId="47D2F3A8" w14:textId="34EBAB75" w:rsidR="00F06B0F" w:rsidRPr="00F06B0F" w:rsidRDefault="00F06B0F" w:rsidP="00F06B0F">
            <w:pPr>
              <w:rPr>
                <w:rFonts w:ascii="Calibri" w:hAnsi="Calibri" w:cs="Calibri"/>
                <w:sz w:val="24"/>
                <w:szCs w:val="24"/>
              </w:rPr>
            </w:pPr>
            <w:r w:rsidRPr="00F06B0F">
              <w:rPr>
                <w:rFonts w:ascii="Calibri" w:hAnsi="Calibri" w:cs="Calibri"/>
                <w:sz w:val="24"/>
                <w:szCs w:val="24"/>
              </w:rPr>
              <w:t>Perceived Stress Scale (PSS-4)</w:t>
            </w:r>
          </w:p>
          <w:p w14:paraId="3720F9B2" w14:textId="77777777" w:rsidR="00F06B0F" w:rsidRPr="003343BE" w:rsidRDefault="00F06B0F" w:rsidP="00F06B0F">
            <w:pPr>
              <w:rPr>
                <w:rFonts w:ascii="Calibri" w:hAnsi="Calibri" w:cs="Calibri"/>
                <w:sz w:val="24"/>
                <w:szCs w:val="24"/>
              </w:rPr>
            </w:pPr>
          </w:p>
        </w:tc>
      </w:tr>
      <w:tr w:rsidR="00F06B0F" w:rsidRPr="003343BE" w14:paraId="3E4D6841" w14:textId="77777777" w:rsidTr="003343BE">
        <w:tc>
          <w:tcPr>
            <w:tcW w:w="3128" w:type="dxa"/>
          </w:tcPr>
          <w:p w14:paraId="3DD358A4" w14:textId="2F7AF9EB" w:rsidR="00F06B0F" w:rsidRPr="003343BE" w:rsidRDefault="00D962E0" w:rsidP="00F06B0F">
            <w:pPr>
              <w:rPr>
                <w:rFonts w:ascii="Calibri" w:hAnsi="Calibri" w:cs="Calibri"/>
                <w:sz w:val="24"/>
                <w:szCs w:val="24"/>
              </w:rPr>
            </w:pPr>
            <w:r>
              <w:rPr>
                <w:rFonts w:ascii="Calibri" w:hAnsi="Calibri" w:cs="Calibri"/>
                <w:sz w:val="24"/>
                <w:szCs w:val="24"/>
              </w:rPr>
              <w:t>Psychological flexibility</w:t>
            </w:r>
          </w:p>
        </w:tc>
        <w:tc>
          <w:tcPr>
            <w:tcW w:w="2643" w:type="dxa"/>
          </w:tcPr>
          <w:p w14:paraId="6439D1E4" w14:textId="21730079" w:rsidR="00F06B0F" w:rsidRPr="00F06B0F" w:rsidRDefault="00D4381B" w:rsidP="00F06B0F">
            <w:pPr>
              <w:rPr>
                <w:rFonts w:ascii="Calibri" w:hAnsi="Calibri" w:cs="Calibri"/>
                <w:sz w:val="24"/>
                <w:szCs w:val="24"/>
              </w:rPr>
            </w:pPr>
            <w:r w:rsidRPr="00F06B0F">
              <w:rPr>
                <w:rFonts w:ascii="Calibri" w:hAnsi="Calibri" w:cs="Calibri"/>
                <w:sz w:val="24"/>
                <w:szCs w:val="24"/>
              </w:rPr>
              <w:t>C</w:t>
            </w:r>
            <w:r w:rsidR="00D962E0" w:rsidRPr="00F06B0F">
              <w:rPr>
                <w:rFonts w:ascii="Calibri" w:hAnsi="Calibri" w:cs="Calibri"/>
                <w:sz w:val="24"/>
                <w:szCs w:val="24"/>
              </w:rPr>
              <w:t>ontinuous</w:t>
            </w:r>
            <w:r>
              <w:rPr>
                <w:rFonts w:ascii="Calibri" w:hAnsi="Calibri" w:cs="Calibri"/>
                <w:sz w:val="24"/>
                <w:szCs w:val="24"/>
              </w:rPr>
              <w:t>, summary score</w:t>
            </w:r>
          </w:p>
        </w:tc>
        <w:tc>
          <w:tcPr>
            <w:tcW w:w="3245" w:type="dxa"/>
          </w:tcPr>
          <w:p w14:paraId="7CE4925E" w14:textId="12F88CAF" w:rsidR="00F06B0F" w:rsidRPr="00F06B0F" w:rsidRDefault="00F06B0F" w:rsidP="00F06B0F">
            <w:pPr>
              <w:rPr>
                <w:rFonts w:ascii="Calibri" w:hAnsi="Calibri" w:cs="Calibri"/>
                <w:sz w:val="24"/>
                <w:szCs w:val="24"/>
              </w:rPr>
            </w:pPr>
            <w:r w:rsidRPr="00F06B0F">
              <w:rPr>
                <w:rFonts w:ascii="Calibri" w:hAnsi="Calibri" w:cs="Calibri"/>
                <w:sz w:val="24"/>
                <w:szCs w:val="24"/>
              </w:rPr>
              <w:t>Acceptance and Action Questionnaire Weight Related (Revised) (AAQW-R)</w:t>
            </w:r>
          </w:p>
          <w:p w14:paraId="6FFC54C8" w14:textId="77777777" w:rsidR="00F06B0F" w:rsidRPr="003343BE" w:rsidRDefault="00F06B0F" w:rsidP="00F06B0F">
            <w:pPr>
              <w:rPr>
                <w:rFonts w:ascii="Calibri" w:hAnsi="Calibri" w:cs="Calibri"/>
                <w:sz w:val="24"/>
                <w:szCs w:val="24"/>
              </w:rPr>
            </w:pPr>
          </w:p>
        </w:tc>
      </w:tr>
      <w:tr w:rsidR="00F06B0F" w:rsidRPr="003343BE" w14:paraId="45966423" w14:textId="77777777" w:rsidTr="003343BE">
        <w:tc>
          <w:tcPr>
            <w:tcW w:w="3128" w:type="dxa"/>
          </w:tcPr>
          <w:p w14:paraId="5E0DC93D" w14:textId="77777777" w:rsidR="00F06B0F" w:rsidRDefault="008904C7" w:rsidP="00F06B0F">
            <w:pPr>
              <w:rPr>
                <w:rFonts w:ascii="Calibri" w:hAnsi="Calibri" w:cs="Calibri"/>
                <w:sz w:val="24"/>
                <w:szCs w:val="24"/>
              </w:rPr>
            </w:pPr>
            <w:r>
              <w:rPr>
                <w:rFonts w:ascii="Calibri" w:hAnsi="Calibri" w:cs="Calibri"/>
                <w:sz w:val="24"/>
                <w:szCs w:val="24"/>
              </w:rPr>
              <w:t>Eating behaviour:</w:t>
            </w:r>
          </w:p>
          <w:p w14:paraId="60BBA0A9" w14:textId="77777777" w:rsidR="008904C7" w:rsidRDefault="008904C7" w:rsidP="008904C7">
            <w:pPr>
              <w:pStyle w:val="ListParagraph"/>
              <w:numPr>
                <w:ilvl w:val="0"/>
                <w:numId w:val="26"/>
              </w:numPr>
              <w:rPr>
                <w:rFonts w:ascii="Calibri" w:hAnsi="Calibri" w:cs="Calibri"/>
                <w:sz w:val="24"/>
                <w:szCs w:val="24"/>
              </w:rPr>
            </w:pPr>
            <w:r w:rsidRPr="008904C7">
              <w:rPr>
                <w:rFonts w:ascii="Calibri" w:hAnsi="Calibri" w:cs="Calibri"/>
                <w:sz w:val="24"/>
                <w:szCs w:val="24"/>
              </w:rPr>
              <w:t xml:space="preserve">cognitive restraint </w:t>
            </w:r>
          </w:p>
          <w:p w14:paraId="0D9CCEE2" w14:textId="77777777" w:rsidR="008904C7" w:rsidRDefault="008904C7" w:rsidP="008904C7">
            <w:pPr>
              <w:pStyle w:val="ListParagraph"/>
              <w:numPr>
                <w:ilvl w:val="0"/>
                <w:numId w:val="26"/>
              </w:numPr>
              <w:rPr>
                <w:rFonts w:ascii="Calibri" w:hAnsi="Calibri" w:cs="Calibri"/>
                <w:sz w:val="24"/>
                <w:szCs w:val="24"/>
              </w:rPr>
            </w:pPr>
            <w:r w:rsidRPr="008904C7">
              <w:rPr>
                <w:rFonts w:ascii="Calibri" w:hAnsi="Calibri" w:cs="Calibri"/>
                <w:sz w:val="24"/>
                <w:szCs w:val="24"/>
              </w:rPr>
              <w:t xml:space="preserve">uncontrolled eating </w:t>
            </w:r>
          </w:p>
          <w:p w14:paraId="3AA55929" w14:textId="0C205AEC" w:rsidR="008904C7" w:rsidRPr="008904C7" w:rsidRDefault="008904C7" w:rsidP="008904C7">
            <w:pPr>
              <w:pStyle w:val="ListParagraph"/>
              <w:numPr>
                <w:ilvl w:val="0"/>
                <w:numId w:val="26"/>
              </w:numPr>
              <w:rPr>
                <w:rFonts w:ascii="Calibri" w:hAnsi="Calibri" w:cs="Calibri"/>
                <w:sz w:val="24"/>
                <w:szCs w:val="24"/>
              </w:rPr>
            </w:pPr>
            <w:r w:rsidRPr="008904C7">
              <w:rPr>
                <w:rFonts w:ascii="Calibri" w:hAnsi="Calibri" w:cs="Calibri"/>
                <w:sz w:val="24"/>
                <w:szCs w:val="24"/>
              </w:rPr>
              <w:t>emotional eating</w:t>
            </w:r>
          </w:p>
        </w:tc>
        <w:tc>
          <w:tcPr>
            <w:tcW w:w="2643" w:type="dxa"/>
          </w:tcPr>
          <w:p w14:paraId="46C9D02E" w14:textId="2B6E1F35" w:rsidR="00F06B0F" w:rsidRPr="00F06B0F" w:rsidRDefault="00D4381B" w:rsidP="00F06B0F">
            <w:pPr>
              <w:rPr>
                <w:rFonts w:ascii="Calibri" w:hAnsi="Calibri" w:cs="Calibri"/>
                <w:sz w:val="24"/>
                <w:szCs w:val="24"/>
              </w:rPr>
            </w:pPr>
            <w:r w:rsidRPr="00F06B0F">
              <w:rPr>
                <w:rFonts w:ascii="Calibri" w:hAnsi="Calibri" w:cs="Calibri"/>
                <w:sz w:val="24"/>
                <w:szCs w:val="24"/>
              </w:rPr>
              <w:t>C</w:t>
            </w:r>
            <w:r w:rsidR="008904C7" w:rsidRPr="00F06B0F">
              <w:rPr>
                <w:rFonts w:ascii="Calibri" w:hAnsi="Calibri" w:cs="Calibri"/>
                <w:sz w:val="24"/>
                <w:szCs w:val="24"/>
              </w:rPr>
              <w:t>ontinuous</w:t>
            </w:r>
            <w:r>
              <w:rPr>
                <w:rFonts w:ascii="Calibri" w:hAnsi="Calibri" w:cs="Calibri"/>
                <w:sz w:val="24"/>
                <w:szCs w:val="24"/>
              </w:rPr>
              <w:t>, summary score for each subscale</w:t>
            </w:r>
          </w:p>
        </w:tc>
        <w:tc>
          <w:tcPr>
            <w:tcW w:w="3245" w:type="dxa"/>
          </w:tcPr>
          <w:p w14:paraId="58FFEED2" w14:textId="1935FA23" w:rsidR="00F06B0F" w:rsidRPr="00F06B0F" w:rsidRDefault="00F06B0F" w:rsidP="00F06B0F">
            <w:pPr>
              <w:rPr>
                <w:rFonts w:ascii="Calibri" w:hAnsi="Calibri" w:cs="Calibri"/>
                <w:sz w:val="24"/>
                <w:szCs w:val="24"/>
              </w:rPr>
            </w:pPr>
            <w:r w:rsidRPr="00F06B0F">
              <w:rPr>
                <w:rFonts w:ascii="Calibri" w:hAnsi="Calibri" w:cs="Calibri"/>
                <w:sz w:val="24"/>
                <w:szCs w:val="24"/>
              </w:rPr>
              <w:t>Three-Factor Eating Questionnaire (TFEQ-R21)</w:t>
            </w:r>
          </w:p>
          <w:p w14:paraId="745A41AC" w14:textId="77777777" w:rsidR="00F06B0F" w:rsidRPr="003343BE" w:rsidRDefault="00F06B0F" w:rsidP="00F06B0F">
            <w:pPr>
              <w:rPr>
                <w:rFonts w:ascii="Calibri" w:hAnsi="Calibri" w:cs="Calibri"/>
                <w:sz w:val="24"/>
                <w:szCs w:val="24"/>
              </w:rPr>
            </w:pPr>
          </w:p>
        </w:tc>
      </w:tr>
      <w:tr w:rsidR="00F06B0F" w:rsidRPr="00F06B0F" w14:paraId="1DB92D38" w14:textId="77777777" w:rsidTr="003343BE">
        <w:tc>
          <w:tcPr>
            <w:tcW w:w="3128" w:type="dxa"/>
          </w:tcPr>
          <w:p w14:paraId="32C2BA97" w14:textId="488FF349" w:rsidR="00F06B0F" w:rsidRPr="00F06B0F" w:rsidRDefault="00550CDF" w:rsidP="00F06B0F">
            <w:pPr>
              <w:rPr>
                <w:rFonts w:ascii="Calibri" w:hAnsi="Calibri" w:cs="Calibri"/>
                <w:sz w:val="24"/>
                <w:szCs w:val="24"/>
              </w:rPr>
            </w:pPr>
            <w:r>
              <w:rPr>
                <w:rFonts w:ascii="Calibri" w:hAnsi="Calibri" w:cs="Calibri"/>
                <w:sz w:val="24"/>
                <w:szCs w:val="24"/>
              </w:rPr>
              <w:t xml:space="preserve">Volume of </w:t>
            </w:r>
            <w:r w:rsidR="00CE2349">
              <w:rPr>
                <w:rFonts w:ascii="Calibri" w:hAnsi="Calibri" w:cs="Calibri"/>
                <w:sz w:val="24"/>
                <w:szCs w:val="24"/>
              </w:rPr>
              <w:t xml:space="preserve">total </w:t>
            </w:r>
            <w:r>
              <w:rPr>
                <w:rFonts w:ascii="Calibri" w:hAnsi="Calibri" w:cs="Calibri"/>
                <w:sz w:val="24"/>
                <w:szCs w:val="24"/>
              </w:rPr>
              <w:t xml:space="preserve">physical activity </w:t>
            </w:r>
          </w:p>
        </w:tc>
        <w:tc>
          <w:tcPr>
            <w:tcW w:w="2643" w:type="dxa"/>
          </w:tcPr>
          <w:p w14:paraId="21A8F2DB" w14:textId="163D2EE1" w:rsidR="00F06B0F" w:rsidRPr="00F06B0F" w:rsidRDefault="00D4381B" w:rsidP="00F06B0F">
            <w:pPr>
              <w:rPr>
                <w:rFonts w:ascii="Calibri" w:hAnsi="Calibri" w:cs="Calibri"/>
                <w:sz w:val="24"/>
                <w:szCs w:val="24"/>
              </w:rPr>
            </w:pPr>
            <w:r w:rsidRPr="00F06B0F">
              <w:rPr>
                <w:rFonts w:ascii="Calibri" w:hAnsi="Calibri" w:cs="Calibri"/>
                <w:sz w:val="24"/>
                <w:szCs w:val="24"/>
              </w:rPr>
              <w:t>C</w:t>
            </w:r>
            <w:r w:rsidR="00550CDF" w:rsidRPr="00F06B0F">
              <w:rPr>
                <w:rFonts w:ascii="Calibri" w:hAnsi="Calibri" w:cs="Calibri"/>
                <w:sz w:val="24"/>
                <w:szCs w:val="24"/>
              </w:rPr>
              <w:t>ontinuous</w:t>
            </w:r>
            <w:r>
              <w:rPr>
                <w:rFonts w:ascii="Calibri" w:hAnsi="Calibri" w:cs="Calibri"/>
                <w:sz w:val="24"/>
                <w:szCs w:val="24"/>
              </w:rPr>
              <w:t>, MET-min per week</w:t>
            </w:r>
          </w:p>
        </w:tc>
        <w:tc>
          <w:tcPr>
            <w:tcW w:w="3245" w:type="dxa"/>
          </w:tcPr>
          <w:p w14:paraId="737D01C1" w14:textId="55750FA2" w:rsidR="00F06B0F" w:rsidRPr="00F06B0F" w:rsidRDefault="00F06B0F" w:rsidP="00F06B0F">
            <w:pPr>
              <w:rPr>
                <w:rFonts w:ascii="Calibri" w:hAnsi="Calibri" w:cs="Calibri"/>
                <w:sz w:val="24"/>
                <w:szCs w:val="24"/>
              </w:rPr>
            </w:pPr>
            <w:r w:rsidRPr="00F06B0F">
              <w:rPr>
                <w:rFonts w:ascii="Calibri" w:hAnsi="Calibri" w:cs="Calibri"/>
                <w:sz w:val="24"/>
                <w:szCs w:val="24"/>
              </w:rPr>
              <w:t>International Physical Activity Questionnaire (IPAQ)</w:t>
            </w:r>
          </w:p>
        </w:tc>
      </w:tr>
      <w:tr w:rsidR="00F06B0F" w:rsidRPr="00B76098" w14:paraId="6C3EC9BD" w14:textId="77777777" w:rsidTr="003343BE">
        <w:tc>
          <w:tcPr>
            <w:tcW w:w="3128" w:type="dxa"/>
          </w:tcPr>
          <w:p w14:paraId="3634E6C3" w14:textId="05B01091" w:rsidR="00F06B0F" w:rsidRPr="00F06B0F" w:rsidRDefault="007B06D1" w:rsidP="00F06B0F">
            <w:pPr>
              <w:rPr>
                <w:rFonts w:ascii="Calibri" w:hAnsi="Calibri" w:cs="Calibri"/>
                <w:sz w:val="24"/>
                <w:szCs w:val="24"/>
              </w:rPr>
            </w:pPr>
            <w:r w:rsidRPr="00F06B0F">
              <w:rPr>
                <w:rFonts w:ascii="Calibri" w:hAnsi="Calibri" w:cs="Calibri"/>
                <w:sz w:val="24"/>
                <w:szCs w:val="24"/>
              </w:rPr>
              <w:t xml:space="preserve">Health related quality of life </w:t>
            </w:r>
          </w:p>
        </w:tc>
        <w:tc>
          <w:tcPr>
            <w:tcW w:w="2643" w:type="dxa"/>
          </w:tcPr>
          <w:p w14:paraId="7423CCBD" w14:textId="23A0C2BE" w:rsidR="00F06B0F" w:rsidRPr="00F06B0F" w:rsidRDefault="00D4381B" w:rsidP="00F06B0F">
            <w:pPr>
              <w:rPr>
                <w:rFonts w:ascii="Calibri" w:hAnsi="Calibri" w:cs="Calibri"/>
                <w:sz w:val="24"/>
                <w:szCs w:val="24"/>
              </w:rPr>
            </w:pPr>
            <w:r w:rsidRPr="00F06B0F">
              <w:rPr>
                <w:rFonts w:ascii="Calibri" w:hAnsi="Calibri" w:cs="Calibri"/>
                <w:sz w:val="24"/>
                <w:szCs w:val="24"/>
              </w:rPr>
              <w:t>C</w:t>
            </w:r>
            <w:r w:rsidR="007B06D1" w:rsidRPr="00F06B0F">
              <w:rPr>
                <w:rFonts w:ascii="Calibri" w:hAnsi="Calibri" w:cs="Calibri"/>
                <w:sz w:val="24"/>
                <w:szCs w:val="24"/>
              </w:rPr>
              <w:t>ontinuous</w:t>
            </w:r>
            <w:r>
              <w:rPr>
                <w:rFonts w:ascii="Calibri" w:hAnsi="Calibri" w:cs="Calibri"/>
                <w:sz w:val="24"/>
                <w:szCs w:val="24"/>
              </w:rPr>
              <w:t>, summary score</w:t>
            </w:r>
          </w:p>
        </w:tc>
        <w:tc>
          <w:tcPr>
            <w:tcW w:w="3245" w:type="dxa"/>
          </w:tcPr>
          <w:p w14:paraId="26858B54" w14:textId="06E5AB12" w:rsidR="00F06B0F" w:rsidRPr="00F06B0F" w:rsidRDefault="00F06B0F" w:rsidP="00F06B0F">
            <w:pPr>
              <w:rPr>
                <w:rFonts w:ascii="Calibri" w:hAnsi="Calibri" w:cs="Calibri"/>
                <w:sz w:val="24"/>
                <w:szCs w:val="24"/>
              </w:rPr>
            </w:pPr>
            <w:r w:rsidRPr="00F06B0F">
              <w:rPr>
                <w:rFonts w:ascii="Calibri" w:hAnsi="Calibri" w:cs="Calibri"/>
                <w:sz w:val="24"/>
                <w:szCs w:val="24"/>
              </w:rPr>
              <w:t>EQ-5D-L</w:t>
            </w:r>
          </w:p>
        </w:tc>
      </w:tr>
      <w:tr w:rsidR="00F06B0F" w:rsidRPr="00B76098" w14:paraId="3F5DFE0C" w14:textId="77777777" w:rsidTr="003343BE">
        <w:tc>
          <w:tcPr>
            <w:tcW w:w="3128" w:type="dxa"/>
          </w:tcPr>
          <w:p w14:paraId="12ED5661" w14:textId="1B95D87E" w:rsidR="00F06B0F" w:rsidRPr="00F06B0F" w:rsidRDefault="00946070" w:rsidP="00F06B0F">
            <w:pPr>
              <w:rPr>
                <w:rFonts w:ascii="Calibri" w:hAnsi="Calibri" w:cs="Calibri"/>
                <w:sz w:val="24"/>
                <w:szCs w:val="24"/>
              </w:rPr>
            </w:pPr>
            <w:r>
              <w:rPr>
                <w:rFonts w:ascii="Calibri" w:hAnsi="Calibri" w:cs="Calibri"/>
                <w:sz w:val="24"/>
                <w:szCs w:val="24"/>
              </w:rPr>
              <w:t>Wellbeing/capability</w:t>
            </w:r>
          </w:p>
        </w:tc>
        <w:tc>
          <w:tcPr>
            <w:tcW w:w="2643" w:type="dxa"/>
          </w:tcPr>
          <w:p w14:paraId="6B5C19E4" w14:textId="50843029" w:rsidR="00F06B0F" w:rsidRPr="00F06B0F" w:rsidRDefault="00D4381B" w:rsidP="00F06B0F">
            <w:pPr>
              <w:rPr>
                <w:rFonts w:ascii="Calibri" w:hAnsi="Calibri" w:cs="Calibri"/>
                <w:sz w:val="24"/>
                <w:szCs w:val="24"/>
              </w:rPr>
            </w:pPr>
            <w:r w:rsidRPr="00F06B0F">
              <w:rPr>
                <w:rFonts w:ascii="Calibri" w:hAnsi="Calibri" w:cs="Calibri"/>
                <w:sz w:val="24"/>
                <w:szCs w:val="24"/>
              </w:rPr>
              <w:t>C</w:t>
            </w:r>
            <w:r w:rsidR="00946070" w:rsidRPr="00F06B0F">
              <w:rPr>
                <w:rFonts w:ascii="Calibri" w:hAnsi="Calibri" w:cs="Calibri"/>
                <w:sz w:val="24"/>
                <w:szCs w:val="24"/>
              </w:rPr>
              <w:t>ontinuous</w:t>
            </w:r>
            <w:r>
              <w:rPr>
                <w:rFonts w:ascii="Calibri" w:hAnsi="Calibri" w:cs="Calibri"/>
                <w:sz w:val="24"/>
                <w:szCs w:val="24"/>
              </w:rPr>
              <w:t>, summary score</w:t>
            </w:r>
          </w:p>
        </w:tc>
        <w:tc>
          <w:tcPr>
            <w:tcW w:w="3245" w:type="dxa"/>
          </w:tcPr>
          <w:p w14:paraId="36178534" w14:textId="2AFC9EFF" w:rsidR="00F06B0F" w:rsidRPr="00F06B0F" w:rsidRDefault="007B06D1" w:rsidP="00F06B0F">
            <w:pPr>
              <w:rPr>
                <w:rFonts w:ascii="Calibri" w:hAnsi="Calibri" w:cs="Calibri"/>
                <w:sz w:val="24"/>
                <w:szCs w:val="24"/>
              </w:rPr>
            </w:pPr>
            <w:r w:rsidRPr="00F06B0F">
              <w:rPr>
                <w:rFonts w:ascii="Calibri" w:hAnsi="Calibri" w:cs="Calibri"/>
                <w:sz w:val="24"/>
                <w:szCs w:val="24"/>
              </w:rPr>
              <w:t>ICECAP-A</w:t>
            </w:r>
          </w:p>
        </w:tc>
      </w:tr>
    </w:tbl>
    <w:p w14:paraId="0E64BDD1" w14:textId="77777777" w:rsidR="003425AD" w:rsidRDefault="003425AD" w:rsidP="00F06B0F">
      <w:pPr>
        <w:pStyle w:val="NoSpacing"/>
        <w:rPr>
          <w:szCs w:val="24"/>
        </w:rPr>
      </w:pPr>
    </w:p>
    <w:p w14:paraId="30593B12" w14:textId="342BC657" w:rsidR="00A014D6" w:rsidRDefault="003425AD" w:rsidP="00BE33C8">
      <w:pPr>
        <w:pStyle w:val="NoSpacing"/>
        <w:rPr>
          <w:szCs w:val="24"/>
        </w:rPr>
      </w:pPr>
      <w:r>
        <w:rPr>
          <w:szCs w:val="24"/>
        </w:rPr>
        <w:t xml:space="preserve"> </w:t>
      </w:r>
      <w:r w:rsidR="00BE33C8">
        <w:rPr>
          <w:szCs w:val="24"/>
        </w:rPr>
        <w:t>(For details and references, see section 6 in the study protocol)</w:t>
      </w:r>
    </w:p>
    <w:p w14:paraId="6DBD3050" w14:textId="77777777" w:rsidR="00BE33C8" w:rsidRPr="00BE33C8" w:rsidRDefault="00BE33C8" w:rsidP="00BE33C8"/>
    <w:p w14:paraId="29CD0C01" w14:textId="6AD9ACBF" w:rsidR="007C3B7E" w:rsidRDefault="007C3B7E" w:rsidP="007C3B7E">
      <w:pPr>
        <w:pStyle w:val="Heading2"/>
      </w:pPr>
      <w:r>
        <w:t>5.2</w:t>
      </w:r>
      <w:r>
        <w:tab/>
        <w:t>Analysis methods</w:t>
      </w:r>
    </w:p>
    <w:p w14:paraId="445DAB86" w14:textId="6026C905" w:rsidR="00D65F6C" w:rsidRPr="00CE7A2C" w:rsidRDefault="00D65F6C" w:rsidP="007E565C">
      <w:pPr>
        <w:pStyle w:val="Heading3"/>
      </w:pPr>
      <w:r w:rsidRPr="00CE7A2C">
        <w:t>Descriptive analyses</w:t>
      </w:r>
    </w:p>
    <w:p w14:paraId="4AFAABB1" w14:textId="72EF62C9" w:rsidR="00D65F6C" w:rsidRPr="00D65F6C" w:rsidRDefault="00D65F6C" w:rsidP="00D65F6C">
      <w:pPr>
        <w:rPr>
          <w:rFonts w:ascii="Calibri" w:hAnsi="Calibri" w:cs="Calibri"/>
          <w:sz w:val="24"/>
          <w:szCs w:val="24"/>
        </w:rPr>
      </w:pPr>
      <w:r w:rsidRPr="00D65F6C">
        <w:rPr>
          <w:rFonts w:ascii="Calibri" w:hAnsi="Calibri" w:cs="Calibri"/>
          <w:sz w:val="24"/>
          <w:szCs w:val="24"/>
        </w:rPr>
        <w:t>See section 4.5 “Baseline characteristics”.</w:t>
      </w:r>
    </w:p>
    <w:p w14:paraId="304B5434" w14:textId="3D4C80B2" w:rsidR="002662E6" w:rsidRPr="00CE7A2C" w:rsidRDefault="002662E6" w:rsidP="007E565C">
      <w:pPr>
        <w:pStyle w:val="Heading3"/>
      </w:pPr>
      <w:r w:rsidRPr="00CE7A2C">
        <w:t>Primary outcome</w:t>
      </w:r>
    </w:p>
    <w:p w14:paraId="736FF517" w14:textId="2F5B67B6" w:rsidR="00D65F6C" w:rsidRDefault="00D65F6C" w:rsidP="002662E6">
      <w:pPr>
        <w:pStyle w:val="NoSpacing"/>
      </w:pPr>
      <w:r w:rsidRPr="00D65F6C">
        <w:t>The mean</w:t>
      </w:r>
      <w:r w:rsidR="003063F0">
        <w:t xml:space="preserve"> and</w:t>
      </w:r>
      <w:r w:rsidR="00B47389">
        <w:t xml:space="preserve"> </w:t>
      </w:r>
      <w:r w:rsidRPr="00D65F6C">
        <w:t xml:space="preserve">SD of weight at baseline and </w:t>
      </w:r>
      <w:r w:rsidR="00C008B7">
        <w:t>4-month</w:t>
      </w:r>
      <w:r w:rsidRPr="00D65F6C">
        <w:t xml:space="preserve"> follow-up will be presented, together with the </w:t>
      </w:r>
      <w:r w:rsidR="00B47389" w:rsidRPr="00D65F6C">
        <w:t>mean</w:t>
      </w:r>
      <w:r w:rsidR="003063F0">
        <w:t xml:space="preserve"> and</w:t>
      </w:r>
      <w:r w:rsidR="00B47389">
        <w:t xml:space="preserve"> </w:t>
      </w:r>
      <w:r w:rsidR="00B47389" w:rsidRPr="00D65F6C">
        <w:t xml:space="preserve">SD </w:t>
      </w:r>
      <w:r w:rsidRPr="00D65F6C">
        <w:t xml:space="preserve">of </w:t>
      </w:r>
      <w:r w:rsidR="00B47389">
        <w:t xml:space="preserve">weight </w:t>
      </w:r>
      <w:r w:rsidRPr="00D65F6C">
        <w:t>change from baseline, separately in each randomised group.</w:t>
      </w:r>
    </w:p>
    <w:p w14:paraId="20C0909F" w14:textId="0C63B7A0" w:rsidR="00B47389" w:rsidRDefault="00B47389" w:rsidP="002662E6">
      <w:pPr>
        <w:pStyle w:val="NoSpacing"/>
      </w:pPr>
    </w:p>
    <w:p w14:paraId="6AB18347" w14:textId="4F56A3E9" w:rsidR="00A656A3" w:rsidRDefault="002662E6" w:rsidP="002662E6">
      <w:pPr>
        <w:pStyle w:val="NoSpacing"/>
      </w:pPr>
      <w:r w:rsidRPr="002662E6">
        <w:t xml:space="preserve">The primary analysis will estimate </w:t>
      </w:r>
      <w:r w:rsidR="00B83A41">
        <w:t xml:space="preserve">baseline-adjusted </w:t>
      </w:r>
      <w:r w:rsidR="006F02C8">
        <w:t xml:space="preserve">differences between the study groups in </w:t>
      </w:r>
      <w:r w:rsidRPr="002662E6">
        <w:t xml:space="preserve">change in weight from baseline to </w:t>
      </w:r>
      <w:r w:rsidR="00F828A9">
        <w:t>4 months</w:t>
      </w:r>
      <w:r w:rsidR="00E96EF6">
        <w:t xml:space="preserve">. We will use </w:t>
      </w:r>
      <w:r w:rsidR="00E3642E" w:rsidRPr="002662E6">
        <w:t xml:space="preserve">a linear </w:t>
      </w:r>
      <w:r w:rsidRPr="002662E6">
        <w:t>regression model</w:t>
      </w:r>
      <w:r w:rsidR="0096242E">
        <w:t xml:space="preserve"> with change in weight as</w:t>
      </w:r>
      <w:r w:rsidR="003063F0">
        <w:t xml:space="preserve"> </w:t>
      </w:r>
      <w:r w:rsidR="0096242E">
        <w:t>the outcome, and</w:t>
      </w:r>
      <w:r w:rsidR="00957BB7">
        <w:t xml:space="preserve"> </w:t>
      </w:r>
      <w:r w:rsidR="0096242E">
        <w:t xml:space="preserve">including </w:t>
      </w:r>
      <w:r w:rsidRPr="002662E6">
        <w:t>baseline weight</w:t>
      </w:r>
      <w:r w:rsidR="00957BB7">
        <w:t xml:space="preserve">, </w:t>
      </w:r>
      <w:r w:rsidRPr="002662E6">
        <w:t>the randomisation stratifiers (sex, BMI classification</w:t>
      </w:r>
      <w:r w:rsidR="00E96EF6">
        <w:t>)</w:t>
      </w:r>
      <w:r w:rsidR="00957BB7">
        <w:t xml:space="preserve"> and </w:t>
      </w:r>
      <w:r w:rsidR="008971AA" w:rsidRPr="008971AA">
        <w:t xml:space="preserve">intervention group as </w:t>
      </w:r>
      <w:r w:rsidR="0096242E">
        <w:t>covariates</w:t>
      </w:r>
      <w:r w:rsidR="00E21393">
        <w:t>.</w:t>
      </w:r>
      <w:r w:rsidR="008971AA" w:rsidRPr="008971AA">
        <w:t xml:space="preserve"> </w:t>
      </w:r>
    </w:p>
    <w:p w14:paraId="34E3D4A0" w14:textId="548C38F0" w:rsidR="005F5A36" w:rsidRDefault="005F5A36" w:rsidP="002662E6">
      <w:pPr>
        <w:pStyle w:val="NoSpacing"/>
      </w:pPr>
    </w:p>
    <w:p w14:paraId="6B7615B6" w14:textId="73551FC2" w:rsidR="00972B55" w:rsidRPr="002662E6" w:rsidRDefault="002662E6" w:rsidP="007E565C">
      <w:pPr>
        <w:pStyle w:val="Heading3"/>
      </w:pPr>
      <w:r w:rsidRPr="002662E6">
        <w:t>Secondary outcomes</w:t>
      </w:r>
    </w:p>
    <w:p w14:paraId="5A18D347" w14:textId="1ABE0AF7" w:rsidR="007216D1" w:rsidRDefault="002662E6" w:rsidP="00327AA3">
      <w:pPr>
        <w:pStyle w:val="NoSpacing"/>
      </w:pPr>
      <w:r w:rsidRPr="002662E6">
        <w:t xml:space="preserve">Continuous secondary outcomes will be analysed using </w:t>
      </w:r>
      <w:r w:rsidR="00A902EE">
        <w:t>the same approach as described for the primary outcome.</w:t>
      </w:r>
      <w:r w:rsidR="00327AA3">
        <w:t xml:space="preserve"> </w:t>
      </w:r>
    </w:p>
    <w:p w14:paraId="07B760C7" w14:textId="77777777" w:rsidR="00F93DDD" w:rsidRDefault="00F93DDD" w:rsidP="00327AA3">
      <w:pPr>
        <w:pStyle w:val="NoSpacing"/>
      </w:pPr>
    </w:p>
    <w:p w14:paraId="5134F37C" w14:textId="7DB4745A" w:rsidR="001C7DCB" w:rsidRPr="001C7DCB" w:rsidRDefault="001C7DCB" w:rsidP="007E565C">
      <w:pPr>
        <w:pStyle w:val="Heading3"/>
      </w:pPr>
      <w:r w:rsidRPr="001C7DCB">
        <w:t>Sub-group analyses</w:t>
      </w:r>
    </w:p>
    <w:p w14:paraId="65677CBA" w14:textId="77777777" w:rsidR="0054427B" w:rsidRDefault="0054427B" w:rsidP="00327AA3">
      <w:pPr>
        <w:pStyle w:val="NoSpacing"/>
      </w:pPr>
      <w:r>
        <w:t xml:space="preserve">All subgroup analyses are exploratory as the study is not powered to detect effects in subgroups of the total sample. Subgroup analyses will therefore be interpreted with caution. </w:t>
      </w:r>
    </w:p>
    <w:p w14:paraId="0EB10D3B" w14:textId="77777777" w:rsidR="0054427B" w:rsidRDefault="0054427B" w:rsidP="00327AA3">
      <w:pPr>
        <w:pStyle w:val="NoSpacing"/>
      </w:pPr>
    </w:p>
    <w:p w14:paraId="0EE09B2B" w14:textId="36981AB4" w:rsidR="001C7DCB" w:rsidRDefault="00261DDA" w:rsidP="00327AA3">
      <w:pPr>
        <w:pStyle w:val="NoSpacing"/>
      </w:pPr>
      <w:r w:rsidRPr="00261DDA">
        <w:lastRenderedPageBreak/>
        <w:t>We will test whether</w:t>
      </w:r>
      <w:r>
        <w:t xml:space="preserve"> intervention effects differ among sub-groups by including interaction terms </w:t>
      </w:r>
      <w:r w:rsidR="008205A9">
        <w:t xml:space="preserve">(i.e. </w:t>
      </w:r>
      <w:r w:rsidR="008205A9" w:rsidRPr="008205A9">
        <w:t>the relevant multiplicative parameters</w:t>
      </w:r>
      <w:r w:rsidR="008205A9">
        <w:t xml:space="preserve">) </w:t>
      </w:r>
      <w:r>
        <w:t xml:space="preserve">in the model for </w:t>
      </w:r>
      <w:r w:rsidR="00CC1476">
        <w:t xml:space="preserve">randomisation </w:t>
      </w:r>
      <w:r>
        <w:t>group by age, gender, education level</w:t>
      </w:r>
      <w:r w:rsidR="008205A9">
        <w:t xml:space="preserve"> (dichotomized into a </w:t>
      </w:r>
      <w:r w:rsidR="008205A9" w:rsidRPr="008205A9">
        <w:t>variable grouping all education categories up to and including A-levels as ‘below post-secondary’ and categories above A-levels as ‘post-secondary and above’)</w:t>
      </w:r>
      <w:r>
        <w:t>, and</w:t>
      </w:r>
      <w:r w:rsidR="008205A9">
        <w:t xml:space="preserve"> baseline</w:t>
      </w:r>
      <w:r>
        <w:t xml:space="preserve"> BMI category (</w:t>
      </w:r>
      <w:r w:rsidR="00DA5340" w:rsidRPr="00DA5340">
        <w:t>25-30, 30-40, 40+</w:t>
      </w:r>
      <w:r>
        <w:t xml:space="preserve">). </w:t>
      </w:r>
      <w:r w:rsidR="004B6EEA" w:rsidRPr="004B6EEA">
        <w:t xml:space="preserve"> </w:t>
      </w:r>
      <w:r w:rsidR="00A32A03">
        <w:t>Where</w:t>
      </w:r>
      <w:r w:rsidR="004B6EEA" w:rsidRPr="004B6EEA">
        <w:t xml:space="preserve"> a</w:t>
      </w:r>
      <w:r w:rsidR="009C4500">
        <w:t xml:space="preserve">n </w:t>
      </w:r>
      <w:r w:rsidR="004B6EEA" w:rsidRPr="004B6EEA">
        <w:t>interaction</w:t>
      </w:r>
      <w:r w:rsidR="009C4500">
        <w:t xml:space="preserve"> (p&lt;0.05)</w:t>
      </w:r>
      <w:r w:rsidR="004B6EEA" w:rsidRPr="004B6EEA">
        <w:t xml:space="preserve"> is identified, the </w:t>
      </w:r>
      <w:r w:rsidR="00CC1476">
        <w:t xml:space="preserve">intervention </w:t>
      </w:r>
      <w:r w:rsidR="004B6EEA" w:rsidRPr="004B6EEA">
        <w:t xml:space="preserve">effect </w:t>
      </w:r>
      <w:r w:rsidR="00782E96">
        <w:t xml:space="preserve">and 95% CIs </w:t>
      </w:r>
      <w:r w:rsidR="004B6EEA" w:rsidRPr="004B6EEA">
        <w:t xml:space="preserve">within each subgroup </w:t>
      </w:r>
      <w:r w:rsidR="00A32A03">
        <w:t>will</w:t>
      </w:r>
      <w:r w:rsidR="004B6EEA" w:rsidRPr="004B6EEA">
        <w:t xml:space="preserve"> be presented</w:t>
      </w:r>
      <w:r w:rsidR="00A32A03">
        <w:t xml:space="preserve"> </w:t>
      </w:r>
      <w:r w:rsidR="00A32A03">
        <w:fldChar w:fldCharType="begin" w:fldLock="1"/>
      </w:r>
      <w:r w:rsidR="004F70CE">
        <w:instrText>ADDIN CSL_CITATION {"citationItems":[{"id":"ITEM-1","itemData":{"DOI":"10.1007/s11121-011-0221-x","ISSN":"13894986","abstract":"In the analysis of prevention and intervention studies, it is often important to investigate whether treatment effects vary among subgroups of patients defined by individual characteristics. These \"subgroup analyses\" can provide information about how best to use a new prevention or intervention program. However, subgroup analyses can be misleading if they test data-driven hypotheses, employ inappropriate statistical methods, or fail to account for multiple testing. These problems have led to a general suspicion of findings from subgroup analyses. This article discusses sound methods for conducting subgroup analyses to detect moderators. Multiple authors have argued that, to assess whether a treatment effect varies across subgroups defined by patient characteristics, analyses should be based on tests for interaction rather than treatment comparisons within the subgroups. We discuss the concept of heterogeneity and its dependence on the metric used to describe treatment effects. We discuss issues of multiple comparisons related to subgroup analyses and the importance of considering multiplicity in the interpretation of results. We also discuss the types of questions that would lead to subgroup analyses and how different scientific goals may affect the study at the design stage. Finally, we discuss subgroup analyses based on post-baseline factors and the complexity associated with this type of subgroup analysis. © 2011 Society for Prevention Research.","author":[{"dropping-particle":"","family":"Wang","given":"Rui","non-dropping-particle":"","parse-names":false,"suffix":""},{"dropping-particle":"","family":"Ware","given":"James H.","non-dropping-particle":"","parse-names":false,"suffix":""}],"container-title":"Prevention Science","id":"ITEM-1","issue":"2","issued":{"date-parts":[["2013"]]},"page":"111-120","publisher":"NIH Public Access","title":"Detecting Moderator Effects Using Subgroup Analyses","type":"article-journal","volume":"14"},"uris":["http://www.mendeley.com/documents/?uuid=bea84095-5ed8-35a2-a855-5db708adbecc"]}],"mendeley":{"formattedCitation":"(5)","plainTextFormattedCitation":"(5)","previouslyFormattedCitation":"(5)"},"properties":{"noteIndex":0},"schema":"https://github.com/citation-style-language/schema/raw/master/csl-citation.json"}</w:instrText>
      </w:r>
      <w:r w:rsidR="00A32A03">
        <w:fldChar w:fldCharType="separate"/>
      </w:r>
      <w:r w:rsidR="00110961" w:rsidRPr="00110961">
        <w:rPr>
          <w:noProof/>
        </w:rPr>
        <w:t>(5)</w:t>
      </w:r>
      <w:r w:rsidR="00A32A03">
        <w:fldChar w:fldCharType="end"/>
      </w:r>
      <w:r w:rsidR="004B6EEA" w:rsidRPr="004B6EEA">
        <w:t>.</w:t>
      </w:r>
      <w:r w:rsidR="00146598">
        <w:t xml:space="preserve"> </w:t>
      </w:r>
      <w:r w:rsidR="009C4500">
        <w:t xml:space="preserve">For </w:t>
      </w:r>
      <w:r w:rsidR="00146598">
        <w:t xml:space="preserve">interaction </w:t>
      </w:r>
      <w:r w:rsidR="00CC1476">
        <w:t>with age</w:t>
      </w:r>
      <w:r w:rsidR="00146598">
        <w:t>, the variable will be split into</w:t>
      </w:r>
      <w:r w:rsidR="00B76098">
        <w:t xml:space="preserve"> </w:t>
      </w:r>
      <w:r w:rsidR="00146598" w:rsidRPr="00146598">
        <w:t>categories</w:t>
      </w:r>
      <w:r w:rsidR="00735CEC">
        <w:t xml:space="preserve"> (early and early middle-aged adults [18-40</w:t>
      </w:r>
      <w:r w:rsidR="00B76098">
        <w:t xml:space="preserve"> years</w:t>
      </w:r>
      <w:r w:rsidR="00735CEC">
        <w:t>] and middle-aged and older adults [&gt;40</w:t>
      </w:r>
      <w:r w:rsidR="00B76098">
        <w:t xml:space="preserve"> years</w:t>
      </w:r>
      <w:r w:rsidR="00735CEC">
        <w:t>]</w:t>
      </w:r>
      <w:r w:rsidR="00110961">
        <w:t xml:space="preserve"> </w:t>
      </w:r>
      <w:r w:rsidR="00110961">
        <w:fldChar w:fldCharType="begin" w:fldLock="1"/>
      </w:r>
      <w:r w:rsidR="004F70CE">
        <w:instrText>ADDIN CSL_CITATION {"citationItems":[{"id":"ITEM-1","itemData":{"DOI":"10.2190/0WTY-XBXJ-GVV9-XWM9","ISSN":"00914150","PMID":"2407664","abstract":"Using a national probability sample, this study examines the impact of social interaction on psychological well-being across stages of adulthood. Quality of social interaction measured by satisfaction with family life and friendship are found to be positively related to well-being of adults in all age groups. A further examination of this positive effect shows that the impact of family and friendship interaction on well-being are similar in each adulthood stage. These findings show that the positive impact of social interaction on psychological well-being is not unique to the elderly population but similar among all stages of adulthood.","author":[{"dropping-particle":"","family":"Ishii-Kuntz","given":"M.","non-dropping-particle":"","parse-names":false,"suffix":""}],"container-title":"International Journal of Aging and Human Development","id":"ITEM-1","issue":"1","issued":{"date-parts":[["1990"]]},"page":"15-36","publisher":"Int J Aging Hum Dev","title":"Social interaction and psychological well-being: Comparison across stages of adulthood","type":"article-journal","volume":"30"},"uris":["http://www.mendeley.com/documents/?uuid=03f35993-ab3e-3ec5-b9a2-c57f4681feea"]}],"mendeley":{"formattedCitation":"(6)","plainTextFormattedCitation":"(6)","previouslyFormattedCitation":"(6)"},"properties":{"noteIndex":0},"schema":"https://github.com/citation-style-language/schema/raw/master/csl-citation.json"}</w:instrText>
      </w:r>
      <w:r w:rsidR="00110961">
        <w:fldChar w:fldCharType="separate"/>
      </w:r>
      <w:r w:rsidR="00110961" w:rsidRPr="00110961">
        <w:rPr>
          <w:noProof/>
        </w:rPr>
        <w:t>(6)</w:t>
      </w:r>
      <w:r w:rsidR="00110961">
        <w:fldChar w:fldCharType="end"/>
      </w:r>
      <w:r w:rsidR="00735CEC">
        <w:t xml:space="preserve">) </w:t>
      </w:r>
      <w:r w:rsidR="00146598" w:rsidRPr="00146598">
        <w:t xml:space="preserve"> </w:t>
      </w:r>
      <w:r w:rsidR="00146598">
        <w:t>to</w:t>
      </w:r>
      <w:r w:rsidR="00146598" w:rsidRPr="00146598">
        <w:t xml:space="preserve"> facilitate interpretation</w:t>
      </w:r>
      <w:r w:rsidR="004B701E">
        <w:t xml:space="preserve"> </w:t>
      </w:r>
      <w:r w:rsidR="004B701E">
        <w:fldChar w:fldCharType="begin" w:fldLock="1"/>
      </w:r>
      <w:r w:rsidR="004F70CE">
        <w:instrText>ADDIN CSL_CITATION {"citationItems":[{"id":"ITEM-1","itemData":{"DOI":"10.1007/s11121-011-0221-x","ISSN":"13894986","abstract":"In the analysis of prevention and intervention studies, it is often important to investigate whether treatment effects vary among subgroups of patients defined by individual characteristics. These \"subgroup analyses\" can provide information about how best to use a new prevention or intervention program. However, subgroup analyses can be misleading if they test data-driven hypotheses, employ inappropriate statistical methods, or fail to account for multiple testing. These problems have led to a general suspicion of findings from subgroup analyses. This article discusses sound methods for conducting subgroup analyses to detect moderators. Multiple authors have argued that, to assess whether a treatment effect varies across subgroups defined by patient characteristics, analyses should be based on tests for interaction rather than treatment comparisons within the subgroups. We discuss the concept of heterogeneity and its dependence on the metric used to describe treatment effects. We discuss issues of multiple comparisons related to subgroup analyses and the importance of considering multiplicity in the interpretation of results. We also discuss the types of questions that would lead to subgroup analyses and how different scientific goals may affect the study at the design stage. Finally, we discuss subgroup analyses based on post-baseline factors and the complexity associated with this type of subgroup analysis. © 2011 Society for Prevention Research.","author":[{"dropping-particle":"","family":"Wang","given":"Rui","non-dropping-particle":"","parse-names":false,"suffix":""},{"dropping-particle":"","family":"Ware","given":"James H.","non-dropping-particle":"","parse-names":false,"suffix":""}],"container-title":"Prevention Science","id":"ITEM-1","issue":"2","issued":{"date-parts":[["2013"]]},"page":"111-120","publisher":"NIH Public Access","title":"Detecting Moderator Effects Using Subgroup Analyses","type":"article-journal","volume":"14"},"uris":["http://www.mendeley.com/documents/?uuid=bea84095-5ed8-35a2-a855-5db708adbecc"]}],"mendeley":{"formattedCitation":"(5)","plainTextFormattedCitation":"(5)","previouslyFormattedCitation":"(5)"},"properties":{"noteIndex":0},"schema":"https://github.com/citation-style-language/schema/raw/master/csl-citation.json"}</w:instrText>
      </w:r>
      <w:r w:rsidR="004B701E">
        <w:fldChar w:fldCharType="separate"/>
      </w:r>
      <w:r w:rsidR="00110961" w:rsidRPr="00110961">
        <w:rPr>
          <w:noProof/>
        </w:rPr>
        <w:t>(5)</w:t>
      </w:r>
      <w:r w:rsidR="004B701E">
        <w:fldChar w:fldCharType="end"/>
      </w:r>
      <w:r w:rsidR="00146598">
        <w:t xml:space="preserve">. </w:t>
      </w:r>
      <w:r w:rsidR="00F93DDD">
        <w:t xml:space="preserve">The categories </w:t>
      </w:r>
      <w:r w:rsidR="00447D18">
        <w:t xml:space="preserve">for BMI and age </w:t>
      </w:r>
      <w:r w:rsidR="00F93DDD">
        <w:t>will be reviewed when the distribution</w:t>
      </w:r>
      <w:r w:rsidR="00447D18">
        <w:t xml:space="preserve"> of these variables</w:t>
      </w:r>
      <w:r w:rsidR="00F93DDD">
        <w:t xml:space="preserve"> is available to avoid creating very unequal groups.</w:t>
      </w:r>
    </w:p>
    <w:p w14:paraId="23B04FD6" w14:textId="6F5F8F0F" w:rsidR="002662E6" w:rsidRDefault="002662E6" w:rsidP="00972B55">
      <w:pPr>
        <w:pStyle w:val="NoSpacing"/>
      </w:pPr>
    </w:p>
    <w:p w14:paraId="40002FCE" w14:textId="0E7F18B4" w:rsidR="00327AA3" w:rsidRPr="00327AA3" w:rsidRDefault="00327AA3" w:rsidP="007E565C">
      <w:pPr>
        <w:pStyle w:val="Heading3"/>
      </w:pPr>
      <w:r w:rsidRPr="00327AA3">
        <w:t>Testing assumptions</w:t>
      </w:r>
    </w:p>
    <w:p w14:paraId="5C29A47C" w14:textId="0869317D" w:rsidR="00A73A19" w:rsidRDefault="00327AA3" w:rsidP="00972B55">
      <w:pPr>
        <w:pStyle w:val="NoSpacing"/>
      </w:pPr>
      <w:r>
        <w:t xml:space="preserve">Prior to analyses, we will </w:t>
      </w:r>
      <w:r w:rsidR="00CC1476">
        <w:t xml:space="preserve">assess </w:t>
      </w:r>
      <w:r>
        <w:t>the assumptions underlying linear</w:t>
      </w:r>
      <w:r w:rsidR="00F93DDD">
        <w:t xml:space="preserve"> </w:t>
      </w:r>
      <w:r>
        <w:t xml:space="preserve">regression. </w:t>
      </w:r>
    </w:p>
    <w:p w14:paraId="262512E0" w14:textId="7751EBFF" w:rsidR="00D274B7" w:rsidRDefault="00D274B7" w:rsidP="00972B55">
      <w:pPr>
        <w:pStyle w:val="NoSpacing"/>
      </w:pPr>
    </w:p>
    <w:p w14:paraId="4F37B227" w14:textId="50448171" w:rsidR="00B0127D" w:rsidRDefault="00D274B7" w:rsidP="00972B55">
      <w:pPr>
        <w:pStyle w:val="NoSpacing"/>
        <w:rPr>
          <w:i/>
          <w:iCs/>
        </w:rPr>
      </w:pPr>
      <w:r w:rsidRPr="00CF52FB">
        <w:rPr>
          <w:b/>
          <w:bCs/>
          <w:i/>
          <w:iCs/>
        </w:rPr>
        <w:t>Linear regression</w:t>
      </w:r>
    </w:p>
    <w:p w14:paraId="5E342D11" w14:textId="6641911E" w:rsidR="00A21BF6" w:rsidRDefault="00A21BF6" w:rsidP="00972B55">
      <w:pPr>
        <w:pStyle w:val="NoSpacing"/>
      </w:pPr>
      <w:r w:rsidRPr="00505912">
        <w:rPr>
          <w:i/>
          <w:iCs/>
        </w:rPr>
        <w:t>Normality</w:t>
      </w:r>
      <w:r w:rsidR="00505912" w:rsidRPr="00505912">
        <w:rPr>
          <w:i/>
          <w:iCs/>
        </w:rPr>
        <w:t xml:space="preserve"> of residuals</w:t>
      </w:r>
      <w:r>
        <w:t xml:space="preserve">: </w:t>
      </w:r>
      <w:r w:rsidR="006E4E64">
        <w:t>Normality w</w:t>
      </w:r>
      <w:r w:rsidR="00505912">
        <w:t xml:space="preserve">ill be </w:t>
      </w:r>
      <w:r w:rsidR="006E4E64">
        <w:t xml:space="preserve">assessed </w:t>
      </w:r>
      <w:r w:rsidR="00840BB0">
        <w:t>by visually inspecting the frequency distribution of the standardised residuals</w:t>
      </w:r>
      <w:r w:rsidR="00505912">
        <w:t xml:space="preserve">. </w:t>
      </w:r>
      <w:r w:rsidR="00A656A3" w:rsidRPr="00A656A3">
        <w:t xml:space="preserve">Variables with a skewed distribution will be log-transformed </w:t>
      </w:r>
      <w:r w:rsidR="00A656A3">
        <w:t>and then re-checked for violations of normality</w:t>
      </w:r>
      <w:r w:rsidR="00A656A3" w:rsidRPr="00A656A3">
        <w:t>.</w:t>
      </w:r>
      <w:r w:rsidR="00A656A3">
        <w:t xml:space="preserve"> </w:t>
      </w:r>
      <w:r>
        <w:t xml:space="preserve">Violations of normality should not affect the validity of the method as our sample size will be large </w:t>
      </w:r>
      <w:r w:rsidR="00505912">
        <w:fldChar w:fldCharType="begin" w:fldLock="1"/>
      </w:r>
      <w:r w:rsidR="004F70CE">
        <w:instrText>ADDIN CSL_CITATION {"citationItems":[{"id":"ITEM-1","itemData":{"DOI":"10.1146/annurev.publhealth.23.100901.140546","ISSN":"0163-7525","abstract":"It is widely but incorrectly believed that the t-test and linear regression are valid only for Normally distributed outcomes. The t-test and linear regression compare the mean of an outcome variable for different subjects. While these are valid even in very small samples if the outcome variable is Normally distributed, their major usefulness comes from the fact that in large samples they are valid for any distribution. We demonstrate this validity by simulation in extremely non-Normal data. We discuss situations in which in other methods such as the Wilcoxon rank sum test and ordinal logistic regression (proportional odds model) have been recommended, and conclude that the t-test and linear regression often provide a convenient and practical alternative. The major limitation on the t-test and linear regression for inference about associations is not a distributional one, but whether detecting and estimating a difference in the mean of the outcome answers the scientific question at hand.","author":[{"dropping-particle":"","family":"Lumley","given":"Thomas","non-dropping-particle":"","parse-names":false,"suffix":""},{"dropping-particle":"","family":"Diehr","given":"Paula","non-dropping-particle":"","parse-names":false,"suffix":""},{"dropping-particle":"","family":"Emerson","given":"Scott","non-dropping-particle":"","parse-names":false,"suffix":""},{"dropping-particle":"","family":"Chen","given":"Lu","non-dropping-particle":"","parse-names":false,"suffix":""}],"container-title":"Annual Review of Public Health","id":"ITEM-1","issue":"1","issued":{"date-parts":[["2002","5"]]},"page":"151-169","publisher":"Annual Reviews","title":"The Importance of the Normality Assumption in Large Public Health Data Sets","type":"article-journal","volume":"23"},"uris":["http://www.mendeley.com/documents/?uuid=0d5049ec-2574-3f19-a8cd-1b2022aea34e"]}],"mendeley":{"formattedCitation":"(7)","plainTextFormattedCitation":"(7)","previouslyFormattedCitation":"(7)"},"properties":{"noteIndex":0},"schema":"https://github.com/citation-style-language/schema/raw/master/csl-citation.json"}</w:instrText>
      </w:r>
      <w:r w:rsidR="00505912">
        <w:fldChar w:fldCharType="separate"/>
      </w:r>
      <w:r w:rsidR="00110961" w:rsidRPr="00110961">
        <w:rPr>
          <w:noProof/>
        </w:rPr>
        <w:t>(7)</w:t>
      </w:r>
      <w:r w:rsidR="00505912">
        <w:fldChar w:fldCharType="end"/>
      </w:r>
      <w:r w:rsidR="00505912">
        <w:t xml:space="preserve">. </w:t>
      </w:r>
    </w:p>
    <w:p w14:paraId="66CE5BEA" w14:textId="15A91A98" w:rsidR="00B76098" w:rsidRDefault="00B76098" w:rsidP="00972B55">
      <w:pPr>
        <w:pStyle w:val="NoSpacing"/>
      </w:pPr>
    </w:p>
    <w:p w14:paraId="178286D4" w14:textId="60EE7581" w:rsidR="00A73A19" w:rsidRDefault="00B76098" w:rsidP="00972B55">
      <w:pPr>
        <w:pStyle w:val="NoSpacing"/>
      </w:pPr>
      <w:r w:rsidRPr="00B76098">
        <w:rPr>
          <w:i/>
          <w:iCs/>
        </w:rPr>
        <w:t>Heteroscedasticity</w:t>
      </w:r>
      <w:r>
        <w:t xml:space="preserve">: Heteroscedasticity will be explored by visually examining the </w:t>
      </w:r>
      <w:r w:rsidRPr="00505912">
        <w:t>regression plot plotting the standardized residuals of the outcome against the standardized predicted values of the model</w:t>
      </w:r>
      <w:r>
        <w:t>.</w:t>
      </w:r>
    </w:p>
    <w:p w14:paraId="35B7C217" w14:textId="77777777" w:rsidR="002662E6" w:rsidRDefault="002662E6" w:rsidP="00972B55">
      <w:pPr>
        <w:pStyle w:val="NoSpacing"/>
      </w:pPr>
    </w:p>
    <w:p w14:paraId="2B02AA5D" w14:textId="4626A2AE" w:rsidR="00972B55" w:rsidRPr="007E565C" w:rsidRDefault="00972B55" w:rsidP="007E565C">
      <w:pPr>
        <w:pStyle w:val="Heading3"/>
      </w:pPr>
      <w:r w:rsidRPr="007E565C">
        <w:t>Missing data</w:t>
      </w:r>
    </w:p>
    <w:p w14:paraId="5174C9E6" w14:textId="020DA12D" w:rsidR="007E7C7D" w:rsidRPr="007E7C7D" w:rsidRDefault="007E7C7D" w:rsidP="00972B55">
      <w:pPr>
        <w:pStyle w:val="NoSpacing"/>
        <w:rPr>
          <w:b/>
          <w:bCs/>
          <w:i/>
          <w:iCs/>
        </w:rPr>
      </w:pPr>
      <w:r w:rsidRPr="007E7C7D">
        <w:rPr>
          <w:b/>
          <w:bCs/>
          <w:i/>
          <w:iCs/>
        </w:rPr>
        <w:t xml:space="preserve">Missing values of </w:t>
      </w:r>
      <w:r w:rsidR="004F70CE">
        <w:rPr>
          <w:b/>
          <w:bCs/>
          <w:i/>
          <w:iCs/>
        </w:rPr>
        <w:t>weight</w:t>
      </w:r>
      <w:r w:rsidRPr="007E7C7D">
        <w:rPr>
          <w:b/>
          <w:bCs/>
          <w:i/>
          <w:iCs/>
        </w:rPr>
        <w:t xml:space="preserve"> at baseline</w:t>
      </w:r>
    </w:p>
    <w:p w14:paraId="065B9EF3" w14:textId="16B922A3" w:rsidR="007E7C7D" w:rsidRDefault="007E7C7D" w:rsidP="00972B55">
      <w:pPr>
        <w:pStyle w:val="NoSpacing"/>
      </w:pPr>
      <w:r>
        <w:t>P</w:t>
      </w:r>
      <w:r w:rsidRPr="007E7C7D">
        <w:t xml:space="preserve">articipants with a missing baseline value of </w:t>
      </w:r>
      <w:r>
        <w:t>weight</w:t>
      </w:r>
      <w:r w:rsidRPr="007E7C7D">
        <w:t xml:space="preserve"> will be included in the analysis using the missing indicator method</w:t>
      </w:r>
      <w:r w:rsidR="004F70CE">
        <w:t xml:space="preserve"> </w:t>
      </w:r>
      <w:r w:rsidR="004F70CE">
        <w:fldChar w:fldCharType="begin" w:fldLock="1"/>
      </w:r>
      <w:r w:rsidR="004F70CE">
        <w:instrText>ADDIN CSL_CITATION {"citationItems":[{"id":"ITEM-1","itemData":{"DOI":"10.1002/sim.1981","ISSN":"02776715","PMID":"15570623","abstract":"Adjustment for baseline variables in a randomized trial can increase power to detect a treatment effect. However, when baseline data are partly missing, analysis of complete cases is inefficient. We consider various possible improvements in the case of normally distributed baseline and outcome variables. Joint modelling of baseline and outcome is the most efficient method. Mean imputation is an excellent alternative, subject to three conditions. Firstly, if baseline and outcome are correlated more than about 0.6 then weighting should be used to allow for the greater information from complete cases. Secondly, imputation should be carried out in a deterministic way, using other baseline variables if possible, but not using randomized arm or outcome. Thirdly, if baselines are not missing completely at random, then a dummy variable for missingness should be included as a covariate (the missing indicator method). The methods are illustrated in a randomized trial in community psychiatry. Copyright © 2004 John Wiley &amp; Sons, Ltd.","author":[{"dropping-particle":"","family":"White","given":"Ian R.","non-dropping-particle":"","parse-names":false,"suffix":""},{"dropping-particle":"","family":"Thompson","given":"Simon G.","non-dropping-particle":"","parse-names":false,"suffix":""}],"container-title":"Statistics in Medicine","id":"ITEM-1","issue":"7","issued":{"date-parts":[["2005","4","15"]]},"page":"993-1007","publisher":"John Wiley &amp; Sons, Ltd","title":"Adjusting for partially missing baseline measurements in randomized trials","type":"article-journal","volume":"24"},"uris":["http://www.mendeley.com/documents/?uuid=0dad2d45-c483-3284-ab86-4c19ab5dd214"]}],"mendeley":{"formattedCitation":"(8)","plainTextFormattedCitation":"(8)"},"properties":{"noteIndex":0},"schema":"https://github.com/citation-style-language/schema/raw/master/csl-citation.json"}</w:instrText>
      </w:r>
      <w:r w:rsidR="004F70CE">
        <w:fldChar w:fldCharType="separate"/>
      </w:r>
      <w:r w:rsidR="004F70CE" w:rsidRPr="004F70CE">
        <w:rPr>
          <w:noProof/>
        </w:rPr>
        <w:t>(8)</w:t>
      </w:r>
      <w:r w:rsidR="004F70CE">
        <w:fldChar w:fldCharType="end"/>
      </w:r>
      <w:r w:rsidRPr="007E7C7D">
        <w:t>, which is a valid method for pre-randomisation measures in trials, ensuring that, other than participants with missing outcome data (see below), no further participants are excluded, thereby maximising precision of the effect size estimates.</w:t>
      </w:r>
    </w:p>
    <w:p w14:paraId="49FE339F" w14:textId="088E3286" w:rsidR="007E7C7D" w:rsidRDefault="007E7C7D" w:rsidP="00972B55">
      <w:pPr>
        <w:pStyle w:val="NoSpacing"/>
      </w:pPr>
    </w:p>
    <w:p w14:paraId="5234EA36" w14:textId="5C5AA4D4" w:rsidR="007E7C7D" w:rsidRPr="007E7C7D" w:rsidRDefault="007E7C7D" w:rsidP="00F93DDD">
      <w:pPr>
        <w:pStyle w:val="NoSpacing"/>
        <w:keepNext/>
        <w:rPr>
          <w:b/>
          <w:bCs/>
          <w:i/>
          <w:iCs/>
        </w:rPr>
      </w:pPr>
      <w:r w:rsidRPr="007E7C7D">
        <w:rPr>
          <w:b/>
          <w:bCs/>
          <w:i/>
          <w:iCs/>
        </w:rPr>
        <w:t xml:space="preserve">Missing values of </w:t>
      </w:r>
      <w:r w:rsidR="004F70CE">
        <w:rPr>
          <w:b/>
          <w:bCs/>
          <w:i/>
          <w:iCs/>
        </w:rPr>
        <w:t>weight</w:t>
      </w:r>
      <w:r w:rsidRPr="007E7C7D">
        <w:rPr>
          <w:b/>
          <w:bCs/>
          <w:i/>
          <w:iCs/>
        </w:rPr>
        <w:t xml:space="preserve"> at </w:t>
      </w:r>
      <w:r w:rsidR="00E97373">
        <w:rPr>
          <w:b/>
          <w:bCs/>
          <w:i/>
          <w:iCs/>
        </w:rPr>
        <w:t>4 months</w:t>
      </w:r>
    </w:p>
    <w:p w14:paraId="756EFAE9" w14:textId="75E18412" w:rsidR="005F5A36" w:rsidRDefault="00C95B93" w:rsidP="00972B55">
      <w:pPr>
        <w:pStyle w:val="NoSpacing"/>
      </w:pPr>
      <w:r>
        <w:t xml:space="preserve">We will present baseline characteristics of participants with missing outcome data at follow-up and compare these with characteristics of participants without missing data. </w:t>
      </w:r>
      <w:r w:rsidR="00972B55" w:rsidRPr="005F506A">
        <w:t xml:space="preserve">Participants with missing values of weight at </w:t>
      </w:r>
      <w:r w:rsidR="00E97373">
        <w:t>4 months</w:t>
      </w:r>
      <w:r w:rsidR="00972B55" w:rsidRPr="005F506A">
        <w:t xml:space="preserve"> will be excluded (i</w:t>
      </w:r>
      <w:r w:rsidR="007E565C">
        <w:t>.</w:t>
      </w:r>
      <w:r w:rsidR="00972B55" w:rsidRPr="005F506A">
        <w:t>e</w:t>
      </w:r>
      <w:r w:rsidR="007E565C">
        <w:t>.</w:t>
      </w:r>
      <w:r w:rsidR="00972B55" w:rsidRPr="005F506A">
        <w:t xml:space="preserve">, a complete-case analysis which assumes outcome data are missing </w:t>
      </w:r>
      <w:r w:rsidR="00C21F67">
        <w:t xml:space="preserve">completely </w:t>
      </w:r>
      <w:r w:rsidR="00972B55" w:rsidRPr="005F506A">
        <w:t xml:space="preserve">at random). </w:t>
      </w:r>
    </w:p>
    <w:p w14:paraId="4258D352" w14:textId="77777777" w:rsidR="005F5A36" w:rsidRDefault="005F5A36" w:rsidP="00972B55">
      <w:pPr>
        <w:pStyle w:val="NoSpacing"/>
      </w:pPr>
    </w:p>
    <w:p w14:paraId="533BBE48" w14:textId="3C333988" w:rsidR="00972B55" w:rsidRPr="005F506A" w:rsidRDefault="00972B55" w:rsidP="00972B55">
      <w:pPr>
        <w:pStyle w:val="NoSpacing"/>
      </w:pPr>
      <w:r w:rsidRPr="005F506A">
        <w:t xml:space="preserve">If there are </w:t>
      </w:r>
      <w:r w:rsidR="00E97373">
        <w:rPr>
          <w:rFonts w:cs="Calibri"/>
        </w:rPr>
        <w:t>&gt;</w:t>
      </w:r>
      <w:r w:rsidR="005E37F8" w:rsidRPr="005F506A">
        <w:rPr>
          <w:rFonts w:cs="Calibri"/>
        </w:rPr>
        <w:t xml:space="preserve"> </w:t>
      </w:r>
      <w:r w:rsidRPr="005F506A">
        <w:t>5% of participants with missing values of weight</w:t>
      </w:r>
      <w:r w:rsidR="00E97373">
        <w:t xml:space="preserve"> at 4-month follow-up</w:t>
      </w:r>
      <w:r w:rsidRPr="005F506A">
        <w:t>, a sensitivity analysis will be performed using multiple imputation by chained equations</w:t>
      </w:r>
      <w:r w:rsidR="00A56458" w:rsidRPr="005F506A">
        <w:t xml:space="preserve"> (MICE)</w:t>
      </w:r>
      <w:r w:rsidRPr="005F506A">
        <w:t xml:space="preserve"> – this </w:t>
      </w:r>
      <w:r w:rsidR="00F91BDF">
        <w:t>assume</w:t>
      </w:r>
      <w:r w:rsidR="00E97373">
        <w:t>s</w:t>
      </w:r>
      <w:r w:rsidR="00F91BDF">
        <w:t xml:space="preserve"> data are </w:t>
      </w:r>
      <w:r w:rsidRPr="005F506A">
        <w:t>missing at random.</w:t>
      </w:r>
      <w:r w:rsidR="00A56458" w:rsidRPr="005F506A">
        <w:t xml:space="preserve"> </w:t>
      </w:r>
      <w:r w:rsidR="00E97373">
        <w:t>The multiple imputation model will i</w:t>
      </w:r>
      <w:r w:rsidR="00E97373" w:rsidRPr="00E97373">
        <w:t xml:space="preserve">nclude values of </w:t>
      </w:r>
      <w:r w:rsidR="00E97373">
        <w:t>weight</w:t>
      </w:r>
      <w:r w:rsidR="00E97373" w:rsidRPr="00E97373">
        <w:t xml:space="preserve"> at </w:t>
      </w:r>
      <w:r w:rsidR="00E97373">
        <w:t>baseline</w:t>
      </w:r>
      <w:r w:rsidR="00E97373" w:rsidRPr="00E97373">
        <w:t xml:space="preserve"> as well as other baseline characteristics that have univariate associations with missingness (p&lt;0.2).</w:t>
      </w:r>
      <w:r w:rsidR="00E97373">
        <w:t xml:space="preserve"> </w:t>
      </w:r>
      <w:r w:rsidR="00A56458" w:rsidRPr="005F506A">
        <w:t xml:space="preserve">MICE involves imputing missing values based on regression models using the remaining variables in the data. This is repeated for a number of cycles to create multiple imputed datasets. </w:t>
      </w:r>
      <w:r w:rsidR="00E3642E" w:rsidRPr="005F506A">
        <w:t>Analyses are then performed on these imputed</w:t>
      </w:r>
      <w:r w:rsidR="00A56458" w:rsidRPr="005F506A">
        <w:t xml:space="preserve"> datasets</w:t>
      </w:r>
      <w:r w:rsidR="00E3642E" w:rsidRPr="005F506A">
        <w:t xml:space="preserve"> and results</w:t>
      </w:r>
      <w:r w:rsidR="00A56458" w:rsidRPr="005F506A">
        <w:t xml:space="preserve"> are pooled. We will run the MICE procedure with 10 </w:t>
      </w:r>
      <w:r w:rsidR="00A56458" w:rsidRPr="005F506A">
        <w:lastRenderedPageBreak/>
        <w:t>cycles</w:t>
      </w:r>
      <w:r w:rsidR="00F01E98" w:rsidRPr="005F506A">
        <w:t>/iterations</w:t>
      </w:r>
      <w:r w:rsidR="00A56458" w:rsidRPr="005F506A">
        <w:t xml:space="preserve"> per dataset, to create </w:t>
      </w:r>
      <w:r w:rsidR="005B0476" w:rsidRPr="005F506A">
        <w:t>20</w:t>
      </w:r>
      <w:r w:rsidR="00A56458" w:rsidRPr="005F506A">
        <w:t xml:space="preserve"> imputed datasets </w:t>
      </w:r>
      <w:r w:rsidR="00A56458" w:rsidRPr="005F506A">
        <w:fldChar w:fldCharType="begin" w:fldLock="1"/>
      </w:r>
      <w:r w:rsidR="004F70CE">
        <w:instrText>ADDIN CSL_CITATION {"citationItems":[{"id":"ITEM-1","itemData":{"DOI":"10.1002/mpr.329","ISSN":"10498931","abstract":"Multivariate imputation by chained equations (MICE) has emerged as a principled method of dealing with missing data. Despite properties that make MICE particularly useful for large imputation procedures and advances in software development that now make it accessible to many researchers, many psychiatric researchers have not been trained in these methods and few practical resources exist to guide researchers in the implementation of this technique. This paper provides an introduction to the MICE method with a focus on practical aspects and challenges in using this method. A brief review of software programs available to implement MICE and then analyze multiply imputed data is also provided. © 2011 John Wiley &amp; Sons, Ltd.","author":[{"dropping-particle":"","family":"Azur","given":"Melissa J.","non-dropping-particle":"","parse-names":false,"suffix":""},{"dropping-particle":"","family":"Stuart","given":"Elizabeth A.","non-dropping-particle":"","parse-names":false,"suffix":""},{"dropping-particle":"","family":"Frangakis","given":"Constantine","non-dropping-particle":"","parse-names":false,"suffix":""},{"dropping-particle":"","family":"Leaf","given":"Philip J.","non-dropping-particle":"","parse-names":false,"suffix":""}],"container-title":"International Journal of Methods in Psychiatric Research","id":"ITEM-1","issue":"1","issued":{"date-parts":[["2011","3"]]},"page":"40-49","publisher":"Wiley-Blackwell","title":"Multiple imputation by chained equations: What is it and how does it work?","type":"article-journal","volume":"20"},"uris":["http://www.mendeley.com/documents/?uuid=2a0a2dbb-5520-35df-a9e7-90d9f5c15124"]},{"id":"ITEM-2","itemData":{"DOI":"10.1007/s11121-007-0070-9","ISSN":"13894986","PMID":"17549635","abstract":"Multiple imputation (MI) and full information maximum likelihood (FIML) are the two most common approaches to missing data analysis. In theory, MI and FIML are equivalent when identical models are tested using the same variables, and when m, the number of imputations performed with MI, approaches infinity. However, it is important to know how many imputations are necessary before MI and FIML are sufficiently equivalent in ways that are important to prevention scientists. MI theory suggests that small values of m, even on the order of three to five imputations, yield excellent results. Previous guidelines for sufficient m are based on relative efficiency, which involves the fraction of missing information (γ) for the parameter being estimated, and m. In the present study, we used a Monte Carlo simulation to test MI models across several scenarios in which γ and m were varied. Standard errors and p-values for the regression coefficient of interest varied as a function of m, but not at the same rate as relative efficiency. Most importantly, statistical power for small effect sizes diminished as m became smaller, and the rate of this power falloff was much greater than predicted by changes in relative efficiency. Based our findings, we recommend that researchers using MI should perform many more imputations than previously considered sufficient. These recommendations are based on γ, and take into consideration one's tolerance for a preventable power falloff (compared to FIML) due to using too few imputations. © 2007 Society of Prevention Research.","author":[{"dropping-particle":"","family":"Graham","given":"John W.","non-dropping-particle":"","parse-names":false,"suffix":""},{"dropping-particle":"","family":"Olchowski","given":"Allison E.","non-dropping-particle":"","parse-names":false,"suffix":""},{"dropping-particle":"","family":"Gilreath","given":"Tamika D.","non-dropping-particle":"","parse-names":false,"suffix":""}],"container-title":"Prevention Science","id":"ITEM-2","issue":"3","issued":{"date-parts":[["2007","9","5"]]},"page":"206-213","publisher":"Springer","title":"How many imputations are really needed? Some practical clarifications of multiple imputation theory","type":"article-journal","volume":"8"},"uris":["http://www.mendeley.com/documents/?uuid=8e009609-f2f8-37ad-a11f-57f72b11017a"]}],"mendeley":{"formattedCitation":"(9,10)","plainTextFormattedCitation":"(9,10)","previouslyFormattedCitation":"(8,9)"},"properties":{"noteIndex":0},"schema":"https://github.com/citation-style-language/schema/raw/master/csl-citation.json"}</w:instrText>
      </w:r>
      <w:r w:rsidR="00A56458" w:rsidRPr="005F506A">
        <w:fldChar w:fldCharType="separate"/>
      </w:r>
      <w:r w:rsidR="004F70CE" w:rsidRPr="004F70CE">
        <w:rPr>
          <w:noProof/>
        </w:rPr>
        <w:t>(9,10)</w:t>
      </w:r>
      <w:r w:rsidR="00A56458" w:rsidRPr="005F506A">
        <w:fldChar w:fldCharType="end"/>
      </w:r>
      <w:r w:rsidR="00A56458" w:rsidRPr="005F506A">
        <w:t xml:space="preserve">. </w:t>
      </w:r>
      <w:r w:rsidR="00F01E98" w:rsidRPr="005F506A">
        <w:t xml:space="preserve">Analyses will then be run on the imputed datasets and pooled by Rubin’s rules </w:t>
      </w:r>
      <w:r w:rsidR="00F01E98" w:rsidRPr="005F506A">
        <w:fldChar w:fldCharType="begin" w:fldLock="1"/>
      </w:r>
      <w:r w:rsidR="004F70CE">
        <w:instrText>ADDIN CSL_CITATION {"citationItems":[{"id":"ITEM-1","itemData":{"DOI":"10.1002/9780470316696","ISBN":"9780470316696","abstract":"This title demonstrates how nonresponse in sample surveys and censuses can be handled by replacing each missing value with two or more multiple imputations. It clearly illustrates the advantages of modern computing to handle such key surveys, and demonstrates the benefit of this statistical technique. Demonstrates how nonresponse in sample surveys and censuses can be handled by replacing each missing value with two or more multiple imputations. Clearly illustrates the advantages of modern computing to such handle surveys, and demonstrates the benefit of this statistical technique for researchers who must analyze them. Also presents the background for Bayesian and frequentist theory. After establishing that only standard complete-data methods are needed to analyze a multiply-imputed set, the text evaluates procedures in general circumstances, outlining specific procedures for creating imputations in both the ignorable and nonignorable cases. Examples and exercises reinforce ideas, and the interplay of Bayesian and frequentist ideas presents a unified picture of modern statistics. The Wiley Classics Library consists of selected books that have become recognized classics in their respective fields. With these new unabridged and inexpensive editions, Wiley hopes to extend the life of these important works by making them available to future generations of mathematicians and scientists.","author":[{"dropping-particle":"","family":"Rubin","given":"Donald B.","non-dropping-particle":"","parse-names":false,"suffix":""}],"collection-title":"Wiley Series in Probability and Statistics","editor":[{"dropping-particle":"","family":"Rubin","given":"Donald B.","non-dropping-particle":"","parse-names":false,"suffix":""}],"id":"ITEM-1","issued":{"date-parts":[["1987","6","9"]]},"publisher":"John Wiley &amp; Sons, Inc.","publisher-place":"Hoboken, NJ, USA","title":"Multiple Imputation for Nonresponse in Surveys","type":"book"},"uris":["http://www.mendeley.com/documents/?uuid=971bfcdb-a8cd-38db-92df-cdfd18f510f5"]}],"mendeley":{"formattedCitation":"(11)","plainTextFormattedCitation":"(11)","previouslyFormattedCitation":"(10)"},"properties":{"noteIndex":0},"schema":"https://github.com/citation-style-language/schema/raw/master/csl-citation.json"}</w:instrText>
      </w:r>
      <w:r w:rsidR="00F01E98" w:rsidRPr="005F506A">
        <w:fldChar w:fldCharType="separate"/>
      </w:r>
      <w:r w:rsidR="004F70CE" w:rsidRPr="004F70CE">
        <w:rPr>
          <w:noProof/>
        </w:rPr>
        <w:t>(11)</w:t>
      </w:r>
      <w:r w:rsidR="00F01E98" w:rsidRPr="005F506A">
        <w:fldChar w:fldCharType="end"/>
      </w:r>
      <w:r w:rsidR="00F01E98" w:rsidRPr="005F506A">
        <w:t xml:space="preserve">. </w:t>
      </w:r>
    </w:p>
    <w:p w14:paraId="09D480D7" w14:textId="09087499" w:rsidR="00A56458" w:rsidRPr="005F506A" w:rsidRDefault="00A56458" w:rsidP="00972B55">
      <w:pPr>
        <w:pStyle w:val="NoSpacing"/>
      </w:pPr>
    </w:p>
    <w:p w14:paraId="53C95D55" w14:textId="664D75F1" w:rsidR="005E37F8" w:rsidRDefault="005E37F8" w:rsidP="00972B55">
      <w:pPr>
        <w:pStyle w:val="NoSpacing"/>
        <w:rPr>
          <w:color w:val="00B050"/>
        </w:rPr>
      </w:pPr>
    </w:p>
    <w:p w14:paraId="44B2904B" w14:textId="4202D0E3" w:rsidR="00721E92" w:rsidRPr="00721E92" w:rsidRDefault="00721E92" w:rsidP="007E565C">
      <w:pPr>
        <w:pStyle w:val="Heading3"/>
      </w:pPr>
      <w:r w:rsidRPr="00721E92">
        <w:t>Sensitivity analyses</w:t>
      </w:r>
      <w:r w:rsidR="00845A6D">
        <w:t xml:space="preserve"> </w:t>
      </w:r>
    </w:p>
    <w:p w14:paraId="6B76AC44" w14:textId="7032FD77" w:rsidR="00721E92" w:rsidRDefault="00721E92" w:rsidP="00972B55">
      <w:pPr>
        <w:pStyle w:val="NoSpacing"/>
      </w:pPr>
      <w:r w:rsidRPr="00721E92">
        <w:t xml:space="preserve">We will </w:t>
      </w:r>
      <w:r>
        <w:t>conduct a sensitivity analysis with imputed missing data as described above</w:t>
      </w:r>
      <w:r w:rsidR="004A50CD" w:rsidRPr="004A50CD">
        <w:t xml:space="preserve"> </w:t>
      </w:r>
      <w:r w:rsidR="004A50CD">
        <w:t>We will also undertake a sensitivity analysis by including only those in the intervention group who completed</w:t>
      </w:r>
      <w:r w:rsidR="00A627F1">
        <w:t xml:space="preserve"> the first 4 sessions, and those who completed</w:t>
      </w:r>
      <w:r w:rsidR="004A50CD">
        <w:t xml:space="preserve"> </w:t>
      </w:r>
      <w:r w:rsidR="00276054">
        <w:t xml:space="preserve">at least 2/3 of the </w:t>
      </w:r>
      <w:r w:rsidR="004A50CD">
        <w:t>intervention</w:t>
      </w:r>
      <w:r w:rsidR="004A50CD" w:rsidDel="004A50CD">
        <w:t xml:space="preserve"> </w:t>
      </w:r>
      <w:r w:rsidR="009E1DCE">
        <w:t>(</w:t>
      </w:r>
      <w:r w:rsidR="00276054">
        <w:t xml:space="preserve">i.e. </w:t>
      </w:r>
      <w:r w:rsidR="00EE3E3C">
        <w:t>8</w:t>
      </w:r>
      <w:r w:rsidR="009E1DCE">
        <w:t xml:space="preserve"> sessions)</w:t>
      </w:r>
      <w:r w:rsidR="009E1DCE">
        <w:rPr>
          <w:rStyle w:val="EndnoteReference"/>
        </w:rPr>
        <w:endnoteReference w:id="1"/>
      </w:r>
      <w:r>
        <w:t xml:space="preserve">, to assess whether the findings are influenced by the </w:t>
      </w:r>
      <w:r w:rsidRPr="00721E92">
        <w:t>degree of compliance</w:t>
      </w:r>
      <w:r>
        <w:t>.</w:t>
      </w:r>
    </w:p>
    <w:p w14:paraId="01C2A878" w14:textId="23C5BBF1" w:rsidR="00CE7A2C" w:rsidRDefault="00CE7A2C" w:rsidP="00972B55">
      <w:pPr>
        <w:pStyle w:val="NoSpacing"/>
      </w:pPr>
    </w:p>
    <w:p w14:paraId="2E606EC6" w14:textId="020CB02F" w:rsidR="008271FD" w:rsidRDefault="008271FD" w:rsidP="008271FD">
      <w:pPr>
        <w:pStyle w:val="Heading2"/>
      </w:pPr>
      <w:r>
        <w:t>5.3</w:t>
      </w:r>
      <w:r>
        <w:tab/>
        <w:t>Safety data</w:t>
      </w:r>
    </w:p>
    <w:p w14:paraId="3BCFB093" w14:textId="1EEE5155" w:rsidR="00DA5340" w:rsidRPr="00DA5340" w:rsidRDefault="00DA5340" w:rsidP="00DA5340">
      <w:pPr>
        <w:rPr>
          <w:rFonts w:ascii="Calibri" w:hAnsi="Calibri" w:cs="Calibri"/>
          <w:sz w:val="24"/>
          <w:szCs w:val="24"/>
        </w:rPr>
      </w:pPr>
      <w:r w:rsidRPr="00DA5340">
        <w:rPr>
          <w:rFonts w:ascii="Calibri" w:hAnsi="Calibri" w:cs="Calibri"/>
          <w:sz w:val="24"/>
          <w:szCs w:val="24"/>
        </w:rPr>
        <w:t>This is a low risk trial with little reason to consider that adverse events would arise as a result of following any one of the interventions. Accordingly no formal adverse event monitoring is planned</w:t>
      </w:r>
      <w:r>
        <w:rPr>
          <w:rFonts w:ascii="Calibri" w:hAnsi="Calibri" w:cs="Calibri"/>
          <w:sz w:val="24"/>
          <w:szCs w:val="24"/>
        </w:rPr>
        <w:t xml:space="preserve"> </w:t>
      </w:r>
      <w:r>
        <w:rPr>
          <w:rFonts w:ascii="Calibri" w:hAnsi="Calibri" w:cs="Calibri"/>
          <w:sz w:val="24"/>
          <w:szCs w:val="24"/>
        </w:rPr>
        <w:fldChar w:fldCharType="begin" w:fldLock="1"/>
      </w:r>
      <w:r w:rsidR="004F70CE">
        <w:rPr>
          <w:rFonts w:ascii="Calibri" w:hAnsi="Calibri" w:cs="Calibri"/>
          <w:sz w:val="24"/>
          <w:szCs w:val="24"/>
        </w:rPr>
        <w:instrText>ADDIN CSL_CITATION {"citationItems":[{"id":"ITEM-1","itemData":{"DOI":"10.1186/1471-2458-14-620","ISSN":"14712458","PMID":"24943673","abstract":"Background: Recent trials demonstrate the acceptability and short term efficacy of primary care referral to a commercial weight loss provider for weight management. Commissioners now need information on the optimal duration of intervention and the longer term outcomes and cost effectiveness of such treatment to give best value for money. Methods/Design. This multicentre, randomised controlled trial with a parallel design will recruit 1200 overweight adults (BMI ≥28 kg/m2) through their primary care provider. They will be randomised in a 2:5:5 allocation to: Brief Intervention, Commercial Programme for 12 weeks, or Commercial Programme for 52 weeks. Participants will be followed up for two years, with assessments at 0, 3, 12 and 24 months. The sequential primary research questions are whether the CP interventions achieve significantly greater weight loss from baseline to 12 months than BI, and whether CP52 achieves significantly greater weight loss from baseline to 12 months than CP12. The primary outcomes will be an intention to treat analysis of between treatment differences in body weight at 12 months. Clinical effectiveness will be also be assessed by measures of weight, fat mass, and blood pressure at each time point and biochemical risk factors at 12 months. Self-report questionnaires will collect data on psychosocial factors associated with adherence, weight-loss and weight-loss maintenance. A within-trial and long-term cost-effectiveness analysis will be conducted from an NHS perspective. Qualitative methods will be used to examine the participant experience. Discussion. The current trial compares the clinical and cost effectiveness of referral to a commercial provider with a brief intervention. This trial will specifically examine whether providing longer weight-loss treatment without altering content or intensity (12 months commercial referral vs. 12 weeks) leads to greater weight loss at one year and is sustained at 2 years. It will also evaluate the relative cost-effectiveness of the three interventions. This study has direct implications for primary care practice in the UK and will provide important information to inform the decisions of practitioners and commissioners about service provision. © 2014 Ahern et al.; licensee BioMed Central Ltd.","author":[{"dropping-particle":"","family":"Ahern","given":"Amy L.","non-dropping-particle":"","parse-names":false,"suffix":""},{"dropping-particle":"","family":"Aveyard","given":"Paul N.","non-dropping-particle":"","parse-names":false,"suffix":""},{"dropping-particle":"","family":"Halford","given":"Jason Cg","non-dropping-particle":"","parse-names":false,"suffix":""},{"dropping-particle":"","family":"Mander","given":"Adrian","non-dropping-particle":"","parse-names":false,"suffix":""},{"dropping-particle":"","family":"Cresswell","given":"Lynne","non-dropping-particle":"","parse-names":false,"suffix":""},{"dropping-particle":"","family":"Cohn","given":"Simon R.","non-dropping-particle":"","parse-names":false,"suffix":""},{"dropping-particle":"","family":"Suhrcke","given":"Marc","non-dropping-particle":"","parse-names":false,"suffix":""},{"dropping-particle":"","family":"Marsh","given":"Tim","non-dropping-particle":"","parse-names":false,"suffix":""},{"dropping-particle":"","family":"Thomson","given":"Ann M.","non-dropping-particle":"","parse-names":false,"suffix":""},{"dropping-particle":"","family":"Jebb","given":"Susan A.","non-dropping-particle":"","parse-names":false,"suffix":""}],"container-title":"BMC Public Health","id":"ITEM-1","issue":"1","issued":{"date-parts":[["2014","6","18"]]},"publisher":"BioMed Central Ltd.","title":"Weight loss referrals for adults in primary care (WRAP): Protocol for a multi-centre randomised controlled trial comparing the clinical and cost-effectiveness of primary care referral to a commercial weight loss provider for 12 weeks, referral for 52 weeks, and a brief self-help intervention [ISRCTN82857232]","type":"article-journal","volume":"14"},"uris":["http://www.mendeley.com/documents/?uuid=67d4f266-40dd-34b8-b89c-5ab0b9ad7cd1"]}],"mendeley":{"formattedCitation":"(12)","plainTextFormattedCitation":"(12)","previouslyFormattedCitation":"(11)"},"properties":{"noteIndex":0},"schema":"https://github.com/citation-style-language/schema/raw/master/csl-citation.json"}</w:instrText>
      </w:r>
      <w:r>
        <w:rPr>
          <w:rFonts w:ascii="Calibri" w:hAnsi="Calibri" w:cs="Calibri"/>
          <w:sz w:val="24"/>
          <w:szCs w:val="24"/>
        </w:rPr>
        <w:fldChar w:fldCharType="separate"/>
      </w:r>
      <w:r w:rsidR="004F70CE" w:rsidRPr="004F70CE">
        <w:rPr>
          <w:rFonts w:ascii="Calibri" w:hAnsi="Calibri" w:cs="Calibri"/>
          <w:noProof/>
          <w:sz w:val="24"/>
          <w:szCs w:val="24"/>
        </w:rPr>
        <w:t>(12)</w:t>
      </w:r>
      <w:r>
        <w:rPr>
          <w:rFonts w:ascii="Calibri" w:hAnsi="Calibri" w:cs="Calibri"/>
          <w:sz w:val="24"/>
          <w:szCs w:val="24"/>
        </w:rPr>
        <w:fldChar w:fldCharType="end"/>
      </w:r>
      <w:r w:rsidRPr="00DA5340">
        <w:rPr>
          <w:rFonts w:ascii="Calibri" w:hAnsi="Calibri" w:cs="Calibri"/>
          <w:sz w:val="24"/>
          <w:szCs w:val="24"/>
        </w:rPr>
        <w:t>.</w:t>
      </w:r>
    </w:p>
    <w:p w14:paraId="7178BD96" w14:textId="35C729ED" w:rsidR="008271FD" w:rsidRPr="00005EE1" w:rsidRDefault="008271FD" w:rsidP="00DA5340">
      <w:pPr>
        <w:pStyle w:val="Heading2"/>
      </w:pPr>
      <w:r>
        <w:t>5.4</w:t>
      </w:r>
      <w:r>
        <w:tab/>
        <w:t>Statistical software</w:t>
      </w:r>
    </w:p>
    <w:p w14:paraId="400E2259" w14:textId="02EF3EC7" w:rsidR="008271FD" w:rsidRPr="007008C0" w:rsidRDefault="005755DF" w:rsidP="008271FD">
      <w:pPr>
        <w:pStyle w:val="NoSpacing"/>
      </w:pPr>
      <w:r>
        <w:t xml:space="preserve">Data will be analysed using </w:t>
      </w:r>
      <w:r w:rsidRPr="005755DF">
        <w:t xml:space="preserve">R version 4.0.0 </w:t>
      </w:r>
      <w:r>
        <w:t>(unless newer versions become available in the interim) and R Studio v</w:t>
      </w:r>
      <w:r w:rsidRPr="005755DF">
        <w:t>ersion 1.0.153</w:t>
      </w:r>
      <w:r>
        <w:t xml:space="preserve">. Where required data will also be analysed using Stata version </w:t>
      </w:r>
      <w:r w:rsidR="00F42178">
        <w:t>16.1</w:t>
      </w:r>
      <w:r>
        <w:t xml:space="preserve">. </w:t>
      </w:r>
    </w:p>
    <w:p w14:paraId="794877BC" w14:textId="77777777" w:rsidR="0087386F" w:rsidRPr="007008C0" w:rsidRDefault="001E64D7" w:rsidP="00851EF9">
      <w:pPr>
        <w:pStyle w:val="Heading1"/>
      </w:pPr>
      <w:r>
        <w:t>6</w:t>
      </w:r>
      <w:r w:rsidR="0087386F" w:rsidRPr="007008C0">
        <w:tab/>
        <w:t>References</w:t>
      </w:r>
    </w:p>
    <w:p w14:paraId="5B5818E5" w14:textId="68CFF159" w:rsidR="004F70CE" w:rsidRPr="004F70CE" w:rsidRDefault="00DA4609" w:rsidP="004F70CE">
      <w:pPr>
        <w:widowControl w:val="0"/>
        <w:autoSpaceDE w:val="0"/>
        <w:autoSpaceDN w:val="0"/>
        <w:adjustRightInd w:val="0"/>
        <w:spacing w:line="240" w:lineRule="auto"/>
        <w:ind w:left="640" w:hanging="640"/>
        <w:rPr>
          <w:rFonts w:ascii="Calibri" w:hAnsi="Calibri" w:cs="Calibri"/>
          <w:noProof/>
          <w:szCs w:val="24"/>
        </w:rPr>
      </w:pPr>
      <w:r>
        <w:rPr>
          <w:rFonts w:ascii="Calibri" w:hAnsi="Calibri"/>
        </w:rPr>
        <w:fldChar w:fldCharType="begin" w:fldLock="1"/>
      </w:r>
      <w:r>
        <w:rPr>
          <w:rFonts w:ascii="Calibri" w:hAnsi="Calibri"/>
        </w:rPr>
        <w:instrText xml:space="preserve">ADDIN Mendeley Bibliography CSL_BIBLIOGRAPHY </w:instrText>
      </w:r>
      <w:r>
        <w:rPr>
          <w:rFonts w:ascii="Calibri" w:hAnsi="Calibri"/>
        </w:rPr>
        <w:fldChar w:fldCharType="separate"/>
      </w:r>
      <w:r w:rsidR="004F70CE" w:rsidRPr="004F70CE">
        <w:rPr>
          <w:rFonts w:ascii="Calibri" w:hAnsi="Calibri" w:cs="Calibri"/>
          <w:noProof/>
          <w:szCs w:val="24"/>
        </w:rPr>
        <w:t xml:space="preserve">1. </w:t>
      </w:r>
      <w:r w:rsidR="004F70CE" w:rsidRPr="004F70CE">
        <w:rPr>
          <w:rFonts w:ascii="Calibri" w:hAnsi="Calibri" w:cs="Calibri"/>
          <w:noProof/>
          <w:szCs w:val="24"/>
        </w:rPr>
        <w:tab/>
        <w:t>Bender R, Lange S. Adjusting for multiple testing - When and how? J Clin Epidemiol [Internet]. 2001 [cited 2021 Jan 20];54(4):343–9. Available from: https://pubmed.ncbi.nlm.nih.gov/11297884/</w:t>
      </w:r>
    </w:p>
    <w:p w14:paraId="5DBFE4C1"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2. </w:t>
      </w:r>
      <w:r w:rsidRPr="004F70CE">
        <w:rPr>
          <w:rFonts w:ascii="Calibri" w:hAnsi="Calibri" w:cs="Calibri"/>
          <w:noProof/>
          <w:szCs w:val="24"/>
        </w:rPr>
        <w:tab/>
        <w:t>Li G, Taljaard M, Van den Heuvel ER, Levine MA, Cook DJ, Wells GA, et al. An introduction to multiplicity issues in clinical trials: the what, why, when and how. - PubMed - NCBI. Int J Epidemiol [Internet]. 2016 [cited 2020 May 15];46(2):527–39. Available from: https://www.ncbi.nlm.nih.gov/pubmed/28025257</w:t>
      </w:r>
    </w:p>
    <w:p w14:paraId="25B7989B"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3. </w:t>
      </w:r>
      <w:r w:rsidRPr="004F70CE">
        <w:rPr>
          <w:rFonts w:ascii="Calibri" w:hAnsi="Calibri" w:cs="Calibri"/>
          <w:noProof/>
          <w:szCs w:val="24"/>
        </w:rPr>
        <w:tab/>
        <w:t>Perski O, Blandford A, Garnett C, Crane D, West R, Michie S. A self-report measure of engagement with digital behavior change interventions (DBCIs): development and psychometric evaluation of the “DBCI Engagement Scale.” Transl Behav Med [Internet]. 2020;10(1):267–77. Available from: https://europepmc.org/article/med/30927357</w:t>
      </w:r>
    </w:p>
    <w:p w14:paraId="0F6639A5"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4. </w:t>
      </w:r>
      <w:r w:rsidRPr="004F70CE">
        <w:rPr>
          <w:rFonts w:ascii="Calibri" w:hAnsi="Calibri" w:cs="Calibri"/>
          <w:noProof/>
          <w:szCs w:val="24"/>
        </w:rPr>
        <w:tab/>
        <w:t xml:space="preserve">Schulz KF, Altman DG, Moher D. CONSORT 2010 Statement: Updated guidelines for reporting parallel group randomised trials. BMJ. 2010 Mar 27;340(7748):698–702. </w:t>
      </w:r>
    </w:p>
    <w:p w14:paraId="5FBE1F6B"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5. </w:t>
      </w:r>
      <w:r w:rsidRPr="004F70CE">
        <w:rPr>
          <w:rFonts w:ascii="Calibri" w:hAnsi="Calibri" w:cs="Calibri"/>
          <w:noProof/>
          <w:szCs w:val="24"/>
        </w:rPr>
        <w:tab/>
        <w:t xml:space="preserve">Wang R, Ware JH. Detecting Moderator Effects Using Subgroup Analyses. Prev Sci. 2013;14(2):111–20. </w:t>
      </w:r>
    </w:p>
    <w:p w14:paraId="1BC839B8"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6. </w:t>
      </w:r>
      <w:r w:rsidRPr="004F70CE">
        <w:rPr>
          <w:rFonts w:ascii="Calibri" w:hAnsi="Calibri" w:cs="Calibri"/>
          <w:noProof/>
          <w:szCs w:val="24"/>
        </w:rPr>
        <w:tab/>
        <w:t>Ishii-Kuntz M. Social interaction and psychological well-being: Comparison across stages of adulthood. Int J Aging Hum Dev [Internet]. 1990 [cited 2021 Feb 15];30(1):15–36. Available from: https://pubmed.ncbi.nlm.nih.gov/2407664/</w:t>
      </w:r>
    </w:p>
    <w:p w14:paraId="6B5B0642"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7. </w:t>
      </w:r>
      <w:r w:rsidRPr="004F70CE">
        <w:rPr>
          <w:rFonts w:ascii="Calibri" w:hAnsi="Calibri" w:cs="Calibri"/>
          <w:noProof/>
          <w:szCs w:val="24"/>
        </w:rPr>
        <w:tab/>
        <w:t xml:space="preserve">Lumley T, Diehr P, Emerson S, Chen L. The Importance of the Normality Assumption in Large </w:t>
      </w:r>
      <w:r w:rsidRPr="004F70CE">
        <w:rPr>
          <w:rFonts w:ascii="Calibri" w:hAnsi="Calibri" w:cs="Calibri"/>
          <w:noProof/>
          <w:szCs w:val="24"/>
        </w:rPr>
        <w:lastRenderedPageBreak/>
        <w:t xml:space="preserve">Public Health Data Sets. Annu Rev Public Health. 2002 May;23(1):151–69. </w:t>
      </w:r>
    </w:p>
    <w:p w14:paraId="1E0BF795"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8. </w:t>
      </w:r>
      <w:r w:rsidRPr="004F70CE">
        <w:rPr>
          <w:rFonts w:ascii="Calibri" w:hAnsi="Calibri" w:cs="Calibri"/>
          <w:noProof/>
          <w:szCs w:val="24"/>
        </w:rPr>
        <w:tab/>
        <w:t>White IR, Thompson SG. Adjusting for partially missing baseline measurements in randomized trials. Stat Med [Internet]. 2005 Apr 15 [cited 2021 Feb 15];24(7):993–1007. Available from: http://doi.wiley.com/10.1002/sim.1981</w:t>
      </w:r>
    </w:p>
    <w:p w14:paraId="4C25CE4B"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9. </w:t>
      </w:r>
      <w:r w:rsidRPr="004F70CE">
        <w:rPr>
          <w:rFonts w:ascii="Calibri" w:hAnsi="Calibri" w:cs="Calibri"/>
          <w:noProof/>
          <w:szCs w:val="24"/>
        </w:rPr>
        <w:tab/>
        <w:t xml:space="preserve">Azur MJ, Stuart EA, Frangakis C, Leaf PJ. Multiple imputation by chained equations: What is it and how does it work? Int J Methods Psychiatr Res. 2011 Mar;20(1):40–9. </w:t>
      </w:r>
    </w:p>
    <w:p w14:paraId="6167F1CE"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10. </w:t>
      </w:r>
      <w:r w:rsidRPr="004F70CE">
        <w:rPr>
          <w:rFonts w:ascii="Calibri" w:hAnsi="Calibri" w:cs="Calibri"/>
          <w:noProof/>
          <w:szCs w:val="24"/>
        </w:rPr>
        <w:tab/>
        <w:t xml:space="preserve">Graham JW, Olchowski AE, Gilreath TD. How many imputations are really needed? Some practical clarifications of multiple imputation theory. Prev Sci. 2007 Sep 5;8(3):206–13. </w:t>
      </w:r>
    </w:p>
    <w:p w14:paraId="6BB44E84"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szCs w:val="24"/>
        </w:rPr>
      </w:pPr>
      <w:r w:rsidRPr="004F70CE">
        <w:rPr>
          <w:rFonts w:ascii="Calibri" w:hAnsi="Calibri" w:cs="Calibri"/>
          <w:noProof/>
          <w:szCs w:val="24"/>
        </w:rPr>
        <w:t xml:space="preserve">11. </w:t>
      </w:r>
      <w:r w:rsidRPr="004F70CE">
        <w:rPr>
          <w:rFonts w:ascii="Calibri" w:hAnsi="Calibri" w:cs="Calibri"/>
          <w:noProof/>
          <w:szCs w:val="24"/>
        </w:rPr>
        <w:tab/>
        <w:t>Rubin DB. Multiple Imputation for Nonresponse in Surveys [Internet]. Rubin DB, editor. Hoboken, NJ, USA: John Wiley &amp; Sons, Inc.; 1987 [cited 2020 May 18]. (Wiley Series in Probability and Statistics). Available from: http://doi.wiley.com/10.1002/9780470316696</w:t>
      </w:r>
    </w:p>
    <w:p w14:paraId="7F350041" w14:textId="77777777" w:rsidR="004F70CE" w:rsidRPr="004F70CE" w:rsidRDefault="004F70CE" w:rsidP="004F70CE">
      <w:pPr>
        <w:widowControl w:val="0"/>
        <w:autoSpaceDE w:val="0"/>
        <w:autoSpaceDN w:val="0"/>
        <w:adjustRightInd w:val="0"/>
        <w:spacing w:line="240" w:lineRule="auto"/>
        <w:ind w:left="640" w:hanging="640"/>
        <w:rPr>
          <w:rFonts w:ascii="Calibri" w:hAnsi="Calibri" w:cs="Calibri"/>
          <w:noProof/>
        </w:rPr>
      </w:pPr>
      <w:r w:rsidRPr="004F70CE">
        <w:rPr>
          <w:rFonts w:ascii="Calibri" w:hAnsi="Calibri" w:cs="Calibri"/>
          <w:noProof/>
          <w:szCs w:val="24"/>
        </w:rPr>
        <w:t xml:space="preserve">12. </w:t>
      </w:r>
      <w:r w:rsidRPr="004F70CE">
        <w:rPr>
          <w:rFonts w:ascii="Calibri" w:hAnsi="Calibri" w:cs="Calibri"/>
          <w:noProof/>
          <w:szCs w:val="24"/>
        </w:rPr>
        <w:tab/>
        <w:t xml:space="preserve">Ahern AL, Aveyard PN, Halford JC, Mander A, Cresswell L, Cohn SR, et al. Weight loss referrals for adults in primary care (WRAP): Protocol for a multi-centre randomised controlled trial comparing the clinical and cost-effectiveness of primary care referral to a commercial weight loss provider for 12 weeks, referral for 52 weeks, and a brief self-help intervention [ISRCTN82857232]. BMC Public Health. 2014 Jun 18;14(1). </w:t>
      </w:r>
    </w:p>
    <w:p w14:paraId="5CE64EA5" w14:textId="35546F61" w:rsidR="00BC55BF" w:rsidRPr="007008C0" w:rsidRDefault="00DA4609" w:rsidP="00BC55BF">
      <w:pPr>
        <w:rPr>
          <w:rFonts w:ascii="Calibri" w:hAnsi="Calibri"/>
        </w:rPr>
      </w:pPr>
      <w:r>
        <w:rPr>
          <w:rFonts w:ascii="Calibri" w:hAnsi="Calibri"/>
        </w:rPr>
        <w:fldChar w:fldCharType="end"/>
      </w:r>
    </w:p>
    <w:p w14:paraId="1B04B7AB" w14:textId="77777777" w:rsidR="00BC55BF" w:rsidRPr="007008C0" w:rsidRDefault="00BC55BF" w:rsidP="00A1344D">
      <w:pPr>
        <w:rPr>
          <w:rFonts w:ascii="Calibri" w:hAnsi="Calibri"/>
          <w:b/>
          <w:sz w:val="36"/>
          <w:szCs w:val="36"/>
        </w:rPr>
      </w:pPr>
    </w:p>
    <w:sectPr w:rsidR="00BC55BF" w:rsidRPr="007008C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A85DC" w14:textId="77777777" w:rsidR="0012673E" w:rsidRDefault="0012673E" w:rsidP="00377DF1">
      <w:pPr>
        <w:spacing w:after="0" w:line="240" w:lineRule="auto"/>
      </w:pPr>
      <w:r>
        <w:separator/>
      </w:r>
    </w:p>
  </w:endnote>
  <w:endnote w:type="continuationSeparator" w:id="0">
    <w:p w14:paraId="02A4BBA6" w14:textId="77777777" w:rsidR="0012673E" w:rsidRDefault="0012673E" w:rsidP="00377DF1">
      <w:pPr>
        <w:spacing w:after="0" w:line="240" w:lineRule="auto"/>
      </w:pPr>
      <w:r>
        <w:continuationSeparator/>
      </w:r>
    </w:p>
  </w:endnote>
  <w:endnote w:id="1">
    <w:p w14:paraId="45804F9D" w14:textId="1A9B072D" w:rsidR="009E1DCE" w:rsidRDefault="009E1DCE">
      <w:pPr>
        <w:pStyle w:val="EndnoteText"/>
      </w:pPr>
      <w:r>
        <w:rPr>
          <w:rStyle w:val="EndnoteReference"/>
        </w:rPr>
        <w:endnoteRef/>
      </w:r>
      <w:r>
        <w:t xml:space="preserve"> Feasibility will depend on the number of participants who completed min. </w:t>
      </w:r>
      <w:r w:rsidR="00EE3E3C">
        <w:t>8</w:t>
      </w:r>
      <w:r>
        <w:t xml:space="preserve"> sessions.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0417E" w14:textId="77777777" w:rsidR="001D79A2" w:rsidRPr="005A0E05" w:rsidRDefault="001D79A2" w:rsidP="00750B83">
    <w:pPr>
      <w:pStyle w:val="Footer"/>
      <w:pBdr>
        <w:top w:val="thinThickSmallGap" w:sz="24" w:space="1" w:color="622423" w:themeColor="accent2" w:themeShade="7F"/>
      </w:pBdr>
      <w:jc w:val="center"/>
      <w:rPr>
        <w:rFonts w:ascii="Calibri" w:eastAsiaTheme="majorEastAsia" w:hAnsi="Calibri" w:cstheme="majorBidi"/>
        <w:b/>
      </w:rPr>
    </w:pPr>
    <w:r w:rsidRPr="005A0E05">
      <w:rPr>
        <w:rFonts w:ascii="Calibri" w:eastAsiaTheme="majorEastAsia" w:hAnsi="Calibri" w:cstheme="majorBidi"/>
        <w:b/>
      </w:rPr>
      <w:t>Cambridge Epidemiology &amp; Trials Unit</w:t>
    </w:r>
  </w:p>
  <w:p w14:paraId="0B7D5CE3" w14:textId="77777777" w:rsidR="001D79A2" w:rsidRPr="005A0E05" w:rsidRDefault="001D79A2" w:rsidP="00750B83">
    <w:pPr>
      <w:pStyle w:val="Footer"/>
      <w:pBdr>
        <w:top w:val="thinThickSmallGap" w:sz="24" w:space="1" w:color="622423" w:themeColor="accent2" w:themeShade="7F"/>
      </w:pBdr>
      <w:jc w:val="center"/>
      <w:rPr>
        <w:rFonts w:ascii="Calibri" w:eastAsiaTheme="majorEastAsia" w:hAnsi="Calibri" w:cstheme="majorBidi"/>
        <w:b/>
      </w:rPr>
    </w:pPr>
    <w:r w:rsidRPr="005A0E05">
      <w:rPr>
        <w:rFonts w:ascii="Calibri" w:eastAsiaTheme="majorEastAsia" w:hAnsi="Calibri" w:cstheme="majorBidi"/>
        <w:b/>
      </w:rPr>
      <w:t>Statistical Analysis Plan</w:t>
    </w:r>
  </w:p>
  <w:p w14:paraId="63612955" w14:textId="6F94E616" w:rsidR="001D79A2" w:rsidRPr="00A42CE3" w:rsidRDefault="001D79A2">
    <w:pPr>
      <w:pStyle w:val="Footer"/>
      <w:pBdr>
        <w:top w:val="thinThickSmallGap" w:sz="24" w:space="1" w:color="622423" w:themeColor="accent2" w:themeShade="7F"/>
      </w:pBdr>
      <w:rPr>
        <w:rFonts w:ascii="Calibri" w:eastAsiaTheme="majorEastAsia" w:hAnsi="Calibri" w:cstheme="majorBidi"/>
      </w:rPr>
    </w:pPr>
    <w:r>
      <w:rPr>
        <w:rFonts w:ascii="Calibri" w:eastAsiaTheme="majorEastAsia" w:hAnsi="Calibri" w:cstheme="majorBidi"/>
      </w:rPr>
      <w:t xml:space="preserve">SAP version </w:t>
    </w:r>
    <w:r w:rsidR="00B56853">
      <w:rPr>
        <w:rFonts w:ascii="Calibri" w:eastAsiaTheme="majorEastAsia" w:hAnsi="Calibri" w:cstheme="majorBidi"/>
      </w:rPr>
      <w:t>5</w:t>
    </w:r>
    <w:r>
      <w:rPr>
        <w:rFonts w:ascii="Calibri" w:eastAsiaTheme="majorEastAsia" w:hAnsi="Calibri" w:cstheme="majorBidi"/>
      </w:rPr>
      <w:t>, d</w:t>
    </w:r>
    <w:r w:rsidRPr="00A42CE3">
      <w:rPr>
        <w:rFonts w:ascii="Calibri" w:eastAsiaTheme="majorEastAsia" w:hAnsi="Calibri" w:cstheme="majorBidi"/>
      </w:rPr>
      <w:t>ate</w:t>
    </w:r>
    <w:r>
      <w:rPr>
        <w:rFonts w:ascii="Calibri" w:eastAsiaTheme="majorEastAsia" w:hAnsi="Calibri" w:cstheme="majorBidi"/>
      </w:rPr>
      <w:t xml:space="preserve"> </w:t>
    </w:r>
    <w:r w:rsidR="00270652">
      <w:rPr>
        <w:rFonts w:ascii="Calibri" w:eastAsiaTheme="majorEastAsia" w:hAnsi="Calibri" w:cstheme="majorBidi"/>
      </w:rPr>
      <w:t>1</w:t>
    </w:r>
    <w:r w:rsidR="00B56853">
      <w:rPr>
        <w:rFonts w:ascii="Calibri" w:eastAsiaTheme="majorEastAsia" w:hAnsi="Calibri" w:cstheme="majorBidi"/>
      </w:rPr>
      <w:t>0</w:t>
    </w:r>
    <w:r>
      <w:rPr>
        <w:rFonts w:ascii="Calibri" w:eastAsiaTheme="majorEastAsia" w:hAnsi="Calibri" w:cstheme="majorBidi"/>
      </w:rPr>
      <w:t>/0</w:t>
    </w:r>
    <w:r w:rsidR="00270652">
      <w:rPr>
        <w:rFonts w:ascii="Calibri" w:eastAsiaTheme="majorEastAsia" w:hAnsi="Calibri" w:cstheme="majorBidi"/>
      </w:rPr>
      <w:t>3</w:t>
    </w:r>
    <w:r>
      <w:rPr>
        <w:rFonts w:ascii="Calibri" w:eastAsiaTheme="majorEastAsia" w:hAnsi="Calibri" w:cstheme="majorBidi"/>
      </w:rPr>
      <w:t>/2021</w:t>
    </w:r>
    <w:r w:rsidRPr="00A42CE3">
      <w:rPr>
        <w:rFonts w:ascii="Calibri" w:eastAsiaTheme="majorEastAsia" w:hAnsi="Calibri" w:cstheme="majorBidi"/>
      </w:rPr>
      <w:ptab w:relativeTo="margin" w:alignment="right" w:leader="none"/>
    </w:r>
    <w:r w:rsidRPr="00A42CE3">
      <w:rPr>
        <w:rFonts w:ascii="Calibri" w:eastAsiaTheme="majorEastAsia" w:hAnsi="Calibri" w:cstheme="majorBidi"/>
      </w:rPr>
      <w:t xml:space="preserve">Page </w:t>
    </w:r>
    <w:r w:rsidRPr="00A42CE3">
      <w:rPr>
        <w:rFonts w:ascii="Calibri" w:eastAsiaTheme="minorEastAsia" w:hAnsi="Calibri"/>
      </w:rPr>
      <w:fldChar w:fldCharType="begin"/>
    </w:r>
    <w:r w:rsidRPr="00A42CE3">
      <w:rPr>
        <w:rFonts w:ascii="Calibri" w:hAnsi="Calibri"/>
      </w:rPr>
      <w:instrText xml:space="preserve"> PAGE   \* MERGEFORMAT </w:instrText>
    </w:r>
    <w:r w:rsidRPr="00A42CE3">
      <w:rPr>
        <w:rFonts w:ascii="Calibri" w:eastAsiaTheme="minorEastAsia" w:hAnsi="Calibri"/>
      </w:rPr>
      <w:fldChar w:fldCharType="separate"/>
    </w:r>
    <w:r w:rsidR="00E95FE6" w:rsidRPr="00E95FE6">
      <w:rPr>
        <w:rFonts w:ascii="Calibri" w:eastAsiaTheme="majorEastAsia" w:hAnsi="Calibri" w:cstheme="majorBidi"/>
        <w:noProof/>
      </w:rPr>
      <w:t>1</w:t>
    </w:r>
    <w:r w:rsidRPr="00A42CE3">
      <w:rPr>
        <w:rFonts w:ascii="Calibri" w:eastAsiaTheme="majorEastAsia" w:hAnsi="Calibri" w:cstheme="majorBidi"/>
        <w:noProof/>
      </w:rPr>
      <w:fldChar w:fldCharType="end"/>
    </w:r>
  </w:p>
  <w:p w14:paraId="217B9CEA" w14:textId="77777777" w:rsidR="001D79A2" w:rsidRDefault="001D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D46CC" w14:textId="77777777" w:rsidR="0012673E" w:rsidRDefault="0012673E" w:rsidP="00377DF1">
      <w:pPr>
        <w:spacing w:after="0" w:line="240" w:lineRule="auto"/>
      </w:pPr>
      <w:r>
        <w:separator/>
      </w:r>
    </w:p>
  </w:footnote>
  <w:footnote w:type="continuationSeparator" w:id="0">
    <w:p w14:paraId="389C43A5" w14:textId="77777777" w:rsidR="0012673E" w:rsidRDefault="0012673E" w:rsidP="00377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8D0"/>
    <w:multiLevelType w:val="hybridMultilevel"/>
    <w:tmpl w:val="8300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97732"/>
    <w:multiLevelType w:val="hybridMultilevel"/>
    <w:tmpl w:val="1252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526D8"/>
    <w:multiLevelType w:val="hybridMultilevel"/>
    <w:tmpl w:val="EB30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43FED"/>
    <w:multiLevelType w:val="hybridMultilevel"/>
    <w:tmpl w:val="2B5E1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958B5"/>
    <w:multiLevelType w:val="hybridMultilevel"/>
    <w:tmpl w:val="D248B780"/>
    <w:lvl w:ilvl="0" w:tplc="08090001">
      <w:start w:val="1"/>
      <w:numFmt w:val="bullet"/>
      <w:lvlText w:val=""/>
      <w:lvlJc w:val="left"/>
      <w:pPr>
        <w:ind w:left="1080" w:hanging="360"/>
      </w:pPr>
      <w:rPr>
        <w:rFonts w:ascii="Symbol" w:hAnsi="Symbo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90A0E76"/>
    <w:multiLevelType w:val="hybridMultilevel"/>
    <w:tmpl w:val="E8AA6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7A385C"/>
    <w:multiLevelType w:val="hybridMultilevel"/>
    <w:tmpl w:val="D56C23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2745A3D"/>
    <w:multiLevelType w:val="hybridMultilevel"/>
    <w:tmpl w:val="302C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D725F"/>
    <w:multiLevelType w:val="hybridMultilevel"/>
    <w:tmpl w:val="1E02BC1C"/>
    <w:lvl w:ilvl="0" w:tplc="A36AA3D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9" w15:restartNumberingAfterBreak="0">
    <w:nsid w:val="39D85832"/>
    <w:multiLevelType w:val="hybridMultilevel"/>
    <w:tmpl w:val="7216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606DA"/>
    <w:multiLevelType w:val="hybridMultilevel"/>
    <w:tmpl w:val="1E6C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A27C3"/>
    <w:multiLevelType w:val="hybridMultilevel"/>
    <w:tmpl w:val="4A3C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50027"/>
    <w:multiLevelType w:val="hybridMultilevel"/>
    <w:tmpl w:val="07661DB4"/>
    <w:lvl w:ilvl="0" w:tplc="08090001">
      <w:start w:val="1"/>
      <w:numFmt w:val="bullet"/>
      <w:lvlText w:val=""/>
      <w:lvlJc w:val="left"/>
      <w:pPr>
        <w:ind w:left="1080" w:hanging="360"/>
      </w:pPr>
      <w:rPr>
        <w:rFonts w:ascii="Symbol" w:hAnsi="Symbol"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C1D2C2B"/>
    <w:multiLevelType w:val="hybridMultilevel"/>
    <w:tmpl w:val="58182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70608"/>
    <w:multiLevelType w:val="hybridMultilevel"/>
    <w:tmpl w:val="EA66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1ED3257"/>
    <w:multiLevelType w:val="hybridMultilevel"/>
    <w:tmpl w:val="DB94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4DD0"/>
    <w:multiLevelType w:val="hybridMultilevel"/>
    <w:tmpl w:val="CE5C3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810412"/>
    <w:multiLevelType w:val="hybridMultilevel"/>
    <w:tmpl w:val="95BA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E2E5A"/>
    <w:multiLevelType w:val="hybridMultilevel"/>
    <w:tmpl w:val="02C8FC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71D04"/>
    <w:multiLevelType w:val="hybridMultilevel"/>
    <w:tmpl w:val="96688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CC1D44"/>
    <w:multiLevelType w:val="hybridMultilevel"/>
    <w:tmpl w:val="E6DAD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5581E"/>
    <w:multiLevelType w:val="hybridMultilevel"/>
    <w:tmpl w:val="8436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EA4ABB"/>
    <w:multiLevelType w:val="multilevel"/>
    <w:tmpl w:val="7D76978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9AF33EB"/>
    <w:multiLevelType w:val="hybridMultilevel"/>
    <w:tmpl w:val="E3A6EC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A8547AE"/>
    <w:multiLevelType w:val="hybridMultilevel"/>
    <w:tmpl w:val="300E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7B6869"/>
    <w:multiLevelType w:val="hybridMultilevel"/>
    <w:tmpl w:val="B3BA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DC7141"/>
    <w:multiLevelType w:val="hybridMultilevel"/>
    <w:tmpl w:val="66123748"/>
    <w:lvl w:ilvl="0" w:tplc="E26618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B573AF"/>
    <w:multiLevelType w:val="hybridMultilevel"/>
    <w:tmpl w:val="7CFAE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
  </w:num>
  <w:num w:numId="3">
    <w:abstractNumId w:val="18"/>
  </w:num>
  <w:num w:numId="4">
    <w:abstractNumId w:val="13"/>
  </w:num>
  <w:num w:numId="5">
    <w:abstractNumId w:val="11"/>
  </w:num>
  <w:num w:numId="6">
    <w:abstractNumId w:val="21"/>
  </w:num>
  <w:num w:numId="7">
    <w:abstractNumId w:val="16"/>
  </w:num>
  <w:num w:numId="8">
    <w:abstractNumId w:val="17"/>
  </w:num>
  <w:num w:numId="9">
    <w:abstractNumId w:val="0"/>
  </w:num>
  <w:num w:numId="10">
    <w:abstractNumId w:val="22"/>
  </w:num>
  <w:num w:numId="11">
    <w:abstractNumId w:val="2"/>
  </w:num>
  <w:num w:numId="12">
    <w:abstractNumId w:val="10"/>
  </w:num>
  <w:num w:numId="13">
    <w:abstractNumId w:val="9"/>
  </w:num>
  <w:num w:numId="14">
    <w:abstractNumId w:val="20"/>
  </w:num>
  <w:num w:numId="15">
    <w:abstractNumId w:val="7"/>
  </w:num>
  <w:num w:numId="16">
    <w:abstractNumId w:val="5"/>
  </w:num>
  <w:num w:numId="17">
    <w:abstractNumId w:val="19"/>
  </w:num>
  <w:num w:numId="18">
    <w:abstractNumId w:val="1"/>
  </w:num>
  <w:num w:numId="19">
    <w:abstractNumId w:val="25"/>
  </w:num>
  <w:num w:numId="20">
    <w:abstractNumId w:val="27"/>
  </w:num>
  <w:num w:numId="21">
    <w:abstractNumId w:val="26"/>
  </w:num>
  <w:num w:numId="22">
    <w:abstractNumId w:val="14"/>
  </w:num>
  <w:num w:numId="23">
    <w:abstractNumId w:val="23"/>
  </w:num>
  <w:num w:numId="24">
    <w:abstractNumId w:val="4"/>
  </w:num>
  <w:num w:numId="25">
    <w:abstractNumId w:val="12"/>
  </w:num>
  <w:num w:numId="26">
    <w:abstractNumId w:val="15"/>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5C"/>
    <w:rsid w:val="0000288C"/>
    <w:rsid w:val="00002894"/>
    <w:rsid w:val="00003379"/>
    <w:rsid w:val="00005EE1"/>
    <w:rsid w:val="00007B1C"/>
    <w:rsid w:val="00015C6B"/>
    <w:rsid w:val="00036706"/>
    <w:rsid w:val="00065392"/>
    <w:rsid w:val="0007185E"/>
    <w:rsid w:val="00081589"/>
    <w:rsid w:val="0008188C"/>
    <w:rsid w:val="00084DFB"/>
    <w:rsid w:val="00086F47"/>
    <w:rsid w:val="00087477"/>
    <w:rsid w:val="00092F75"/>
    <w:rsid w:val="000B57C2"/>
    <w:rsid w:val="000C1B4E"/>
    <w:rsid w:val="000C6B7B"/>
    <w:rsid w:val="000E5AE2"/>
    <w:rsid w:val="000E77AE"/>
    <w:rsid w:val="001014D9"/>
    <w:rsid w:val="00102098"/>
    <w:rsid w:val="001055AD"/>
    <w:rsid w:val="00110961"/>
    <w:rsid w:val="001110F4"/>
    <w:rsid w:val="001204A2"/>
    <w:rsid w:val="0012673E"/>
    <w:rsid w:val="001323D3"/>
    <w:rsid w:val="001336E7"/>
    <w:rsid w:val="0013512B"/>
    <w:rsid w:val="00146598"/>
    <w:rsid w:val="001474AE"/>
    <w:rsid w:val="001645A7"/>
    <w:rsid w:val="00171CC4"/>
    <w:rsid w:val="00180574"/>
    <w:rsid w:val="001A1545"/>
    <w:rsid w:val="001A3A84"/>
    <w:rsid w:val="001B30C7"/>
    <w:rsid w:val="001C0E47"/>
    <w:rsid w:val="001C2702"/>
    <w:rsid w:val="001C7DCB"/>
    <w:rsid w:val="001D79A2"/>
    <w:rsid w:val="001E0E28"/>
    <w:rsid w:val="001E64D7"/>
    <w:rsid w:val="001E73E4"/>
    <w:rsid w:val="001F5E6A"/>
    <w:rsid w:val="001F7A35"/>
    <w:rsid w:val="00213B68"/>
    <w:rsid w:val="0022415F"/>
    <w:rsid w:val="00241F0D"/>
    <w:rsid w:val="0025371A"/>
    <w:rsid w:val="00261BA3"/>
    <w:rsid w:val="00261DDA"/>
    <w:rsid w:val="00265C5A"/>
    <w:rsid w:val="002662E6"/>
    <w:rsid w:val="00270652"/>
    <w:rsid w:val="00271997"/>
    <w:rsid w:val="00273D2E"/>
    <w:rsid w:val="00274BB9"/>
    <w:rsid w:val="00276054"/>
    <w:rsid w:val="00285855"/>
    <w:rsid w:val="002C19A8"/>
    <w:rsid w:val="002D0BE6"/>
    <w:rsid w:val="002D0F0E"/>
    <w:rsid w:val="002D0F5C"/>
    <w:rsid w:val="002D17FC"/>
    <w:rsid w:val="002D42C6"/>
    <w:rsid w:val="002E2A8D"/>
    <w:rsid w:val="002E2C6D"/>
    <w:rsid w:val="002E45C7"/>
    <w:rsid w:val="002E6B6E"/>
    <w:rsid w:val="00301725"/>
    <w:rsid w:val="003063F0"/>
    <w:rsid w:val="00306541"/>
    <w:rsid w:val="00310B6A"/>
    <w:rsid w:val="0032370A"/>
    <w:rsid w:val="00327AA3"/>
    <w:rsid w:val="00327DAE"/>
    <w:rsid w:val="003343BE"/>
    <w:rsid w:val="0033521F"/>
    <w:rsid w:val="003425AD"/>
    <w:rsid w:val="00351154"/>
    <w:rsid w:val="00362125"/>
    <w:rsid w:val="00363815"/>
    <w:rsid w:val="00363DB1"/>
    <w:rsid w:val="00371F63"/>
    <w:rsid w:val="00376948"/>
    <w:rsid w:val="00377DF1"/>
    <w:rsid w:val="00381FD0"/>
    <w:rsid w:val="00391900"/>
    <w:rsid w:val="00397274"/>
    <w:rsid w:val="003A54CD"/>
    <w:rsid w:val="003B5055"/>
    <w:rsid w:val="003C0751"/>
    <w:rsid w:val="003D3706"/>
    <w:rsid w:val="003E1992"/>
    <w:rsid w:val="003E3C7A"/>
    <w:rsid w:val="003F2147"/>
    <w:rsid w:val="004112D6"/>
    <w:rsid w:val="0041507F"/>
    <w:rsid w:val="00423A71"/>
    <w:rsid w:val="00424933"/>
    <w:rsid w:val="00426C97"/>
    <w:rsid w:val="00430D8D"/>
    <w:rsid w:val="00434729"/>
    <w:rsid w:val="00437AEB"/>
    <w:rsid w:val="00437F67"/>
    <w:rsid w:val="00447D18"/>
    <w:rsid w:val="00451D29"/>
    <w:rsid w:val="00471AB3"/>
    <w:rsid w:val="00482FF3"/>
    <w:rsid w:val="004A0958"/>
    <w:rsid w:val="004A50CD"/>
    <w:rsid w:val="004B34E9"/>
    <w:rsid w:val="004B6EEA"/>
    <w:rsid w:val="004B701E"/>
    <w:rsid w:val="004C13B2"/>
    <w:rsid w:val="004D56CD"/>
    <w:rsid w:val="004D6A18"/>
    <w:rsid w:val="004E0056"/>
    <w:rsid w:val="004F70CE"/>
    <w:rsid w:val="00505912"/>
    <w:rsid w:val="00507252"/>
    <w:rsid w:val="00507E73"/>
    <w:rsid w:val="005136DA"/>
    <w:rsid w:val="00520EF5"/>
    <w:rsid w:val="00524E8E"/>
    <w:rsid w:val="0054381B"/>
    <w:rsid w:val="0054427B"/>
    <w:rsid w:val="00550CDF"/>
    <w:rsid w:val="00571A40"/>
    <w:rsid w:val="005755DF"/>
    <w:rsid w:val="00580986"/>
    <w:rsid w:val="00591501"/>
    <w:rsid w:val="00596E1C"/>
    <w:rsid w:val="00597620"/>
    <w:rsid w:val="005A0840"/>
    <w:rsid w:val="005A0E05"/>
    <w:rsid w:val="005B0476"/>
    <w:rsid w:val="005C3220"/>
    <w:rsid w:val="005C5122"/>
    <w:rsid w:val="005D3175"/>
    <w:rsid w:val="005E37F8"/>
    <w:rsid w:val="005F506A"/>
    <w:rsid w:val="005F5A36"/>
    <w:rsid w:val="00602D33"/>
    <w:rsid w:val="006269A4"/>
    <w:rsid w:val="0064283B"/>
    <w:rsid w:val="00665349"/>
    <w:rsid w:val="00674833"/>
    <w:rsid w:val="00676019"/>
    <w:rsid w:val="00684F8F"/>
    <w:rsid w:val="00690907"/>
    <w:rsid w:val="00691B62"/>
    <w:rsid w:val="00695E09"/>
    <w:rsid w:val="006B27A7"/>
    <w:rsid w:val="006B2CEF"/>
    <w:rsid w:val="006B7DB7"/>
    <w:rsid w:val="006D3101"/>
    <w:rsid w:val="006D365B"/>
    <w:rsid w:val="006D4E26"/>
    <w:rsid w:val="006E3F31"/>
    <w:rsid w:val="006E49D4"/>
    <w:rsid w:val="006E4E64"/>
    <w:rsid w:val="006F02C8"/>
    <w:rsid w:val="007008C0"/>
    <w:rsid w:val="00706083"/>
    <w:rsid w:val="007122C0"/>
    <w:rsid w:val="007216D1"/>
    <w:rsid w:val="00721E92"/>
    <w:rsid w:val="00735CEC"/>
    <w:rsid w:val="0073786F"/>
    <w:rsid w:val="00746775"/>
    <w:rsid w:val="00750B83"/>
    <w:rsid w:val="007563B2"/>
    <w:rsid w:val="00767852"/>
    <w:rsid w:val="00781071"/>
    <w:rsid w:val="007815B1"/>
    <w:rsid w:val="00782E96"/>
    <w:rsid w:val="007866A3"/>
    <w:rsid w:val="0079000E"/>
    <w:rsid w:val="0079485E"/>
    <w:rsid w:val="007A17D3"/>
    <w:rsid w:val="007A4E5B"/>
    <w:rsid w:val="007B06D1"/>
    <w:rsid w:val="007B0FBD"/>
    <w:rsid w:val="007C29F2"/>
    <w:rsid w:val="007C3B7E"/>
    <w:rsid w:val="007D19E9"/>
    <w:rsid w:val="007E565C"/>
    <w:rsid w:val="007E7C7D"/>
    <w:rsid w:val="00805530"/>
    <w:rsid w:val="00813FAD"/>
    <w:rsid w:val="00815A6B"/>
    <w:rsid w:val="008205A9"/>
    <w:rsid w:val="008271FD"/>
    <w:rsid w:val="008327DD"/>
    <w:rsid w:val="00840BB0"/>
    <w:rsid w:val="00841E46"/>
    <w:rsid w:val="00843016"/>
    <w:rsid w:val="00844001"/>
    <w:rsid w:val="00845A6D"/>
    <w:rsid w:val="00851EF9"/>
    <w:rsid w:val="008561F3"/>
    <w:rsid w:val="00864C81"/>
    <w:rsid w:val="008677FF"/>
    <w:rsid w:val="0087386F"/>
    <w:rsid w:val="00881D7D"/>
    <w:rsid w:val="008904C7"/>
    <w:rsid w:val="00892BE6"/>
    <w:rsid w:val="008971AA"/>
    <w:rsid w:val="008A434E"/>
    <w:rsid w:val="008A61D0"/>
    <w:rsid w:val="008A6F9D"/>
    <w:rsid w:val="008B2151"/>
    <w:rsid w:val="008C20F5"/>
    <w:rsid w:val="008C40EE"/>
    <w:rsid w:val="008C4D41"/>
    <w:rsid w:val="008C7FDB"/>
    <w:rsid w:val="008D6347"/>
    <w:rsid w:val="008D7CEF"/>
    <w:rsid w:val="008E26ED"/>
    <w:rsid w:val="008E3A4C"/>
    <w:rsid w:val="008F059F"/>
    <w:rsid w:val="009065F9"/>
    <w:rsid w:val="00912105"/>
    <w:rsid w:val="009123DF"/>
    <w:rsid w:val="009160DF"/>
    <w:rsid w:val="00923CB9"/>
    <w:rsid w:val="009260DC"/>
    <w:rsid w:val="00936AFC"/>
    <w:rsid w:val="00942FE9"/>
    <w:rsid w:val="00946070"/>
    <w:rsid w:val="00947A93"/>
    <w:rsid w:val="0095066F"/>
    <w:rsid w:val="00951A03"/>
    <w:rsid w:val="009529B8"/>
    <w:rsid w:val="00956062"/>
    <w:rsid w:val="00957BB7"/>
    <w:rsid w:val="009609DA"/>
    <w:rsid w:val="0096242E"/>
    <w:rsid w:val="00972B55"/>
    <w:rsid w:val="00975FBD"/>
    <w:rsid w:val="00975FC5"/>
    <w:rsid w:val="00982C25"/>
    <w:rsid w:val="00990789"/>
    <w:rsid w:val="0099095A"/>
    <w:rsid w:val="00991286"/>
    <w:rsid w:val="0099534D"/>
    <w:rsid w:val="009A1B59"/>
    <w:rsid w:val="009A205A"/>
    <w:rsid w:val="009C4500"/>
    <w:rsid w:val="009C752F"/>
    <w:rsid w:val="009E1DCE"/>
    <w:rsid w:val="009E3E3F"/>
    <w:rsid w:val="00A014D6"/>
    <w:rsid w:val="00A11030"/>
    <w:rsid w:val="00A1344D"/>
    <w:rsid w:val="00A21BF6"/>
    <w:rsid w:val="00A32A03"/>
    <w:rsid w:val="00A35527"/>
    <w:rsid w:val="00A42CE3"/>
    <w:rsid w:val="00A43BB2"/>
    <w:rsid w:val="00A4608D"/>
    <w:rsid w:val="00A46763"/>
    <w:rsid w:val="00A56458"/>
    <w:rsid w:val="00A61C2F"/>
    <w:rsid w:val="00A627F1"/>
    <w:rsid w:val="00A656A3"/>
    <w:rsid w:val="00A73A19"/>
    <w:rsid w:val="00A77E3E"/>
    <w:rsid w:val="00A858BC"/>
    <w:rsid w:val="00A86E08"/>
    <w:rsid w:val="00A902EE"/>
    <w:rsid w:val="00A97FA4"/>
    <w:rsid w:val="00AA1F33"/>
    <w:rsid w:val="00AB34BA"/>
    <w:rsid w:val="00AB6387"/>
    <w:rsid w:val="00AC4CDE"/>
    <w:rsid w:val="00AE4A68"/>
    <w:rsid w:val="00AE4BC1"/>
    <w:rsid w:val="00AE563A"/>
    <w:rsid w:val="00AE6B7C"/>
    <w:rsid w:val="00AF53D2"/>
    <w:rsid w:val="00B0127D"/>
    <w:rsid w:val="00B10D88"/>
    <w:rsid w:val="00B13CAC"/>
    <w:rsid w:val="00B14888"/>
    <w:rsid w:val="00B2282C"/>
    <w:rsid w:val="00B347BA"/>
    <w:rsid w:val="00B44162"/>
    <w:rsid w:val="00B443F1"/>
    <w:rsid w:val="00B449D7"/>
    <w:rsid w:val="00B45617"/>
    <w:rsid w:val="00B47389"/>
    <w:rsid w:val="00B56853"/>
    <w:rsid w:val="00B631D2"/>
    <w:rsid w:val="00B72CA3"/>
    <w:rsid w:val="00B76098"/>
    <w:rsid w:val="00B7657C"/>
    <w:rsid w:val="00B83A41"/>
    <w:rsid w:val="00B853CE"/>
    <w:rsid w:val="00B902F0"/>
    <w:rsid w:val="00B947F9"/>
    <w:rsid w:val="00BB3D46"/>
    <w:rsid w:val="00BB5D78"/>
    <w:rsid w:val="00BC0126"/>
    <w:rsid w:val="00BC55BF"/>
    <w:rsid w:val="00BD6209"/>
    <w:rsid w:val="00BE33C8"/>
    <w:rsid w:val="00BE60F2"/>
    <w:rsid w:val="00C008B7"/>
    <w:rsid w:val="00C044B6"/>
    <w:rsid w:val="00C0789D"/>
    <w:rsid w:val="00C21F67"/>
    <w:rsid w:val="00C24BA4"/>
    <w:rsid w:val="00C25B7A"/>
    <w:rsid w:val="00C43D5C"/>
    <w:rsid w:val="00C45A65"/>
    <w:rsid w:val="00C45C34"/>
    <w:rsid w:val="00C50CDE"/>
    <w:rsid w:val="00C53588"/>
    <w:rsid w:val="00C63AA8"/>
    <w:rsid w:val="00C651D0"/>
    <w:rsid w:val="00C66D41"/>
    <w:rsid w:val="00C707E7"/>
    <w:rsid w:val="00C70CED"/>
    <w:rsid w:val="00C77E21"/>
    <w:rsid w:val="00C95B93"/>
    <w:rsid w:val="00CB5C21"/>
    <w:rsid w:val="00CC1476"/>
    <w:rsid w:val="00CC39E3"/>
    <w:rsid w:val="00CD6B41"/>
    <w:rsid w:val="00CE2349"/>
    <w:rsid w:val="00CE6D3B"/>
    <w:rsid w:val="00CE7A2C"/>
    <w:rsid w:val="00CF3FAD"/>
    <w:rsid w:val="00CF52FB"/>
    <w:rsid w:val="00CF5D27"/>
    <w:rsid w:val="00D02FEE"/>
    <w:rsid w:val="00D071D3"/>
    <w:rsid w:val="00D1131C"/>
    <w:rsid w:val="00D11B87"/>
    <w:rsid w:val="00D274B7"/>
    <w:rsid w:val="00D4381B"/>
    <w:rsid w:val="00D65F6C"/>
    <w:rsid w:val="00D76713"/>
    <w:rsid w:val="00D80EBF"/>
    <w:rsid w:val="00D84D35"/>
    <w:rsid w:val="00D90784"/>
    <w:rsid w:val="00D962E0"/>
    <w:rsid w:val="00DA2D85"/>
    <w:rsid w:val="00DA4609"/>
    <w:rsid w:val="00DA5340"/>
    <w:rsid w:val="00DB47E5"/>
    <w:rsid w:val="00DC59EF"/>
    <w:rsid w:val="00DF17BD"/>
    <w:rsid w:val="00DF3631"/>
    <w:rsid w:val="00DF7050"/>
    <w:rsid w:val="00E00370"/>
    <w:rsid w:val="00E16AF7"/>
    <w:rsid w:val="00E21393"/>
    <w:rsid w:val="00E2288E"/>
    <w:rsid w:val="00E234FD"/>
    <w:rsid w:val="00E242B4"/>
    <w:rsid w:val="00E356CF"/>
    <w:rsid w:val="00E3642E"/>
    <w:rsid w:val="00E36D26"/>
    <w:rsid w:val="00E43C6C"/>
    <w:rsid w:val="00E4591D"/>
    <w:rsid w:val="00E524A0"/>
    <w:rsid w:val="00E54080"/>
    <w:rsid w:val="00E55213"/>
    <w:rsid w:val="00E578D2"/>
    <w:rsid w:val="00E63863"/>
    <w:rsid w:val="00E80B0E"/>
    <w:rsid w:val="00E814C0"/>
    <w:rsid w:val="00E95FE6"/>
    <w:rsid w:val="00E96EF6"/>
    <w:rsid w:val="00E97069"/>
    <w:rsid w:val="00E97373"/>
    <w:rsid w:val="00EA4A8E"/>
    <w:rsid w:val="00EB1ED3"/>
    <w:rsid w:val="00EB3620"/>
    <w:rsid w:val="00EB6AAD"/>
    <w:rsid w:val="00EB7211"/>
    <w:rsid w:val="00EC0633"/>
    <w:rsid w:val="00ED1318"/>
    <w:rsid w:val="00EE3E3C"/>
    <w:rsid w:val="00EE5B16"/>
    <w:rsid w:val="00F01E98"/>
    <w:rsid w:val="00F0237C"/>
    <w:rsid w:val="00F0277A"/>
    <w:rsid w:val="00F03134"/>
    <w:rsid w:val="00F06B0F"/>
    <w:rsid w:val="00F235DD"/>
    <w:rsid w:val="00F33B74"/>
    <w:rsid w:val="00F42178"/>
    <w:rsid w:val="00F52ABA"/>
    <w:rsid w:val="00F54A8C"/>
    <w:rsid w:val="00F71E8D"/>
    <w:rsid w:val="00F7637D"/>
    <w:rsid w:val="00F800D1"/>
    <w:rsid w:val="00F811F7"/>
    <w:rsid w:val="00F828A9"/>
    <w:rsid w:val="00F845B0"/>
    <w:rsid w:val="00F91BDF"/>
    <w:rsid w:val="00F93DDD"/>
    <w:rsid w:val="00FA2826"/>
    <w:rsid w:val="00FA3992"/>
    <w:rsid w:val="00FB0D58"/>
    <w:rsid w:val="00FB74EC"/>
    <w:rsid w:val="00FC186D"/>
    <w:rsid w:val="00FC7806"/>
    <w:rsid w:val="00FD10CB"/>
    <w:rsid w:val="00FE0B3A"/>
    <w:rsid w:val="00FF061E"/>
    <w:rsid w:val="00FF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00862"/>
  <w15:docId w15:val="{27F92017-8A55-40CA-9CDE-71499ED4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574"/>
  </w:style>
  <w:style w:type="paragraph" w:styleId="Heading1">
    <w:name w:val="heading 1"/>
    <w:basedOn w:val="Normal"/>
    <w:next w:val="Normal"/>
    <w:link w:val="Heading1Char"/>
    <w:uiPriority w:val="9"/>
    <w:qFormat/>
    <w:rsid w:val="00851EF9"/>
    <w:pPr>
      <w:keepNext/>
      <w:keepLines/>
      <w:spacing w:before="480" w:after="0"/>
      <w:outlineLvl w:val="0"/>
    </w:pPr>
    <w:rPr>
      <w:rFonts w:ascii="Calibri" w:eastAsiaTheme="majorEastAsia" w:hAnsi="Calibri" w:cstheme="majorBidi"/>
      <w:b/>
      <w:bCs/>
      <w:sz w:val="36"/>
      <w:szCs w:val="28"/>
    </w:rPr>
  </w:style>
  <w:style w:type="paragraph" w:styleId="Heading2">
    <w:name w:val="heading 2"/>
    <w:basedOn w:val="Normal"/>
    <w:next w:val="Normal"/>
    <w:link w:val="Heading2Char"/>
    <w:uiPriority w:val="9"/>
    <w:unhideWhenUsed/>
    <w:qFormat/>
    <w:rsid w:val="00851EF9"/>
    <w:pPr>
      <w:keepNext/>
      <w:keepLines/>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7E565C"/>
    <w:pPr>
      <w:keepNext/>
      <w:spacing w:after="0"/>
      <w:outlineLvl w:val="2"/>
    </w:pPr>
    <w:rPr>
      <w:rFonts w:ascii="Calibri" w:hAnsi="Calibri" w:cs="Calibri"/>
      <w:b/>
      <w:bCs/>
      <w:sz w:val="24"/>
      <w:szCs w:val="24"/>
    </w:rPr>
  </w:style>
  <w:style w:type="paragraph" w:styleId="Heading4">
    <w:name w:val="heading 4"/>
    <w:basedOn w:val="Normal"/>
    <w:next w:val="Normal"/>
    <w:link w:val="Heading4Char"/>
    <w:uiPriority w:val="9"/>
    <w:unhideWhenUsed/>
    <w:qFormat/>
    <w:rsid w:val="00BC55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55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EF9"/>
    <w:rPr>
      <w:rFonts w:ascii="Calibri" w:eastAsiaTheme="majorEastAsia" w:hAnsi="Calibri" w:cstheme="majorBidi"/>
      <w:b/>
      <w:bCs/>
      <w:sz w:val="36"/>
      <w:szCs w:val="28"/>
    </w:rPr>
  </w:style>
  <w:style w:type="character" w:customStyle="1" w:styleId="Heading2Char">
    <w:name w:val="Heading 2 Char"/>
    <w:basedOn w:val="DefaultParagraphFont"/>
    <w:link w:val="Heading2"/>
    <w:uiPriority w:val="9"/>
    <w:rsid w:val="00851EF9"/>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7E565C"/>
    <w:rPr>
      <w:rFonts w:ascii="Calibri" w:hAnsi="Calibri" w:cs="Calibri"/>
      <w:b/>
      <w:bCs/>
      <w:sz w:val="24"/>
      <w:szCs w:val="24"/>
    </w:rPr>
  </w:style>
  <w:style w:type="character" w:customStyle="1" w:styleId="Heading4Char">
    <w:name w:val="Heading 4 Char"/>
    <w:basedOn w:val="DefaultParagraphFont"/>
    <w:link w:val="Heading4"/>
    <w:uiPriority w:val="9"/>
    <w:rsid w:val="00BC55BF"/>
    <w:rPr>
      <w:rFonts w:asciiTheme="majorHAnsi" w:eastAsiaTheme="majorEastAsia" w:hAnsiTheme="majorHAnsi" w:cstheme="majorBidi"/>
      <w:b/>
      <w:bCs/>
      <w:i/>
      <w:iCs/>
      <w:color w:val="4F81BD" w:themeColor="accent1"/>
    </w:rPr>
  </w:style>
  <w:style w:type="paragraph" w:styleId="Subtitle">
    <w:name w:val="Subtitle"/>
    <w:basedOn w:val="Normal"/>
    <w:next w:val="Normal"/>
    <w:link w:val="SubtitleChar"/>
    <w:uiPriority w:val="11"/>
    <w:qFormat/>
    <w:rsid w:val="00BC55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55BF"/>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BC55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55BF"/>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rsid w:val="00BC55BF"/>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377D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DF1"/>
  </w:style>
  <w:style w:type="paragraph" w:styleId="Footer">
    <w:name w:val="footer"/>
    <w:basedOn w:val="Normal"/>
    <w:link w:val="FooterChar"/>
    <w:uiPriority w:val="99"/>
    <w:unhideWhenUsed/>
    <w:rsid w:val="00377D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DF1"/>
  </w:style>
  <w:style w:type="paragraph" w:styleId="BalloonText">
    <w:name w:val="Balloon Text"/>
    <w:basedOn w:val="Normal"/>
    <w:link w:val="BalloonTextChar"/>
    <w:uiPriority w:val="99"/>
    <w:semiHidden/>
    <w:unhideWhenUsed/>
    <w:rsid w:val="00377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DF1"/>
    <w:rPr>
      <w:rFonts w:ascii="Tahoma" w:hAnsi="Tahoma" w:cs="Tahoma"/>
      <w:sz w:val="16"/>
      <w:szCs w:val="16"/>
    </w:rPr>
  </w:style>
  <w:style w:type="table" w:styleId="TableGrid">
    <w:name w:val="Table Grid"/>
    <w:basedOn w:val="TableNormal"/>
    <w:uiPriority w:val="59"/>
    <w:rsid w:val="00700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A8E"/>
    <w:pPr>
      <w:ind w:left="720"/>
      <w:contextualSpacing/>
    </w:pPr>
  </w:style>
  <w:style w:type="character" w:styleId="CommentReference">
    <w:name w:val="annotation reference"/>
    <w:basedOn w:val="DefaultParagraphFont"/>
    <w:uiPriority w:val="99"/>
    <w:semiHidden/>
    <w:unhideWhenUsed/>
    <w:rsid w:val="00087477"/>
    <w:rPr>
      <w:sz w:val="16"/>
      <w:szCs w:val="16"/>
    </w:rPr>
  </w:style>
  <w:style w:type="paragraph" w:styleId="CommentText">
    <w:name w:val="annotation text"/>
    <w:basedOn w:val="Normal"/>
    <w:link w:val="CommentTextChar"/>
    <w:uiPriority w:val="99"/>
    <w:unhideWhenUsed/>
    <w:rsid w:val="00087477"/>
    <w:pPr>
      <w:spacing w:line="240" w:lineRule="auto"/>
    </w:pPr>
    <w:rPr>
      <w:sz w:val="20"/>
      <w:szCs w:val="20"/>
    </w:rPr>
  </w:style>
  <w:style w:type="character" w:customStyle="1" w:styleId="CommentTextChar">
    <w:name w:val="Comment Text Char"/>
    <w:basedOn w:val="DefaultParagraphFont"/>
    <w:link w:val="CommentText"/>
    <w:uiPriority w:val="99"/>
    <w:rsid w:val="00087477"/>
    <w:rPr>
      <w:sz w:val="20"/>
      <w:szCs w:val="20"/>
    </w:rPr>
  </w:style>
  <w:style w:type="paragraph" w:styleId="CommentSubject">
    <w:name w:val="annotation subject"/>
    <w:basedOn w:val="CommentText"/>
    <w:next w:val="CommentText"/>
    <w:link w:val="CommentSubjectChar"/>
    <w:uiPriority w:val="99"/>
    <w:semiHidden/>
    <w:unhideWhenUsed/>
    <w:rsid w:val="00087477"/>
    <w:rPr>
      <w:b/>
      <w:bCs/>
    </w:rPr>
  </w:style>
  <w:style w:type="character" w:customStyle="1" w:styleId="CommentSubjectChar">
    <w:name w:val="Comment Subject Char"/>
    <w:basedOn w:val="CommentTextChar"/>
    <w:link w:val="CommentSubject"/>
    <w:uiPriority w:val="99"/>
    <w:semiHidden/>
    <w:rsid w:val="00087477"/>
    <w:rPr>
      <w:b/>
      <w:bCs/>
      <w:sz w:val="20"/>
      <w:szCs w:val="20"/>
    </w:rPr>
  </w:style>
  <w:style w:type="paragraph" w:styleId="NoSpacing">
    <w:name w:val="No Spacing"/>
    <w:uiPriority w:val="1"/>
    <w:qFormat/>
    <w:rsid w:val="006E3F31"/>
    <w:pPr>
      <w:spacing w:after="0" w:line="240" w:lineRule="auto"/>
    </w:pPr>
    <w:rPr>
      <w:rFonts w:ascii="Calibri" w:hAnsi="Calibri"/>
      <w:sz w:val="24"/>
    </w:rPr>
  </w:style>
  <w:style w:type="paragraph" w:customStyle="1" w:styleId="Default">
    <w:name w:val="Default"/>
    <w:rsid w:val="00265C5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51D29"/>
    <w:rPr>
      <w:color w:val="0000FF" w:themeColor="hyperlink"/>
      <w:u w:val="single"/>
    </w:rPr>
  </w:style>
  <w:style w:type="character" w:customStyle="1" w:styleId="UnresolvedMention1">
    <w:name w:val="Unresolved Mention1"/>
    <w:basedOn w:val="DefaultParagraphFont"/>
    <w:uiPriority w:val="99"/>
    <w:semiHidden/>
    <w:unhideWhenUsed/>
    <w:rsid w:val="00451D29"/>
    <w:rPr>
      <w:color w:val="605E5C"/>
      <w:shd w:val="clear" w:color="auto" w:fill="E1DFDD"/>
    </w:rPr>
  </w:style>
  <w:style w:type="character" w:styleId="FollowedHyperlink">
    <w:name w:val="FollowedHyperlink"/>
    <w:basedOn w:val="DefaultParagraphFont"/>
    <w:uiPriority w:val="99"/>
    <w:semiHidden/>
    <w:unhideWhenUsed/>
    <w:rsid w:val="00A46763"/>
    <w:rPr>
      <w:color w:val="800080" w:themeColor="followedHyperlink"/>
      <w:u w:val="single"/>
    </w:rPr>
  </w:style>
  <w:style w:type="paragraph" w:styleId="FootnoteText">
    <w:name w:val="footnote text"/>
    <w:basedOn w:val="Normal"/>
    <w:link w:val="FootnoteTextChar"/>
    <w:uiPriority w:val="99"/>
    <w:semiHidden/>
    <w:unhideWhenUsed/>
    <w:rsid w:val="00447D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D18"/>
    <w:rPr>
      <w:sz w:val="20"/>
      <w:szCs w:val="20"/>
    </w:rPr>
  </w:style>
  <w:style w:type="character" w:styleId="FootnoteReference">
    <w:name w:val="footnote reference"/>
    <w:basedOn w:val="DefaultParagraphFont"/>
    <w:uiPriority w:val="99"/>
    <w:semiHidden/>
    <w:unhideWhenUsed/>
    <w:rsid w:val="00447D18"/>
    <w:rPr>
      <w:vertAlign w:val="superscript"/>
    </w:rPr>
  </w:style>
  <w:style w:type="paragraph" w:styleId="EndnoteText">
    <w:name w:val="endnote text"/>
    <w:basedOn w:val="Normal"/>
    <w:link w:val="EndnoteTextChar"/>
    <w:uiPriority w:val="99"/>
    <w:semiHidden/>
    <w:unhideWhenUsed/>
    <w:rsid w:val="009E1D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1DCE"/>
    <w:rPr>
      <w:sz w:val="20"/>
      <w:szCs w:val="20"/>
    </w:rPr>
  </w:style>
  <w:style w:type="character" w:styleId="EndnoteReference">
    <w:name w:val="endnote reference"/>
    <w:basedOn w:val="DefaultParagraphFont"/>
    <w:uiPriority w:val="99"/>
    <w:semiHidden/>
    <w:unhideWhenUsed/>
    <w:rsid w:val="009E1DCE"/>
    <w:rPr>
      <w:vertAlign w:val="superscript"/>
    </w:rPr>
  </w:style>
  <w:style w:type="paragraph" w:styleId="Caption">
    <w:name w:val="caption"/>
    <w:basedOn w:val="Normal"/>
    <w:next w:val="Normal"/>
    <w:uiPriority w:val="35"/>
    <w:unhideWhenUsed/>
    <w:qFormat/>
    <w:rsid w:val="0030172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AB7E-8D69-4293-B3A7-9B4B7822A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7906</Words>
  <Characters>45066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52867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Sharp</dc:creator>
  <cp:lastModifiedBy>Jenny Woolston</cp:lastModifiedBy>
  <cp:revision>2</cp:revision>
  <dcterms:created xsi:type="dcterms:W3CDTF">2021-03-17T11:56:00Z</dcterms:created>
  <dcterms:modified xsi:type="dcterms:W3CDTF">2021-03-17T11:56:00Z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http://www.zotero.org/styles/bmj-open</vt:lpwstr>
  </property>
  <property fmtid="{D5CDD505-2E9C-101B-9397-08002B2CF9AE}" pid="5" name="Mendeley Recent Style Name 1_1">
    <vt:lpwstr>BMJ Open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http://www.zotero.org/styles/journal-of-community-health</vt:lpwstr>
  </property>
  <property fmtid="{D5CDD505-2E9C-101B-9397-08002B2CF9AE}" pid="13" name="Mendeley Recent Style Name 5_1">
    <vt:lpwstr>Journal of Community Health</vt:lpwstr>
  </property>
  <property fmtid="{D5CDD505-2E9C-101B-9397-08002B2CF9AE}" pid="14" name="Mendeley Recent Style Id 6_1">
    <vt:lpwstr>http://www.zotero.org/styles/journal-of-public-health</vt:lpwstr>
  </property>
  <property fmtid="{D5CDD505-2E9C-101B-9397-08002B2CF9AE}" pid="15" name="Mendeley Recent Style Name 6_1">
    <vt:lpwstr>Journal of Public Health</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bde9780c-28a8-3d87-895c-f631024419b2</vt:lpwstr>
  </property>
  <property fmtid="{D5CDD505-2E9C-101B-9397-08002B2CF9AE}" pid="24" name="Mendeley Citation Style_1">
    <vt:lpwstr>http://www.zotero.org/styles/vancouver</vt:lpwstr>
  </property>
</Properties>
</file>