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4971"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Study Protocol: </w:t>
      </w:r>
    </w:p>
    <w:p w14:paraId="19F03025"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A Teacher-Led Myopia Prevention System for Rural Children in China: An Implementation Study</w:t>
      </w:r>
    </w:p>
    <w:p w14:paraId="2E73C8D8" w14:textId="77777777" w:rsidR="00C42E56" w:rsidRDefault="00C42E56">
      <w:pPr>
        <w:rPr>
          <w:rFonts w:ascii="Times New Roman Regular" w:hAnsi="Times New Roman Regular" w:cs="Times New Roman Regular"/>
        </w:rPr>
      </w:pPr>
    </w:p>
    <w:p w14:paraId="2AECDDCD"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1. Setting</w:t>
      </w:r>
    </w:p>
    <w:p w14:paraId="5C05BCB4"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The study will be carried out in six counties within two neighboring provinces in northwestern China. The selected areas in Gansu province are characterized as </w:t>
      </w:r>
      <w:proofErr w:type="gramStart"/>
      <w:r>
        <w:rPr>
          <w:rFonts w:ascii="Times New Roman Regular" w:hAnsi="Times New Roman Regular" w:cs="Times New Roman Regular"/>
        </w:rPr>
        <w:t>low-resource</w:t>
      </w:r>
      <w:proofErr w:type="gramEnd"/>
      <w:r>
        <w:rPr>
          <w:rFonts w:ascii="Times New Roman Regular" w:hAnsi="Times New Roman Regular" w:cs="Times New Roman Regular"/>
        </w:rPr>
        <w:t>, while those in Shaanxi province are relatively more affluent. This selection allows for an examination of the intervention across diverse socioeconomic contexts.</w:t>
      </w:r>
    </w:p>
    <w:p w14:paraId="63252290" w14:textId="77777777" w:rsidR="00C42E56" w:rsidRDefault="00C42E56">
      <w:pPr>
        <w:rPr>
          <w:rFonts w:ascii="Times New Roman Regular" w:hAnsi="Times New Roman Regular" w:cs="Times New Roman Regular"/>
        </w:rPr>
      </w:pPr>
    </w:p>
    <w:p w14:paraId="22ABD651"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2. Sampling and Eligibility Criteria</w:t>
      </w:r>
    </w:p>
    <w:p w14:paraId="35499966"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We will obtain a list of all primary schools in the target counties from local education bureaus. For logistical and statistical power reasons, we will exclude schools with fewer than 50 or more than 150 students in grades 4-6. From the remaining schools, we will randomly select 250 schools to participate.</w:t>
      </w:r>
    </w:p>
    <w:p w14:paraId="638EABD4"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Within each school, all male and female students in grades 4 to 6, aged 8 to 13, will be eligible for participation. The only exclusion criterion will be a pre-existing condition that prevents the safe use of dilating eye drops during the hospital's diagnostic process, a condition expected to affect less than 1% of the population.</w:t>
      </w:r>
    </w:p>
    <w:p w14:paraId="7362D2AF" w14:textId="77777777" w:rsidR="00C42E56" w:rsidRDefault="00C42E56">
      <w:pPr>
        <w:rPr>
          <w:rFonts w:ascii="Times New Roman Regular" w:hAnsi="Times New Roman Regular" w:cs="Times New Roman Regular"/>
        </w:rPr>
      </w:pPr>
    </w:p>
    <w:p w14:paraId="31396847"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3. Questionnaires and Baseline Data Collection</w:t>
      </w:r>
    </w:p>
    <w:p w14:paraId="02624A6E"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At baseline, trained enumerators will administer questionnaires to students. These will collect data on:</w:t>
      </w:r>
    </w:p>
    <w:p w14:paraId="0FCE2140"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Demographics: Age</w:t>
      </w:r>
      <w:r>
        <w:rPr>
          <w:rFonts w:ascii="Times New Roman Regular" w:hAnsi="Times New Roman Regular" w:cs="Times New Roman Regular"/>
        </w:rPr>
        <w:t xml:space="preserve">, </w:t>
      </w:r>
      <w:r>
        <w:rPr>
          <w:rFonts w:ascii="Times New Roman Regular" w:hAnsi="Times New Roman Regular" w:cs="Times New Roman Regular"/>
        </w:rPr>
        <w:t>sex</w:t>
      </w:r>
      <w:r>
        <w:rPr>
          <w:rFonts w:ascii="Times New Roman Regular" w:hAnsi="Times New Roman Regular" w:cs="Times New Roman Regular"/>
        </w:rPr>
        <w:t>, and grade</w:t>
      </w:r>
      <w:r>
        <w:rPr>
          <w:rFonts w:ascii="Times New Roman Regular" w:hAnsi="Times New Roman Regular" w:cs="Times New Roman Regular"/>
        </w:rPr>
        <w:t>.</w:t>
      </w:r>
    </w:p>
    <w:p w14:paraId="71DE4C12"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Vision Health: Current glasses wear, awareness of refractive status, and beliefs about vision care.</w:t>
      </w:r>
    </w:p>
    <w:p w14:paraId="78194BBE"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Family Background: Parental migration status and education levels.</w:t>
      </w:r>
    </w:p>
    <w:p w14:paraId="7D7BA5F1"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School Life: Whether the student boards at school.</w:t>
      </w:r>
    </w:p>
    <w:p w14:paraId="0B99FA60" w14:textId="77777777" w:rsidR="00C42E56" w:rsidRDefault="00C42E56">
      <w:pPr>
        <w:rPr>
          <w:rFonts w:ascii="Times New Roman Regular" w:hAnsi="Times New Roman Regular" w:cs="Times New Roman Regular"/>
        </w:rPr>
      </w:pPr>
    </w:p>
    <w:p w14:paraId="2D26F70A"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A separate parental questionnaire will be administered to gather information on household assets, which will be used to construct a family wealth index. Teachers will be surveyed regarding their teaching practices and the school's </w:t>
      </w:r>
      <w:proofErr w:type="gramStart"/>
      <w:r>
        <w:rPr>
          <w:rFonts w:ascii="Times New Roman Regular" w:hAnsi="Times New Roman Regular" w:cs="Times New Roman Regular"/>
        </w:rPr>
        <w:t>vision</w:t>
      </w:r>
      <w:proofErr w:type="gramEnd"/>
      <w:r>
        <w:rPr>
          <w:rFonts w:ascii="Times New Roman Regular" w:hAnsi="Times New Roman Regular" w:cs="Times New Roman Regular"/>
        </w:rPr>
        <w:t xml:space="preserve"> health environment.</w:t>
      </w:r>
    </w:p>
    <w:p w14:paraId="4ADFFD05" w14:textId="77777777" w:rsidR="00C42E56" w:rsidRDefault="00C42E56">
      <w:pPr>
        <w:rPr>
          <w:rFonts w:ascii="Times New Roman Regular" w:hAnsi="Times New Roman Regular" w:cs="Times New Roman Regular"/>
        </w:rPr>
      </w:pPr>
    </w:p>
    <w:p w14:paraId="0DFA801C"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4. Outcome Assessment</w:t>
      </w:r>
    </w:p>
    <w:p w14:paraId="5E117D19"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Primary Outcomes:</w:t>
      </w:r>
    </w:p>
    <w:p w14:paraId="5FF91A7F"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Eyeglass Adherence: Measured via self-report and direct observation at follow-up.</w:t>
      </w:r>
    </w:p>
    <w:p w14:paraId="727A61FC"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w:t>
      </w:r>
    </w:p>
    <w:p w14:paraId="5C0DF74F" w14:textId="77777777" w:rsidR="00C42E56" w:rsidRDefault="007670D6">
      <w:pPr>
        <w:ind w:firstLine="420"/>
        <w:rPr>
          <w:rFonts w:ascii="Times New Roman Regular" w:hAnsi="Times New Roman Regular" w:cs="Times New Roman Regular"/>
        </w:rPr>
      </w:pPr>
      <w:r>
        <w:rPr>
          <w:rFonts w:ascii="Times New Roman Regular" w:hAnsi="Times New Roman Regular" w:cs="Times New Roman Regular"/>
        </w:rPr>
        <w:t xml:space="preserve">Academic Performance: Assessed using standardized mathematics, </w:t>
      </w:r>
      <w:proofErr w:type="spellStart"/>
      <w:r>
        <w:rPr>
          <w:rFonts w:ascii="Times New Roman Regular" w:hAnsi="Times New Roman Regular" w:cs="Times New Roman Regular"/>
        </w:rPr>
        <w:t>chinese</w:t>
      </w:r>
      <w:proofErr w:type="spellEnd"/>
      <w:r>
        <w:rPr>
          <w:rFonts w:ascii="Times New Roman Regular" w:hAnsi="Times New Roman Regular" w:cs="Times New Roman Regular"/>
        </w:rPr>
        <w:t xml:space="preserve"> and reading tests administered at baseline and endline. The tests will be grade-specific, timed, and proctored by research staff. Mathematics is chosen to better isolate the impact of vision correction on classroom learning.</w:t>
      </w:r>
    </w:p>
    <w:p w14:paraId="1ED567CB" w14:textId="77777777" w:rsidR="00C42E56" w:rsidRDefault="00C42E56">
      <w:pPr>
        <w:rPr>
          <w:rFonts w:ascii="Times New Roman Regular" w:hAnsi="Times New Roman Regular" w:cs="Times New Roman Regular"/>
        </w:rPr>
      </w:pPr>
    </w:p>
    <w:p w14:paraId="7BFBA545" w14:textId="77777777" w:rsidR="00C42E56" w:rsidRDefault="007670D6">
      <w:pPr>
        <w:ind w:firstLine="420"/>
        <w:rPr>
          <w:rFonts w:ascii="Times New Roman Regular" w:hAnsi="Times New Roman Regular" w:cs="Times New Roman Regular"/>
        </w:rPr>
      </w:pPr>
      <w:r>
        <w:rPr>
          <w:rFonts w:ascii="Times New Roman Regular" w:hAnsi="Times New Roman Regular" w:cs="Times New Roman Regular"/>
        </w:rPr>
        <w:t>Non-Cognitive Skills: Assessed using a structured student questionnaire.</w:t>
      </w:r>
    </w:p>
    <w:p w14:paraId="00002FB2" w14:textId="77777777" w:rsidR="00C42E56" w:rsidRDefault="00C42E56">
      <w:pPr>
        <w:rPr>
          <w:rFonts w:ascii="Times New Roman Regular" w:hAnsi="Times New Roman Regular" w:cs="Times New Roman Regular"/>
        </w:rPr>
      </w:pPr>
    </w:p>
    <w:p w14:paraId="22327B3C"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Secondary Outcomes:</w:t>
      </w:r>
    </w:p>
    <w:p w14:paraId="05AE6FCA"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w:t>
      </w:r>
    </w:p>
    <w:p w14:paraId="1003421F"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lastRenderedPageBreak/>
        <w:t xml:space="preserve">   Implementation Outcomes: Assessed using the RE-AIM framework (Reach, Effectiveness, Adoption, Implementation, Maintenance) through project records, follow-up surveys, and qualitative interviews with stakeholders.</w:t>
      </w:r>
    </w:p>
    <w:p w14:paraId="680C5967" w14:textId="77777777" w:rsidR="00C42E56" w:rsidRDefault="00C42E56">
      <w:pPr>
        <w:rPr>
          <w:rFonts w:ascii="Times New Roman Regular" w:hAnsi="Times New Roman Regular" w:cs="Times New Roman Regular"/>
        </w:rPr>
      </w:pPr>
    </w:p>
    <w:p w14:paraId="3CCEC2D3"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5. Sample Size</w:t>
      </w:r>
    </w:p>
    <w:p w14:paraId="6314DC89"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Using power calculations accounting for the cluster-randomized design, a total sample of 30,000 students from 250 schools was determined. This provides over </w:t>
      </w:r>
      <w:r>
        <w:rPr>
          <w:rFonts w:ascii="Times New Roman Regular" w:hAnsi="Times New Roman Regular" w:cs="Times New Roman Regular" w:hint="eastAsia"/>
        </w:rPr>
        <w:t>8</w:t>
      </w:r>
      <w:r>
        <w:rPr>
          <w:rFonts w:ascii="Times New Roman Regular" w:hAnsi="Times New Roman Regular" w:cs="Times New Roman Regular"/>
        </w:rPr>
        <w:t>0% power to detect a significant difference in the primary outcome of eyeglass adherence between the intervention arms and the control group, assuming an intraclass correlation of 0.15.</w:t>
      </w:r>
    </w:p>
    <w:p w14:paraId="325D6357" w14:textId="77777777" w:rsidR="00C42E56" w:rsidRDefault="00C42E56">
      <w:pPr>
        <w:rPr>
          <w:rFonts w:ascii="Times New Roman Regular" w:hAnsi="Times New Roman Regular" w:cs="Times New Roman Regular"/>
        </w:rPr>
      </w:pPr>
    </w:p>
    <w:p w14:paraId="43B8C5D7"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6. Statistical Analysis</w:t>
      </w:r>
    </w:p>
    <w:p w14:paraId="228A9CA7"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All analyses will be performed using Stata software, calculating robust standard errors adjusted for clustering at the school level. The primary analysis will follow the intention-to-treat principle.</w:t>
      </w:r>
    </w:p>
    <w:p w14:paraId="3AA87A73" w14:textId="77777777" w:rsidR="00C42E56" w:rsidRDefault="00C42E56">
      <w:pPr>
        <w:rPr>
          <w:rFonts w:ascii="Times New Roman Regular" w:hAnsi="Times New Roman Regular" w:cs="Times New Roman Regular"/>
        </w:rPr>
      </w:pPr>
    </w:p>
    <w:p w14:paraId="6C6E6810"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Primary Outcomes: We will use multiple linear regression to analyze the effect of the intervention on endline academic performance and eyeglass adherence, adjusting for baseline scores and other relevant covariates.</w:t>
      </w:r>
    </w:p>
    <w:p w14:paraId="629B294B"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Secondary Outcomes: Generalized linear models will be used for binary and count outcomes (e.g., adherence rates). Qualitative data from interviews will be analyzed thematically using the Consolidated Framework for Implementation Research (CFIR).</w:t>
      </w:r>
    </w:p>
    <w:p w14:paraId="758C0945"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   Mediation Analysis: We will explore whether changes in non-cognitive skills mediate the relationship between </w:t>
      </w:r>
      <w:proofErr w:type="gramStart"/>
      <w:r>
        <w:rPr>
          <w:rFonts w:ascii="Times New Roman Regular" w:hAnsi="Times New Roman Regular" w:cs="Times New Roman Regular"/>
        </w:rPr>
        <w:t>the intervention</w:t>
      </w:r>
      <w:proofErr w:type="gramEnd"/>
      <w:r>
        <w:rPr>
          <w:rFonts w:ascii="Times New Roman Regular" w:hAnsi="Times New Roman Regular" w:cs="Times New Roman Regular"/>
        </w:rPr>
        <w:t xml:space="preserve"> and academic performance.</w:t>
      </w:r>
    </w:p>
    <w:p w14:paraId="184C92E8" w14:textId="77777777" w:rsidR="00C42E56" w:rsidRDefault="00C42E56">
      <w:pPr>
        <w:rPr>
          <w:rFonts w:ascii="Times New Roman Regular" w:hAnsi="Times New Roman Regular" w:cs="Times New Roman Regular"/>
        </w:rPr>
      </w:pPr>
    </w:p>
    <w:p w14:paraId="4CAC850E"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7. Missing Data</w:t>
      </w:r>
    </w:p>
    <w:p w14:paraId="11793B76" w14:textId="77777777" w:rsidR="00C42E56" w:rsidRDefault="007670D6">
      <w:pPr>
        <w:rPr>
          <w:rFonts w:ascii="Times New Roman Regular" w:hAnsi="Times New Roman Regular" w:cs="Times New Roman Regular"/>
        </w:rPr>
      </w:pPr>
      <w:r>
        <w:rPr>
          <w:rFonts w:ascii="Times New Roman Regular" w:hAnsi="Times New Roman Regular" w:cs="Times New Roman Regular"/>
        </w:rPr>
        <w:t xml:space="preserve">To adhere to the intention-to-treat principle, multiple </w:t>
      </w:r>
      <w:proofErr w:type="gramStart"/>
      <w:r>
        <w:rPr>
          <w:rFonts w:ascii="Times New Roman Regular" w:hAnsi="Times New Roman Regular" w:cs="Times New Roman Regular"/>
        </w:rPr>
        <w:t>imputation</w:t>
      </w:r>
      <w:proofErr w:type="gramEnd"/>
      <w:r>
        <w:rPr>
          <w:rFonts w:ascii="Times New Roman Regular" w:hAnsi="Times New Roman Regular" w:cs="Times New Roman Regular"/>
        </w:rPr>
        <w:t xml:space="preserve"> will be used to handle missing data at baseline and endline. We will create multiple copies of the dataset where missing values are imputed using chained equations, based on a set of predictive variables. The </w:t>
      </w:r>
      <w:proofErr w:type="gramStart"/>
      <w:r>
        <w:rPr>
          <w:rFonts w:ascii="Times New Roman Regular" w:hAnsi="Times New Roman Regular" w:cs="Times New Roman Regular"/>
        </w:rPr>
        <w:t>final results</w:t>
      </w:r>
      <w:proofErr w:type="gramEnd"/>
      <w:r>
        <w:rPr>
          <w:rFonts w:ascii="Times New Roman Regular" w:hAnsi="Times New Roman Regular" w:cs="Times New Roman Regular"/>
        </w:rPr>
        <w:t xml:space="preserve"> will be obtained by pooling estimates across these imputed datasets using Rubin's rules, ensuring that standard errors account for the uncertainty introduced by the imputation process.</w:t>
      </w:r>
    </w:p>
    <w:p w14:paraId="72EADB61" w14:textId="77777777" w:rsidR="00C42E56" w:rsidRDefault="00C42E56">
      <w:pPr>
        <w:rPr>
          <w:rFonts w:ascii="Times New Roman Regular" w:hAnsi="Times New Roman Regular" w:cs="Times New Roman Regular"/>
        </w:rPr>
      </w:pPr>
    </w:p>
    <w:p w14:paraId="36EF1D50" w14:textId="77777777" w:rsidR="00C42E56" w:rsidRDefault="00C42E56">
      <w:pPr>
        <w:rPr>
          <w:rFonts w:ascii="Times New Roman Regular" w:hAnsi="Times New Roman Regular" w:cs="Times New Roman Regular"/>
        </w:rPr>
      </w:pPr>
    </w:p>
    <w:sectPr w:rsidR="00C42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NTY3MjSxNLIwtDRX0lEKTi0uzszPAykwrAUA3B83IywAAAA="/>
  </w:docVars>
  <w:rsids>
    <w:rsidRoot w:val="26FD3D62"/>
    <w:rsid w:val="000437CB"/>
    <w:rsid w:val="002D2007"/>
    <w:rsid w:val="007670D6"/>
    <w:rsid w:val="00B05390"/>
    <w:rsid w:val="00C42E56"/>
    <w:rsid w:val="00C57892"/>
    <w:rsid w:val="1ABB0F2C"/>
    <w:rsid w:val="26FD3D62"/>
    <w:rsid w:val="7BFF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AFC4"/>
  <w15:docId w15:val="{48B58EFB-692F-4359-8963-2E7DA3A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pPr>
      <w:jc w:val="left"/>
    </w:p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rPr>
      <w:sz w:val="21"/>
      <w:szCs w:val="21"/>
    </w:rPr>
  </w:style>
  <w:style w:type="paragraph" w:customStyle="1" w:styleId="Revision1">
    <w:name w:val="Revision1"/>
    <w:hidden/>
    <w:uiPriority w:val="99"/>
    <w:semiHidden/>
    <w:rPr>
      <w:kern w:val="2"/>
      <w:sz w:val="21"/>
      <w:szCs w:val="24"/>
      <w:lang w:val="en-US" w:eastAsia="zh-CN"/>
    </w:rPr>
  </w:style>
  <w:style w:type="character" w:customStyle="1" w:styleId="CommentTextChar">
    <w:name w:val="Comment Text Char"/>
    <w:basedOn w:val="DefaultParagraphFont"/>
    <w:link w:val="CommentText"/>
    <w:rPr>
      <w:kern w:val="2"/>
      <w:sz w:val="21"/>
      <w:szCs w:val="24"/>
    </w:rPr>
  </w:style>
  <w:style w:type="character" w:customStyle="1" w:styleId="CommentSubjectChar">
    <w:name w:val="Comment Subject Char"/>
    <w:basedOn w:val="CommentTextChar"/>
    <w:link w:val="CommentSubject"/>
    <w:rPr>
      <w:b/>
      <w:bCs/>
      <w:kern w:val="2"/>
      <w:sz w:val="21"/>
      <w:szCs w:val="24"/>
    </w:rPr>
  </w:style>
  <w:style w:type="paragraph" w:styleId="Revision">
    <w:name w:val="Revision"/>
    <w:hidden/>
    <w:uiPriority w:val="99"/>
    <w:unhideWhenUsed/>
    <w:rsid w:val="007670D6"/>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3656</Characters>
  <Application>Microsoft Office Word</Application>
  <DocSecurity>4</DocSecurity>
  <Lines>76</Lines>
  <Paragraphs>35</Paragraphs>
  <ScaleCrop>false</ScaleCrop>
  <Company>Springer Nature</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Whuang婷</dc:creator>
  <cp:lastModifiedBy>Lisa Hodgkinson</cp:lastModifiedBy>
  <cp:revision>2</cp:revision>
  <dcterms:created xsi:type="dcterms:W3CDTF">2025-12-01T09:12:00Z</dcterms:created>
  <dcterms:modified xsi:type="dcterms:W3CDTF">2025-12-01T09:12:00Z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135C37E1E91CECD8BAF9286974CD32FC_41</vt:lpwstr>
  </property>
</Properties>
</file>