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21DA8" w14:textId="77777777" w:rsidR="00475FDA" w:rsidRPr="00233EB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20"/>
          <w:szCs w:val="22"/>
        </w:rPr>
      </w:pPr>
    </w:p>
    <w:p w14:paraId="0C84F2B8" w14:textId="39A07F76" w:rsidR="00475FDA" w:rsidRPr="003C12DB" w:rsidRDefault="00475FDA" w:rsidP="00EB3796">
      <w:pPr>
        <w:spacing w:after="0" w:line="240" w:lineRule="auto"/>
        <w:rPr>
          <w:rFonts w:cstheme="minorHAnsi"/>
          <w:b/>
          <w:szCs w:val="22"/>
        </w:rPr>
      </w:pPr>
      <w:r w:rsidRPr="003C12DB">
        <w:rPr>
          <w:rFonts w:cstheme="minorHAnsi"/>
          <w:b/>
          <w:szCs w:val="22"/>
        </w:rPr>
        <w:t xml:space="preserve">FULL/LONG TITLE OF THE </w:t>
      </w:r>
      <w:r w:rsidR="0003364E">
        <w:rPr>
          <w:rFonts w:cstheme="minorHAnsi"/>
          <w:b/>
          <w:szCs w:val="22"/>
        </w:rPr>
        <w:t>STUDY</w:t>
      </w:r>
    </w:p>
    <w:p w14:paraId="79394FE2" w14:textId="3E8EBF9B" w:rsidR="00475FDA" w:rsidRPr="00CE1128" w:rsidRDefault="00CE112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CE1128">
        <w:t>The Incremental Utility of Cardiac Magnetic Resonance Imaging in Clinical Decision Making in Myocardial Infarction with Non-Obstructed Coronary Arteries (MINOCA)</w:t>
      </w:r>
    </w:p>
    <w:p w14:paraId="05597128" w14:textId="77777777" w:rsidR="00CE1128" w:rsidRPr="003C12DB" w:rsidRDefault="00CE112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4A7B2F1F" w14:textId="1C895C1E" w:rsidR="00CE1128" w:rsidRPr="00CE1128" w:rsidRDefault="00CE1128" w:rsidP="00CE112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SHORT STUDY TITLE / ACRONYM</w:t>
      </w:r>
      <w:r>
        <w:rPr>
          <w:rFonts w:cstheme="minorHAnsi"/>
          <w:b/>
          <w:szCs w:val="22"/>
        </w:rPr>
        <w:br/>
      </w:r>
      <w:r w:rsidRPr="00CE1128">
        <w:rPr>
          <w:rFonts w:cstheme="minorHAnsi"/>
          <w:szCs w:val="22"/>
        </w:rPr>
        <w:t>MINOCA</w:t>
      </w:r>
      <w:r w:rsidR="0090219E" w:rsidRPr="0090219E">
        <w:rPr>
          <w:rFonts w:cstheme="minorHAnsi"/>
          <w:szCs w:val="22"/>
        </w:rPr>
        <w:t xml:space="preserve"> </w:t>
      </w:r>
      <w:r w:rsidR="0090219E">
        <w:rPr>
          <w:rFonts w:cstheme="minorHAnsi"/>
          <w:szCs w:val="22"/>
        </w:rPr>
        <w:t>CMR</w:t>
      </w:r>
    </w:p>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4F928403"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b/>
          <w:szCs w:val="22"/>
        </w:rPr>
        <w:t>PROTOCOL VERSION NUMBER AND DATE</w:t>
      </w:r>
      <w:r w:rsidR="00CE1128">
        <w:rPr>
          <w:rFonts w:cstheme="minorHAnsi"/>
          <w:b/>
          <w:szCs w:val="22"/>
        </w:rPr>
        <w:br/>
      </w:r>
      <w:r w:rsidR="00CE1128" w:rsidRPr="00CE1128">
        <w:rPr>
          <w:rFonts w:cstheme="minorHAnsi"/>
          <w:szCs w:val="22"/>
        </w:rPr>
        <w:t>Version 1</w:t>
      </w:r>
      <w:r w:rsidR="00885B1D">
        <w:rPr>
          <w:rFonts w:cstheme="minorHAnsi"/>
          <w:szCs w:val="22"/>
        </w:rPr>
        <w:t>.0, 27/07/2020</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0AA63356" w:rsidR="00475FDA" w:rsidRPr="003C12DB" w:rsidRDefault="00475FDA" w:rsidP="003802A1">
            <w:pPr>
              <w:spacing w:line="240" w:lineRule="auto"/>
              <w:rPr>
                <w:rFonts w:cstheme="minorHAnsi"/>
                <w:b/>
                <w:szCs w:val="22"/>
              </w:rPr>
            </w:pPr>
            <w:r w:rsidRPr="003C12DB">
              <w:rPr>
                <w:rFonts w:cstheme="minorHAnsi"/>
                <w:b/>
                <w:szCs w:val="22"/>
              </w:rPr>
              <w:t>IRAS Number</w:t>
            </w:r>
            <w:r w:rsidR="00BD7D96">
              <w:rPr>
                <w:rFonts w:cstheme="minorHAnsi"/>
                <w:b/>
                <w:szCs w:val="22"/>
              </w:rPr>
              <w:t xml:space="preserve"> </w:t>
            </w:r>
            <w:r w:rsidR="00BD7D96">
              <w:rPr>
                <w:rFonts w:cstheme="minorHAnsi"/>
                <w:b/>
                <w:szCs w:val="22"/>
              </w:rPr>
              <w:br/>
            </w:r>
            <w:r w:rsidR="00BD7D96" w:rsidRPr="00BD7D96">
              <w:rPr>
                <w:rFonts w:cstheme="minorHAnsi"/>
                <w:bCs/>
                <w:szCs w:val="22"/>
              </w:rPr>
              <w:t>255358</w:t>
            </w:r>
          </w:p>
        </w:tc>
        <w:tc>
          <w:tcPr>
            <w:tcW w:w="5894" w:type="dxa"/>
          </w:tcPr>
          <w:p w14:paraId="2EFC30E5" w14:textId="77777777" w:rsidR="0003364E" w:rsidRPr="003C12DB" w:rsidDel="00702805" w:rsidRDefault="0003364E" w:rsidP="00CE1128">
            <w:pPr>
              <w:spacing w:line="240" w:lineRule="auto"/>
              <w:rPr>
                <w:rFonts w:cstheme="minorHAnsi"/>
                <w:color w:val="0000FF"/>
                <w:szCs w:val="22"/>
              </w:rPr>
            </w:pPr>
          </w:p>
        </w:tc>
      </w:tr>
    </w:tbl>
    <w:p w14:paraId="3FC1A81A" w14:textId="77777777" w:rsidR="00BD7D96" w:rsidRDefault="00BD7D9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24"/>
        </w:rPr>
      </w:pPr>
    </w:p>
    <w:p w14:paraId="66EFA935" w14:textId="7F501EFC" w:rsidR="00475FDA" w:rsidRPr="003C12DB" w:rsidRDefault="00BD7D9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4F0D9E">
        <w:rPr>
          <w:rFonts w:cstheme="minorHAnsi"/>
          <w:b/>
          <w:sz w:val="24"/>
        </w:rPr>
        <w:t>This protocol has regard for the HRA guidance and order of content</w:t>
      </w:r>
      <w:r w:rsidRPr="003C12DB">
        <w:rPr>
          <w:rFonts w:cstheme="minorHAnsi"/>
          <w:color w:val="0000FF"/>
          <w:szCs w:val="22"/>
        </w:rPr>
        <w:t xml:space="preserve"> </w:t>
      </w:r>
      <w:r w:rsidR="00475FDA" w:rsidRPr="003C12DB">
        <w:rPr>
          <w:rFonts w:cstheme="minorHAnsi"/>
          <w:color w:val="0000FF"/>
          <w:szCs w:val="22"/>
        </w:rPr>
        <w:br w:type="page"/>
      </w:r>
    </w:p>
    <w:p w14:paraId="133B3BC9" w14:textId="77777777" w:rsidR="00475FDA" w:rsidRPr="00C779BB" w:rsidRDefault="00475FDA" w:rsidP="003802A1">
      <w:pPr>
        <w:pStyle w:val="Heading1"/>
        <w:spacing w:before="0" w:after="120"/>
        <w:rPr>
          <w:rFonts w:eastAsiaTheme="minorEastAsia"/>
          <w:bCs w:val="0"/>
          <w:color w:val="auto"/>
        </w:rPr>
      </w:pPr>
      <w:r w:rsidRPr="00C779BB">
        <w:rPr>
          <w:rFonts w:asciiTheme="minorHAnsi" w:eastAsiaTheme="minorEastAsia" w:hAnsiTheme="minorHAnsi" w:cstheme="minorHAnsi"/>
          <w:bCs w:val="0"/>
          <w:color w:val="auto"/>
          <w:sz w:val="22"/>
          <w:szCs w:val="22"/>
        </w:rPr>
        <w:lastRenderedPageBreak/>
        <w:t>SIGNATURE PAGE</w:t>
      </w:r>
    </w:p>
    <w:p w14:paraId="6359B5D0" w14:textId="15BFC0A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sidR="000A4DA5">
        <w:rPr>
          <w:rFonts w:cstheme="minorHAnsi"/>
          <w:szCs w:val="22"/>
        </w:rPr>
        <w:t xml:space="preserve">study </w:t>
      </w:r>
      <w:r w:rsidRPr="003C12DB">
        <w:rPr>
          <w:rFonts w:cstheme="minorHAnsi"/>
          <w:szCs w:val="22"/>
        </w:rPr>
        <w:t xml:space="preserve">in compliance with the approved protocol and will adhere to the principles outlined in the </w:t>
      </w:r>
      <w:r w:rsidR="0003364E">
        <w:rPr>
          <w:rFonts w:cstheme="minorHAnsi"/>
          <w:szCs w:val="22"/>
        </w:rPr>
        <w:t>Declaration of Helsinki</w:t>
      </w:r>
      <w:r w:rsidRPr="003C12DB">
        <w:rPr>
          <w:rFonts w:cstheme="minorHAnsi"/>
          <w:szCs w:val="22"/>
        </w:rPr>
        <w:t>, the Sponsor’s SOPs, a</w:t>
      </w:r>
      <w:r w:rsidR="0003364E">
        <w:rPr>
          <w:rFonts w:cstheme="minorHAnsi"/>
          <w:szCs w:val="22"/>
        </w:rPr>
        <w:t>nd other regulatory requirement</w:t>
      </w:r>
      <w:r w:rsidRPr="003C12DB">
        <w:rPr>
          <w:rFonts w:cstheme="minorHAnsi"/>
          <w:szCs w:val="22"/>
        </w:rPr>
        <w:t>.</w:t>
      </w:r>
    </w:p>
    <w:p w14:paraId="71D06904" w14:textId="1CD309E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sidR="0003364E">
        <w:rPr>
          <w:rFonts w:cstheme="minorHAnsi"/>
          <w:szCs w:val="22"/>
        </w:rPr>
        <w:t>the evaluation or conduct of the</w:t>
      </w:r>
      <w:r w:rsidRPr="003C12DB">
        <w:rPr>
          <w:rFonts w:cstheme="minorHAnsi"/>
          <w:szCs w:val="22"/>
        </w:rPr>
        <w:t xml:space="preserve"> investigation without the prior written consent of the Sponsor</w:t>
      </w:r>
    </w:p>
    <w:p w14:paraId="155CB861" w14:textId="72A7CA38"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29404CA3"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003C12DB" w:rsidRPr="003C12DB" w14:paraId="754B4579" w14:textId="77777777" w:rsidTr="00475FDA">
        <w:tc>
          <w:tcPr>
            <w:tcW w:w="9468" w:type="dxa"/>
            <w:gridSpan w:val="3"/>
          </w:tcPr>
          <w:p w14:paraId="2D11A730" w14:textId="77777777" w:rsidR="00FD6F3E" w:rsidRDefault="00FD6F3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2BBA9D4" w14:textId="246F128B" w:rsidR="00FD6F3E" w:rsidRDefault="00FD6F3E" w:rsidP="00FD6F3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Principle Investigator:</w:t>
            </w:r>
          </w:p>
          <w:p w14:paraId="4205D864" w14:textId="1290046A"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tc>
      </w:tr>
      <w:tr w:rsidR="003C12DB" w:rsidRPr="003C12DB" w14:paraId="05F73613" w14:textId="77777777" w:rsidTr="00475FDA">
        <w:tc>
          <w:tcPr>
            <w:tcW w:w="6487" w:type="dxa"/>
          </w:tcPr>
          <w:p w14:paraId="7B669664" w14:textId="77777777" w:rsidR="0090219E" w:rsidRDefault="003C12DB" w:rsidP="0090219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bookmarkStart w:id="0" w:name="_Hlk30971186"/>
            <w:r w:rsidRPr="003C12DB">
              <w:rPr>
                <w:rFonts w:cstheme="minorHAnsi"/>
                <w:szCs w:val="22"/>
              </w:rPr>
              <w:t xml:space="preserve">Signature: </w:t>
            </w:r>
          </w:p>
          <w:p w14:paraId="37D7B078" w14:textId="13C6F54C" w:rsidR="003C12DB" w:rsidRPr="003C12DB" w:rsidRDefault="0090219E" w:rsidP="0090219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90219E">
              <w:rPr>
                <w:rFonts w:cstheme="minorHAnsi"/>
                <w:i/>
                <w:szCs w:val="22"/>
              </w:rPr>
              <w:t xml:space="preserve">Signed </w:t>
            </w:r>
            <w:r>
              <w:rPr>
                <w:rFonts w:cstheme="minorHAnsi"/>
                <w:i/>
                <w:szCs w:val="22"/>
              </w:rPr>
              <w:t>digitally</w:t>
            </w:r>
            <w:r>
              <w:rPr>
                <w:rFonts w:cstheme="minorHAnsi"/>
                <w:szCs w:val="22"/>
              </w:rPr>
              <w:t xml:space="preserve"> </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F3A66E4" w:rsidR="003C12DB" w:rsidRPr="003C12DB" w:rsidRDefault="003C12DB" w:rsidP="00885B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Date: </w:t>
            </w:r>
            <w:r w:rsidR="00885B1D">
              <w:rPr>
                <w:rFonts w:cstheme="minorHAnsi"/>
                <w:szCs w:val="22"/>
              </w:rPr>
              <w:t>27/07/2020</w:t>
            </w:r>
          </w:p>
        </w:tc>
      </w:tr>
      <w:tr w:rsidR="003C12DB" w:rsidRPr="003C12DB" w14:paraId="0B18011F" w14:textId="77777777" w:rsidTr="00475FDA">
        <w:tc>
          <w:tcPr>
            <w:tcW w:w="6487" w:type="dxa"/>
          </w:tcPr>
          <w:p w14:paraId="3D36E97E" w14:textId="77777777" w:rsidR="00FD6F3E" w:rsidRDefault="00FD6F3E"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6B7C679" w14:textId="5237AEBA"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18197EEF" w:rsidR="003C12DB" w:rsidRPr="0090219E" w:rsidRDefault="0090219E"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szCs w:val="22"/>
              </w:rPr>
            </w:pPr>
            <w:r w:rsidRPr="0090219E">
              <w:rPr>
                <w:rFonts w:cstheme="minorHAnsi"/>
                <w:i/>
                <w:szCs w:val="22"/>
              </w:rPr>
              <w:t xml:space="preserve">Dr </w:t>
            </w:r>
            <w:r w:rsidR="00FD6F3E">
              <w:rPr>
                <w:rFonts w:cstheme="minorHAnsi"/>
                <w:i/>
                <w:szCs w:val="22"/>
              </w:rPr>
              <w:t>David Austin</w:t>
            </w:r>
            <w:r w:rsidRPr="0090219E">
              <w:rPr>
                <w:rFonts w:cstheme="minorHAnsi"/>
                <w:i/>
                <w:szCs w:val="22"/>
              </w:rPr>
              <w:t xml:space="preserve"> MBChB </w:t>
            </w:r>
            <w:r w:rsidR="00FD6F3E">
              <w:rPr>
                <w:rFonts w:cstheme="minorHAnsi"/>
                <w:i/>
                <w:szCs w:val="22"/>
              </w:rPr>
              <w:t>M</w:t>
            </w:r>
            <w:r w:rsidRPr="0090219E">
              <w:rPr>
                <w:rFonts w:cstheme="minorHAnsi"/>
                <w:i/>
                <w:szCs w:val="22"/>
              </w:rPr>
              <w:t xml:space="preserve">D </w:t>
            </w:r>
            <w:r w:rsidR="00FD6F3E">
              <w:rPr>
                <w:rFonts w:cstheme="minorHAnsi"/>
                <w:i/>
                <w:szCs w:val="22"/>
              </w:rPr>
              <w:t>PGCert</w:t>
            </w:r>
            <w:r w:rsidR="00FD6F3E" w:rsidRPr="0090219E">
              <w:rPr>
                <w:rFonts w:cstheme="minorHAnsi"/>
                <w:i/>
                <w:szCs w:val="22"/>
              </w:rPr>
              <w:t xml:space="preserve"> </w:t>
            </w:r>
            <w:r w:rsidRPr="0090219E">
              <w:rPr>
                <w:rFonts w:cstheme="minorHAnsi"/>
                <w:i/>
                <w:szCs w:val="22"/>
              </w:rPr>
              <w:t>FRCP</w:t>
            </w:r>
            <w:r w:rsidR="003C12DB" w:rsidRPr="0090219E">
              <w:rPr>
                <w:rFonts w:cstheme="minorHAnsi"/>
                <w: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FD6F3E" w:rsidRPr="003C12DB" w14:paraId="40D8C29A" w14:textId="77777777" w:rsidTr="008F7355">
        <w:tc>
          <w:tcPr>
            <w:tcW w:w="9468" w:type="dxa"/>
            <w:gridSpan w:val="3"/>
          </w:tcPr>
          <w:p w14:paraId="51CBFCE2" w14:textId="1932F041" w:rsidR="00FD6F3E"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bookmarkStart w:id="1" w:name="_Toc354567215"/>
            <w:bookmarkEnd w:id="0"/>
          </w:p>
          <w:p w14:paraId="6E6DBBDE" w14:textId="77777777" w:rsidR="00FD6F3E"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19B1460B" w14:textId="1947B169"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FD6F3E" w:rsidRPr="003C12DB" w14:paraId="30C81D5F" w14:textId="77777777" w:rsidTr="008F7355">
        <w:tc>
          <w:tcPr>
            <w:tcW w:w="6487" w:type="dxa"/>
          </w:tcPr>
          <w:p w14:paraId="23184989"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75C9CE07"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59F1EAC3"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FD6F3E" w:rsidRPr="003C12DB" w14:paraId="0061333E" w14:textId="77777777" w:rsidTr="008F7355">
        <w:tc>
          <w:tcPr>
            <w:tcW w:w="6487" w:type="dxa"/>
          </w:tcPr>
          <w:p w14:paraId="081B99E2" w14:textId="77777777" w:rsidR="00FD6F3E"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25EB3ACF"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90219E">
              <w:rPr>
                <w:rFonts w:cstheme="minorHAnsi"/>
                <w:i/>
                <w:szCs w:val="22"/>
              </w:rPr>
              <w:t xml:space="preserve">Signed </w:t>
            </w:r>
            <w:r>
              <w:rPr>
                <w:rFonts w:cstheme="minorHAnsi"/>
                <w:i/>
                <w:szCs w:val="22"/>
              </w:rPr>
              <w:t>digitally</w:t>
            </w:r>
            <w:r>
              <w:rPr>
                <w:rFonts w:cstheme="minorHAnsi"/>
                <w:szCs w:val="22"/>
              </w:rPr>
              <w:t xml:space="preserve"> </w:t>
            </w:r>
          </w:p>
        </w:tc>
        <w:tc>
          <w:tcPr>
            <w:tcW w:w="1134" w:type="dxa"/>
          </w:tcPr>
          <w:p w14:paraId="4C3BEA85"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1A0C98F" w14:textId="4213E9A6" w:rsidR="00FD6F3E" w:rsidRPr="003C12DB" w:rsidRDefault="00FD6F3E" w:rsidP="00885B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Date: </w:t>
            </w:r>
            <w:r w:rsidR="00885B1D">
              <w:rPr>
                <w:rFonts w:cstheme="minorHAnsi"/>
                <w:szCs w:val="22"/>
              </w:rPr>
              <w:t>27/07/2020</w:t>
            </w:r>
          </w:p>
        </w:tc>
      </w:tr>
      <w:tr w:rsidR="00FD6F3E" w:rsidRPr="003C12DB" w14:paraId="6BB8AFEC" w14:textId="77777777" w:rsidTr="008F7355">
        <w:tc>
          <w:tcPr>
            <w:tcW w:w="6487" w:type="dxa"/>
          </w:tcPr>
          <w:p w14:paraId="151FE5CF" w14:textId="77777777" w:rsidR="00FD6F3E" w:rsidRDefault="00FD6F3E" w:rsidP="008F73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F77F28" w14:textId="02CD32BB" w:rsidR="00FD6F3E" w:rsidRDefault="00FD6F3E" w:rsidP="008F73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50D5ECC3" w14:textId="7B5CE75E" w:rsidR="00FD6F3E" w:rsidRPr="0090219E" w:rsidRDefault="00885B1D" w:rsidP="008F73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szCs w:val="22"/>
              </w:rPr>
            </w:pPr>
            <w:r w:rsidRPr="0090219E">
              <w:rPr>
                <w:rFonts w:cstheme="minorHAnsi"/>
                <w:i/>
                <w:szCs w:val="22"/>
              </w:rPr>
              <w:t xml:space="preserve">Dr </w:t>
            </w:r>
            <w:r>
              <w:rPr>
                <w:rFonts w:cstheme="minorHAnsi"/>
                <w:i/>
                <w:szCs w:val="22"/>
              </w:rPr>
              <w:t>David Austin</w:t>
            </w:r>
            <w:r w:rsidRPr="0090219E">
              <w:rPr>
                <w:rFonts w:cstheme="minorHAnsi"/>
                <w:i/>
                <w:szCs w:val="22"/>
              </w:rPr>
              <w:t xml:space="preserve"> MBChB </w:t>
            </w:r>
            <w:r>
              <w:rPr>
                <w:rFonts w:cstheme="minorHAnsi"/>
                <w:i/>
                <w:szCs w:val="22"/>
              </w:rPr>
              <w:t>M</w:t>
            </w:r>
            <w:r w:rsidRPr="0090219E">
              <w:rPr>
                <w:rFonts w:cstheme="minorHAnsi"/>
                <w:i/>
                <w:szCs w:val="22"/>
              </w:rPr>
              <w:t xml:space="preserve">D </w:t>
            </w:r>
            <w:r>
              <w:rPr>
                <w:rFonts w:cstheme="minorHAnsi"/>
                <w:i/>
                <w:szCs w:val="22"/>
              </w:rPr>
              <w:t>PGCert</w:t>
            </w:r>
            <w:r w:rsidRPr="0090219E">
              <w:rPr>
                <w:rFonts w:cstheme="minorHAnsi"/>
                <w:i/>
                <w:szCs w:val="22"/>
              </w:rPr>
              <w:t xml:space="preserve"> FRCP</w:t>
            </w:r>
          </w:p>
        </w:tc>
        <w:tc>
          <w:tcPr>
            <w:tcW w:w="1134" w:type="dxa"/>
          </w:tcPr>
          <w:p w14:paraId="39E8C4CA"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1D24BF4" w14:textId="77777777" w:rsidR="00FD6F3E" w:rsidRPr="003C12DB" w:rsidRDefault="00FD6F3E" w:rsidP="008F73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Default="00093582" w:rsidP="003802A1">
      <w:pPr>
        <w:pStyle w:val="Heading1"/>
        <w:spacing w:before="0" w:after="120"/>
        <w:rPr>
          <w:rFonts w:asciiTheme="minorHAnsi" w:hAnsiTheme="minorHAnsi" w:cstheme="minorHAnsi"/>
          <w:sz w:val="22"/>
          <w:szCs w:val="22"/>
        </w:rPr>
      </w:pPr>
    </w:p>
    <w:p w14:paraId="59CBD00E" w14:textId="77777777" w:rsidR="005A725E" w:rsidRDefault="005A725E" w:rsidP="00EB3796">
      <w:pPr>
        <w:pStyle w:val="Heading1"/>
        <w:spacing w:before="0" w:after="120"/>
        <w:rPr>
          <w:rFonts w:asciiTheme="minorHAnsi" w:hAnsiTheme="minorHAnsi" w:cstheme="minorHAnsi"/>
          <w:color w:val="auto"/>
          <w:sz w:val="22"/>
          <w:szCs w:val="22"/>
        </w:rPr>
      </w:pPr>
    </w:p>
    <w:p w14:paraId="7AF99C8C" w14:textId="77777777" w:rsidR="005A725E" w:rsidRDefault="005A725E" w:rsidP="00EB3796">
      <w:pPr>
        <w:pStyle w:val="Heading1"/>
        <w:spacing w:before="0" w:after="120"/>
        <w:rPr>
          <w:rFonts w:asciiTheme="minorHAnsi" w:hAnsiTheme="minorHAnsi" w:cstheme="minorHAnsi"/>
          <w:color w:val="auto"/>
          <w:sz w:val="22"/>
          <w:szCs w:val="22"/>
        </w:rPr>
      </w:pPr>
    </w:p>
    <w:p w14:paraId="54F7A38A" w14:textId="77777777" w:rsidR="005A725E" w:rsidRDefault="005A725E" w:rsidP="00EB3796">
      <w:pPr>
        <w:pStyle w:val="Heading1"/>
        <w:spacing w:before="0" w:after="120"/>
        <w:rPr>
          <w:rFonts w:asciiTheme="minorHAnsi" w:hAnsiTheme="minorHAnsi" w:cstheme="minorHAnsi"/>
          <w:color w:val="auto"/>
          <w:sz w:val="22"/>
          <w:szCs w:val="22"/>
        </w:rPr>
      </w:pPr>
    </w:p>
    <w:p w14:paraId="3B49C890" w14:textId="77777777" w:rsidR="005A725E" w:rsidRDefault="005A725E" w:rsidP="00EB3796">
      <w:pPr>
        <w:pStyle w:val="Heading1"/>
        <w:spacing w:before="0" w:after="120"/>
        <w:rPr>
          <w:rFonts w:asciiTheme="minorHAnsi" w:hAnsiTheme="minorHAnsi" w:cstheme="minorHAnsi"/>
          <w:color w:val="auto"/>
          <w:sz w:val="22"/>
          <w:szCs w:val="22"/>
        </w:rPr>
      </w:pPr>
    </w:p>
    <w:p w14:paraId="7A802FA7" w14:textId="77777777" w:rsidR="005A725E" w:rsidRDefault="005A725E" w:rsidP="00EB3796">
      <w:pPr>
        <w:pStyle w:val="Heading1"/>
        <w:spacing w:before="0" w:after="120"/>
        <w:rPr>
          <w:rFonts w:asciiTheme="minorHAnsi" w:hAnsiTheme="minorHAnsi" w:cstheme="minorHAnsi"/>
          <w:color w:val="auto"/>
          <w:sz w:val="22"/>
          <w:szCs w:val="22"/>
        </w:rPr>
      </w:pPr>
    </w:p>
    <w:p w14:paraId="22B11108" w14:textId="77777777" w:rsidR="005A725E" w:rsidRDefault="005A725E" w:rsidP="005A725E"/>
    <w:p w14:paraId="2AEA1C6A" w14:textId="52BD2D37" w:rsidR="00EB3796" w:rsidRPr="00093582" w:rsidRDefault="00EB3796" w:rsidP="00EB3796">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LIST of CONTENTS</w:t>
      </w:r>
    </w:p>
    <w:tbl>
      <w:tblPr>
        <w:tblStyle w:val="TableGrid"/>
        <w:tblW w:w="10419" w:type="dxa"/>
        <w:tblLook w:val="04A0" w:firstRow="1" w:lastRow="0" w:firstColumn="1" w:lastColumn="0" w:noHBand="0" w:noVBand="1"/>
      </w:tblPr>
      <w:tblGrid>
        <w:gridCol w:w="9128"/>
        <w:gridCol w:w="1291"/>
      </w:tblGrid>
      <w:tr w:rsidR="00EB3796" w:rsidRPr="00987A19" w14:paraId="1957E3E0" w14:textId="77777777" w:rsidTr="004140B8">
        <w:tc>
          <w:tcPr>
            <w:tcW w:w="9128" w:type="dxa"/>
            <w:vAlign w:val="center"/>
          </w:tcPr>
          <w:p w14:paraId="7250E712" w14:textId="77777777" w:rsidR="00EB3796" w:rsidRPr="00580154" w:rsidRDefault="00EB3796" w:rsidP="004140B8">
            <w:pPr>
              <w:spacing w:before="60" w:after="60" w:line="240" w:lineRule="auto"/>
              <w:rPr>
                <w:rFonts w:cstheme="minorHAnsi"/>
                <w:b/>
                <w:szCs w:val="22"/>
              </w:rPr>
            </w:pPr>
            <w:r w:rsidRPr="00580154">
              <w:rPr>
                <w:rFonts w:cstheme="minorHAnsi"/>
                <w:b/>
                <w:szCs w:val="22"/>
              </w:rPr>
              <w:t>GENERAL INFORMATION</w:t>
            </w:r>
          </w:p>
        </w:tc>
        <w:tc>
          <w:tcPr>
            <w:tcW w:w="1291" w:type="dxa"/>
            <w:vAlign w:val="center"/>
          </w:tcPr>
          <w:p w14:paraId="24BD9DB5" w14:textId="77777777" w:rsidR="00EB3796" w:rsidRPr="00580154" w:rsidRDefault="00EB3796" w:rsidP="004140B8">
            <w:pPr>
              <w:spacing w:before="60" w:after="60" w:line="240" w:lineRule="auto"/>
              <w:rPr>
                <w:rFonts w:cstheme="minorHAnsi"/>
                <w:b/>
                <w:szCs w:val="22"/>
              </w:rPr>
            </w:pPr>
            <w:r w:rsidRPr="00580154">
              <w:rPr>
                <w:rFonts w:cstheme="minorHAnsi"/>
                <w:b/>
                <w:szCs w:val="22"/>
              </w:rPr>
              <w:t>Page No.</w:t>
            </w:r>
          </w:p>
        </w:tc>
      </w:tr>
      <w:tr w:rsidR="004F0D9E" w:rsidRPr="00987A19" w14:paraId="095D3477" w14:textId="77777777" w:rsidTr="004140B8">
        <w:tc>
          <w:tcPr>
            <w:tcW w:w="9128" w:type="dxa"/>
            <w:vAlign w:val="center"/>
          </w:tcPr>
          <w:p w14:paraId="09FB4476" w14:textId="64FF30AF" w:rsidR="004F0D9E" w:rsidRPr="00580154" w:rsidRDefault="004F0D9E" w:rsidP="004140B8">
            <w:pPr>
              <w:spacing w:before="60" w:after="60" w:line="240" w:lineRule="auto"/>
              <w:rPr>
                <w:rFonts w:cstheme="minorHAnsi"/>
                <w:szCs w:val="22"/>
              </w:rPr>
            </w:pPr>
            <w:r w:rsidRPr="00580154">
              <w:rPr>
                <w:rFonts w:cstheme="minorHAnsi"/>
                <w:szCs w:val="22"/>
              </w:rPr>
              <w:t xml:space="preserve">HRA PROTOCOL COMPLIANCE DECLARATION </w:t>
            </w:r>
          </w:p>
        </w:tc>
        <w:tc>
          <w:tcPr>
            <w:tcW w:w="1291" w:type="dxa"/>
            <w:vAlign w:val="center"/>
          </w:tcPr>
          <w:p w14:paraId="077E0A49" w14:textId="2CFB9DB7" w:rsidR="004F0D9E" w:rsidRPr="00580154" w:rsidRDefault="004F0D9E" w:rsidP="004140B8">
            <w:pPr>
              <w:spacing w:before="60" w:after="60" w:line="240" w:lineRule="auto"/>
              <w:rPr>
                <w:rFonts w:cstheme="minorHAnsi"/>
                <w:szCs w:val="22"/>
              </w:rPr>
            </w:pPr>
            <w:proofErr w:type="spellStart"/>
            <w:r w:rsidRPr="00580154">
              <w:rPr>
                <w:rFonts w:cstheme="minorHAnsi"/>
                <w:szCs w:val="22"/>
              </w:rPr>
              <w:t>i</w:t>
            </w:r>
            <w:proofErr w:type="spellEnd"/>
          </w:p>
        </w:tc>
      </w:tr>
      <w:tr w:rsidR="00EB3796" w:rsidRPr="00987A19" w14:paraId="11FB9570" w14:textId="77777777" w:rsidTr="004140B8">
        <w:tc>
          <w:tcPr>
            <w:tcW w:w="9128" w:type="dxa"/>
            <w:vAlign w:val="center"/>
          </w:tcPr>
          <w:p w14:paraId="5BCDC7EA" w14:textId="77777777" w:rsidR="00EB3796" w:rsidRPr="00580154" w:rsidRDefault="00EB3796" w:rsidP="004140B8">
            <w:pPr>
              <w:spacing w:before="60" w:after="60" w:line="240" w:lineRule="auto"/>
              <w:rPr>
                <w:rFonts w:cstheme="minorHAnsi"/>
                <w:szCs w:val="22"/>
              </w:rPr>
            </w:pPr>
            <w:r w:rsidRPr="00580154">
              <w:rPr>
                <w:rFonts w:cstheme="minorHAnsi"/>
                <w:szCs w:val="22"/>
              </w:rPr>
              <w:t>TITLE PAGE</w:t>
            </w:r>
            <w:r w:rsidRPr="00580154">
              <w:rPr>
                <w:rFonts w:cstheme="minorHAnsi"/>
                <w:szCs w:val="22"/>
              </w:rPr>
              <w:tab/>
            </w:r>
          </w:p>
        </w:tc>
        <w:tc>
          <w:tcPr>
            <w:tcW w:w="1291" w:type="dxa"/>
            <w:vAlign w:val="center"/>
          </w:tcPr>
          <w:p w14:paraId="007B370D" w14:textId="18AC3F0C"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2FC45F4" w14:textId="77777777" w:rsidTr="004140B8">
        <w:tc>
          <w:tcPr>
            <w:tcW w:w="9128" w:type="dxa"/>
            <w:vAlign w:val="center"/>
          </w:tcPr>
          <w:p w14:paraId="7BA0A780" w14:textId="77777777" w:rsidR="00EB3796" w:rsidRPr="00580154" w:rsidRDefault="00EB3796" w:rsidP="004140B8">
            <w:pPr>
              <w:spacing w:before="60" w:after="60" w:line="240" w:lineRule="auto"/>
              <w:rPr>
                <w:rFonts w:cstheme="minorHAnsi"/>
                <w:szCs w:val="22"/>
              </w:rPr>
            </w:pPr>
            <w:r w:rsidRPr="00580154">
              <w:rPr>
                <w:rFonts w:cstheme="minorHAnsi"/>
                <w:szCs w:val="22"/>
              </w:rPr>
              <w:t>RESEARCH REFERENCE NUMBERS</w:t>
            </w:r>
            <w:r w:rsidRPr="00580154">
              <w:rPr>
                <w:rFonts w:cstheme="minorHAnsi"/>
                <w:szCs w:val="22"/>
              </w:rPr>
              <w:tab/>
            </w:r>
          </w:p>
        </w:tc>
        <w:tc>
          <w:tcPr>
            <w:tcW w:w="1291" w:type="dxa"/>
            <w:vAlign w:val="center"/>
          </w:tcPr>
          <w:p w14:paraId="5D46DF95" w14:textId="6A354530" w:rsidR="00EB3796" w:rsidRPr="00580154" w:rsidRDefault="00B673F2" w:rsidP="004140B8">
            <w:pPr>
              <w:spacing w:before="60" w:after="60" w:line="240" w:lineRule="auto"/>
              <w:rPr>
                <w:rFonts w:cstheme="minorHAnsi"/>
                <w:szCs w:val="22"/>
              </w:rPr>
            </w:pPr>
            <w:r w:rsidRPr="00580154">
              <w:rPr>
                <w:rFonts w:cstheme="minorHAnsi"/>
                <w:szCs w:val="22"/>
              </w:rPr>
              <w:t>ii</w:t>
            </w:r>
          </w:p>
        </w:tc>
      </w:tr>
      <w:tr w:rsidR="00EB3796" w:rsidRPr="00987A19" w14:paraId="033BC03A" w14:textId="77777777" w:rsidTr="004140B8">
        <w:tc>
          <w:tcPr>
            <w:tcW w:w="9128" w:type="dxa"/>
            <w:vAlign w:val="center"/>
          </w:tcPr>
          <w:p w14:paraId="2314478E" w14:textId="77777777" w:rsidR="00EB3796" w:rsidRPr="00580154" w:rsidRDefault="00EB3796" w:rsidP="004140B8">
            <w:pPr>
              <w:spacing w:before="60" w:after="60" w:line="240" w:lineRule="auto"/>
              <w:rPr>
                <w:rFonts w:cstheme="minorHAnsi"/>
                <w:szCs w:val="22"/>
              </w:rPr>
            </w:pPr>
            <w:r w:rsidRPr="00580154">
              <w:rPr>
                <w:rFonts w:cstheme="minorHAnsi"/>
                <w:szCs w:val="22"/>
              </w:rPr>
              <w:t>SIGNATURE PAGE</w:t>
            </w:r>
          </w:p>
        </w:tc>
        <w:tc>
          <w:tcPr>
            <w:tcW w:w="1291" w:type="dxa"/>
            <w:vAlign w:val="center"/>
          </w:tcPr>
          <w:p w14:paraId="5C09E8FB" w14:textId="0A914068" w:rsidR="00EB3796" w:rsidRPr="00580154" w:rsidRDefault="00B673F2" w:rsidP="004140B8">
            <w:pPr>
              <w:spacing w:before="60" w:after="60" w:line="240" w:lineRule="auto"/>
              <w:rPr>
                <w:rFonts w:cstheme="minorHAnsi"/>
                <w:szCs w:val="22"/>
              </w:rPr>
            </w:pPr>
            <w:r w:rsidRPr="00580154">
              <w:rPr>
                <w:rFonts w:cstheme="minorHAnsi"/>
                <w:szCs w:val="22"/>
              </w:rPr>
              <w:t>iii</w:t>
            </w:r>
          </w:p>
        </w:tc>
      </w:tr>
      <w:tr w:rsidR="00EB3796" w:rsidRPr="00987A19" w14:paraId="024BC0F8" w14:textId="77777777" w:rsidTr="004140B8">
        <w:tc>
          <w:tcPr>
            <w:tcW w:w="9128" w:type="dxa"/>
            <w:vAlign w:val="center"/>
          </w:tcPr>
          <w:p w14:paraId="264A18C9" w14:textId="4357E504" w:rsidR="00EB3796" w:rsidRPr="00580154" w:rsidRDefault="00B673F2" w:rsidP="004140B8">
            <w:pPr>
              <w:spacing w:before="60" w:after="60" w:line="240" w:lineRule="auto"/>
              <w:rPr>
                <w:rFonts w:cstheme="minorHAnsi"/>
                <w:szCs w:val="22"/>
              </w:rPr>
            </w:pPr>
            <w:r w:rsidRPr="00580154">
              <w:rPr>
                <w:rFonts w:cstheme="minorHAnsi"/>
                <w:szCs w:val="22"/>
              </w:rPr>
              <w:t>LIST OF CONTENTS</w:t>
            </w:r>
            <w:r w:rsidRPr="00580154">
              <w:rPr>
                <w:rFonts w:cstheme="minorHAnsi"/>
                <w:szCs w:val="22"/>
              </w:rPr>
              <w:tab/>
            </w:r>
          </w:p>
        </w:tc>
        <w:tc>
          <w:tcPr>
            <w:tcW w:w="1291" w:type="dxa"/>
            <w:vAlign w:val="center"/>
          </w:tcPr>
          <w:p w14:paraId="03A594D7" w14:textId="70EA6C4E" w:rsidR="00EB3796" w:rsidRPr="00580154" w:rsidRDefault="00B673F2" w:rsidP="004140B8">
            <w:pPr>
              <w:spacing w:before="60" w:after="60" w:line="240" w:lineRule="auto"/>
              <w:rPr>
                <w:rFonts w:cstheme="minorHAnsi"/>
                <w:szCs w:val="22"/>
              </w:rPr>
            </w:pPr>
            <w:r w:rsidRPr="00580154">
              <w:rPr>
                <w:rFonts w:cstheme="minorHAnsi"/>
                <w:szCs w:val="22"/>
              </w:rPr>
              <w:t>iv</w:t>
            </w:r>
          </w:p>
        </w:tc>
      </w:tr>
      <w:tr w:rsidR="00B673F2" w:rsidRPr="00987A19" w14:paraId="1E2C1D3F" w14:textId="77777777" w:rsidTr="004140B8">
        <w:tc>
          <w:tcPr>
            <w:tcW w:w="9128" w:type="dxa"/>
            <w:vAlign w:val="center"/>
          </w:tcPr>
          <w:p w14:paraId="21CC4D6E" w14:textId="73B8EFCE" w:rsidR="00B673F2" w:rsidRPr="00580154" w:rsidRDefault="00B673F2" w:rsidP="004140B8">
            <w:pPr>
              <w:spacing w:before="60" w:after="60" w:line="240" w:lineRule="auto"/>
              <w:rPr>
                <w:rFonts w:cstheme="minorHAnsi"/>
                <w:szCs w:val="22"/>
              </w:rPr>
            </w:pPr>
            <w:r w:rsidRPr="00580154">
              <w:rPr>
                <w:rFonts w:cstheme="minorHAnsi"/>
                <w:szCs w:val="22"/>
              </w:rPr>
              <w:t>KEY STUDY CONTACTS</w:t>
            </w:r>
          </w:p>
        </w:tc>
        <w:tc>
          <w:tcPr>
            <w:tcW w:w="1291" w:type="dxa"/>
            <w:vAlign w:val="center"/>
          </w:tcPr>
          <w:p w14:paraId="35C33DF1" w14:textId="6C49E724" w:rsidR="00B673F2"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33CBD78E" w14:textId="77777777" w:rsidTr="004140B8">
        <w:tc>
          <w:tcPr>
            <w:tcW w:w="9128" w:type="dxa"/>
            <w:vAlign w:val="center"/>
          </w:tcPr>
          <w:p w14:paraId="2F369ACC" w14:textId="2E60CDC3" w:rsidR="00EB3796" w:rsidRPr="00580154" w:rsidRDefault="00B673F2" w:rsidP="004140B8">
            <w:pPr>
              <w:spacing w:before="60" w:after="60" w:line="240" w:lineRule="auto"/>
              <w:rPr>
                <w:rFonts w:cstheme="minorHAnsi"/>
                <w:szCs w:val="22"/>
              </w:rPr>
            </w:pPr>
            <w:r w:rsidRPr="00580154">
              <w:rPr>
                <w:rFonts w:cstheme="minorHAnsi"/>
                <w:szCs w:val="22"/>
              </w:rPr>
              <w:t>STUDY SUMMARY</w:t>
            </w:r>
          </w:p>
        </w:tc>
        <w:tc>
          <w:tcPr>
            <w:tcW w:w="1291" w:type="dxa"/>
            <w:vAlign w:val="center"/>
          </w:tcPr>
          <w:p w14:paraId="5CDD607F" w14:textId="0D417AB4" w:rsidR="00EB3796" w:rsidRPr="00580154" w:rsidRDefault="00B673F2" w:rsidP="004140B8">
            <w:pPr>
              <w:spacing w:before="60" w:after="60" w:line="240" w:lineRule="auto"/>
              <w:rPr>
                <w:rFonts w:cstheme="minorHAnsi"/>
                <w:szCs w:val="22"/>
              </w:rPr>
            </w:pPr>
            <w:r w:rsidRPr="00580154">
              <w:rPr>
                <w:rFonts w:cstheme="minorHAnsi"/>
                <w:szCs w:val="22"/>
              </w:rPr>
              <w:t>v</w:t>
            </w:r>
          </w:p>
        </w:tc>
      </w:tr>
      <w:tr w:rsidR="00EB3796" w:rsidRPr="00987A19" w14:paraId="579B8FE1" w14:textId="77777777" w:rsidTr="004140B8">
        <w:tc>
          <w:tcPr>
            <w:tcW w:w="9128" w:type="dxa"/>
            <w:vAlign w:val="center"/>
          </w:tcPr>
          <w:p w14:paraId="2E19403F" w14:textId="2A82A30F" w:rsidR="00EB3796" w:rsidRPr="00580154" w:rsidRDefault="00B673F2" w:rsidP="004140B8">
            <w:pPr>
              <w:spacing w:before="60" w:after="60" w:line="240" w:lineRule="auto"/>
              <w:rPr>
                <w:rFonts w:cstheme="minorHAnsi"/>
                <w:szCs w:val="22"/>
              </w:rPr>
            </w:pPr>
            <w:r w:rsidRPr="00580154">
              <w:rPr>
                <w:rFonts w:cstheme="minorHAnsi"/>
                <w:szCs w:val="22"/>
              </w:rPr>
              <w:t>FUNDING</w:t>
            </w:r>
            <w:r w:rsidR="00EB3796" w:rsidRPr="00580154">
              <w:rPr>
                <w:rFonts w:cstheme="minorHAnsi"/>
                <w:szCs w:val="22"/>
              </w:rPr>
              <w:tab/>
            </w:r>
          </w:p>
        </w:tc>
        <w:tc>
          <w:tcPr>
            <w:tcW w:w="1291" w:type="dxa"/>
            <w:vAlign w:val="center"/>
          </w:tcPr>
          <w:p w14:paraId="19C28CAD" w14:textId="251E2B02"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3E8E4625" w14:textId="77777777" w:rsidTr="004140B8">
        <w:tc>
          <w:tcPr>
            <w:tcW w:w="9128" w:type="dxa"/>
            <w:vAlign w:val="center"/>
          </w:tcPr>
          <w:p w14:paraId="05EB8C13" w14:textId="77777777" w:rsidR="00EB3796" w:rsidRPr="00580154" w:rsidRDefault="00EB3796" w:rsidP="004140B8">
            <w:pPr>
              <w:spacing w:before="60" w:after="60" w:line="240" w:lineRule="auto"/>
              <w:rPr>
                <w:rFonts w:cstheme="minorHAnsi"/>
                <w:szCs w:val="22"/>
              </w:rPr>
            </w:pPr>
            <w:r w:rsidRPr="00580154">
              <w:rPr>
                <w:rFonts w:cstheme="minorHAnsi"/>
                <w:szCs w:val="22"/>
              </w:rPr>
              <w:t>ROLE OF SPONSOR AND FUNDER</w:t>
            </w:r>
          </w:p>
        </w:tc>
        <w:tc>
          <w:tcPr>
            <w:tcW w:w="1291" w:type="dxa"/>
            <w:vAlign w:val="center"/>
          </w:tcPr>
          <w:p w14:paraId="38696681" w14:textId="1164B981"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464C84BD" w14:textId="77777777" w:rsidTr="004140B8">
        <w:tc>
          <w:tcPr>
            <w:tcW w:w="9128" w:type="dxa"/>
            <w:vAlign w:val="center"/>
          </w:tcPr>
          <w:p w14:paraId="7325C6C4" w14:textId="2AD304F6" w:rsidR="00EB3796" w:rsidRPr="00580154" w:rsidRDefault="00E57D0C" w:rsidP="004140B8">
            <w:pPr>
              <w:spacing w:before="60" w:after="60" w:line="240" w:lineRule="auto"/>
              <w:rPr>
                <w:rFonts w:cstheme="minorHAnsi"/>
                <w:szCs w:val="22"/>
              </w:rPr>
            </w:pPr>
            <w:r>
              <w:rPr>
                <w:rFonts w:cstheme="minorHAnsi"/>
                <w:szCs w:val="22"/>
              </w:rPr>
              <w:t>PROTOCOL CONTRIBUTERS</w:t>
            </w:r>
          </w:p>
        </w:tc>
        <w:tc>
          <w:tcPr>
            <w:tcW w:w="1291" w:type="dxa"/>
            <w:vAlign w:val="center"/>
          </w:tcPr>
          <w:p w14:paraId="0B47386E" w14:textId="45B62053" w:rsidR="00EB3796" w:rsidRPr="00580154" w:rsidRDefault="004F0D9E" w:rsidP="004140B8">
            <w:pPr>
              <w:spacing w:before="60" w:after="60" w:line="240" w:lineRule="auto"/>
              <w:rPr>
                <w:rFonts w:cstheme="minorHAnsi"/>
                <w:szCs w:val="22"/>
              </w:rPr>
            </w:pPr>
            <w:r w:rsidRPr="00580154">
              <w:rPr>
                <w:rFonts w:cstheme="minorHAnsi"/>
                <w:szCs w:val="22"/>
              </w:rPr>
              <w:t>vi</w:t>
            </w:r>
          </w:p>
        </w:tc>
      </w:tr>
      <w:tr w:rsidR="00EB3796" w:rsidRPr="00987A19" w14:paraId="6DB185E4" w14:textId="77777777" w:rsidTr="004140B8">
        <w:tc>
          <w:tcPr>
            <w:tcW w:w="9128" w:type="dxa"/>
            <w:vAlign w:val="center"/>
          </w:tcPr>
          <w:p w14:paraId="06AEB352" w14:textId="77777777" w:rsidR="00EB3796" w:rsidRPr="00580154" w:rsidRDefault="00EB3796" w:rsidP="004140B8">
            <w:pPr>
              <w:spacing w:before="60" w:after="60" w:line="240" w:lineRule="auto"/>
              <w:rPr>
                <w:rFonts w:cstheme="minorHAnsi"/>
                <w:szCs w:val="22"/>
              </w:rPr>
            </w:pPr>
            <w:r w:rsidRPr="00580154">
              <w:rPr>
                <w:rFonts w:cstheme="minorHAnsi"/>
                <w:szCs w:val="22"/>
              </w:rPr>
              <w:t>STUDY FLOW CHART</w:t>
            </w:r>
            <w:r w:rsidRPr="00580154">
              <w:rPr>
                <w:rFonts w:cstheme="minorHAnsi"/>
                <w:szCs w:val="22"/>
              </w:rPr>
              <w:tab/>
            </w:r>
          </w:p>
        </w:tc>
        <w:tc>
          <w:tcPr>
            <w:tcW w:w="1291" w:type="dxa"/>
            <w:vAlign w:val="center"/>
          </w:tcPr>
          <w:p w14:paraId="7721FB45" w14:textId="602D522B" w:rsidR="00EB3796" w:rsidRPr="00580154" w:rsidRDefault="004F0D9E" w:rsidP="004140B8">
            <w:pPr>
              <w:spacing w:before="60" w:after="60" w:line="240" w:lineRule="auto"/>
              <w:rPr>
                <w:rFonts w:cstheme="minorHAnsi"/>
                <w:szCs w:val="22"/>
              </w:rPr>
            </w:pPr>
            <w:r w:rsidRPr="00580154">
              <w:rPr>
                <w:rFonts w:cstheme="minorHAnsi"/>
                <w:szCs w:val="22"/>
              </w:rPr>
              <w:t>vii</w:t>
            </w:r>
          </w:p>
        </w:tc>
      </w:tr>
      <w:tr w:rsidR="00EB3796" w:rsidRPr="00987A19" w14:paraId="65789869" w14:textId="77777777" w:rsidTr="004140B8">
        <w:tc>
          <w:tcPr>
            <w:tcW w:w="10419" w:type="dxa"/>
            <w:gridSpan w:val="2"/>
            <w:vAlign w:val="center"/>
          </w:tcPr>
          <w:p w14:paraId="4E6A7789"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SECTION </w:t>
            </w:r>
          </w:p>
        </w:tc>
      </w:tr>
      <w:tr w:rsidR="00EB3796" w:rsidRPr="00987A19" w14:paraId="37C49F4B" w14:textId="77777777" w:rsidTr="004140B8">
        <w:tc>
          <w:tcPr>
            <w:tcW w:w="9128" w:type="dxa"/>
            <w:vAlign w:val="center"/>
          </w:tcPr>
          <w:p w14:paraId="5E7BE596" w14:textId="77777777" w:rsidR="00EB3796" w:rsidRPr="00580154" w:rsidRDefault="00EB3796" w:rsidP="004140B8">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14:paraId="5223857B" w14:textId="4BDE3DC9" w:rsidR="00EB3796" w:rsidRPr="00580154" w:rsidRDefault="004F0D9E" w:rsidP="004140B8">
            <w:pPr>
              <w:spacing w:before="60" w:after="60" w:line="240" w:lineRule="auto"/>
              <w:rPr>
                <w:rFonts w:cstheme="minorHAnsi"/>
                <w:szCs w:val="22"/>
              </w:rPr>
            </w:pPr>
            <w:r w:rsidRPr="00580154">
              <w:rPr>
                <w:rFonts w:cstheme="minorHAnsi"/>
                <w:szCs w:val="22"/>
              </w:rPr>
              <w:t>1</w:t>
            </w:r>
          </w:p>
        </w:tc>
      </w:tr>
      <w:tr w:rsidR="00EB3796" w:rsidRPr="00987A19" w14:paraId="545B0AD4" w14:textId="77777777" w:rsidTr="004140B8">
        <w:tc>
          <w:tcPr>
            <w:tcW w:w="9128" w:type="dxa"/>
            <w:vAlign w:val="center"/>
          </w:tcPr>
          <w:p w14:paraId="0D1FD166" w14:textId="77777777" w:rsidR="00EB3796" w:rsidRPr="00580154" w:rsidRDefault="00EB3796" w:rsidP="004140B8">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14:paraId="18B0DEAB" w14:textId="77777777" w:rsidR="00EB3796" w:rsidRPr="00580154" w:rsidRDefault="00EB3796" w:rsidP="004140B8">
            <w:pPr>
              <w:spacing w:before="60" w:after="60" w:line="240" w:lineRule="auto"/>
              <w:rPr>
                <w:szCs w:val="22"/>
              </w:rPr>
            </w:pPr>
          </w:p>
        </w:tc>
      </w:tr>
      <w:tr w:rsidR="00EB3796" w:rsidRPr="00987A19" w14:paraId="6A9EB239" w14:textId="77777777" w:rsidTr="004140B8">
        <w:tc>
          <w:tcPr>
            <w:tcW w:w="9128" w:type="dxa"/>
            <w:vAlign w:val="center"/>
          </w:tcPr>
          <w:p w14:paraId="43BB5682" w14:textId="77777777" w:rsidR="00EB3796" w:rsidRPr="00580154" w:rsidRDefault="00EB3796" w:rsidP="004140B8">
            <w:pPr>
              <w:spacing w:before="60" w:after="60" w:line="240" w:lineRule="auto"/>
              <w:rPr>
                <w:rFonts w:cstheme="minorHAnsi"/>
                <w:szCs w:val="22"/>
              </w:rPr>
            </w:pPr>
            <w:r w:rsidRPr="00580154">
              <w:rPr>
                <w:rFonts w:cstheme="minorHAnsi"/>
                <w:szCs w:val="22"/>
              </w:rPr>
              <w:t>3. THEORETICAL FRAMEWORK</w:t>
            </w:r>
          </w:p>
        </w:tc>
        <w:tc>
          <w:tcPr>
            <w:tcW w:w="1291" w:type="dxa"/>
            <w:vAlign w:val="center"/>
          </w:tcPr>
          <w:p w14:paraId="04F29DDC" w14:textId="77777777" w:rsidR="00EB3796" w:rsidRPr="00580154" w:rsidRDefault="00EB3796" w:rsidP="004140B8">
            <w:pPr>
              <w:spacing w:before="60" w:after="60" w:line="240" w:lineRule="auto"/>
              <w:rPr>
                <w:szCs w:val="22"/>
              </w:rPr>
            </w:pPr>
          </w:p>
        </w:tc>
      </w:tr>
      <w:tr w:rsidR="00EB3796" w:rsidRPr="00987A19" w14:paraId="00A35BB7" w14:textId="77777777" w:rsidTr="004140B8">
        <w:tc>
          <w:tcPr>
            <w:tcW w:w="9128" w:type="dxa"/>
            <w:vAlign w:val="center"/>
          </w:tcPr>
          <w:p w14:paraId="6528227A"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4. RESEARCH QUESTION/AIM(S) </w:t>
            </w:r>
          </w:p>
        </w:tc>
        <w:tc>
          <w:tcPr>
            <w:tcW w:w="1291" w:type="dxa"/>
            <w:vAlign w:val="center"/>
          </w:tcPr>
          <w:p w14:paraId="4FBF8021" w14:textId="77777777" w:rsidR="00EB3796" w:rsidRPr="00580154" w:rsidRDefault="00EB3796" w:rsidP="004140B8">
            <w:pPr>
              <w:spacing w:before="60" w:after="60" w:line="240" w:lineRule="auto"/>
              <w:rPr>
                <w:szCs w:val="22"/>
              </w:rPr>
            </w:pPr>
          </w:p>
        </w:tc>
      </w:tr>
      <w:tr w:rsidR="00EB3796" w:rsidRPr="00987A19" w14:paraId="1789CD3B" w14:textId="77777777" w:rsidTr="004140B8">
        <w:tc>
          <w:tcPr>
            <w:tcW w:w="9128" w:type="dxa"/>
            <w:vAlign w:val="center"/>
          </w:tcPr>
          <w:p w14:paraId="16023A46" w14:textId="77777777" w:rsidR="00EB3796" w:rsidRPr="00580154" w:rsidRDefault="00EB3796" w:rsidP="004140B8">
            <w:pPr>
              <w:spacing w:before="60" w:after="60" w:line="240" w:lineRule="auto"/>
              <w:rPr>
                <w:rFonts w:cstheme="minorHAnsi"/>
                <w:szCs w:val="22"/>
              </w:rPr>
            </w:pPr>
            <w:r w:rsidRPr="00580154">
              <w:rPr>
                <w:rFonts w:cstheme="minorHAnsi"/>
                <w:szCs w:val="22"/>
              </w:rPr>
              <w:t>5. STUDY DESIGN/METHODS</w:t>
            </w:r>
          </w:p>
        </w:tc>
        <w:tc>
          <w:tcPr>
            <w:tcW w:w="1291" w:type="dxa"/>
            <w:vAlign w:val="center"/>
          </w:tcPr>
          <w:p w14:paraId="6E824B25" w14:textId="77777777" w:rsidR="00EB3796" w:rsidRPr="00580154" w:rsidRDefault="00EB3796" w:rsidP="004140B8">
            <w:pPr>
              <w:spacing w:before="60" w:after="60" w:line="240" w:lineRule="auto"/>
              <w:rPr>
                <w:szCs w:val="22"/>
              </w:rPr>
            </w:pPr>
          </w:p>
        </w:tc>
      </w:tr>
      <w:tr w:rsidR="00EB3796" w:rsidRPr="00987A19" w14:paraId="1D1A1CC4" w14:textId="77777777" w:rsidTr="004140B8">
        <w:tc>
          <w:tcPr>
            <w:tcW w:w="9128" w:type="dxa"/>
            <w:vAlign w:val="center"/>
          </w:tcPr>
          <w:p w14:paraId="1C931931" w14:textId="77777777" w:rsidR="00EB3796" w:rsidRPr="00580154" w:rsidRDefault="00EB3796" w:rsidP="004140B8">
            <w:pPr>
              <w:spacing w:before="60" w:after="60" w:line="240" w:lineRule="auto"/>
              <w:rPr>
                <w:rFonts w:cstheme="minorHAnsi"/>
                <w:szCs w:val="22"/>
              </w:rPr>
            </w:pPr>
            <w:r w:rsidRPr="00580154">
              <w:rPr>
                <w:rFonts w:cstheme="minorHAnsi"/>
                <w:szCs w:val="22"/>
              </w:rPr>
              <w:t>6. STUDY SETTING</w:t>
            </w:r>
          </w:p>
        </w:tc>
        <w:tc>
          <w:tcPr>
            <w:tcW w:w="1291" w:type="dxa"/>
            <w:vAlign w:val="center"/>
          </w:tcPr>
          <w:p w14:paraId="523A2E96" w14:textId="77777777" w:rsidR="00EB3796" w:rsidRPr="00580154" w:rsidRDefault="00EB3796" w:rsidP="004140B8">
            <w:pPr>
              <w:spacing w:before="60" w:after="60" w:line="240" w:lineRule="auto"/>
              <w:rPr>
                <w:szCs w:val="22"/>
              </w:rPr>
            </w:pPr>
          </w:p>
        </w:tc>
      </w:tr>
      <w:tr w:rsidR="00EB3796" w:rsidRPr="00987A19" w14:paraId="6B25E923" w14:textId="77777777" w:rsidTr="004140B8">
        <w:tc>
          <w:tcPr>
            <w:tcW w:w="9128" w:type="dxa"/>
            <w:vAlign w:val="center"/>
          </w:tcPr>
          <w:p w14:paraId="0DCE50BD" w14:textId="77777777" w:rsidR="00EB3796" w:rsidRPr="00580154" w:rsidRDefault="00EB3796" w:rsidP="004140B8">
            <w:pPr>
              <w:spacing w:before="60" w:after="60" w:line="240" w:lineRule="auto"/>
              <w:rPr>
                <w:rFonts w:cstheme="minorHAnsi"/>
                <w:szCs w:val="22"/>
              </w:rPr>
            </w:pPr>
            <w:r w:rsidRPr="00580154">
              <w:rPr>
                <w:rFonts w:cstheme="minorHAnsi"/>
                <w:szCs w:val="22"/>
              </w:rPr>
              <w:t>7. SAMPLE AND RECRUITMENT</w:t>
            </w:r>
          </w:p>
        </w:tc>
        <w:tc>
          <w:tcPr>
            <w:tcW w:w="1291" w:type="dxa"/>
            <w:vAlign w:val="center"/>
          </w:tcPr>
          <w:p w14:paraId="3EFC2BB7" w14:textId="77777777" w:rsidR="00EB3796" w:rsidRPr="00580154" w:rsidRDefault="00EB3796" w:rsidP="004140B8">
            <w:pPr>
              <w:spacing w:before="60" w:after="60" w:line="240" w:lineRule="auto"/>
              <w:rPr>
                <w:szCs w:val="22"/>
              </w:rPr>
            </w:pPr>
          </w:p>
        </w:tc>
      </w:tr>
      <w:tr w:rsidR="00EB3796" w:rsidRPr="00987A19" w14:paraId="0BDFA06B" w14:textId="77777777" w:rsidTr="004140B8">
        <w:tc>
          <w:tcPr>
            <w:tcW w:w="9128" w:type="dxa"/>
            <w:vAlign w:val="center"/>
          </w:tcPr>
          <w:p w14:paraId="286DE5DE" w14:textId="77777777" w:rsidR="00EB3796" w:rsidRPr="00580154" w:rsidRDefault="00EB3796" w:rsidP="004140B8">
            <w:pPr>
              <w:spacing w:before="60" w:after="60" w:line="240" w:lineRule="auto"/>
              <w:rPr>
                <w:rFonts w:cstheme="minorHAnsi"/>
                <w:szCs w:val="22"/>
              </w:rPr>
            </w:pPr>
            <w:r w:rsidRPr="00580154">
              <w:rPr>
                <w:rFonts w:cstheme="minorHAnsi"/>
                <w:szCs w:val="22"/>
              </w:rPr>
              <w:t>8. ETHICAL AND REGULATORY COMPLIANCE</w:t>
            </w:r>
          </w:p>
        </w:tc>
        <w:tc>
          <w:tcPr>
            <w:tcW w:w="1291" w:type="dxa"/>
            <w:vAlign w:val="center"/>
          </w:tcPr>
          <w:p w14:paraId="1B183CC2" w14:textId="77777777" w:rsidR="00EB3796" w:rsidRPr="00580154" w:rsidRDefault="00EB3796" w:rsidP="004140B8">
            <w:pPr>
              <w:spacing w:before="60" w:after="60" w:line="240" w:lineRule="auto"/>
              <w:rPr>
                <w:szCs w:val="22"/>
              </w:rPr>
            </w:pPr>
          </w:p>
        </w:tc>
      </w:tr>
      <w:tr w:rsidR="00EB3796" w:rsidRPr="00987A19" w14:paraId="0D1CBF0E" w14:textId="77777777" w:rsidTr="004140B8">
        <w:tc>
          <w:tcPr>
            <w:tcW w:w="9128" w:type="dxa"/>
            <w:vAlign w:val="center"/>
          </w:tcPr>
          <w:p w14:paraId="5D56011E" w14:textId="7D53E3CB" w:rsidR="00EB3796" w:rsidRPr="00580154" w:rsidRDefault="00B942E5" w:rsidP="004140B8">
            <w:pPr>
              <w:spacing w:before="60" w:after="60" w:line="240" w:lineRule="auto"/>
              <w:rPr>
                <w:rFonts w:cstheme="minorHAnsi"/>
                <w:szCs w:val="22"/>
              </w:rPr>
            </w:pPr>
            <w:r>
              <w:rPr>
                <w:rFonts w:cstheme="minorHAnsi"/>
                <w:szCs w:val="22"/>
              </w:rPr>
              <w:t>9</w:t>
            </w:r>
            <w:r w:rsidR="00EB3796" w:rsidRPr="00580154">
              <w:rPr>
                <w:rFonts w:cstheme="minorHAnsi"/>
                <w:szCs w:val="22"/>
              </w:rPr>
              <w:t>. REFERENCES</w:t>
            </w:r>
          </w:p>
        </w:tc>
        <w:tc>
          <w:tcPr>
            <w:tcW w:w="1291" w:type="dxa"/>
            <w:vAlign w:val="center"/>
          </w:tcPr>
          <w:p w14:paraId="4775CBEB" w14:textId="77777777" w:rsidR="00EB3796" w:rsidRPr="00580154" w:rsidRDefault="00EB3796" w:rsidP="004140B8">
            <w:pPr>
              <w:spacing w:before="60" w:after="60" w:line="240" w:lineRule="auto"/>
              <w:rPr>
                <w:szCs w:val="22"/>
              </w:rPr>
            </w:pPr>
          </w:p>
        </w:tc>
      </w:tr>
      <w:tr w:rsidR="00EB3796" w:rsidRPr="00987A19" w14:paraId="4BA5BE39" w14:textId="77777777" w:rsidTr="004140B8">
        <w:tc>
          <w:tcPr>
            <w:tcW w:w="9128" w:type="dxa"/>
            <w:vAlign w:val="center"/>
          </w:tcPr>
          <w:p w14:paraId="22DA36E8" w14:textId="10103A12" w:rsidR="00EB3796" w:rsidRPr="00580154" w:rsidRDefault="00B942E5" w:rsidP="004140B8">
            <w:pPr>
              <w:spacing w:before="60" w:after="60" w:line="240" w:lineRule="auto"/>
              <w:rPr>
                <w:rFonts w:cstheme="minorHAnsi"/>
                <w:szCs w:val="22"/>
              </w:rPr>
            </w:pPr>
            <w:r>
              <w:rPr>
                <w:rFonts w:cstheme="minorHAnsi"/>
                <w:szCs w:val="22"/>
              </w:rPr>
              <w:t>10</w:t>
            </w:r>
            <w:r w:rsidR="00EB3796" w:rsidRPr="00580154">
              <w:rPr>
                <w:rFonts w:cstheme="minorHAnsi"/>
                <w:szCs w:val="22"/>
              </w:rPr>
              <w:t>. APPENDICES</w:t>
            </w:r>
          </w:p>
        </w:tc>
        <w:tc>
          <w:tcPr>
            <w:tcW w:w="1291" w:type="dxa"/>
            <w:vAlign w:val="center"/>
          </w:tcPr>
          <w:p w14:paraId="28792C50" w14:textId="77777777" w:rsidR="00EB3796" w:rsidRPr="00C975D7" w:rsidRDefault="00EB3796" w:rsidP="004140B8">
            <w:pPr>
              <w:spacing w:before="60" w:after="60" w:line="240" w:lineRule="auto"/>
              <w:rPr>
                <w:color w:val="FF0000"/>
                <w:szCs w:val="22"/>
              </w:rPr>
            </w:pPr>
          </w:p>
        </w:tc>
      </w:tr>
    </w:tbl>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4B78DCA0" w14:textId="70351B31"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 xml:space="preserve">KEY </w:t>
      </w:r>
      <w:r w:rsidR="000A4DA5">
        <w:rPr>
          <w:rFonts w:asciiTheme="minorHAnsi" w:hAnsiTheme="minorHAnsi" w:cstheme="minorHAnsi"/>
          <w:color w:val="auto"/>
          <w:sz w:val="22"/>
          <w:szCs w:val="22"/>
        </w:rPr>
        <w:t xml:space="preserve">STUDY </w:t>
      </w:r>
      <w:r w:rsidRPr="00093582">
        <w:rPr>
          <w:rFonts w:asciiTheme="minorHAnsi" w:hAnsiTheme="minorHAnsi" w:cstheme="minorHAnsi"/>
          <w:color w:val="auto"/>
          <w:sz w:val="22"/>
          <w:szCs w:val="22"/>
        </w:rPr>
        <w:t>CONTACTS</w:t>
      </w:r>
      <w:bookmarkEnd w:id="1"/>
    </w:p>
    <w:tbl>
      <w:tblPr>
        <w:tblStyle w:val="TableGrid"/>
        <w:tblW w:w="0" w:type="auto"/>
        <w:tblLook w:val="04A0" w:firstRow="1" w:lastRow="0" w:firstColumn="1" w:lastColumn="0" w:noHBand="0" w:noVBand="1"/>
      </w:tblPr>
      <w:tblGrid>
        <w:gridCol w:w="3936"/>
        <w:gridCol w:w="6252"/>
      </w:tblGrid>
      <w:tr w:rsidR="008A2D3A" w:rsidRPr="008A2D3A" w14:paraId="37F1B76C" w14:textId="77777777" w:rsidTr="003C12DB">
        <w:tc>
          <w:tcPr>
            <w:tcW w:w="3936" w:type="dxa"/>
          </w:tcPr>
          <w:p w14:paraId="20B9EE96" w14:textId="7F7852E4" w:rsidR="003C12DB" w:rsidRPr="008A2D3A" w:rsidRDefault="003C12DB" w:rsidP="003802A1">
            <w:pPr>
              <w:spacing w:line="240" w:lineRule="auto"/>
              <w:rPr>
                <w:rFonts w:cstheme="minorHAnsi"/>
                <w:szCs w:val="22"/>
              </w:rPr>
            </w:pPr>
            <w:r w:rsidRPr="008A2D3A">
              <w:t>Chief Investigator</w:t>
            </w:r>
          </w:p>
        </w:tc>
        <w:tc>
          <w:tcPr>
            <w:tcW w:w="6252" w:type="dxa"/>
          </w:tcPr>
          <w:p w14:paraId="1802A146" w14:textId="029F16EB" w:rsidR="00CE1128" w:rsidRPr="008A2D3A" w:rsidRDefault="00885B1D" w:rsidP="00885B1D">
            <w:pPr>
              <w:spacing w:line="240" w:lineRule="auto"/>
              <w:rPr>
                <w:rFonts w:cstheme="minorHAnsi"/>
                <w:szCs w:val="22"/>
              </w:rPr>
            </w:pPr>
            <w:r w:rsidRPr="008A2D3A">
              <w:rPr>
                <w:rFonts w:cstheme="minorHAnsi"/>
                <w:szCs w:val="22"/>
              </w:rPr>
              <w:t>Dr David Austin, Consultant Cardiologist</w:t>
            </w:r>
            <w:r w:rsidRPr="008A2D3A">
              <w:rPr>
                <w:rFonts w:cstheme="minorHAnsi"/>
                <w:szCs w:val="22"/>
              </w:rPr>
              <w:br/>
              <w:t>The James Cook University Hospital</w:t>
            </w:r>
            <w:r w:rsidRPr="008A2D3A">
              <w:rPr>
                <w:rFonts w:cstheme="minorHAnsi"/>
                <w:szCs w:val="22"/>
              </w:rPr>
              <w:br/>
            </w:r>
            <w:proofErr w:type="spellStart"/>
            <w:r w:rsidRPr="008A2D3A">
              <w:rPr>
                <w:rFonts w:cstheme="minorHAnsi"/>
                <w:szCs w:val="22"/>
              </w:rPr>
              <w:t>Marton</w:t>
            </w:r>
            <w:proofErr w:type="spellEnd"/>
            <w:r w:rsidRPr="008A2D3A">
              <w:rPr>
                <w:rFonts w:cstheme="minorHAnsi"/>
                <w:szCs w:val="22"/>
              </w:rPr>
              <w:t xml:space="preserve"> Road, Middlesbrough, TS4 3BW </w:t>
            </w:r>
            <w:r w:rsidR="00CE1128" w:rsidRPr="008A2D3A">
              <w:rPr>
                <w:rFonts w:cstheme="minorHAnsi"/>
                <w:szCs w:val="22"/>
              </w:rPr>
              <w:t>Dr Adil R</w:t>
            </w:r>
            <w:r>
              <w:rPr>
                <w:rFonts w:cstheme="minorHAnsi"/>
                <w:szCs w:val="22"/>
              </w:rPr>
              <w:t>ajwani, Consultant Cardiologist</w:t>
            </w:r>
          </w:p>
        </w:tc>
      </w:tr>
      <w:tr w:rsidR="008A2D3A" w:rsidRPr="008A2D3A" w14:paraId="488CD785" w14:textId="77777777" w:rsidTr="003C12DB">
        <w:tc>
          <w:tcPr>
            <w:tcW w:w="3936" w:type="dxa"/>
          </w:tcPr>
          <w:p w14:paraId="446678F7" w14:textId="59697AA3" w:rsidR="003C12DB" w:rsidRPr="008A2D3A" w:rsidRDefault="00CE1128" w:rsidP="003802A1">
            <w:pPr>
              <w:spacing w:line="240" w:lineRule="auto"/>
              <w:rPr>
                <w:rFonts w:cstheme="minorHAnsi"/>
                <w:szCs w:val="22"/>
              </w:rPr>
            </w:pPr>
            <w:r w:rsidRPr="008A2D3A">
              <w:t>Co-investigator 1</w:t>
            </w:r>
          </w:p>
        </w:tc>
        <w:tc>
          <w:tcPr>
            <w:tcW w:w="6252" w:type="dxa"/>
          </w:tcPr>
          <w:p w14:paraId="2A3B85E8" w14:textId="14C522D5" w:rsidR="003C12DB" w:rsidRPr="008A2D3A" w:rsidRDefault="00885B1D" w:rsidP="00885B1D">
            <w:pPr>
              <w:spacing w:line="240" w:lineRule="auto"/>
              <w:rPr>
                <w:rFonts w:cstheme="minorHAnsi"/>
                <w:szCs w:val="22"/>
              </w:rPr>
            </w:pPr>
            <w:r w:rsidRPr="008A2D3A">
              <w:rPr>
                <w:rFonts w:cstheme="minorHAnsi"/>
                <w:szCs w:val="22"/>
              </w:rPr>
              <w:t>Royal Perth Hospital, Dept of Cardiology</w:t>
            </w:r>
            <w:r w:rsidRPr="008A2D3A">
              <w:rPr>
                <w:rFonts w:cstheme="minorHAnsi"/>
                <w:szCs w:val="22"/>
              </w:rPr>
              <w:br/>
              <w:t>197 Wellington Street, Perth, WA 6000</w:t>
            </w:r>
            <w:r w:rsidRPr="008A2D3A">
              <w:rPr>
                <w:rFonts w:cstheme="minorHAnsi"/>
                <w:szCs w:val="22"/>
              </w:rPr>
              <w:br/>
              <w:t>Tel: +61 412 442 784</w:t>
            </w:r>
            <w:r w:rsidRPr="008A2D3A">
              <w:rPr>
                <w:rFonts w:cstheme="minorHAnsi"/>
                <w:szCs w:val="22"/>
              </w:rPr>
              <w:br/>
              <w:t>Email: adil</w:t>
            </w:r>
            <w:r>
              <w:rPr>
                <w:rFonts w:cstheme="minorHAnsi"/>
                <w:szCs w:val="22"/>
              </w:rPr>
              <w:t>.</w:t>
            </w:r>
            <w:r w:rsidRPr="008A2D3A">
              <w:rPr>
                <w:rFonts w:cstheme="minorHAnsi"/>
                <w:szCs w:val="22"/>
              </w:rPr>
              <w:t>rajwani@</w:t>
            </w:r>
            <w:r>
              <w:rPr>
                <w:rFonts w:cstheme="minorHAnsi"/>
                <w:szCs w:val="22"/>
              </w:rPr>
              <w:t>health.wa.gov.au</w:t>
            </w:r>
          </w:p>
        </w:tc>
      </w:tr>
      <w:tr w:rsidR="00EC0B53" w:rsidRPr="008A2D3A" w14:paraId="7923AD41" w14:textId="77777777" w:rsidTr="00EC0B53">
        <w:tc>
          <w:tcPr>
            <w:tcW w:w="3936" w:type="dxa"/>
          </w:tcPr>
          <w:p w14:paraId="0E6D6257" w14:textId="0E47A93D" w:rsidR="00EC0B53" w:rsidRPr="008A2D3A" w:rsidRDefault="00EC0B53" w:rsidP="00E612C7">
            <w:pPr>
              <w:spacing w:line="240" w:lineRule="auto"/>
              <w:rPr>
                <w:rFonts w:cstheme="minorHAnsi"/>
                <w:szCs w:val="22"/>
              </w:rPr>
            </w:pPr>
            <w:r>
              <w:t>Co-investigator 2</w:t>
            </w:r>
          </w:p>
        </w:tc>
        <w:tc>
          <w:tcPr>
            <w:tcW w:w="6252" w:type="dxa"/>
          </w:tcPr>
          <w:p w14:paraId="15625A02" w14:textId="6340DF51" w:rsidR="00EC0B53" w:rsidRPr="008A2D3A" w:rsidRDefault="00EC0B53" w:rsidP="00EC0B53">
            <w:pPr>
              <w:spacing w:line="240" w:lineRule="auto"/>
              <w:rPr>
                <w:rFonts w:cstheme="minorHAnsi"/>
                <w:szCs w:val="22"/>
              </w:rPr>
            </w:pPr>
            <w:r w:rsidRPr="008A2D3A">
              <w:rPr>
                <w:rFonts w:cstheme="minorHAnsi"/>
                <w:szCs w:val="22"/>
              </w:rPr>
              <w:t xml:space="preserve">Dr </w:t>
            </w:r>
            <w:r>
              <w:rPr>
                <w:rFonts w:cstheme="minorHAnsi"/>
                <w:szCs w:val="22"/>
              </w:rPr>
              <w:t xml:space="preserve">Neil </w:t>
            </w:r>
            <w:proofErr w:type="spellStart"/>
            <w:r>
              <w:rPr>
                <w:rFonts w:cstheme="minorHAnsi"/>
                <w:szCs w:val="22"/>
              </w:rPr>
              <w:t>Maredia</w:t>
            </w:r>
            <w:proofErr w:type="spellEnd"/>
            <w:r w:rsidRPr="008A2D3A">
              <w:rPr>
                <w:rFonts w:cstheme="minorHAnsi"/>
                <w:szCs w:val="22"/>
              </w:rPr>
              <w:t>, Consultant Cardiologist</w:t>
            </w:r>
            <w:r w:rsidRPr="008A2D3A">
              <w:rPr>
                <w:rFonts w:cstheme="minorHAnsi"/>
                <w:szCs w:val="22"/>
              </w:rPr>
              <w:br/>
              <w:t>The James Cook University Hospital</w:t>
            </w:r>
            <w:r w:rsidRPr="008A2D3A">
              <w:rPr>
                <w:rFonts w:cstheme="minorHAnsi"/>
                <w:szCs w:val="22"/>
              </w:rPr>
              <w:br/>
            </w:r>
            <w:proofErr w:type="spellStart"/>
            <w:r w:rsidRPr="008A2D3A">
              <w:rPr>
                <w:rFonts w:cstheme="minorHAnsi"/>
                <w:szCs w:val="22"/>
              </w:rPr>
              <w:t>Marton</w:t>
            </w:r>
            <w:proofErr w:type="spellEnd"/>
            <w:r w:rsidRPr="008A2D3A">
              <w:rPr>
                <w:rFonts w:cstheme="minorHAnsi"/>
                <w:szCs w:val="22"/>
              </w:rPr>
              <w:t xml:space="preserve"> Road, Middlesbrough, TS4 3BW </w:t>
            </w:r>
          </w:p>
        </w:tc>
      </w:tr>
    </w:tbl>
    <w:p w14:paraId="2D3CCADC" w14:textId="77777777" w:rsidR="003C12DB" w:rsidRPr="008A2D3A" w:rsidRDefault="003C12DB" w:rsidP="003802A1">
      <w:pPr>
        <w:spacing w:line="240" w:lineRule="auto"/>
        <w:rPr>
          <w:rFonts w:cstheme="minorHAnsi"/>
          <w:b/>
          <w:szCs w:val="22"/>
        </w:rPr>
      </w:pPr>
    </w:p>
    <w:p w14:paraId="6B04F7E8" w14:textId="2FD58363" w:rsidR="00475FDA" w:rsidRPr="008A2D3A" w:rsidRDefault="0003364E" w:rsidP="002D2D7D">
      <w:pPr>
        <w:spacing w:line="240" w:lineRule="auto"/>
        <w:rPr>
          <w:rFonts w:cstheme="minorHAnsi"/>
          <w:b/>
          <w:szCs w:val="22"/>
        </w:rPr>
      </w:pPr>
      <w:r w:rsidRPr="008A2D3A">
        <w:rPr>
          <w:rFonts w:cstheme="minorHAnsi"/>
          <w:b/>
          <w:szCs w:val="22"/>
        </w:rPr>
        <w:t>STUDY</w:t>
      </w:r>
      <w:r w:rsidR="00475FDA" w:rsidRPr="008A2D3A">
        <w:rPr>
          <w:rFonts w:cstheme="minorHAnsi"/>
          <w:b/>
          <w:szCs w:val="22"/>
        </w:rPr>
        <w:t xml:space="preserve"> SUMMARY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8A2D3A" w:rsidRPr="008A2D3A" w14:paraId="5F042276" w14:textId="77777777" w:rsidTr="001D1F95">
        <w:trPr>
          <w:trHeight w:val="385"/>
        </w:trPr>
        <w:tc>
          <w:tcPr>
            <w:tcW w:w="3936" w:type="dxa"/>
          </w:tcPr>
          <w:p w14:paraId="33BB8C9C" w14:textId="7E4B1372" w:rsidR="00475FDA" w:rsidRPr="008A2D3A" w:rsidRDefault="0003364E" w:rsidP="003802A1">
            <w:pPr>
              <w:spacing w:line="240" w:lineRule="auto"/>
              <w:rPr>
                <w:rFonts w:cstheme="minorHAnsi"/>
                <w:szCs w:val="22"/>
              </w:rPr>
            </w:pPr>
            <w:r w:rsidRPr="008A2D3A">
              <w:rPr>
                <w:rFonts w:cstheme="minorHAnsi"/>
                <w:szCs w:val="22"/>
              </w:rPr>
              <w:t>Study</w:t>
            </w:r>
            <w:r w:rsidR="00475FDA" w:rsidRPr="008A2D3A">
              <w:rPr>
                <w:rFonts w:cstheme="minorHAnsi"/>
                <w:szCs w:val="22"/>
              </w:rPr>
              <w:t xml:space="preserve"> Title</w:t>
            </w:r>
          </w:p>
        </w:tc>
        <w:tc>
          <w:tcPr>
            <w:tcW w:w="6237" w:type="dxa"/>
          </w:tcPr>
          <w:p w14:paraId="3D0E0C8C" w14:textId="717E9215" w:rsidR="00475FDA" w:rsidRPr="008A2D3A" w:rsidRDefault="00CE1128" w:rsidP="003802A1">
            <w:pPr>
              <w:spacing w:line="240" w:lineRule="auto"/>
              <w:rPr>
                <w:rFonts w:cstheme="minorHAnsi"/>
                <w:szCs w:val="22"/>
              </w:rPr>
            </w:pPr>
            <w:r w:rsidRPr="008A2D3A">
              <w:rPr>
                <w:rFonts w:cstheme="minorHAnsi"/>
                <w:szCs w:val="22"/>
              </w:rPr>
              <w:t>The incremental utility of cardiac MRI in clinical decision making in Myocardial Infarction with Non-Obstructed Coronary Arteries (MINOCA)</w:t>
            </w:r>
          </w:p>
        </w:tc>
      </w:tr>
      <w:tr w:rsidR="008A2D3A" w:rsidRPr="008A2D3A" w14:paraId="0C338093" w14:textId="77777777" w:rsidTr="001D1F95">
        <w:trPr>
          <w:trHeight w:val="385"/>
        </w:trPr>
        <w:tc>
          <w:tcPr>
            <w:tcW w:w="3936" w:type="dxa"/>
          </w:tcPr>
          <w:p w14:paraId="3CAAED46" w14:textId="77777777" w:rsidR="00475FDA" w:rsidRPr="008A2D3A" w:rsidRDefault="00475FDA" w:rsidP="003802A1">
            <w:pPr>
              <w:spacing w:line="240" w:lineRule="auto"/>
              <w:rPr>
                <w:rFonts w:cstheme="minorHAnsi"/>
                <w:szCs w:val="22"/>
              </w:rPr>
            </w:pPr>
            <w:r w:rsidRPr="008A2D3A">
              <w:rPr>
                <w:rFonts w:cstheme="minorHAnsi"/>
                <w:szCs w:val="22"/>
              </w:rPr>
              <w:t>Internal ref. no. (or short title)</w:t>
            </w:r>
          </w:p>
        </w:tc>
        <w:tc>
          <w:tcPr>
            <w:tcW w:w="6237" w:type="dxa"/>
          </w:tcPr>
          <w:p w14:paraId="045D5932" w14:textId="1FB715E9" w:rsidR="00475FDA" w:rsidRPr="008A2D3A" w:rsidRDefault="00CE1128" w:rsidP="003802A1">
            <w:pPr>
              <w:spacing w:line="240" w:lineRule="auto"/>
              <w:rPr>
                <w:rFonts w:cstheme="minorHAnsi"/>
                <w:szCs w:val="22"/>
              </w:rPr>
            </w:pPr>
            <w:r w:rsidRPr="008A2D3A">
              <w:rPr>
                <w:rFonts w:cstheme="minorHAnsi"/>
                <w:szCs w:val="22"/>
              </w:rPr>
              <w:t>CMR in MINOCA</w:t>
            </w:r>
          </w:p>
        </w:tc>
      </w:tr>
      <w:tr w:rsidR="008A2D3A" w:rsidRPr="008A2D3A" w14:paraId="6BE9617D" w14:textId="77777777" w:rsidTr="001D1F95">
        <w:trPr>
          <w:trHeight w:val="371"/>
        </w:trPr>
        <w:tc>
          <w:tcPr>
            <w:tcW w:w="3936" w:type="dxa"/>
          </w:tcPr>
          <w:p w14:paraId="3F2D11B3" w14:textId="39C9E809" w:rsidR="00475FDA" w:rsidRPr="008A2D3A" w:rsidRDefault="0003364E" w:rsidP="003802A1">
            <w:pPr>
              <w:spacing w:line="240" w:lineRule="auto"/>
              <w:rPr>
                <w:rFonts w:cstheme="minorHAnsi"/>
                <w:szCs w:val="22"/>
              </w:rPr>
            </w:pPr>
            <w:r w:rsidRPr="008A2D3A">
              <w:rPr>
                <w:rFonts w:cstheme="minorHAnsi"/>
                <w:szCs w:val="22"/>
              </w:rPr>
              <w:t>Study</w:t>
            </w:r>
            <w:r w:rsidR="00475FDA" w:rsidRPr="008A2D3A">
              <w:rPr>
                <w:rFonts w:cstheme="minorHAnsi"/>
                <w:szCs w:val="22"/>
              </w:rPr>
              <w:t xml:space="preserve"> Design</w:t>
            </w:r>
          </w:p>
        </w:tc>
        <w:tc>
          <w:tcPr>
            <w:tcW w:w="6237" w:type="dxa"/>
          </w:tcPr>
          <w:p w14:paraId="3F0CDF90" w14:textId="786A5FB8" w:rsidR="00475FDA" w:rsidRPr="008A2D3A" w:rsidRDefault="00CE1128" w:rsidP="00CE1128">
            <w:pPr>
              <w:spacing w:line="240" w:lineRule="auto"/>
              <w:rPr>
                <w:rFonts w:cstheme="minorHAnsi"/>
                <w:szCs w:val="22"/>
              </w:rPr>
            </w:pPr>
            <w:r w:rsidRPr="008A2D3A">
              <w:rPr>
                <w:rFonts w:cstheme="minorHAnsi"/>
                <w:szCs w:val="22"/>
              </w:rPr>
              <w:t>Prospective international multi-centre pre- vs post- longitudinal assessment</w:t>
            </w:r>
          </w:p>
        </w:tc>
      </w:tr>
      <w:tr w:rsidR="008A2D3A" w:rsidRPr="008A2D3A" w14:paraId="37FD4EEE" w14:textId="77777777" w:rsidTr="001D1F95">
        <w:trPr>
          <w:trHeight w:val="703"/>
        </w:trPr>
        <w:tc>
          <w:tcPr>
            <w:tcW w:w="3936" w:type="dxa"/>
          </w:tcPr>
          <w:p w14:paraId="734DF1DE" w14:textId="0EB25FDA" w:rsidR="00475FDA" w:rsidRPr="008A2D3A" w:rsidRDefault="0003364E" w:rsidP="003802A1">
            <w:pPr>
              <w:spacing w:line="240" w:lineRule="auto"/>
              <w:rPr>
                <w:rFonts w:cstheme="minorHAnsi"/>
                <w:szCs w:val="22"/>
              </w:rPr>
            </w:pPr>
            <w:r w:rsidRPr="008A2D3A">
              <w:rPr>
                <w:rFonts w:cstheme="minorHAnsi"/>
                <w:szCs w:val="22"/>
              </w:rPr>
              <w:t>Study</w:t>
            </w:r>
            <w:r w:rsidR="00475FDA" w:rsidRPr="008A2D3A">
              <w:rPr>
                <w:rFonts w:cstheme="minorHAnsi"/>
                <w:szCs w:val="22"/>
              </w:rPr>
              <w:t xml:space="preserve"> Participants</w:t>
            </w:r>
          </w:p>
        </w:tc>
        <w:tc>
          <w:tcPr>
            <w:tcW w:w="6237" w:type="dxa"/>
          </w:tcPr>
          <w:p w14:paraId="1044BC6D" w14:textId="23E71E5D" w:rsidR="00475FDA" w:rsidRPr="008A2D3A" w:rsidRDefault="00CE1128" w:rsidP="003802A1">
            <w:pPr>
              <w:spacing w:line="240" w:lineRule="auto"/>
              <w:rPr>
                <w:rFonts w:cstheme="minorHAnsi"/>
                <w:szCs w:val="22"/>
              </w:rPr>
            </w:pPr>
            <w:r w:rsidRPr="008A2D3A">
              <w:rPr>
                <w:rFonts w:cstheme="minorHAnsi"/>
                <w:szCs w:val="22"/>
              </w:rPr>
              <w:t>Patients with MINOCA undergoing further evaluation by cardiac MRI</w:t>
            </w:r>
          </w:p>
        </w:tc>
      </w:tr>
      <w:tr w:rsidR="008A2D3A" w:rsidRPr="008A2D3A" w14:paraId="4CCE0C58" w14:textId="77777777" w:rsidTr="001D1F95">
        <w:trPr>
          <w:trHeight w:val="755"/>
        </w:trPr>
        <w:tc>
          <w:tcPr>
            <w:tcW w:w="3936" w:type="dxa"/>
          </w:tcPr>
          <w:p w14:paraId="0BC9D62F" w14:textId="1CDAE715" w:rsidR="00475FDA" w:rsidRPr="008A2D3A" w:rsidRDefault="00475FDA" w:rsidP="006D77EB">
            <w:pPr>
              <w:spacing w:line="240" w:lineRule="auto"/>
              <w:rPr>
                <w:rFonts w:cstheme="minorHAnsi"/>
                <w:szCs w:val="22"/>
              </w:rPr>
            </w:pPr>
            <w:r w:rsidRPr="008A2D3A">
              <w:rPr>
                <w:rFonts w:cstheme="minorHAnsi"/>
                <w:szCs w:val="22"/>
              </w:rPr>
              <w:t>Planned Size</w:t>
            </w:r>
            <w:r w:rsidR="0003364E" w:rsidRPr="008A2D3A">
              <w:rPr>
                <w:rFonts w:cstheme="minorHAnsi"/>
                <w:szCs w:val="22"/>
              </w:rPr>
              <w:t xml:space="preserve"> </w:t>
            </w:r>
            <w:r w:rsidR="006D77EB" w:rsidRPr="008A2D3A">
              <w:rPr>
                <w:rFonts w:cstheme="minorHAnsi"/>
                <w:szCs w:val="22"/>
              </w:rPr>
              <w:t xml:space="preserve">of Sample </w:t>
            </w:r>
            <w:r w:rsidR="0003364E" w:rsidRPr="008A2D3A">
              <w:rPr>
                <w:rFonts w:cstheme="minorHAnsi"/>
                <w:szCs w:val="22"/>
              </w:rPr>
              <w:t>(if applicable)</w:t>
            </w:r>
          </w:p>
        </w:tc>
        <w:tc>
          <w:tcPr>
            <w:tcW w:w="6237" w:type="dxa"/>
          </w:tcPr>
          <w:p w14:paraId="592A74C2" w14:textId="5B27A1E3" w:rsidR="00475FDA" w:rsidRPr="008A2D3A" w:rsidRDefault="00CE1128" w:rsidP="003802A1">
            <w:pPr>
              <w:spacing w:line="240" w:lineRule="auto"/>
              <w:rPr>
                <w:rFonts w:cstheme="minorHAnsi"/>
                <w:szCs w:val="22"/>
              </w:rPr>
            </w:pPr>
            <w:r w:rsidRPr="008A2D3A">
              <w:rPr>
                <w:rFonts w:cstheme="minorHAnsi"/>
                <w:szCs w:val="22"/>
              </w:rPr>
              <w:t>384 participants</w:t>
            </w:r>
            <w:r w:rsidR="00B8795B">
              <w:rPr>
                <w:rFonts w:cstheme="minorHAnsi"/>
                <w:szCs w:val="22"/>
              </w:rPr>
              <w:t xml:space="preserve"> across all sites</w:t>
            </w:r>
          </w:p>
        </w:tc>
      </w:tr>
      <w:tr w:rsidR="008A2D3A" w:rsidRPr="008A2D3A" w14:paraId="23FDA7F9" w14:textId="77777777" w:rsidTr="001D1F95">
        <w:trPr>
          <w:trHeight w:val="385"/>
        </w:trPr>
        <w:tc>
          <w:tcPr>
            <w:tcW w:w="3936" w:type="dxa"/>
          </w:tcPr>
          <w:p w14:paraId="2873A146" w14:textId="6BBC129D" w:rsidR="00475FDA" w:rsidRPr="008A2D3A" w:rsidRDefault="00475FDA" w:rsidP="003802A1">
            <w:pPr>
              <w:spacing w:line="240" w:lineRule="auto"/>
              <w:rPr>
                <w:rFonts w:cstheme="minorHAnsi"/>
                <w:szCs w:val="22"/>
              </w:rPr>
            </w:pPr>
            <w:r w:rsidRPr="008A2D3A">
              <w:rPr>
                <w:rFonts w:cstheme="minorHAnsi"/>
                <w:szCs w:val="22"/>
              </w:rPr>
              <w:t>Follow up duration</w:t>
            </w:r>
            <w:r w:rsidR="00F330BB" w:rsidRPr="008A2D3A">
              <w:rPr>
                <w:rFonts w:cstheme="minorHAnsi"/>
                <w:szCs w:val="22"/>
              </w:rPr>
              <w:t xml:space="preserve"> (if applicable)</w:t>
            </w:r>
          </w:p>
        </w:tc>
        <w:tc>
          <w:tcPr>
            <w:tcW w:w="6237" w:type="dxa"/>
          </w:tcPr>
          <w:p w14:paraId="76FEB1F3" w14:textId="210D61E7" w:rsidR="00475FDA" w:rsidRPr="008A2D3A" w:rsidRDefault="00CE1128" w:rsidP="003802A1">
            <w:pPr>
              <w:spacing w:line="240" w:lineRule="auto"/>
              <w:rPr>
                <w:rFonts w:cstheme="minorHAnsi"/>
                <w:szCs w:val="22"/>
              </w:rPr>
            </w:pPr>
            <w:r w:rsidRPr="008A2D3A">
              <w:rPr>
                <w:rFonts w:cstheme="minorHAnsi"/>
                <w:szCs w:val="22"/>
              </w:rPr>
              <w:t>1 year</w:t>
            </w:r>
          </w:p>
        </w:tc>
      </w:tr>
      <w:tr w:rsidR="008A2D3A" w:rsidRPr="008A2D3A" w14:paraId="15260F08" w14:textId="77777777" w:rsidTr="001D1F95">
        <w:trPr>
          <w:trHeight w:val="385"/>
        </w:trPr>
        <w:tc>
          <w:tcPr>
            <w:tcW w:w="3936" w:type="dxa"/>
          </w:tcPr>
          <w:p w14:paraId="5521B620" w14:textId="50519947" w:rsidR="00475FDA" w:rsidRPr="008A2D3A" w:rsidRDefault="00475FDA" w:rsidP="00A27E45">
            <w:pPr>
              <w:spacing w:line="240" w:lineRule="auto"/>
              <w:rPr>
                <w:rFonts w:cstheme="minorHAnsi"/>
                <w:szCs w:val="22"/>
              </w:rPr>
            </w:pPr>
            <w:r w:rsidRPr="008A2D3A">
              <w:rPr>
                <w:rFonts w:cstheme="minorHAnsi"/>
                <w:szCs w:val="22"/>
              </w:rPr>
              <w:t xml:space="preserve">Planned </w:t>
            </w:r>
            <w:r w:rsidR="00A27E45" w:rsidRPr="008A2D3A">
              <w:rPr>
                <w:rFonts w:cstheme="minorHAnsi"/>
                <w:szCs w:val="22"/>
              </w:rPr>
              <w:t>Study</w:t>
            </w:r>
            <w:r w:rsidRPr="008A2D3A">
              <w:rPr>
                <w:rFonts w:cstheme="minorHAnsi"/>
                <w:szCs w:val="22"/>
              </w:rPr>
              <w:t xml:space="preserve"> Period</w:t>
            </w:r>
          </w:p>
        </w:tc>
        <w:tc>
          <w:tcPr>
            <w:tcW w:w="6237" w:type="dxa"/>
          </w:tcPr>
          <w:p w14:paraId="0954CC16" w14:textId="1971A447" w:rsidR="00475FDA" w:rsidRPr="008A2D3A" w:rsidRDefault="00CE1128" w:rsidP="003802A1">
            <w:pPr>
              <w:spacing w:line="240" w:lineRule="auto"/>
              <w:rPr>
                <w:rFonts w:cstheme="minorHAnsi"/>
                <w:szCs w:val="22"/>
              </w:rPr>
            </w:pPr>
            <w:r w:rsidRPr="008A2D3A">
              <w:rPr>
                <w:rFonts w:cstheme="minorHAnsi"/>
                <w:szCs w:val="22"/>
              </w:rPr>
              <w:t>2 years</w:t>
            </w:r>
          </w:p>
        </w:tc>
      </w:tr>
      <w:tr w:rsidR="008A2D3A" w:rsidRPr="008A2D3A" w14:paraId="4A72BEB2" w14:textId="77777777" w:rsidTr="00A31748">
        <w:trPr>
          <w:trHeight w:val="770"/>
        </w:trPr>
        <w:tc>
          <w:tcPr>
            <w:tcW w:w="3936" w:type="dxa"/>
          </w:tcPr>
          <w:p w14:paraId="0D568A86" w14:textId="65749072" w:rsidR="00F330BB" w:rsidRPr="008A2D3A" w:rsidRDefault="002D0BA5" w:rsidP="003802A1">
            <w:pPr>
              <w:spacing w:line="240" w:lineRule="auto"/>
              <w:rPr>
                <w:rFonts w:cstheme="minorHAnsi"/>
                <w:szCs w:val="22"/>
              </w:rPr>
            </w:pPr>
            <w:r w:rsidRPr="008A2D3A">
              <w:rPr>
                <w:rFonts w:cstheme="minorHAnsi"/>
                <w:szCs w:val="22"/>
              </w:rPr>
              <w:t>Research Question/</w:t>
            </w:r>
            <w:r w:rsidR="006D77EB" w:rsidRPr="008A2D3A">
              <w:rPr>
                <w:rFonts w:cstheme="minorHAnsi"/>
                <w:szCs w:val="22"/>
              </w:rPr>
              <w:t>Aim(s)</w:t>
            </w:r>
          </w:p>
          <w:p w14:paraId="4C0CED87" w14:textId="77777777" w:rsidR="00F330BB" w:rsidRPr="008A2D3A" w:rsidRDefault="00F330BB" w:rsidP="003802A1">
            <w:pPr>
              <w:spacing w:line="240" w:lineRule="auto"/>
              <w:rPr>
                <w:rFonts w:cstheme="minorHAnsi"/>
                <w:szCs w:val="22"/>
              </w:rPr>
            </w:pPr>
          </w:p>
        </w:tc>
        <w:tc>
          <w:tcPr>
            <w:tcW w:w="6237" w:type="dxa"/>
          </w:tcPr>
          <w:p w14:paraId="2C5B6D09" w14:textId="42EA1738" w:rsidR="00F330BB" w:rsidRPr="008A2D3A" w:rsidRDefault="00CE1128" w:rsidP="00CE1128">
            <w:pPr>
              <w:spacing w:line="240" w:lineRule="auto"/>
              <w:rPr>
                <w:rFonts w:cstheme="minorHAnsi"/>
                <w:szCs w:val="22"/>
              </w:rPr>
            </w:pPr>
            <w:r w:rsidRPr="008A2D3A">
              <w:rPr>
                <w:rFonts w:cstheme="minorHAnsi"/>
                <w:szCs w:val="22"/>
              </w:rPr>
              <w:t>To evaluate the real clinical role of CMR in MINOCA with regards to frequency of change (if any) in diagnosis, diagnostic certainty and management. To evaluate pre-test predictors of a useful CMR study, and the cost-efficacy</w:t>
            </w:r>
            <w:r w:rsidR="008A2D3A" w:rsidRPr="008A2D3A">
              <w:rPr>
                <w:rFonts w:cstheme="minorHAnsi"/>
                <w:szCs w:val="22"/>
              </w:rPr>
              <w:t xml:space="preserve"> of CMR in MINOCA</w:t>
            </w:r>
            <w:r w:rsidRPr="008A2D3A">
              <w:rPr>
                <w:rFonts w:cstheme="minorHAnsi"/>
                <w:szCs w:val="22"/>
              </w:rPr>
              <w:t>.</w:t>
            </w: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944FC0" w14:textId="5CA3BC14" w:rsidR="00475FDA" w:rsidRPr="002D2D7D" w:rsidRDefault="00475FDA" w:rsidP="002D2D7D">
      <w:pPr>
        <w:spacing w:line="240" w:lineRule="auto"/>
        <w:rPr>
          <w:rFonts w:cstheme="minorHAnsi"/>
          <w:b/>
          <w:szCs w:val="22"/>
        </w:rPr>
      </w:pPr>
      <w:r w:rsidRPr="002D2D7D">
        <w:rPr>
          <w:rFonts w:cstheme="minorHAnsi"/>
          <w:b/>
          <w:szCs w:val="22"/>
        </w:rPr>
        <w:t>FUNDING AND SUPPORT IN KIND</w:t>
      </w:r>
    </w:p>
    <w:tbl>
      <w:tblPr>
        <w:tblStyle w:val="TableGrid"/>
        <w:tblW w:w="0" w:type="auto"/>
        <w:tblLook w:val="04A0" w:firstRow="1" w:lastRow="0" w:firstColumn="1" w:lastColumn="0" w:noHBand="0" w:noVBand="1"/>
      </w:tblPr>
      <w:tblGrid>
        <w:gridCol w:w="5094"/>
        <w:gridCol w:w="5094"/>
      </w:tblGrid>
      <w:tr w:rsidR="00093582" w14:paraId="41EB2007" w14:textId="77777777" w:rsidTr="00093582">
        <w:tc>
          <w:tcPr>
            <w:tcW w:w="5094" w:type="dxa"/>
          </w:tcPr>
          <w:p w14:paraId="3DC8AD4B" w14:textId="0AF4992C" w:rsidR="00093582" w:rsidRPr="008A2D3A" w:rsidRDefault="008A2D3A" w:rsidP="008A2D3A">
            <w:pPr>
              <w:spacing w:line="240" w:lineRule="auto"/>
              <w:rPr>
                <w:rFonts w:cstheme="minorHAnsi"/>
                <w:b/>
                <w:szCs w:val="22"/>
              </w:rPr>
            </w:pPr>
            <w:r>
              <w:rPr>
                <w:rFonts w:cstheme="minorHAnsi"/>
                <w:b/>
                <w:szCs w:val="22"/>
              </w:rPr>
              <w:t>FUNDER(S)</w:t>
            </w:r>
          </w:p>
        </w:tc>
        <w:tc>
          <w:tcPr>
            <w:tcW w:w="5094" w:type="dxa"/>
          </w:tcPr>
          <w:p w14:paraId="56ACE572" w14:textId="7400EE1F" w:rsidR="00093582" w:rsidRDefault="00093582" w:rsidP="00093582">
            <w:r w:rsidRPr="003C12DB">
              <w:rPr>
                <w:rFonts w:cstheme="minorHAnsi"/>
                <w:b/>
                <w:szCs w:val="22"/>
              </w:rPr>
              <w:t>FINANCIAL AND NON FINANCIALSUPPORT GIVEN</w:t>
            </w:r>
          </w:p>
        </w:tc>
      </w:tr>
      <w:tr w:rsidR="00994557" w14:paraId="7819FC69" w14:textId="77777777" w:rsidTr="00093582">
        <w:tc>
          <w:tcPr>
            <w:tcW w:w="5094" w:type="dxa"/>
          </w:tcPr>
          <w:p w14:paraId="7B62AEF8" w14:textId="44B32DC8" w:rsidR="00994557" w:rsidRPr="008A2D3A" w:rsidRDefault="00994557" w:rsidP="00093582">
            <w:pPr>
              <w:spacing w:line="240" w:lineRule="auto"/>
              <w:rPr>
                <w:rFonts w:cstheme="minorHAnsi"/>
                <w:szCs w:val="22"/>
              </w:rPr>
            </w:pPr>
            <w:r>
              <w:rPr>
                <w:rFonts w:cstheme="minorHAnsi"/>
                <w:szCs w:val="22"/>
              </w:rPr>
              <w:t>The Medical Research Foundation</w:t>
            </w:r>
          </w:p>
        </w:tc>
        <w:tc>
          <w:tcPr>
            <w:tcW w:w="5094" w:type="dxa"/>
          </w:tcPr>
          <w:p w14:paraId="13DF49AC" w14:textId="58BDE698" w:rsidR="00994557" w:rsidRDefault="00994557" w:rsidP="00686AE7">
            <w:pPr>
              <w:rPr>
                <w:rFonts w:cstheme="minorHAnsi"/>
                <w:szCs w:val="22"/>
              </w:rPr>
            </w:pPr>
            <w:r>
              <w:rPr>
                <w:rFonts w:cstheme="minorHAnsi"/>
                <w:szCs w:val="22"/>
              </w:rPr>
              <w:t>$20,000 seeding grant for CMR studies conducted via Royal Perth Hospital</w:t>
            </w:r>
          </w:p>
        </w:tc>
      </w:tr>
    </w:tbl>
    <w:p w14:paraId="7628A1EB" w14:textId="77777777" w:rsidR="008A2D3A" w:rsidRDefault="008A2D3A" w:rsidP="002D2D7D">
      <w:pPr>
        <w:spacing w:line="240" w:lineRule="auto"/>
        <w:rPr>
          <w:rFonts w:cstheme="minorHAnsi"/>
          <w:b/>
          <w:szCs w:val="22"/>
        </w:rPr>
      </w:pPr>
    </w:p>
    <w:p w14:paraId="6E0F53F0" w14:textId="77777777" w:rsidR="00973521" w:rsidRDefault="00973521" w:rsidP="002D2D7D">
      <w:pPr>
        <w:spacing w:line="240" w:lineRule="auto"/>
        <w:rPr>
          <w:rFonts w:cstheme="minorHAnsi"/>
          <w:b/>
          <w:szCs w:val="22"/>
        </w:rPr>
      </w:pPr>
    </w:p>
    <w:p w14:paraId="6533797E" w14:textId="18208EC1" w:rsidR="00475FDA" w:rsidRPr="002D2D7D" w:rsidRDefault="00475FDA" w:rsidP="002D2D7D">
      <w:pPr>
        <w:spacing w:line="240" w:lineRule="auto"/>
        <w:rPr>
          <w:rFonts w:cstheme="minorHAnsi"/>
          <w:b/>
          <w:szCs w:val="22"/>
        </w:rPr>
      </w:pPr>
      <w:r w:rsidRPr="002D2D7D">
        <w:rPr>
          <w:rFonts w:cstheme="minorHAnsi"/>
          <w:b/>
          <w:szCs w:val="22"/>
        </w:rPr>
        <w:lastRenderedPageBreak/>
        <w:t>ROLE OF STUDY SPONSOR AND FUNDER</w:t>
      </w:r>
    </w:p>
    <w:p w14:paraId="28F42137" w14:textId="1124FFAD" w:rsidR="008A2D3A" w:rsidRPr="00994557" w:rsidRDefault="00994557" w:rsidP="00994557">
      <w:pPr>
        <w:autoSpaceDE w:val="0"/>
        <w:autoSpaceDN w:val="0"/>
        <w:adjustRightInd w:val="0"/>
        <w:spacing w:line="240" w:lineRule="auto"/>
        <w:rPr>
          <w:rFonts w:cstheme="minorHAnsi"/>
        </w:rPr>
      </w:pPr>
      <w:r w:rsidRPr="00994557">
        <w:rPr>
          <w:rFonts w:cstheme="minorHAnsi"/>
          <w:szCs w:val="22"/>
        </w:rPr>
        <w:t>1.</w:t>
      </w:r>
      <w:r>
        <w:rPr>
          <w:rFonts w:cstheme="minorHAnsi"/>
        </w:rPr>
        <w:t xml:space="preserve"> </w:t>
      </w:r>
      <w:r w:rsidR="008A2D3A" w:rsidRPr="00994557">
        <w:rPr>
          <w:rFonts w:cstheme="minorHAnsi"/>
        </w:rPr>
        <w:t xml:space="preserve">This is a non-interventional study, </w:t>
      </w:r>
      <w:r w:rsidRPr="00994557">
        <w:rPr>
          <w:rFonts w:cstheme="minorHAnsi"/>
        </w:rPr>
        <w:t>with no change to standard clinical care for patients treated at the James Cook University Hospital (CMR is typically performed routinely in MINOCA</w:t>
      </w:r>
      <w:r>
        <w:rPr>
          <w:rFonts w:cstheme="minorHAnsi"/>
        </w:rPr>
        <w:t xml:space="preserve"> in NHS tertiary centres</w:t>
      </w:r>
      <w:r w:rsidRPr="00994557">
        <w:rPr>
          <w:rFonts w:cstheme="minorHAnsi"/>
        </w:rPr>
        <w:t>)</w:t>
      </w:r>
      <w:r w:rsidR="008A2D3A" w:rsidRPr="00994557">
        <w:rPr>
          <w:rFonts w:cstheme="minorHAnsi"/>
        </w:rPr>
        <w:t xml:space="preserve">. </w:t>
      </w:r>
      <w:r w:rsidRPr="00994557">
        <w:rPr>
          <w:rFonts w:cstheme="minorHAnsi"/>
        </w:rPr>
        <w:t xml:space="preserve">As such, no specific funding is required </w:t>
      </w:r>
      <w:r>
        <w:rPr>
          <w:rFonts w:cstheme="minorHAnsi"/>
        </w:rPr>
        <w:t>for the CMR study. I</w:t>
      </w:r>
      <w:r w:rsidRPr="00994557">
        <w:rPr>
          <w:rFonts w:cstheme="minorHAnsi"/>
        </w:rPr>
        <w:t xml:space="preserve">n-kind funding </w:t>
      </w:r>
      <w:r>
        <w:rPr>
          <w:rFonts w:cstheme="minorHAnsi"/>
        </w:rPr>
        <w:t xml:space="preserve">is agreed </w:t>
      </w:r>
      <w:r w:rsidRPr="00994557">
        <w:rPr>
          <w:rFonts w:cstheme="minorHAnsi"/>
        </w:rPr>
        <w:t>for the treating clinician to complete the required questionnaires.</w:t>
      </w:r>
    </w:p>
    <w:p w14:paraId="1F25B5ED" w14:textId="03EF0361" w:rsidR="00994557" w:rsidRPr="008A2D3A" w:rsidRDefault="00994557" w:rsidP="003802A1">
      <w:pPr>
        <w:autoSpaceDE w:val="0"/>
        <w:autoSpaceDN w:val="0"/>
        <w:adjustRightInd w:val="0"/>
        <w:spacing w:line="240" w:lineRule="auto"/>
        <w:rPr>
          <w:rFonts w:cstheme="minorHAnsi"/>
          <w:szCs w:val="22"/>
        </w:rPr>
      </w:pPr>
      <w:r>
        <w:rPr>
          <w:rFonts w:cstheme="minorHAnsi"/>
          <w:szCs w:val="22"/>
        </w:rPr>
        <w:t>2.  A seeding grant of $20,000 was awarded in Nov 2018 to the lead site (Royal Perth Hospital) on a competitive basis with peer-review of the study. This funding is required for the conduct of CMR in MINOCA patients – unlike the NHS, the Australian federal Medicare does not routinely fund CMR investigations. Completion of the required questionnaires is funded in-kind by the Royal Perth Hospital.</w:t>
      </w:r>
    </w:p>
    <w:p w14:paraId="62534C8E" w14:textId="77777777" w:rsidR="002D2D7D" w:rsidRPr="003C12DB" w:rsidRDefault="002D2D7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6157DD5" w14:textId="4A837CB7" w:rsidR="00475FDA" w:rsidRPr="00F9322F" w:rsidRDefault="00475FDA" w:rsidP="003802A1">
      <w:pPr>
        <w:pStyle w:val="EndnoteText"/>
        <w:tabs>
          <w:tab w:val="left" w:pos="817"/>
          <w:tab w:val="left" w:pos="9603"/>
        </w:tabs>
        <w:suppressAutoHyphens/>
        <w:spacing w:after="120"/>
        <w:rPr>
          <w:rFonts w:asciiTheme="minorHAnsi" w:hAnsiTheme="minorHAnsi" w:cstheme="minorHAnsi"/>
          <w:b/>
          <w:sz w:val="22"/>
          <w:szCs w:val="22"/>
        </w:rPr>
      </w:pPr>
      <w:r w:rsidRPr="00F9322F">
        <w:rPr>
          <w:rFonts w:asciiTheme="minorHAnsi" w:hAnsiTheme="minorHAnsi" w:cstheme="minorHAnsi"/>
          <w:b/>
          <w:sz w:val="22"/>
          <w:szCs w:val="22"/>
        </w:rPr>
        <w:t>P</w:t>
      </w:r>
      <w:r w:rsidR="004140B8">
        <w:rPr>
          <w:rFonts w:asciiTheme="minorHAnsi" w:hAnsiTheme="minorHAnsi" w:cstheme="minorHAnsi"/>
          <w:b/>
          <w:sz w:val="22"/>
          <w:szCs w:val="22"/>
        </w:rPr>
        <w:t>ROTOCOL CONTRIBUTORS</w:t>
      </w:r>
    </w:p>
    <w:p w14:paraId="04719722" w14:textId="06E746B2" w:rsidR="00475FDA" w:rsidRPr="008A2D3A" w:rsidRDefault="008A2D3A" w:rsidP="008A2D3A">
      <w:pPr>
        <w:pStyle w:val="EndnoteText"/>
        <w:tabs>
          <w:tab w:val="left" w:pos="817"/>
          <w:tab w:val="left" w:pos="9603"/>
        </w:tabs>
        <w:suppressAutoHyphens/>
        <w:spacing w:after="120"/>
        <w:rPr>
          <w:rFonts w:asciiTheme="minorHAnsi" w:hAnsiTheme="minorHAnsi" w:cstheme="minorHAnsi"/>
          <w:sz w:val="22"/>
          <w:szCs w:val="22"/>
        </w:rPr>
      </w:pPr>
      <w:r w:rsidRPr="008A2D3A">
        <w:rPr>
          <w:rFonts w:asciiTheme="minorHAnsi" w:hAnsiTheme="minorHAnsi" w:cstheme="minorHAnsi"/>
          <w:sz w:val="22"/>
          <w:szCs w:val="22"/>
        </w:rPr>
        <w:t>The protocol is written by chief investigator Rajwani</w:t>
      </w: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2D2D7D">
              <w:rPr>
                <w:rFonts w:cstheme="minorHAnsi"/>
                <w:b/>
                <w:szCs w:val="22"/>
              </w:rPr>
              <w:t>KEY WORDS:</w:t>
            </w:r>
          </w:p>
        </w:tc>
        <w:tc>
          <w:tcPr>
            <w:tcW w:w="5894" w:type="dxa"/>
          </w:tcPr>
          <w:p w14:paraId="4A7DE507" w14:textId="3C39637F" w:rsidR="00475FDA" w:rsidRPr="003C12DB" w:rsidRDefault="007B68A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7B68AF">
              <w:rPr>
                <w:rFonts w:cstheme="minorHAnsi"/>
                <w:szCs w:val="22"/>
              </w:rPr>
              <w:t>MINOCA</w:t>
            </w:r>
            <w:r w:rsidRPr="007B68AF">
              <w:rPr>
                <w:rFonts w:cstheme="minorHAnsi"/>
                <w:szCs w:val="22"/>
              </w:rPr>
              <w:br/>
              <w:t>CMR</w:t>
            </w:r>
            <w:r w:rsidRPr="007B68AF">
              <w:rPr>
                <w:rFonts w:cstheme="minorHAnsi"/>
                <w:szCs w:val="22"/>
              </w:rPr>
              <w:br/>
              <w:t>Incremental utility</w:t>
            </w:r>
            <w:r w:rsidRPr="007B68AF">
              <w:rPr>
                <w:rFonts w:cstheme="minorHAnsi"/>
                <w:szCs w:val="22"/>
              </w:rPr>
              <w:br/>
              <w:t>Diagnostic certainty</w:t>
            </w:r>
            <w:r w:rsidR="006D77EB" w:rsidRPr="007B68AF">
              <w:rPr>
                <w:rFonts w:cstheme="minorHAnsi"/>
                <w:szCs w:val="22"/>
              </w:rPr>
              <w:t xml:space="preserve"> </w:t>
            </w:r>
          </w:p>
        </w:tc>
      </w:tr>
    </w:tbl>
    <w:p w14:paraId="651514A6" w14:textId="007EDDA9" w:rsidR="00475FDA" w:rsidRPr="003C12DB" w:rsidRDefault="00475FDA" w:rsidP="003802A1">
      <w:pPr>
        <w:spacing w:line="240" w:lineRule="auto"/>
        <w:rPr>
          <w:rFonts w:cstheme="minorHAnsi"/>
          <w:szCs w:val="22"/>
        </w:rPr>
      </w:pPr>
    </w:p>
    <w:p w14:paraId="2098E428" w14:textId="36E4B4BE" w:rsidR="00475FDA" w:rsidRPr="00093582" w:rsidRDefault="00236B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STUDY </w:t>
      </w:r>
      <w:r w:rsidR="00475FDA" w:rsidRPr="00093582">
        <w:rPr>
          <w:rFonts w:asciiTheme="minorHAnsi" w:hAnsiTheme="minorHAnsi" w:cstheme="minorHAnsi"/>
          <w:color w:val="auto"/>
          <w:sz w:val="22"/>
          <w:szCs w:val="22"/>
        </w:rPr>
        <w:t>FLOW CHART</w:t>
      </w:r>
    </w:p>
    <w:p w14:paraId="3B1C79BB" w14:textId="7B541D19" w:rsidR="00994557" w:rsidRDefault="00A363D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noProof/>
          <w:szCs w:val="22"/>
          <w:lang w:val="en-AU" w:eastAsia="en-AU"/>
        </w:rPr>
        <w:drawing>
          <wp:inline distT="0" distB="0" distL="0" distR="0" wp14:anchorId="64ED3420" wp14:editId="3DFFAE58">
            <wp:extent cx="6332220" cy="4749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OCA study protocol flowchart.jpg"/>
                    <pic:cNvPicPr/>
                  </pic:nvPicPr>
                  <pic:blipFill>
                    <a:blip r:embed="rId8">
                      <a:extLst>
                        <a:ext uri="{28A0092B-C50C-407E-A947-70E740481C1C}">
                          <a14:useLocalDpi xmlns:a14="http://schemas.microsoft.com/office/drawing/2010/main" val="0"/>
                        </a:ext>
                      </a:extLst>
                    </a:blip>
                    <a:stretch>
                      <a:fillRect/>
                    </a:stretch>
                  </pic:blipFill>
                  <pic:spPr>
                    <a:xfrm>
                      <a:off x="0" y="0"/>
                      <a:ext cx="6332220" cy="4749165"/>
                    </a:xfrm>
                    <a:prstGeom prst="rect">
                      <a:avLst/>
                    </a:prstGeom>
                  </pic:spPr>
                </pic:pic>
              </a:graphicData>
            </a:graphic>
          </wp:inline>
        </w:drawing>
      </w:r>
    </w:p>
    <w:p w14:paraId="6D37ADEC" w14:textId="77777777" w:rsidR="00994557" w:rsidRDefault="0099455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ACS – Acute coronary syndrome</w:t>
      </w:r>
    </w:p>
    <w:p w14:paraId="26878EA6" w14:textId="77777777" w:rsidR="00994557" w:rsidRDefault="0099455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MINOCA – Myocardial infarction with non-obstructed coronary arteries</w:t>
      </w:r>
    </w:p>
    <w:p w14:paraId="7D309C1A" w14:textId="77777777" w:rsidR="00994557" w:rsidRDefault="0099455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CMR – Cardiac magnetic resonance imaging</w:t>
      </w:r>
    </w:p>
    <w:p w14:paraId="7998D25C" w14:textId="67D19892" w:rsidR="00475FDA" w:rsidRPr="003C12DB" w:rsidRDefault="0099455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OP - Outpatient</w:t>
      </w:r>
      <w:r w:rsidR="00475FDA" w:rsidRPr="003C12DB">
        <w:rPr>
          <w:rFonts w:cstheme="minorHAnsi"/>
          <w:szCs w:val="22"/>
        </w:rPr>
        <w:br w:type="page"/>
      </w:r>
    </w:p>
    <w:p w14:paraId="43AA51D6" w14:textId="77777777" w:rsidR="004D083E" w:rsidRDefault="004D083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sectPr w:rsidR="004D083E" w:rsidSect="00580154">
          <w:headerReference w:type="default" r:id="rId9"/>
          <w:footerReference w:type="default" r:id="rId10"/>
          <w:headerReference w:type="first" r:id="rId11"/>
          <w:footerReference w:type="first" r:id="rId12"/>
          <w:pgSz w:w="11900" w:h="16840"/>
          <w:pgMar w:top="1985" w:right="964" w:bottom="1134" w:left="964" w:header="708" w:footer="0" w:gutter="0"/>
          <w:pgNumType w:fmt="lowerRoman" w:start="1"/>
          <w:cols w:space="708"/>
          <w:titlePg/>
          <w:docGrid w:linePitch="360"/>
        </w:sectPr>
      </w:pPr>
    </w:p>
    <w:p w14:paraId="64B775BC" w14:textId="0F9E36D5" w:rsidR="00475FDA" w:rsidRPr="00FD25EF"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sidRPr="003C12DB">
        <w:rPr>
          <w:rFonts w:cstheme="minorHAnsi"/>
          <w:b/>
          <w:szCs w:val="22"/>
        </w:rPr>
        <w:lastRenderedPageBreak/>
        <w:t>STUDY PROTOCOL</w:t>
      </w:r>
    </w:p>
    <w:p w14:paraId="73142E89" w14:textId="77777777" w:rsidR="003802A1" w:rsidRPr="003802A1" w:rsidRDefault="003802A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p>
    <w:p w14:paraId="7D9FC4CE" w14:textId="77777777" w:rsidR="00EB0077" w:rsidRPr="003802A1" w:rsidRDefault="00EB0077" w:rsidP="00EB0077">
      <w:pPr>
        <w:pStyle w:val="Heading1"/>
        <w:spacing w:before="0" w:after="120"/>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r>
        <w:rPr>
          <w:rFonts w:asciiTheme="minorHAnsi" w:hAnsiTheme="minorHAnsi" w:cstheme="minorHAnsi"/>
          <w:color w:val="auto"/>
          <w:sz w:val="22"/>
          <w:szCs w:val="22"/>
        </w:rPr>
        <w:t xml:space="preserve"> AND RATIONALE</w:t>
      </w:r>
    </w:p>
    <w:p w14:paraId="754E1A74" w14:textId="2C58C40C" w:rsidR="00EB0077" w:rsidRPr="00EF018A" w:rsidRDefault="00EB0077" w:rsidP="00EB0077">
      <w:pPr>
        <w:spacing w:after="200" w:line="276" w:lineRule="auto"/>
        <w:contextualSpacing/>
        <w:rPr>
          <w:rFonts w:cstheme="minorHAnsi"/>
          <w:szCs w:val="22"/>
        </w:rPr>
      </w:pPr>
      <w:r w:rsidRPr="00EF018A">
        <w:rPr>
          <w:rFonts w:cstheme="minorHAnsi"/>
          <w:szCs w:val="22"/>
        </w:rPr>
        <w:t>Myocardial infarction with non-obstructed coronary arteries (MINOCA) is the term used to denote a presentation that appears to be a heart attack but without clear culprit on diagnostic coronary angiography. This is a common presentation, representing 5-10% of all heart attacks.</w:t>
      </w:r>
      <w:r w:rsidR="00F2415B" w:rsidRPr="00F2415B">
        <w:rPr>
          <w:rFonts w:cstheme="minorHAnsi"/>
          <w:szCs w:val="22"/>
          <w:vertAlign w:val="superscript"/>
        </w:rPr>
        <w:t>1</w:t>
      </w:r>
      <w:r w:rsidRPr="00EF018A">
        <w:rPr>
          <w:rFonts w:cstheme="minorHAnsi"/>
          <w:szCs w:val="22"/>
        </w:rPr>
        <w:t xml:space="preserve"> </w:t>
      </w:r>
      <w:r w:rsidR="002F6166">
        <w:rPr>
          <w:rFonts w:cstheme="minorHAnsi"/>
          <w:szCs w:val="22"/>
        </w:rPr>
        <w:t>The mechanism is thought to be spontaneous recanalization of the infarcted artery by the time of the angiogram, where the culprit atheroma plaque was not itself obstructive. H</w:t>
      </w:r>
      <w:r>
        <w:rPr>
          <w:rFonts w:cstheme="minorHAnsi"/>
          <w:szCs w:val="22"/>
        </w:rPr>
        <w:t>owever</w:t>
      </w:r>
      <w:r w:rsidR="002F6166">
        <w:rPr>
          <w:rFonts w:cstheme="minorHAnsi"/>
          <w:szCs w:val="22"/>
        </w:rPr>
        <w:t xml:space="preserve">, because </w:t>
      </w:r>
      <w:r>
        <w:rPr>
          <w:rFonts w:cstheme="minorHAnsi"/>
          <w:szCs w:val="22"/>
        </w:rPr>
        <w:t xml:space="preserve">a </w:t>
      </w:r>
      <w:r w:rsidRPr="00EF018A">
        <w:rPr>
          <w:rFonts w:cstheme="minorHAnsi"/>
          <w:szCs w:val="22"/>
        </w:rPr>
        <w:t>wide and heterogenous range of disease processes</w:t>
      </w:r>
      <w:r>
        <w:rPr>
          <w:rFonts w:cstheme="minorHAnsi"/>
          <w:szCs w:val="22"/>
        </w:rPr>
        <w:t xml:space="preserve"> can masquerade as </w:t>
      </w:r>
      <w:r w:rsidR="00AE4609">
        <w:rPr>
          <w:rFonts w:cstheme="minorHAnsi"/>
          <w:szCs w:val="22"/>
        </w:rPr>
        <w:t>a myocardial</w:t>
      </w:r>
      <w:r w:rsidR="002F6166">
        <w:rPr>
          <w:rFonts w:cstheme="minorHAnsi"/>
          <w:szCs w:val="22"/>
        </w:rPr>
        <w:t xml:space="preserve"> infarction</w:t>
      </w:r>
      <w:r>
        <w:rPr>
          <w:rFonts w:cstheme="minorHAnsi"/>
          <w:szCs w:val="22"/>
        </w:rPr>
        <w:t xml:space="preserve"> </w:t>
      </w:r>
      <w:r w:rsidR="002F6166">
        <w:rPr>
          <w:rFonts w:cstheme="minorHAnsi"/>
          <w:szCs w:val="22"/>
        </w:rPr>
        <w:t xml:space="preserve">(e.g. </w:t>
      </w:r>
      <w:r w:rsidRPr="00EF018A">
        <w:rPr>
          <w:rFonts w:cstheme="minorHAnsi"/>
          <w:szCs w:val="22"/>
        </w:rPr>
        <w:t xml:space="preserve">myocarditis, coronary artery vasospasm, stress-induced cardiomyopathy, </w:t>
      </w:r>
      <w:r>
        <w:rPr>
          <w:rFonts w:cstheme="minorHAnsi"/>
          <w:szCs w:val="22"/>
        </w:rPr>
        <w:t>index</w:t>
      </w:r>
      <w:r w:rsidRPr="00EF018A">
        <w:rPr>
          <w:rFonts w:cstheme="minorHAnsi"/>
          <w:szCs w:val="22"/>
        </w:rPr>
        <w:t xml:space="preserve"> presentation of</w:t>
      </w:r>
      <w:r>
        <w:rPr>
          <w:rFonts w:cstheme="minorHAnsi"/>
          <w:szCs w:val="22"/>
        </w:rPr>
        <w:t xml:space="preserve"> chronic</w:t>
      </w:r>
      <w:r w:rsidR="002F6166">
        <w:rPr>
          <w:rFonts w:cstheme="minorHAnsi"/>
          <w:szCs w:val="22"/>
        </w:rPr>
        <w:t xml:space="preserve"> cardiomyopathies</w:t>
      </w:r>
      <w:r w:rsidRPr="00EF018A">
        <w:rPr>
          <w:rFonts w:cstheme="minorHAnsi"/>
          <w:szCs w:val="22"/>
        </w:rPr>
        <w:t xml:space="preserve"> </w:t>
      </w:r>
      <w:r w:rsidR="002F6166">
        <w:rPr>
          <w:rFonts w:cstheme="minorHAnsi"/>
          <w:szCs w:val="22"/>
        </w:rPr>
        <w:t xml:space="preserve">etc), </w:t>
      </w:r>
      <w:r w:rsidR="00AE4609">
        <w:rPr>
          <w:rFonts w:cstheme="minorHAnsi"/>
          <w:szCs w:val="22"/>
        </w:rPr>
        <w:t xml:space="preserve">in the absence of clear evidence from the angiogram </w:t>
      </w:r>
      <w:r w:rsidR="002F6166">
        <w:rPr>
          <w:rFonts w:cstheme="minorHAnsi"/>
          <w:szCs w:val="22"/>
        </w:rPr>
        <w:t xml:space="preserve">the actual </w:t>
      </w:r>
      <w:r w:rsidR="00AE4609">
        <w:rPr>
          <w:rFonts w:cstheme="minorHAnsi"/>
          <w:szCs w:val="22"/>
        </w:rPr>
        <w:t>cause</w:t>
      </w:r>
      <w:r w:rsidRPr="00EF018A">
        <w:rPr>
          <w:rFonts w:cstheme="minorHAnsi"/>
          <w:szCs w:val="22"/>
        </w:rPr>
        <w:t xml:space="preserve"> often </w:t>
      </w:r>
      <w:r w:rsidR="00F2415B">
        <w:rPr>
          <w:rFonts w:cstheme="minorHAnsi"/>
          <w:szCs w:val="22"/>
        </w:rPr>
        <w:t>remains</w:t>
      </w:r>
      <w:r w:rsidRPr="00EF018A">
        <w:rPr>
          <w:rFonts w:cstheme="minorHAnsi"/>
          <w:szCs w:val="22"/>
        </w:rPr>
        <w:t xml:space="preserve"> unclear </w:t>
      </w:r>
      <w:r w:rsidR="002F6166">
        <w:rPr>
          <w:rFonts w:cstheme="minorHAnsi"/>
          <w:szCs w:val="22"/>
        </w:rPr>
        <w:t xml:space="preserve">to the treating clinician </w:t>
      </w:r>
      <w:r w:rsidRPr="00EF018A">
        <w:rPr>
          <w:rFonts w:cstheme="minorHAnsi"/>
          <w:szCs w:val="22"/>
        </w:rPr>
        <w:t xml:space="preserve">even after comprehensive assessment. </w:t>
      </w:r>
      <w:r w:rsidRPr="001A6629">
        <w:rPr>
          <w:rFonts w:cstheme="minorHAnsi"/>
          <w:i/>
          <w:szCs w:val="22"/>
        </w:rPr>
        <w:t>Thus, this common presentation is associated with major diagnostic uncertainty</w:t>
      </w:r>
      <w:r w:rsidRPr="00EF018A">
        <w:rPr>
          <w:rFonts w:cstheme="minorHAnsi"/>
          <w:szCs w:val="22"/>
        </w:rPr>
        <w:t>.</w:t>
      </w:r>
    </w:p>
    <w:p w14:paraId="5059CBA7" w14:textId="77777777" w:rsidR="00EB0077" w:rsidRPr="00EF018A" w:rsidRDefault="00EB0077" w:rsidP="00EB0077">
      <w:pPr>
        <w:spacing w:after="200" w:line="276" w:lineRule="auto"/>
        <w:contextualSpacing/>
        <w:rPr>
          <w:rFonts w:cstheme="minorHAnsi"/>
          <w:szCs w:val="22"/>
        </w:rPr>
      </w:pPr>
    </w:p>
    <w:p w14:paraId="1FE694B8" w14:textId="4541A2A7" w:rsidR="00EB0077" w:rsidRPr="00EF018A" w:rsidRDefault="00EB0077" w:rsidP="00EB0077">
      <w:pPr>
        <w:spacing w:after="200" w:line="276" w:lineRule="auto"/>
        <w:contextualSpacing/>
        <w:rPr>
          <w:rFonts w:cstheme="minorHAnsi"/>
          <w:szCs w:val="22"/>
        </w:rPr>
      </w:pPr>
      <w:r w:rsidRPr="00EF018A">
        <w:rPr>
          <w:rFonts w:cstheme="minorHAnsi"/>
          <w:szCs w:val="22"/>
        </w:rPr>
        <w:t>Given that 20-40% of MINOCA</w:t>
      </w:r>
      <w:r w:rsidR="00AE4609">
        <w:rPr>
          <w:rFonts w:cstheme="minorHAnsi"/>
          <w:szCs w:val="22"/>
        </w:rPr>
        <w:t>-type presentations</w:t>
      </w:r>
      <w:r w:rsidRPr="00EF018A">
        <w:rPr>
          <w:rFonts w:cstheme="minorHAnsi"/>
          <w:szCs w:val="22"/>
        </w:rPr>
        <w:t xml:space="preserve"> are caused by genuine coronary </w:t>
      </w:r>
      <w:r w:rsidR="00AE4609">
        <w:rPr>
          <w:rFonts w:cstheme="minorHAnsi"/>
          <w:szCs w:val="22"/>
        </w:rPr>
        <w:t>plaque rupture</w:t>
      </w:r>
      <w:r w:rsidRPr="00EF018A">
        <w:rPr>
          <w:rFonts w:cstheme="minorHAnsi"/>
          <w:szCs w:val="22"/>
        </w:rPr>
        <w:t xml:space="preserve"> - and with real risk of recurrence in such cases if untreated - the current ESC Consensus statement on MINOCA recommends continuing to treat with standard heart-attack therapy, namely dual antiplatelet therapy and statins.</w:t>
      </w:r>
      <w:r w:rsidRPr="00EF018A">
        <w:rPr>
          <w:rFonts w:cstheme="minorHAnsi"/>
          <w:szCs w:val="22"/>
          <w:vertAlign w:val="superscript"/>
        </w:rPr>
        <w:t>1</w:t>
      </w:r>
      <w:r w:rsidRPr="00EF018A">
        <w:rPr>
          <w:rFonts w:cstheme="minorHAnsi"/>
          <w:szCs w:val="22"/>
        </w:rPr>
        <w:t xml:space="preserve"> It follows however that 60-80% of individuals will be unnecessarily exposed to the risks of this treatment. </w:t>
      </w:r>
      <w:r>
        <w:rPr>
          <w:rFonts w:cstheme="minorHAnsi"/>
          <w:szCs w:val="22"/>
        </w:rPr>
        <w:t>In particular, d</w:t>
      </w:r>
      <w:r w:rsidRPr="00EF018A">
        <w:rPr>
          <w:rFonts w:cstheme="minorHAnsi"/>
          <w:szCs w:val="22"/>
        </w:rPr>
        <w:t>ual antiplatelet therapy is associated with annual major bleeding rates of ~3.5%; statin therapy is associated with a small but significant increased risk of diabetes</w:t>
      </w:r>
      <w:r w:rsidR="00AE4609">
        <w:rPr>
          <w:rFonts w:cstheme="minorHAnsi"/>
          <w:szCs w:val="22"/>
        </w:rPr>
        <w:t xml:space="preserve"> and other complications</w:t>
      </w:r>
      <w:r w:rsidRPr="00EF018A">
        <w:rPr>
          <w:rFonts w:cstheme="minorHAnsi"/>
          <w:szCs w:val="22"/>
        </w:rPr>
        <w:t xml:space="preserve">. </w:t>
      </w:r>
      <w:r w:rsidR="00F2415B">
        <w:rPr>
          <w:rFonts w:cstheme="minorHAnsi"/>
          <w:szCs w:val="22"/>
        </w:rPr>
        <w:t>In addition, t</w:t>
      </w:r>
      <w:r w:rsidRPr="00EF018A">
        <w:rPr>
          <w:rFonts w:cstheme="minorHAnsi"/>
          <w:szCs w:val="22"/>
        </w:rPr>
        <w:t xml:space="preserve">here are </w:t>
      </w:r>
      <w:r w:rsidR="00F2415B">
        <w:rPr>
          <w:rFonts w:cstheme="minorHAnsi"/>
          <w:szCs w:val="22"/>
        </w:rPr>
        <w:t>a number of</w:t>
      </w:r>
      <w:r w:rsidRPr="00EF018A">
        <w:rPr>
          <w:rFonts w:cstheme="minorHAnsi"/>
          <w:szCs w:val="22"/>
        </w:rPr>
        <w:t xml:space="preserve"> other aspects of management that also differ according to diagnosis, including the need for specialist follow-up, repeated testing, </w:t>
      </w:r>
      <w:r w:rsidR="00F2415B">
        <w:rPr>
          <w:rFonts w:cstheme="minorHAnsi"/>
          <w:szCs w:val="22"/>
        </w:rPr>
        <w:t xml:space="preserve">implantation of devices for monitoring or treatment, </w:t>
      </w:r>
      <w:r w:rsidRPr="00EF018A">
        <w:rPr>
          <w:rFonts w:cstheme="minorHAnsi"/>
          <w:szCs w:val="22"/>
        </w:rPr>
        <w:t>further risk stratification in cardiomyopathy</w:t>
      </w:r>
      <w:r w:rsidR="00F2415B">
        <w:rPr>
          <w:rFonts w:cstheme="minorHAnsi"/>
          <w:szCs w:val="22"/>
        </w:rPr>
        <w:t>,</w:t>
      </w:r>
      <w:r w:rsidRPr="00EF018A">
        <w:rPr>
          <w:rFonts w:cstheme="minorHAnsi"/>
          <w:szCs w:val="22"/>
        </w:rPr>
        <w:t xml:space="preserve"> and cascade screening of family members. </w:t>
      </w:r>
      <w:r w:rsidRPr="001A6629">
        <w:rPr>
          <w:rFonts w:cstheme="minorHAnsi"/>
          <w:i/>
          <w:szCs w:val="22"/>
        </w:rPr>
        <w:t xml:space="preserve">Thus, in MINOCA, diagnostic uncertainty in turn leads </w:t>
      </w:r>
      <w:r w:rsidR="00F2415B">
        <w:rPr>
          <w:rFonts w:cstheme="minorHAnsi"/>
          <w:i/>
          <w:szCs w:val="22"/>
        </w:rPr>
        <w:t>uncertainties in clinical care, with</w:t>
      </w:r>
      <w:r w:rsidRPr="001A6629">
        <w:rPr>
          <w:rFonts w:cstheme="minorHAnsi"/>
          <w:i/>
          <w:szCs w:val="22"/>
        </w:rPr>
        <w:t xml:space="preserve"> accompanying</w:t>
      </w:r>
      <w:r w:rsidR="00F2415B">
        <w:rPr>
          <w:rFonts w:cstheme="minorHAnsi"/>
          <w:i/>
          <w:szCs w:val="22"/>
        </w:rPr>
        <w:t xml:space="preserve"> real risk of</w:t>
      </w:r>
      <w:r w:rsidRPr="001A6629">
        <w:rPr>
          <w:rFonts w:cstheme="minorHAnsi"/>
          <w:i/>
          <w:szCs w:val="22"/>
        </w:rPr>
        <w:t xml:space="preserve"> morbidity and </w:t>
      </w:r>
      <w:r>
        <w:rPr>
          <w:rFonts w:cstheme="minorHAnsi"/>
          <w:i/>
          <w:szCs w:val="22"/>
        </w:rPr>
        <w:t xml:space="preserve">even </w:t>
      </w:r>
      <w:r w:rsidRPr="001A6629">
        <w:rPr>
          <w:rFonts w:cstheme="minorHAnsi"/>
          <w:i/>
          <w:szCs w:val="22"/>
        </w:rPr>
        <w:t>mortality</w:t>
      </w:r>
      <w:r w:rsidRPr="00EF018A">
        <w:rPr>
          <w:rFonts w:cstheme="minorHAnsi"/>
          <w:szCs w:val="22"/>
        </w:rPr>
        <w:t>.</w:t>
      </w:r>
    </w:p>
    <w:p w14:paraId="6BE42285" w14:textId="77777777" w:rsidR="00EB0077" w:rsidRPr="00EF018A" w:rsidRDefault="00EB0077" w:rsidP="00EB0077">
      <w:pPr>
        <w:spacing w:after="200" w:line="276" w:lineRule="auto"/>
        <w:contextualSpacing/>
        <w:rPr>
          <w:rFonts w:cstheme="minorHAnsi"/>
          <w:szCs w:val="22"/>
        </w:rPr>
      </w:pPr>
    </w:p>
    <w:p w14:paraId="2A0D33B1" w14:textId="5CC35C11" w:rsidR="00EB0077" w:rsidRPr="00EF018A" w:rsidRDefault="00AE4609" w:rsidP="00EB0077">
      <w:pPr>
        <w:spacing w:after="200" w:line="276" w:lineRule="auto"/>
        <w:contextualSpacing/>
        <w:rPr>
          <w:rFonts w:cstheme="minorHAnsi"/>
          <w:szCs w:val="22"/>
        </w:rPr>
      </w:pPr>
      <w:r>
        <w:rPr>
          <w:rFonts w:cstheme="minorHAnsi"/>
          <w:szCs w:val="22"/>
        </w:rPr>
        <w:t>Cardiac magnetic resonance (</w:t>
      </w:r>
      <w:r w:rsidR="00EB0077" w:rsidRPr="00EF018A">
        <w:rPr>
          <w:rFonts w:cstheme="minorHAnsi"/>
          <w:szCs w:val="22"/>
        </w:rPr>
        <w:t>CMR</w:t>
      </w:r>
      <w:r>
        <w:rPr>
          <w:rFonts w:cstheme="minorHAnsi"/>
          <w:szCs w:val="22"/>
        </w:rPr>
        <w:t>) imaging</w:t>
      </w:r>
      <w:r w:rsidR="00EB0077" w:rsidRPr="00EF018A">
        <w:rPr>
          <w:rFonts w:cstheme="minorHAnsi"/>
          <w:szCs w:val="22"/>
        </w:rPr>
        <w:t xml:space="preserve"> has emerged as a valuable imaging tool in such patients, </w:t>
      </w:r>
      <w:r>
        <w:rPr>
          <w:rFonts w:cstheme="minorHAnsi"/>
          <w:szCs w:val="22"/>
        </w:rPr>
        <w:t>due to its</w:t>
      </w:r>
      <w:r w:rsidR="00EB0077" w:rsidRPr="00EF018A">
        <w:rPr>
          <w:rFonts w:cstheme="minorHAnsi"/>
          <w:szCs w:val="22"/>
        </w:rPr>
        <w:t xml:space="preserve"> unique ability to </w:t>
      </w:r>
      <w:r w:rsidR="00DD0F9F">
        <w:rPr>
          <w:rFonts w:cstheme="minorHAnsi"/>
          <w:szCs w:val="22"/>
        </w:rPr>
        <w:t xml:space="preserve">non-invasively </w:t>
      </w:r>
      <w:r w:rsidR="00EB0077" w:rsidRPr="00EF018A">
        <w:rPr>
          <w:rFonts w:cstheme="minorHAnsi"/>
          <w:szCs w:val="22"/>
        </w:rPr>
        <w:t xml:space="preserve">detect and characterise scar tissue in the heart - a 'virtual histology'. </w:t>
      </w:r>
      <w:r w:rsidR="003B5464">
        <w:rPr>
          <w:rFonts w:cstheme="minorHAnsi"/>
          <w:szCs w:val="22"/>
        </w:rPr>
        <w:t xml:space="preserve">A number of studies have demonstrated the utility of CMR in determining the aetiology of MINOCA, and consensus statements such as that from the ESC </w:t>
      </w:r>
      <w:r w:rsidR="003B5464" w:rsidRPr="00EF018A">
        <w:rPr>
          <w:rFonts w:cstheme="minorHAnsi"/>
          <w:szCs w:val="22"/>
        </w:rPr>
        <w:t>advocate in favour of CMR in MINOCA</w:t>
      </w:r>
      <w:r w:rsidR="003B5464">
        <w:rPr>
          <w:rFonts w:cstheme="minorHAnsi"/>
          <w:szCs w:val="22"/>
        </w:rPr>
        <w:t>.</w:t>
      </w:r>
      <w:r w:rsidR="003B5464" w:rsidRPr="003B5464">
        <w:rPr>
          <w:rFonts w:cstheme="minorHAnsi"/>
          <w:szCs w:val="22"/>
          <w:vertAlign w:val="superscript"/>
        </w:rPr>
        <w:t>1</w:t>
      </w:r>
      <w:r w:rsidR="003B5464" w:rsidRPr="00EF018A">
        <w:rPr>
          <w:rFonts w:cstheme="minorHAnsi"/>
          <w:szCs w:val="22"/>
        </w:rPr>
        <w:t xml:space="preserve"> </w:t>
      </w:r>
      <w:r w:rsidR="003B5464">
        <w:rPr>
          <w:rFonts w:cstheme="minorHAnsi"/>
          <w:szCs w:val="22"/>
        </w:rPr>
        <w:t>A major knowledge gap exists however in that there are no</w:t>
      </w:r>
      <w:r w:rsidR="00EB0077" w:rsidRPr="00EF018A">
        <w:rPr>
          <w:rFonts w:cstheme="minorHAnsi"/>
          <w:szCs w:val="22"/>
        </w:rPr>
        <w:t xml:space="preserve"> </w:t>
      </w:r>
      <w:r w:rsidR="00DD0F9F">
        <w:rPr>
          <w:rFonts w:cstheme="minorHAnsi"/>
          <w:szCs w:val="22"/>
        </w:rPr>
        <w:t xml:space="preserve">high-quality </w:t>
      </w:r>
      <w:r w:rsidR="00EB0077" w:rsidRPr="00EF018A">
        <w:rPr>
          <w:rFonts w:cstheme="minorHAnsi"/>
          <w:szCs w:val="22"/>
        </w:rPr>
        <w:t xml:space="preserve">data </w:t>
      </w:r>
      <w:r w:rsidR="003B5464">
        <w:rPr>
          <w:rFonts w:cstheme="minorHAnsi"/>
          <w:szCs w:val="22"/>
        </w:rPr>
        <w:t>evaluating the</w:t>
      </w:r>
      <w:r w:rsidR="00EB0077" w:rsidRPr="00EF018A">
        <w:rPr>
          <w:rFonts w:cstheme="minorHAnsi"/>
          <w:szCs w:val="22"/>
        </w:rPr>
        <w:t xml:space="preserve"> real c</w:t>
      </w:r>
      <w:r w:rsidR="003B5464">
        <w:rPr>
          <w:rFonts w:cstheme="minorHAnsi"/>
          <w:szCs w:val="22"/>
        </w:rPr>
        <w:t xml:space="preserve">ontribution of </w:t>
      </w:r>
      <w:r>
        <w:rPr>
          <w:rFonts w:cstheme="minorHAnsi"/>
          <w:szCs w:val="22"/>
        </w:rPr>
        <w:t>this expensive and complex investigation</w:t>
      </w:r>
      <w:r w:rsidR="003B5464">
        <w:rPr>
          <w:rFonts w:cstheme="minorHAnsi"/>
          <w:szCs w:val="22"/>
        </w:rPr>
        <w:t xml:space="preserve"> to clinical care</w:t>
      </w:r>
      <w:r w:rsidR="00EB0077" w:rsidRPr="00EF018A">
        <w:rPr>
          <w:rFonts w:cstheme="minorHAnsi"/>
          <w:szCs w:val="22"/>
        </w:rPr>
        <w:t xml:space="preserve">. </w:t>
      </w:r>
      <w:r w:rsidR="003B5464">
        <w:rPr>
          <w:rFonts w:cstheme="minorHAnsi"/>
          <w:szCs w:val="22"/>
        </w:rPr>
        <w:t>Firstly</w:t>
      </w:r>
      <w:r w:rsidR="00EB0077" w:rsidRPr="00EF018A">
        <w:rPr>
          <w:rFonts w:cstheme="minorHAnsi"/>
          <w:szCs w:val="22"/>
        </w:rPr>
        <w:t xml:space="preserve">, there are no prospective data testing how often CMR actually </w:t>
      </w:r>
      <w:r w:rsidR="00EB0077" w:rsidRPr="00FC0700">
        <w:rPr>
          <w:rFonts w:cstheme="minorHAnsi"/>
          <w:b/>
          <w:bCs/>
          <w:i/>
          <w:iCs/>
          <w:szCs w:val="22"/>
        </w:rPr>
        <w:t>changes</w:t>
      </w:r>
      <w:r w:rsidR="00EB0077" w:rsidRPr="00EF018A">
        <w:rPr>
          <w:rFonts w:cstheme="minorHAnsi"/>
          <w:szCs w:val="22"/>
        </w:rPr>
        <w:t xml:space="preserve"> the diagnosis or management</w:t>
      </w:r>
      <w:r w:rsidR="003B5464">
        <w:rPr>
          <w:rFonts w:cstheme="minorHAnsi"/>
          <w:szCs w:val="22"/>
        </w:rPr>
        <w:t xml:space="preserve"> over and above </w:t>
      </w:r>
      <w:r w:rsidR="00EB0077" w:rsidRPr="00EF018A">
        <w:rPr>
          <w:rFonts w:cstheme="minorHAnsi"/>
          <w:szCs w:val="22"/>
        </w:rPr>
        <w:t>th</w:t>
      </w:r>
      <w:r w:rsidR="003B0F22">
        <w:rPr>
          <w:rFonts w:cstheme="minorHAnsi"/>
          <w:szCs w:val="22"/>
        </w:rPr>
        <w:t>at of a competent clinician</w:t>
      </w:r>
      <w:r w:rsidR="00EB0077" w:rsidRPr="00EF018A">
        <w:rPr>
          <w:rFonts w:cstheme="minorHAnsi"/>
          <w:szCs w:val="22"/>
        </w:rPr>
        <w:t xml:space="preserve">. Secondly, CMR studies will fail to </w:t>
      </w:r>
      <w:r w:rsidR="00EB0077">
        <w:rPr>
          <w:rFonts w:cstheme="minorHAnsi"/>
          <w:szCs w:val="22"/>
        </w:rPr>
        <w:t xml:space="preserve">show any abnormalities in as many as 50% of cases, </w:t>
      </w:r>
      <w:r w:rsidR="003B0F22">
        <w:rPr>
          <w:rFonts w:cstheme="minorHAnsi"/>
          <w:szCs w:val="22"/>
        </w:rPr>
        <w:t>however</w:t>
      </w:r>
      <w:r w:rsidR="00EB0077">
        <w:rPr>
          <w:rFonts w:cstheme="minorHAnsi"/>
          <w:szCs w:val="22"/>
        </w:rPr>
        <w:t xml:space="preserve"> on the other hand</w:t>
      </w:r>
      <w:r w:rsidR="00EB0077" w:rsidRPr="00EF018A">
        <w:rPr>
          <w:rFonts w:cstheme="minorHAnsi"/>
          <w:szCs w:val="22"/>
        </w:rPr>
        <w:t xml:space="preserve"> the absence of infarction on a 'normal' study may still be of clinical value; the net effect of these considerations on clinical care is very difficult to gauge</w:t>
      </w:r>
      <w:r>
        <w:rPr>
          <w:rFonts w:cstheme="minorHAnsi"/>
          <w:szCs w:val="22"/>
        </w:rPr>
        <w:t xml:space="preserve"> without formal prospective study</w:t>
      </w:r>
      <w:r w:rsidR="00EB0077" w:rsidRPr="00EF018A">
        <w:rPr>
          <w:rFonts w:cstheme="minorHAnsi"/>
          <w:szCs w:val="22"/>
        </w:rPr>
        <w:t xml:space="preserve">. Thirdly, the cost-efficacy of CMR in MINOCA is entirely unexplored; CMR is an expensive test, but on the other hand the cost of medication after a heart attack is also costly (over $2000 </w:t>
      </w:r>
      <w:r w:rsidR="00EB0077">
        <w:rPr>
          <w:rFonts w:cstheme="minorHAnsi"/>
          <w:szCs w:val="22"/>
        </w:rPr>
        <w:t xml:space="preserve">for dual-antiplatelets </w:t>
      </w:r>
      <w:r w:rsidR="00EB0077" w:rsidRPr="00EF018A">
        <w:rPr>
          <w:rFonts w:cstheme="minorHAnsi"/>
          <w:szCs w:val="22"/>
        </w:rPr>
        <w:t xml:space="preserve">annually in Australia, over GBP1000 in the UK), and de-prescription of such medication after </w:t>
      </w:r>
      <w:r w:rsidR="00EB0077">
        <w:rPr>
          <w:rFonts w:cstheme="minorHAnsi"/>
          <w:szCs w:val="22"/>
        </w:rPr>
        <w:t xml:space="preserve">reliable </w:t>
      </w:r>
      <w:r w:rsidR="00EB0077" w:rsidRPr="00EF018A">
        <w:rPr>
          <w:rFonts w:cstheme="minorHAnsi"/>
          <w:szCs w:val="22"/>
        </w:rPr>
        <w:t xml:space="preserve">exclusion of a 'true' heart attack by CMR may in fact be cheaper than the current strategy of treating </w:t>
      </w:r>
      <w:r w:rsidR="00EB0077">
        <w:rPr>
          <w:rFonts w:cstheme="minorHAnsi"/>
          <w:szCs w:val="22"/>
        </w:rPr>
        <w:t>empirically</w:t>
      </w:r>
      <w:r w:rsidR="00EB0077" w:rsidRPr="00EF018A">
        <w:rPr>
          <w:rFonts w:cstheme="minorHAnsi"/>
          <w:szCs w:val="22"/>
        </w:rPr>
        <w:t xml:space="preserve">. De-prescription of medication may also have additional cost-benefits </w:t>
      </w:r>
      <w:r w:rsidR="00EB0077">
        <w:rPr>
          <w:rFonts w:cstheme="minorHAnsi"/>
          <w:szCs w:val="22"/>
        </w:rPr>
        <w:t>if</w:t>
      </w:r>
      <w:r w:rsidR="00EB0077" w:rsidRPr="00EF018A">
        <w:rPr>
          <w:rFonts w:cstheme="minorHAnsi"/>
          <w:szCs w:val="22"/>
        </w:rPr>
        <w:t xml:space="preserve"> bleeding complications of such medications</w:t>
      </w:r>
      <w:r w:rsidR="00EB0077">
        <w:rPr>
          <w:rFonts w:cstheme="minorHAnsi"/>
          <w:szCs w:val="22"/>
        </w:rPr>
        <w:t xml:space="preserve"> and their (significant) attendant health-care costs</w:t>
      </w:r>
      <w:r w:rsidR="00EB0077" w:rsidRPr="001A6629">
        <w:rPr>
          <w:rFonts w:cstheme="minorHAnsi"/>
          <w:szCs w:val="22"/>
        </w:rPr>
        <w:t xml:space="preserve"> </w:t>
      </w:r>
      <w:r w:rsidR="00EB0077">
        <w:rPr>
          <w:rFonts w:cstheme="minorHAnsi"/>
          <w:szCs w:val="22"/>
        </w:rPr>
        <w:t>are averted</w:t>
      </w:r>
      <w:r w:rsidR="00EB0077" w:rsidRPr="00EF018A">
        <w:rPr>
          <w:rFonts w:cstheme="minorHAnsi"/>
          <w:szCs w:val="22"/>
        </w:rPr>
        <w:t>.</w:t>
      </w:r>
    </w:p>
    <w:p w14:paraId="5784CC04" w14:textId="77777777" w:rsidR="00EB0077" w:rsidRPr="00EF018A" w:rsidRDefault="00EB0077" w:rsidP="00EB0077">
      <w:pPr>
        <w:spacing w:after="200" w:line="276" w:lineRule="auto"/>
        <w:contextualSpacing/>
        <w:rPr>
          <w:rFonts w:cstheme="minorHAnsi"/>
          <w:szCs w:val="22"/>
        </w:rPr>
      </w:pPr>
    </w:p>
    <w:p w14:paraId="1C939092" w14:textId="269AA826" w:rsidR="00EB0077" w:rsidRPr="00EF018A" w:rsidRDefault="003B0F22" w:rsidP="00EB0077">
      <w:pPr>
        <w:spacing w:after="200" w:line="276" w:lineRule="auto"/>
        <w:contextualSpacing/>
        <w:rPr>
          <w:rFonts w:cstheme="minorHAnsi"/>
          <w:szCs w:val="22"/>
        </w:rPr>
      </w:pPr>
      <w:r>
        <w:rPr>
          <w:rFonts w:cstheme="minorHAnsi"/>
          <w:szCs w:val="22"/>
        </w:rPr>
        <w:lastRenderedPageBreak/>
        <w:t xml:space="preserve">While </w:t>
      </w:r>
      <w:r w:rsidR="00EB0077" w:rsidRPr="00EF018A">
        <w:rPr>
          <w:rFonts w:cstheme="minorHAnsi"/>
          <w:szCs w:val="22"/>
        </w:rPr>
        <w:t xml:space="preserve">a number of studies </w:t>
      </w:r>
      <w:r>
        <w:rPr>
          <w:rFonts w:cstheme="minorHAnsi"/>
          <w:szCs w:val="22"/>
        </w:rPr>
        <w:t>have documented the diagnostic utility</w:t>
      </w:r>
      <w:r w:rsidR="00EB0077">
        <w:rPr>
          <w:rFonts w:cstheme="minorHAnsi"/>
          <w:szCs w:val="22"/>
        </w:rPr>
        <w:t xml:space="preserve"> of CMR in MINOCA,</w:t>
      </w:r>
      <w:r w:rsidR="00EB0077" w:rsidRPr="00EF018A">
        <w:rPr>
          <w:rFonts w:cstheme="minorHAnsi"/>
          <w:szCs w:val="22"/>
        </w:rPr>
        <w:t xml:space="preserve"> only 3 studies have attempted to evaluate the </w:t>
      </w:r>
      <w:r w:rsidR="00EB0077" w:rsidRPr="00FC0700">
        <w:rPr>
          <w:rFonts w:cstheme="minorHAnsi"/>
          <w:b/>
          <w:bCs/>
          <w:i/>
          <w:iCs/>
          <w:szCs w:val="22"/>
        </w:rPr>
        <w:t>change</w:t>
      </w:r>
      <w:r w:rsidR="00EB0077" w:rsidRPr="00EF018A">
        <w:rPr>
          <w:rFonts w:cstheme="minorHAnsi"/>
          <w:szCs w:val="22"/>
        </w:rPr>
        <w:t xml:space="preserve"> in diagnosis </w:t>
      </w:r>
      <w:r w:rsidR="00EB0077">
        <w:rPr>
          <w:rFonts w:cstheme="minorHAnsi"/>
          <w:szCs w:val="22"/>
        </w:rPr>
        <w:t>and</w:t>
      </w:r>
      <w:r w:rsidR="00EB0077" w:rsidRPr="00EF018A">
        <w:rPr>
          <w:rFonts w:cstheme="minorHAnsi"/>
          <w:szCs w:val="22"/>
        </w:rPr>
        <w:t xml:space="preserve"> management </w:t>
      </w:r>
      <w:r w:rsidR="00EB0077">
        <w:rPr>
          <w:rFonts w:cstheme="minorHAnsi"/>
          <w:szCs w:val="22"/>
        </w:rPr>
        <w:t>due to CMR in MINOCA</w:t>
      </w:r>
      <w:r>
        <w:rPr>
          <w:rFonts w:cstheme="minorHAnsi"/>
          <w:szCs w:val="22"/>
        </w:rPr>
        <w:t>;</w:t>
      </w:r>
      <w:r w:rsidR="00EB0077">
        <w:rPr>
          <w:rFonts w:cstheme="minorHAnsi"/>
          <w:szCs w:val="22"/>
        </w:rPr>
        <w:t xml:space="preserve"> </w:t>
      </w:r>
      <w:r>
        <w:rPr>
          <w:rFonts w:cstheme="minorHAnsi"/>
          <w:szCs w:val="22"/>
        </w:rPr>
        <w:t>a</w:t>
      </w:r>
      <w:r w:rsidR="00EB0077" w:rsidRPr="00EF018A">
        <w:rPr>
          <w:rFonts w:cstheme="minorHAnsi"/>
          <w:szCs w:val="22"/>
        </w:rPr>
        <w:t xml:space="preserve">ll </w:t>
      </w:r>
      <w:r w:rsidR="00EB0077">
        <w:rPr>
          <w:rFonts w:cstheme="minorHAnsi"/>
          <w:szCs w:val="22"/>
        </w:rPr>
        <w:t xml:space="preserve">3 </w:t>
      </w:r>
      <w:r w:rsidR="00EB0077" w:rsidRPr="00EF018A">
        <w:rPr>
          <w:rFonts w:cstheme="minorHAnsi"/>
          <w:szCs w:val="22"/>
        </w:rPr>
        <w:t>have major limita</w:t>
      </w:r>
      <w:r w:rsidR="00EB0077">
        <w:rPr>
          <w:rFonts w:cstheme="minorHAnsi"/>
          <w:szCs w:val="22"/>
        </w:rPr>
        <w:t xml:space="preserve">tions, and there are no studies at all of cost-efficacy. </w:t>
      </w:r>
      <w:proofErr w:type="spellStart"/>
      <w:r w:rsidR="00EB0077">
        <w:rPr>
          <w:rFonts w:cstheme="minorHAnsi"/>
          <w:szCs w:val="22"/>
        </w:rPr>
        <w:t>Assomull</w:t>
      </w:r>
      <w:proofErr w:type="spellEnd"/>
      <w:r w:rsidR="00EB0077">
        <w:rPr>
          <w:rFonts w:cstheme="minorHAnsi"/>
          <w:szCs w:val="22"/>
        </w:rPr>
        <w:t xml:space="preserve"> </w:t>
      </w:r>
      <w:r w:rsidR="00EB0077" w:rsidRPr="009623B9">
        <w:rPr>
          <w:rFonts w:cstheme="minorHAnsi"/>
          <w:i/>
          <w:szCs w:val="22"/>
        </w:rPr>
        <w:t>et al</w:t>
      </w:r>
      <w:r w:rsidR="00EB0077" w:rsidRPr="00EF018A">
        <w:rPr>
          <w:rFonts w:cstheme="minorHAnsi"/>
          <w:szCs w:val="22"/>
        </w:rPr>
        <w:t xml:space="preserve"> retrospectively reviewed the single-</w:t>
      </w:r>
      <w:r w:rsidR="00B8795B" w:rsidRPr="00EF018A">
        <w:rPr>
          <w:rFonts w:cstheme="minorHAnsi"/>
          <w:szCs w:val="22"/>
        </w:rPr>
        <w:t>centre</w:t>
      </w:r>
      <w:r w:rsidR="00EB0077" w:rsidRPr="00EF018A">
        <w:rPr>
          <w:rFonts w:cstheme="minorHAnsi"/>
          <w:szCs w:val="22"/>
        </w:rPr>
        <w:t xml:space="preserve"> case notes of 60 individuals with MINOCA versus the CMR findings, to determine how often CMR changed the diagnosis.</w:t>
      </w:r>
      <w:r w:rsidR="00EB0077" w:rsidRPr="009623B9">
        <w:rPr>
          <w:rFonts w:cstheme="minorHAnsi"/>
          <w:szCs w:val="22"/>
          <w:vertAlign w:val="superscript"/>
        </w:rPr>
        <w:t>2</w:t>
      </w:r>
      <w:r w:rsidR="00EB0077" w:rsidRPr="00EF018A">
        <w:rPr>
          <w:rFonts w:cstheme="minorHAnsi"/>
          <w:szCs w:val="22"/>
        </w:rPr>
        <w:t xml:space="preserve"> This small, single centre retrospective dataset was based on case-note review which greatly limited the quality of information regarding pre-test diagnosis. Post-CMR diagnosis and clinical impact of the CMR on management was ascertained by the CMR-avid authors themselves, with clear potential for bias. Similarly, </w:t>
      </w:r>
      <w:proofErr w:type="spellStart"/>
      <w:r w:rsidR="00EB0077" w:rsidRPr="00EF018A">
        <w:rPr>
          <w:rFonts w:cstheme="minorHAnsi"/>
          <w:szCs w:val="22"/>
        </w:rPr>
        <w:t>Dastidar</w:t>
      </w:r>
      <w:proofErr w:type="spellEnd"/>
      <w:r w:rsidR="00EB0077" w:rsidRPr="00EF018A">
        <w:rPr>
          <w:rFonts w:cstheme="minorHAnsi"/>
          <w:szCs w:val="22"/>
        </w:rPr>
        <w:t xml:space="preserve"> </w:t>
      </w:r>
      <w:r w:rsidR="00EB0077" w:rsidRPr="009623B9">
        <w:rPr>
          <w:rFonts w:cstheme="minorHAnsi"/>
          <w:i/>
          <w:szCs w:val="22"/>
        </w:rPr>
        <w:t>et al</w:t>
      </w:r>
      <w:r w:rsidR="00EB0077" w:rsidRPr="00EF018A">
        <w:rPr>
          <w:rFonts w:cstheme="minorHAnsi"/>
          <w:szCs w:val="22"/>
        </w:rPr>
        <w:t xml:space="preserve"> retrospectively compared pre-CMR working diagnosis garnered from the radiology request form at a single-centre versus the CMR-guided diagnosis in 204 consecutive MINOCA patients.</w:t>
      </w:r>
      <w:r w:rsidR="00EB0077" w:rsidRPr="009623B9">
        <w:rPr>
          <w:rFonts w:cstheme="minorHAnsi"/>
          <w:szCs w:val="22"/>
          <w:vertAlign w:val="superscript"/>
        </w:rPr>
        <w:t>3</w:t>
      </w:r>
      <w:r w:rsidR="00EB0077" w:rsidRPr="00EF018A">
        <w:rPr>
          <w:rFonts w:cstheme="minorHAnsi"/>
          <w:szCs w:val="22"/>
        </w:rPr>
        <w:t xml:space="preserve"> Again</w:t>
      </w:r>
      <w:r w:rsidR="00EB0077">
        <w:rPr>
          <w:rFonts w:cstheme="minorHAnsi"/>
          <w:szCs w:val="22"/>
        </w:rPr>
        <w:t>,</w:t>
      </w:r>
      <w:r w:rsidR="00EB0077" w:rsidRPr="00EF018A">
        <w:rPr>
          <w:rFonts w:cstheme="minorHAnsi"/>
          <w:szCs w:val="22"/>
        </w:rPr>
        <w:t xml:space="preserve"> retrospective </w:t>
      </w:r>
      <w:r w:rsidR="00EB0077">
        <w:rPr>
          <w:rFonts w:cstheme="minorHAnsi"/>
          <w:szCs w:val="22"/>
        </w:rPr>
        <w:t>data of this nature</w:t>
      </w:r>
      <w:r w:rsidR="00EB0077" w:rsidRPr="00EF018A">
        <w:rPr>
          <w:rFonts w:cstheme="minorHAnsi"/>
          <w:szCs w:val="22"/>
        </w:rPr>
        <w:t xml:space="preserve"> without </w:t>
      </w:r>
      <w:r w:rsidR="00EB0077">
        <w:rPr>
          <w:rFonts w:cstheme="minorHAnsi"/>
          <w:szCs w:val="22"/>
        </w:rPr>
        <w:t>planned prospective documentation</w:t>
      </w:r>
      <w:r w:rsidR="00EB0077" w:rsidRPr="00EF018A">
        <w:rPr>
          <w:rFonts w:cstheme="minorHAnsi"/>
          <w:szCs w:val="22"/>
        </w:rPr>
        <w:t xml:space="preserve"> and</w:t>
      </w:r>
      <w:r w:rsidR="00EB0077">
        <w:rPr>
          <w:rFonts w:cstheme="minorHAnsi"/>
          <w:szCs w:val="22"/>
        </w:rPr>
        <w:t xml:space="preserve"> the</w:t>
      </w:r>
      <w:r w:rsidR="00EB0077" w:rsidRPr="00EF018A">
        <w:rPr>
          <w:rFonts w:cstheme="minorHAnsi"/>
          <w:szCs w:val="22"/>
        </w:rPr>
        <w:t xml:space="preserve"> potential biases of the adjudicating authors are major criticisms. Both studies are also weakened by the lack of clear account as to whether other tests such as echocardiogram had already secured the diagnosis sufficiently to render the CMR redundant. Rajwani </w:t>
      </w:r>
      <w:r w:rsidR="00EB0077" w:rsidRPr="009623B9">
        <w:rPr>
          <w:rFonts w:cstheme="minorHAnsi"/>
          <w:i/>
          <w:szCs w:val="22"/>
        </w:rPr>
        <w:t>et al</w:t>
      </w:r>
      <w:r w:rsidR="00EB0077" w:rsidRPr="00EF018A">
        <w:rPr>
          <w:rFonts w:cstheme="minorHAnsi"/>
          <w:szCs w:val="22"/>
        </w:rPr>
        <w:t xml:space="preserve"> attempted to address some of these challenges in a cohort of 110 patients, adjudicating incremental utility of CMR only if other investigations were inconclusive, and analyses were performed not only by 2 cardiologists separately but also one of whom had no special interest in CMR.</w:t>
      </w:r>
      <w:r w:rsidR="00EB0077" w:rsidRPr="009623B9">
        <w:rPr>
          <w:rFonts w:cstheme="minorHAnsi"/>
          <w:szCs w:val="22"/>
          <w:vertAlign w:val="superscript"/>
        </w:rPr>
        <w:t>4</w:t>
      </w:r>
      <w:r w:rsidR="00EB0077" w:rsidRPr="00EF018A">
        <w:rPr>
          <w:rFonts w:cstheme="minorHAnsi"/>
          <w:szCs w:val="22"/>
        </w:rPr>
        <w:t xml:space="preserve"> Nonetheless, this was still also a retrospective single-centre dataset that relied upon case-note perusal, with inevitable negative impact on the quality and reliability of data.</w:t>
      </w:r>
    </w:p>
    <w:p w14:paraId="641DDFB8" w14:textId="77777777" w:rsidR="00EB0077" w:rsidRPr="005567CC" w:rsidRDefault="00EB0077" w:rsidP="00EB0077">
      <w:pPr>
        <w:spacing w:line="240" w:lineRule="auto"/>
        <w:rPr>
          <w:rFonts w:cstheme="minorHAnsi"/>
          <w:color w:val="0000FF"/>
          <w:szCs w:val="22"/>
        </w:rPr>
      </w:pPr>
    </w:p>
    <w:p w14:paraId="691C75E6" w14:textId="77777777" w:rsidR="00EB0077" w:rsidRDefault="00EB0077" w:rsidP="00EB0077">
      <w:pPr>
        <w:pStyle w:val="BodyText"/>
        <w:tabs>
          <w:tab w:val="left" w:pos="709"/>
        </w:tabs>
        <w:spacing w:after="120"/>
        <w:rPr>
          <w:rFonts w:asciiTheme="minorHAnsi" w:hAnsiTheme="minorHAnsi" w:cstheme="minorHAnsi"/>
          <w:b/>
          <w:i w:val="0"/>
          <w:sz w:val="22"/>
          <w:szCs w:val="22"/>
        </w:rPr>
      </w:pPr>
      <w:r>
        <w:rPr>
          <w:rFonts w:asciiTheme="minorHAnsi" w:hAnsiTheme="minorHAnsi" w:cstheme="minorHAnsi"/>
          <w:b/>
          <w:i w:val="0"/>
          <w:sz w:val="22"/>
          <w:szCs w:val="22"/>
        </w:rPr>
        <w:t>3</w:t>
      </w:r>
      <w:r>
        <w:rPr>
          <w:rFonts w:asciiTheme="minorHAnsi" w:hAnsiTheme="minorHAnsi" w:cstheme="minorHAnsi"/>
          <w:b/>
          <w:i w:val="0"/>
          <w:sz w:val="22"/>
          <w:szCs w:val="22"/>
        </w:rPr>
        <w:tab/>
        <w:t>THEORETICAL FRAMEWORK</w:t>
      </w:r>
    </w:p>
    <w:p w14:paraId="03E3F384" w14:textId="77777777" w:rsidR="00EB0077" w:rsidRDefault="00EB0077" w:rsidP="00EB0077">
      <w:pPr>
        <w:pStyle w:val="BodyText"/>
        <w:tabs>
          <w:tab w:val="left" w:pos="709"/>
        </w:tabs>
        <w:spacing w:after="200" w:line="276" w:lineRule="auto"/>
        <w:contextualSpacing/>
        <w:rPr>
          <w:rFonts w:asciiTheme="minorHAnsi" w:hAnsiTheme="minorHAnsi" w:cstheme="minorHAnsi"/>
          <w:i w:val="0"/>
          <w:sz w:val="22"/>
          <w:szCs w:val="22"/>
        </w:rPr>
      </w:pPr>
      <w:bookmarkStart w:id="2" w:name="_Hlk29556919"/>
      <w:r w:rsidRPr="009623B9">
        <w:rPr>
          <w:rFonts w:asciiTheme="minorHAnsi" w:hAnsiTheme="minorHAnsi" w:cstheme="minorHAnsi"/>
          <w:i w:val="0"/>
          <w:sz w:val="22"/>
          <w:szCs w:val="22"/>
        </w:rPr>
        <w:t>In this prospective international multi-centre pre- versus post-CMR longitudinal analysis</w:t>
      </w:r>
      <w:bookmarkEnd w:id="2"/>
      <w:r w:rsidRPr="009623B9">
        <w:rPr>
          <w:rFonts w:asciiTheme="minorHAnsi" w:hAnsiTheme="minorHAnsi" w:cstheme="minorHAnsi"/>
          <w:i w:val="0"/>
          <w:sz w:val="22"/>
          <w:szCs w:val="22"/>
        </w:rPr>
        <w:t xml:space="preserve">, we will now comprehensively evaluate the real impact in MINOCA of CMR on diagnosis, diagnostic certainty, management and costs. </w:t>
      </w:r>
      <w:r>
        <w:rPr>
          <w:rFonts w:asciiTheme="minorHAnsi" w:hAnsiTheme="minorHAnsi" w:cstheme="minorHAnsi"/>
          <w:i w:val="0"/>
          <w:sz w:val="22"/>
          <w:szCs w:val="22"/>
        </w:rPr>
        <w:t xml:space="preserve">With reference to the widely accepted </w:t>
      </w:r>
      <w:proofErr w:type="spellStart"/>
      <w:r>
        <w:rPr>
          <w:rFonts w:asciiTheme="minorHAnsi" w:hAnsiTheme="minorHAnsi" w:cstheme="minorHAnsi"/>
          <w:i w:val="0"/>
          <w:sz w:val="22"/>
          <w:szCs w:val="22"/>
        </w:rPr>
        <w:t>Fryback</w:t>
      </w:r>
      <w:proofErr w:type="spellEnd"/>
      <w:r>
        <w:rPr>
          <w:rFonts w:asciiTheme="minorHAnsi" w:hAnsiTheme="minorHAnsi" w:cstheme="minorHAnsi"/>
          <w:i w:val="0"/>
          <w:sz w:val="22"/>
          <w:szCs w:val="22"/>
        </w:rPr>
        <w:t xml:space="preserve"> hierarchical model for the evaluation of diagnostic imaging efficacy,</w:t>
      </w:r>
      <w:r w:rsidRPr="006359B7">
        <w:rPr>
          <w:rFonts w:asciiTheme="minorHAnsi" w:hAnsiTheme="minorHAnsi" w:cstheme="minorHAnsi"/>
          <w:i w:val="0"/>
          <w:sz w:val="22"/>
          <w:szCs w:val="22"/>
          <w:vertAlign w:val="superscript"/>
        </w:rPr>
        <w:t>5</w:t>
      </w:r>
      <w:r>
        <w:rPr>
          <w:rFonts w:asciiTheme="minorHAnsi" w:hAnsiTheme="minorHAnsi" w:cstheme="minorHAnsi"/>
          <w:i w:val="0"/>
          <w:sz w:val="22"/>
          <w:szCs w:val="22"/>
        </w:rPr>
        <w:t xml:space="preserve"> this will provide comprehensive assessment on level 3 (influence on diagnostic thinking), level 4 (influence on management), and will contribute to information at level 6 with regards to costs (influence on societal outcomes). </w:t>
      </w:r>
      <w:r w:rsidRPr="009623B9">
        <w:rPr>
          <w:rFonts w:asciiTheme="minorHAnsi" w:hAnsiTheme="minorHAnsi" w:cstheme="minorHAnsi"/>
          <w:i w:val="0"/>
          <w:sz w:val="22"/>
          <w:szCs w:val="22"/>
        </w:rPr>
        <w:t xml:space="preserve">We will also evaluate pre-test predictors of a diagnostic CMR, to identify </w:t>
      </w:r>
      <w:r>
        <w:rPr>
          <w:rFonts w:asciiTheme="minorHAnsi" w:hAnsiTheme="minorHAnsi" w:cstheme="minorHAnsi"/>
          <w:i w:val="0"/>
          <w:sz w:val="22"/>
          <w:szCs w:val="22"/>
        </w:rPr>
        <w:t>those</w:t>
      </w:r>
      <w:r w:rsidRPr="009623B9">
        <w:rPr>
          <w:rFonts w:asciiTheme="minorHAnsi" w:hAnsiTheme="minorHAnsi" w:cstheme="minorHAnsi"/>
          <w:i w:val="0"/>
          <w:sz w:val="22"/>
          <w:szCs w:val="22"/>
        </w:rPr>
        <w:t xml:space="preserve"> sub-groups where CMR is most </w:t>
      </w:r>
      <w:r>
        <w:rPr>
          <w:rFonts w:asciiTheme="minorHAnsi" w:hAnsiTheme="minorHAnsi" w:cstheme="minorHAnsi"/>
          <w:i w:val="0"/>
          <w:sz w:val="22"/>
          <w:szCs w:val="22"/>
        </w:rPr>
        <w:t xml:space="preserve">likely to be </w:t>
      </w:r>
      <w:r w:rsidRPr="009623B9">
        <w:rPr>
          <w:rFonts w:asciiTheme="minorHAnsi" w:hAnsiTheme="minorHAnsi" w:cstheme="minorHAnsi"/>
          <w:i w:val="0"/>
          <w:sz w:val="22"/>
          <w:szCs w:val="22"/>
        </w:rPr>
        <w:t xml:space="preserve">useful. These data will clearly </w:t>
      </w:r>
      <w:r>
        <w:rPr>
          <w:rFonts w:asciiTheme="minorHAnsi" w:hAnsiTheme="minorHAnsi" w:cstheme="minorHAnsi"/>
          <w:i w:val="0"/>
          <w:sz w:val="22"/>
          <w:szCs w:val="22"/>
        </w:rPr>
        <w:t>determine</w:t>
      </w:r>
      <w:r w:rsidRPr="009623B9">
        <w:rPr>
          <w:rFonts w:asciiTheme="minorHAnsi" w:hAnsiTheme="minorHAnsi" w:cstheme="minorHAnsi"/>
          <w:i w:val="0"/>
          <w:sz w:val="22"/>
          <w:szCs w:val="22"/>
        </w:rPr>
        <w:t xml:space="preserve"> the real clinical role of CMR in this common condition. Importantly, </w:t>
      </w:r>
      <w:r>
        <w:rPr>
          <w:rFonts w:asciiTheme="minorHAnsi" w:hAnsiTheme="minorHAnsi" w:cstheme="minorHAnsi"/>
          <w:i w:val="0"/>
          <w:sz w:val="22"/>
          <w:szCs w:val="22"/>
        </w:rPr>
        <w:t xml:space="preserve">in this common and globally-encountered condition, </w:t>
      </w:r>
      <w:r w:rsidRPr="009623B9">
        <w:rPr>
          <w:rFonts w:asciiTheme="minorHAnsi" w:hAnsiTheme="minorHAnsi" w:cstheme="minorHAnsi"/>
          <w:i w:val="0"/>
          <w:sz w:val="22"/>
          <w:szCs w:val="22"/>
        </w:rPr>
        <w:t xml:space="preserve">these data will inform international guidelines. Information regarding cost-efficacy will be particular novel, and we also envisage that any identification of sub-groups with the most </w:t>
      </w:r>
      <w:r>
        <w:rPr>
          <w:rFonts w:asciiTheme="minorHAnsi" w:hAnsiTheme="minorHAnsi" w:cstheme="minorHAnsi"/>
          <w:i w:val="0"/>
          <w:sz w:val="22"/>
          <w:szCs w:val="22"/>
        </w:rPr>
        <w:t xml:space="preserve">/ least </w:t>
      </w:r>
      <w:r w:rsidRPr="009623B9">
        <w:rPr>
          <w:rFonts w:asciiTheme="minorHAnsi" w:hAnsiTheme="minorHAnsi" w:cstheme="minorHAnsi"/>
          <w:i w:val="0"/>
          <w:sz w:val="22"/>
          <w:szCs w:val="22"/>
        </w:rPr>
        <w:t>favourable "number-needed-to-test" will be of major fiscal interest to health-care systems.</w:t>
      </w:r>
    </w:p>
    <w:p w14:paraId="5B01C533" w14:textId="77777777" w:rsidR="00EB0077" w:rsidRDefault="00EB0077" w:rsidP="00EB0077">
      <w:pPr>
        <w:pStyle w:val="BodyText"/>
        <w:tabs>
          <w:tab w:val="left" w:pos="709"/>
        </w:tabs>
        <w:spacing w:after="200" w:line="276" w:lineRule="auto"/>
        <w:contextualSpacing/>
        <w:rPr>
          <w:rFonts w:asciiTheme="minorHAnsi" w:hAnsiTheme="minorHAnsi" w:cstheme="minorHAnsi"/>
          <w:i w:val="0"/>
          <w:sz w:val="22"/>
          <w:szCs w:val="22"/>
        </w:rPr>
      </w:pPr>
    </w:p>
    <w:p w14:paraId="6DF722D8" w14:textId="77777777" w:rsidR="00EB0077" w:rsidRDefault="00EB0077" w:rsidP="00EB0077">
      <w:pPr>
        <w:pStyle w:val="BodyText"/>
        <w:tabs>
          <w:tab w:val="left" w:pos="709"/>
        </w:tabs>
        <w:spacing w:after="200" w:line="276" w:lineRule="auto"/>
        <w:contextualSpacing/>
        <w:rPr>
          <w:rFonts w:asciiTheme="minorHAnsi" w:hAnsiTheme="minorHAnsi" w:cstheme="minorHAnsi"/>
          <w:i w:val="0"/>
          <w:sz w:val="22"/>
          <w:szCs w:val="22"/>
        </w:rPr>
      </w:pPr>
      <w:r w:rsidRPr="00D3479C">
        <w:rPr>
          <w:rFonts w:asciiTheme="minorHAnsi" w:hAnsiTheme="minorHAnsi" w:cstheme="minorHAnsi"/>
          <w:b/>
          <w:bCs/>
          <w:i w:val="0"/>
          <w:sz w:val="22"/>
          <w:szCs w:val="22"/>
        </w:rPr>
        <w:t>Table 1:</w:t>
      </w:r>
      <w:r>
        <w:rPr>
          <w:rFonts w:asciiTheme="minorHAnsi" w:hAnsiTheme="minorHAnsi" w:cstheme="minorHAnsi"/>
          <w:i w:val="0"/>
          <w:sz w:val="22"/>
          <w:szCs w:val="22"/>
        </w:rPr>
        <w:t xml:space="preserve"> Hierarchical model of diagnostic imaging efficacy</w:t>
      </w:r>
    </w:p>
    <w:p w14:paraId="3D00B932" w14:textId="77777777" w:rsidR="00EB0077" w:rsidRDefault="00EB0077" w:rsidP="00EB0077">
      <w:pPr>
        <w:pStyle w:val="BodyText"/>
        <w:tabs>
          <w:tab w:val="left" w:pos="709"/>
        </w:tabs>
        <w:spacing w:after="200" w:line="276" w:lineRule="auto"/>
        <w:contextualSpacing/>
        <w:rPr>
          <w:rFonts w:asciiTheme="minorHAnsi" w:hAnsiTheme="minorHAnsi" w:cstheme="minorHAnsi"/>
          <w:i w:val="0"/>
          <w:sz w:val="22"/>
          <w:szCs w:val="22"/>
        </w:rPr>
      </w:pPr>
      <w:r w:rsidRPr="00DE5BBE">
        <w:rPr>
          <w:noProof/>
          <w:u w:val="single"/>
          <w:lang w:val="en-AU" w:eastAsia="en-AU"/>
        </w:rPr>
        <w:drawing>
          <wp:inline distT="0" distB="0" distL="0" distR="0" wp14:anchorId="75124939" wp14:editId="5990068B">
            <wp:extent cx="3425825" cy="159575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5825" cy="15957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5FCD8F66" w14:textId="77777777" w:rsidR="00EB0077" w:rsidRPr="009623B9" w:rsidRDefault="00EB0077" w:rsidP="00EB0077">
      <w:pPr>
        <w:pStyle w:val="BodyText"/>
        <w:tabs>
          <w:tab w:val="left" w:pos="709"/>
        </w:tabs>
        <w:spacing w:after="200" w:line="276" w:lineRule="auto"/>
        <w:contextualSpacing/>
        <w:rPr>
          <w:rFonts w:asciiTheme="minorHAnsi" w:hAnsiTheme="minorHAnsi" w:cstheme="minorHAnsi"/>
          <w:i w:val="0"/>
          <w:sz w:val="22"/>
          <w:szCs w:val="22"/>
        </w:rPr>
      </w:pPr>
    </w:p>
    <w:p w14:paraId="6C032CE5" w14:textId="77777777" w:rsidR="00EB0077" w:rsidRPr="003802A1" w:rsidRDefault="00EB0077" w:rsidP="00EB00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4</w:t>
      </w:r>
      <w:r>
        <w:rPr>
          <w:rFonts w:asciiTheme="minorHAnsi" w:hAnsiTheme="minorHAnsi" w:cstheme="minorHAnsi"/>
          <w:color w:val="auto"/>
          <w:sz w:val="22"/>
          <w:szCs w:val="22"/>
        </w:rPr>
        <w:tab/>
        <w:t>RESEARCH QUESTION/AIM(S)</w:t>
      </w:r>
    </w:p>
    <w:p w14:paraId="7AC1C2C3" w14:textId="77777777" w:rsidR="003B0F22" w:rsidRDefault="00EB0077" w:rsidP="00EB0077">
      <w:pPr>
        <w:spacing w:after="200" w:line="276" w:lineRule="auto"/>
        <w:contextualSpacing/>
        <w:rPr>
          <w:rFonts w:cstheme="minorHAnsi"/>
          <w:szCs w:val="22"/>
        </w:rPr>
      </w:pPr>
      <w:r>
        <w:rPr>
          <w:rFonts w:cstheme="minorHAnsi"/>
          <w:szCs w:val="22"/>
        </w:rPr>
        <w:t xml:space="preserve">This study will evaluate the real clinical impact of CMR in MINOCA on diagnosis, diagnostic certainty, and clinical management. The primary outcome will be the frequency of change in diagnosis or management in MINOCA when CMR is undertaken. </w:t>
      </w:r>
    </w:p>
    <w:p w14:paraId="6BAF0DE0" w14:textId="77777777" w:rsidR="003B0F22" w:rsidRDefault="003B0F22" w:rsidP="00EB0077">
      <w:pPr>
        <w:spacing w:after="200" w:line="276" w:lineRule="auto"/>
        <w:contextualSpacing/>
        <w:rPr>
          <w:rFonts w:cstheme="minorHAnsi"/>
          <w:szCs w:val="22"/>
        </w:rPr>
      </w:pPr>
    </w:p>
    <w:p w14:paraId="5C7C111A" w14:textId="77777777" w:rsidR="003B0F22" w:rsidRDefault="00EB0077" w:rsidP="00EB0077">
      <w:pPr>
        <w:spacing w:after="200" w:line="276" w:lineRule="auto"/>
        <w:contextualSpacing/>
        <w:rPr>
          <w:rFonts w:cstheme="minorHAnsi"/>
        </w:rPr>
      </w:pPr>
      <w:r w:rsidRPr="00F412AE">
        <w:rPr>
          <w:rFonts w:cstheme="minorHAnsi"/>
        </w:rPr>
        <w:t>Secondary outcomes will be</w:t>
      </w:r>
      <w:r>
        <w:rPr>
          <w:rFonts w:cstheme="minorHAnsi"/>
        </w:rPr>
        <w:t xml:space="preserve"> frequency of (</w:t>
      </w:r>
      <w:proofErr w:type="spellStart"/>
      <w:r>
        <w:rPr>
          <w:rFonts w:cstheme="minorHAnsi"/>
        </w:rPr>
        <w:t>i</w:t>
      </w:r>
      <w:proofErr w:type="spellEnd"/>
      <w:r>
        <w:rPr>
          <w:rFonts w:cstheme="minorHAnsi"/>
        </w:rPr>
        <w:t xml:space="preserve">) change in diagnosis; (ii) change in diagnostic certainty; (iii) change in management; and </w:t>
      </w:r>
      <w:proofErr w:type="gramStart"/>
      <w:r>
        <w:rPr>
          <w:rFonts w:cstheme="minorHAnsi"/>
        </w:rPr>
        <w:t>also</w:t>
      </w:r>
      <w:proofErr w:type="gramEnd"/>
      <w:r>
        <w:rPr>
          <w:rFonts w:cstheme="minorHAnsi"/>
        </w:rPr>
        <w:t xml:space="preserve"> the (iv) number-needed-to-test by CMR to change either diagnosis or management</w:t>
      </w:r>
      <w:r w:rsidR="003B0F22">
        <w:rPr>
          <w:rFonts w:cstheme="minorHAnsi"/>
        </w:rPr>
        <w:t xml:space="preserve">. </w:t>
      </w:r>
    </w:p>
    <w:p w14:paraId="55856FC3" w14:textId="77777777" w:rsidR="003B0F22" w:rsidRDefault="003B0F22" w:rsidP="00EB0077">
      <w:pPr>
        <w:spacing w:after="200" w:line="276" w:lineRule="auto"/>
        <w:contextualSpacing/>
        <w:rPr>
          <w:rFonts w:cstheme="minorHAnsi"/>
        </w:rPr>
      </w:pPr>
    </w:p>
    <w:p w14:paraId="50DE3C29" w14:textId="3791959E" w:rsidR="00EB0077" w:rsidRDefault="003B0F22" w:rsidP="00EB0077">
      <w:pPr>
        <w:spacing w:after="200" w:line="276" w:lineRule="auto"/>
        <w:contextualSpacing/>
        <w:rPr>
          <w:rFonts w:cstheme="minorHAnsi"/>
        </w:rPr>
      </w:pPr>
      <w:r>
        <w:rPr>
          <w:rFonts w:cstheme="minorHAnsi"/>
        </w:rPr>
        <w:t>Exploratory data regarding the 1-year incidence of major adverse cardiovascular events or bleeding will also be documented, however the observational study design does not allow a formal outcomes-based assessment of the impact of CMR-guided management.</w:t>
      </w:r>
    </w:p>
    <w:p w14:paraId="78B6CB2E" w14:textId="77777777" w:rsidR="00EB0077" w:rsidRDefault="00EB0077" w:rsidP="00EB0077">
      <w:pPr>
        <w:rPr>
          <w:rFonts w:cstheme="minorHAnsi"/>
          <w:szCs w:val="22"/>
        </w:rPr>
      </w:pPr>
    </w:p>
    <w:p w14:paraId="179D9F32" w14:textId="77777777" w:rsidR="00EB0077" w:rsidRPr="00F412AE" w:rsidRDefault="00EB0077" w:rsidP="00EB0077">
      <w:pPr>
        <w:rPr>
          <w:rFonts w:cstheme="minorHAnsi"/>
        </w:rPr>
      </w:pPr>
      <w:r>
        <w:rPr>
          <w:rFonts w:cstheme="minorHAnsi"/>
          <w:szCs w:val="22"/>
        </w:rPr>
        <w:t>Univariate predictors of a useful CMR will be explored from a wide range of clinical and laboratory parameters. Finally, cost-efficacy of CMR in the care of MINOCA patients in the study population will be evaluated.</w:t>
      </w:r>
      <w:r w:rsidRPr="00F412AE">
        <w:rPr>
          <w:rFonts w:cstheme="minorHAnsi"/>
        </w:rPr>
        <w:br/>
      </w:r>
    </w:p>
    <w:p w14:paraId="14F101D5" w14:textId="77777777" w:rsidR="00EB0077" w:rsidRPr="003802A1" w:rsidRDefault="00EB0077" w:rsidP="00EB0077">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5</w:t>
      </w:r>
      <w:r w:rsidRPr="003C12DB">
        <w:rPr>
          <w:rFonts w:asciiTheme="minorHAnsi" w:hAnsiTheme="minorHAnsi" w:cstheme="minorHAnsi"/>
          <w:color w:val="auto"/>
          <w:sz w:val="22"/>
          <w:szCs w:val="22"/>
        </w:rPr>
        <w:tab/>
      </w:r>
      <w:r>
        <w:rPr>
          <w:rFonts w:asciiTheme="minorHAnsi" w:hAnsiTheme="minorHAnsi" w:cstheme="minorHAnsi"/>
          <w:color w:val="auto"/>
          <w:sz w:val="22"/>
          <w:szCs w:val="22"/>
        </w:rPr>
        <w:t>STUDY</w:t>
      </w:r>
      <w:r w:rsidRPr="003C12DB">
        <w:rPr>
          <w:rFonts w:asciiTheme="minorHAnsi" w:hAnsiTheme="minorHAnsi" w:cstheme="minorHAnsi"/>
          <w:color w:val="auto"/>
          <w:sz w:val="22"/>
          <w:szCs w:val="22"/>
        </w:rPr>
        <w:t xml:space="preserve"> DESIGN</w:t>
      </w:r>
      <w:r>
        <w:rPr>
          <w:rFonts w:asciiTheme="minorHAnsi" w:hAnsiTheme="minorHAnsi" w:cstheme="minorHAnsi"/>
          <w:color w:val="auto"/>
          <w:sz w:val="22"/>
          <w:szCs w:val="22"/>
        </w:rPr>
        <w:t xml:space="preserve"> and METHODS of DATA COLLECTION AND DATA ANALYIS</w:t>
      </w:r>
    </w:p>
    <w:p w14:paraId="7CDFF27C" w14:textId="77777777" w:rsidR="00EB0077" w:rsidRDefault="00EB0077" w:rsidP="00EB0077">
      <w:pPr>
        <w:spacing w:after="200" w:line="276" w:lineRule="auto"/>
        <w:contextualSpacing/>
        <w:rPr>
          <w:rFonts w:cstheme="minorHAnsi"/>
          <w:szCs w:val="22"/>
        </w:rPr>
      </w:pPr>
      <w:r>
        <w:rPr>
          <w:rFonts w:cstheme="minorHAnsi"/>
          <w:szCs w:val="22"/>
        </w:rPr>
        <w:t>T</w:t>
      </w:r>
      <w:r w:rsidRPr="00F412AE">
        <w:rPr>
          <w:rFonts w:cstheme="minorHAnsi"/>
          <w:szCs w:val="22"/>
        </w:rPr>
        <w:t xml:space="preserve">his </w:t>
      </w:r>
      <w:r>
        <w:rPr>
          <w:rFonts w:cstheme="minorHAnsi"/>
          <w:szCs w:val="22"/>
        </w:rPr>
        <w:t xml:space="preserve">non-interventional study will be a </w:t>
      </w:r>
      <w:r w:rsidRPr="00F412AE">
        <w:rPr>
          <w:rFonts w:cstheme="minorHAnsi"/>
          <w:szCs w:val="22"/>
        </w:rPr>
        <w:t xml:space="preserve">prospective international multi-centre pre- versus post-CMR longitudinal analysis </w:t>
      </w:r>
      <w:r>
        <w:rPr>
          <w:rFonts w:cstheme="minorHAnsi"/>
          <w:szCs w:val="22"/>
        </w:rPr>
        <w:t xml:space="preserve">of the real impact of CMR on clinical care in patients with MINOCA in whom there is diagnostic uncertainty as to the underlying aetiology. </w:t>
      </w:r>
    </w:p>
    <w:p w14:paraId="36668266" w14:textId="77777777" w:rsidR="00EB0077" w:rsidRPr="00BD7D96" w:rsidRDefault="00EB0077" w:rsidP="00EB0077">
      <w:pPr>
        <w:rPr>
          <w:rFonts w:cstheme="minorHAnsi"/>
        </w:rPr>
      </w:pPr>
    </w:p>
    <w:p w14:paraId="15A54691" w14:textId="30F48DDD" w:rsidR="00EB0077" w:rsidRPr="00031117" w:rsidRDefault="00EB0077" w:rsidP="00EB0077">
      <w:pPr>
        <w:spacing w:after="200" w:line="276" w:lineRule="auto"/>
        <w:contextualSpacing/>
        <w:rPr>
          <w:rFonts w:cstheme="minorHAnsi"/>
        </w:rPr>
      </w:pPr>
      <w:r w:rsidRPr="00031117">
        <w:rPr>
          <w:rFonts w:cstheme="minorHAnsi"/>
          <w:szCs w:val="22"/>
        </w:rPr>
        <w:t xml:space="preserve">The </w:t>
      </w:r>
      <w:r>
        <w:rPr>
          <w:rFonts w:cstheme="minorHAnsi"/>
          <w:szCs w:val="22"/>
        </w:rPr>
        <w:t xml:space="preserve">local </w:t>
      </w:r>
      <w:r w:rsidRPr="00031117">
        <w:rPr>
          <w:rFonts w:cstheme="minorHAnsi"/>
          <w:szCs w:val="22"/>
        </w:rPr>
        <w:t xml:space="preserve">research team at </w:t>
      </w:r>
      <w:r w:rsidR="00803DB1">
        <w:rPr>
          <w:rFonts w:cstheme="minorHAnsi"/>
          <w:szCs w:val="22"/>
        </w:rPr>
        <w:t>James Cook University Hospital (</w:t>
      </w:r>
      <w:r w:rsidRPr="00031117">
        <w:rPr>
          <w:rFonts w:cstheme="minorHAnsi"/>
          <w:szCs w:val="22"/>
        </w:rPr>
        <w:t>JCUH</w:t>
      </w:r>
      <w:r w:rsidR="00803DB1">
        <w:rPr>
          <w:rFonts w:cstheme="minorHAnsi"/>
          <w:szCs w:val="22"/>
        </w:rPr>
        <w:t>)</w:t>
      </w:r>
      <w:r w:rsidRPr="00031117">
        <w:rPr>
          <w:rFonts w:cstheme="minorHAnsi"/>
          <w:szCs w:val="22"/>
        </w:rPr>
        <w:t xml:space="preserve"> will comprise:</w:t>
      </w:r>
    </w:p>
    <w:p w14:paraId="5947FBB1" w14:textId="26CA2B76" w:rsidR="00203745" w:rsidRDefault="00203745" w:rsidP="00203745">
      <w:pPr>
        <w:pStyle w:val="ListParagraph"/>
        <w:numPr>
          <w:ilvl w:val="0"/>
          <w:numId w:val="14"/>
        </w:numPr>
        <w:tabs>
          <w:tab w:val="clear" w:pos="1440"/>
          <w:tab w:val="num" w:pos="426"/>
        </w:tabs>
        <w:ind w:left="476" w:hanging="476"/>
        <w:rPr>
          <w:rFonts w:cstheme="minorHAnsi"/>
        </w:rPr>
      </w:pPr>
      <w:r w:rsidRPr="00031117">
        <w:rPr>
          <w:rFonts w:cstheme="minorHAnsi"/>
        </w:rPr>
        <w:t xml:space="preserve">Dr </w:t>
      </w:r>
      <w:r w:rsidR="00E04CFC">
        <w:rPr>
          <w:rFonts w:cstheme="minorHAnsi"/>
        </w:rPr>
        <w:t xml:space="preserve">David </w:t>
      </w:r>
      <w:r w:rsidRPr="00031117">
        <w:rPr>
          <w:rFonts w:cstheme="minorHAnsi"/>
        </w:rPr>
        <w:t>Austin</w:t>
      </w:r>
      <w:r>
        <w:rPr>
          <w:rFonts w:cstheme="minorHAnsi"/>
        </w:rPr>
        <w:t xml:space="preserve"> PhD, Consultant and</w:t>
      </w:r>
      <w:r w:rsidRPr="00031117">
        <w:rPr>
          <w:rFonts w:cstheme="minorHAnsi"/>
        </w:rPr>
        <w:t xml:space="preserve"> Interventional Cardiologist</w:t>
      </w:r>
      <w:r>
        <w:rPr>
          <w:rFonts w:cstheme="minorHAnsi"/>
        </w:rPr>
        <w:t>,</w:t>
      </w:r>
      <w:r w:rsidRPr="00031117">
        <w:rPr>
          <w:rFonts w:cstheme="minorHAnsi"/>
        </w:rPr>
        <w:t xml:space="preserve"> and Cardiovascular Researcher at JCUH</w:t>
      </w:r>
      <w:r w:rsidR="00EC0B53">
        <w:rPr>
          <w:rFonts w:cstheme="minorHAnsi"/>
        </w:rPr>
        <w:t xml:space="preserve">. </w:t>
      </w:r>
      <w:r w:rsidR="00E04CFC">
        <w:rPr>
          <w:rFonts w:cstheme="minorHAnsi"/>
        </w:rPr>
        <w:t xml:space="preserve">Principle </w:t>
      </w:r>
      <w:r w:rsidR="00EC0B53">
        <w:rPr>
          <w:rFonts w:cstheme="minorHAnsi"/>
        </w:rPr>
        <w:t>investigator</w:t>
      </w:r>
      <w:r w:rsidR="00E04CFC">
        <w:rPr>
          <w:rFonts w:cstheme="minorHAnsi"/>
        </w:rPr>
        <w:t xml:space="preserve"> for JCUH.</w:t>
      </w:r>
    </w:p>
    <w:p w14:paraId="0090F568" w14:textId="16C32696" w:rsidR="00EB0077" w:rsidRDefault="00EB0077" w:rsidP="00EB0077">
      <w:pPr>
        <w:pStyle w:val="ListParagraph"/>
        <w:numPr>
          <w:ilvl w:val="0"/>
          <w:numId w:val="14"/>
        </w:numPr>
        <w:tabs>
          <w:tab w:val="clear" w:pos="1440"/>
          <w:tab w:val="num" w:pos="426"/>
        </w:tabs>
        <w:ind w:left="476" w:hanging="476"/>
        <w:rPr>
          <w:rFonts w:cstheme="minorHAnsi"/>
        </w:rPr>
      </w:pPr>
      <w:r w:rsidRPr="00031117">
        <w:rPr>
          <w:rFonts w:cstheme="minorHAnsi"/>
        </w:rPr>
        <w:t xml:space="preserve">Dr </w:t>
      </w:r>
      <w:r w:rsidR="00E04CFC">
        <w:rPr>
          <w:rFonts w:cstheme="minorHAnsi"/>
        </w:rPr>
        <w:t xml:space="preserve">Neil </w:t>
      </w:r>
      <w:proofErr w:type="spellStart"/>
      <w:r w:rsidRPr="00031117">
        <w:rPr>
          <w:rFonts w:cstheme="minorHAnsi"/>
        </w:rPr>
        <w:t>Maredia</w:t>
      </w:r>
      <w:proofErr w:type="spellEnd"/>
      <w:r w:rsidRPr="00031117">
        <w:rPr>
          <w:rFonts w:cstheme="minorHAnsi"/>
        </w:rPr>
        <w:t xml:space="preserve"> </w:t>
      </w:r>
      <w:r w:rsidR="00F23B42">
        <w:rPr>
          <w:rFonts w:cstheme="minorHAnsi"/>
        </w:rPr>
        <w:t>MD</w:t>
      </w:r>
      <w:r w:rsidRPr="00031117">
        <w:rPr>
          <w:rFonts w:cstheme="minorHAnsi"/>
        </w:rPr>
        <w:t xml:space="preserve">, </w:t>
      </w:r>
      <w:r w:rsidR="00203745">
        <w:rPr>
          <w:rFonts w:cstheme="minorHAnsi"/>
        </w:rPr>
        <w:t>C</w:t>
      </w:r>
      <w:r w:rsidR="00203745" w:rsidRPr="00031117">
        <w:rPr>
          <w:rFonts w:cstheme="minorHAnsi"/>
        </w:rPr>
        <w:t xml:space="preserve">onsultant cardiologist </w:t>
      </w:r>
      <w:r w:rsidR="00203745">
        <w:rPr>
          <w:rFonts w:cstheme="minorHAnsi"/>
        </w:rPr>
        <w:t xml:space="preserve">and </w:t>
      </w:r>
      <w:r w:rsidRPr="00031117">
        <w:rPr>
          <w:rFonts w:cstheme="minorHAnsi"/>
        </w:rPr>
        <w:t>Head of CMR at JCUH</w:t>
      </w:r>
      <w:r w:rsidR="00EC0B53">
        <w:rPr>
          <w:rFonts w:cstheme="minorHAnsi"/>
        </w:rPr>
        <w:t>. Co-investigator.</w:t>
      </w:r>
    </w:p>
    <w:p w14:paraId="68E497A6" w14:textId="77777777" w:rsidR="00EB0077" w:rsidRDefault="00EB0077" w:rsidP="00EB0077">
      <w:pPr>
        <w:pStyle w:val="ListParagraph"/>
        <w:numPr>
          <w:ilvl w:val="0"/>
          <w:numId w:val="14"/>
        </w:numPr>
        <w:tabs>
          <w:tab w:val="clear" w:pos="1440"/>
          <w:tab w:val="num" w:pos="426"/>
        </w:tabs>
        <w:ind w:left="476" w:hanging="476"/>
        <w:rPr>
          <w:rFonts w:cstheme="minorHAnsi"/>
        </w:rPr>
      </w:pPr>
      <w:r w:rsidRPr="00031117">
        <w:rPr>
          <w:rFonts w:cstheme="minorHAnsi"/>
        </w:rPr>
        <w:t>Ms Nicola Cunningham</w:t>
      </w:r>
      <w:r>
        <w:rPr>
          <w:rFonts w:cstheme="minorHAnsi"/>
        </w:rPr>
        <w:t>, L</w:t>
      </w:r>
      <w:r w:rsidRPr="00031117">
        <w:rPr>
          <w:rFonts w:cstheme="minorHAnsi"/>
        </w:rPr>
        <w:t>ead research nurse for cardiology</w:t>
      </w:r>
    </w:p>
    <w:p w14:paraId="14D03A6A" w14:textId="30F316AD" w:rsidR="00A363DD" w:rsidRPr="00A363DD" w:rsidRDefault="00A363DD" w:rsidP="00A363DD">
      <w:pPr>
        <w:tabs>
          <w:tab w:val="num" w:pos="426"/>
        </w:tabs>
        <w:rPr>
          <w:rFonts w:cstheme="minorHAnsi"/>
        </w:rPr>
      </w:pPr>
      <w:r>
        <w:rPr>
          <w:rFonts w:cstheme="minorHAnsi"/>
        </w:rPr>
        <w:t xml:space="preserve">Of note, </w:t>
      </w:r>
      <w:r w:rsidR="00803DB1">
        <w:rPr>
          <w:rFonts w:cstheme="minorHAnsi"/>
        </w:rPr>
        <w:t xml:space="preserve">JCUH is a tertiary referral centre for angiography not only for </w:t>
      </w:r>
      <w:r>
        <w:rPr>
          <w:rFonts w:cstheme="minorHAnsi"/>
        </w:rPr>
        <w:t>pa</w:t>
      </w:r>
      <w:r w:rsidR="00803DB1">
        <w:rPr>
          <w:rFonts w:cstheme="minorHAnsi"/>
        </w:rPr>
        <w:t>tients admitted</w:t>
      </w:r>
      <w:r>
        <w:rPr>
          <w:rFonts w:cstheme="minorHAnsi"/>
        </w:rPr>
        <w:t xml:space="preserve"> at JCUH </w:t>
      </w:r>
      <w:r w:rsidR="00803DB1">
        <w:rPr>
          <w:rFonts w:cstheme="minorHAnsi"/>
        </w:rPr>
        <w:t>but also Durham and Darlington NHS Trust and North Tees and Hartlepool NHS Trust, and these patients will also be eligible to be recruited following angiography at JCUH.</w:t>
      </w:r>
    </w:p>
    <w:p w14:paraId="249AA029" w14:textId="77777777" w:rsidR="00EB0077" w:rsidRPr="00031117" w:rsidRDefault="00EB0077" w:rsidP="00EB0077">
      <w:pPr>
        <w:spacing w:after="200" w:line="276" w:lineRule="auto"/>
        <w:contextualSpacing/>
        <w:rPr>
          <w:rFonts w:cstheme="minorHAnsi"/>
        </w:rPr>
      </w:pPr>
      <w:r>
        <w:rPr>
          <w:rFonts w:cstheme="minorHAnsi"/>
        </w:rPr>
        <w:t>The following study design will be followed:</w:t>
      </w:r>
    </w:p>
    <w:p w14:paraId="5AFF0B1A" w14:textId="77777777" w:rsidR="00EB0077" w:rsidRDefault="00EB0077" w:rsidP="00EB0077">
      <w:pPr>
        <w:pStyle w:val="ListParagraph"/>
        <w:numPr>
          <w:ilvl w:val="0"/>
          <w:numId w:val="14"/>
        </w:numPr>
        <w:tabs>
          <w:tab w:val="clear" w:pos="1440"/>
          <w:tab w:val="num" w:pos="567"/>
        </w:tabs>
        <w:ind w:left="476" w:hanging="476"/>
        <w:rPr>
          <w:rFonts w:cstheme="minorHAnsi"/>
        </w:rPr>
      </w:pPr>
      <w:r w:rsidRPr="00675632">
        <w:rPr>
          <w:rFonts w:cstheme="minorHAnsi"/>
        </w:rPr>
        <w:t xml:space="preserve">Identification of a patient with MINOCA will be by any of the clinical team caring for the patient on the cardiology ward / coronary care unit, following diagnostic angiography. </w:t>
      </w:r>
    </w:p>
    <w:p w14:paraId="0559C5DB" w14:textId="29A03272" w:rsidR="00EB0077" w:rsidRDefault="00EB0077" w:rsidP="00EB0077">
      <w:pPr>
        <w:pStyle w:val="ListParagraph"/>
        <w:numPr>
          <w:ilvl w:val="0"/>
          <w:numId w:val="14"/>
        </w:numPr>
        <w:tabs>
          <w:tab w:val="clear" w:pos="1440"/>
          <w:tab w:val="num" w:pos="567"/>
        </w:tabs>
        <w:ind w:left="476" w:hanging="476"/>
        <w:rPr>
          <w:rFonts w:cstheme="minorHAnsi"/>
        </w:rPr>
      </w:pPr>
      <w:r w:rsidRPr="00675632">
        <w:rPr>
          <w:rFonts w:cstheme="minorHAnsi"/>
        </w:rPr>
        <w:t xml:space="preserve">Upon identification, a member of the research team will approach the </w:t>
      </w:r>
      <w:r w:rsidR="003B0F22">
        <w:rPr>
          <w:rFonts w:cstheme="minorHAnsi"/>
        </w:rPr>
        <w:t>patient</w:t>
      </w:r>
      <w:r w:rsidRPr="00675632">
        <w:rPr>
          <w:rFonts w:cstheme="minorHAnsi"/>
        </w:rPr>
        <w:t xml:space="preserve"> </w:t>
      </w:r>
      <w:r w:rsidR="003B0F22">
        <w:rPr>
          <w:rFonts w:cstheme="minorHAnsi"/>
        </w:rPr>
        <w:t xml:space="preserve">to discuss participation, and to </w:t>
      </w:r>
      <w:r w:rsidR="0024467D">
        <w:rPr>
          <w:rFonts w:cstheme="minorHAnsi"/>
        </w:rPr>
        <w:t>confirm absence of any</w:t>
      </w:r>
      <w:r w:rsidR="003B0F22">
        <w:rPr>
          <w:rFonts w:cstheme="minorHAnsi"/>
        </w:rPr>
        <w:t xml:space="preserve"> exclusion criteria.</w:t>
      </w:r>
    </w:p>
    <w:p w14:paraId="60081B21" w14:textId="731317EE" w:rsidR="00EB0077" w:rsidRDefault="00EB0077" w:rsidP="00EB0077">
      <w:pPr>
        <w:pStyle w:val="ListParagraph"/>
        <w:numPr>
          <w:ilvl w:val="0"/>
          <w:numId w:val="14"/>
        </w:numPr>
        <w:tabs>
          <w:tab w:val="clear" w:pos="1440"/>
          <w:tab w:val="num" w:pos="567"/>
        </w:tabs>
        <w:ind w:left="476" w:hanging="476"/>
        <w:rPr>
          <w:rFonts w:cstheme="minorHAnsi"/>
        </w:rPr>
      </w:pPr>
      <w:r>
        <w:rPr>
          <w:rFonts w:cstheme="minorHAnsi"/>
        </w:rPr>
        <w:t>For individuals</w:t>
      </w:r>
      <w:r w:rsidR="003B0F22">
        <w:rPr>
          <w:rFonts w:cstheme="minorHAnsi"/>
        </w:rPr>
        <w:t xml:space="preserve"> expressing interest in participation after initial comprehensive</w:t>
      </w:r>
      <w:r>
        <w:rPr>
          <w:rFonts w:cstheme="minorHAnsi"/>
        </w:rPr>
        <w:t xml:space="preserve"> outline of the study</w:t>
      </w:r>
      <w:r w:rsidR="003B0F22">
        <w:rPr>
          <w:rFonts w:cstheme="minorHAnsi"/>
        </w:rPr>
        <w:t xml:space="preserve">, </w:t>
      </w:r>
      <w:r w:rsidR="00E04CFC">
        <w:rPr>
          <w:rFonts w:cstheme="minorHAnsi"/>
        </w:rPr>
        <w:t>t</w:t>
      </w:r>
      <w:r w:rsidRPr="00675632">
        <w:rPr>
          <w:rFonts w:cstheme="minorHAnsi"/>
        </w:rPr>
        <w:t xml:space="preserve">he Patient Information Letter and Consent form </w:t>
      </w:r>
      <w:r w:rsidR="00E04CFC">
        <w:rPr>
          <w:rFonts w:cstheme="minorHAnsi"/>
        </w:rPr>
        <w:t xml:space="preserve">will be provided </w:t>
      </w:r>
      <w:r w:rsidRPr="00675632">
        <w:rPr>
          <w:rFonts w:cstheme="minorHAnsi"/>
        </w:rPr>
        <w:t>for their perusal</w:t>
      </w:r>
      <w:r>
        <w:rPr>
          <w:rFonts w:cstheme="minorHAnsi"/>
        </w:rPr>
        <w:t>. Recruitment</w:t>
      </w:r>
      <w:r w:rsidR="00E04CFC">
        <w:rPr>
          <w:rFonts w:cstheme="minorHAnsi"/>
        </w:rPr>
        <w:t xml:space="preserve"> requires written consent, and</w:t>
      </w:r>
      <w:r>
        <w:rPr>
          <w:rFonts w:cstheme="minorHAnsi"/>
        </w:rPr>
        <w:t xml:space="preserve"> can be at any time up to the conduct of the CMR study.</w:t>
      </w:r>
      <w:r w:rsidR="0046393C">
        <w:rPr>
          <w:rFonts w:cstheme="minorHAnsi"/>
        </w:rPr>
        <w:t xml:space="preserve"> Please note that the CMR study is being performed as standard clinical care and is NOT in any way an additional research activity.</w:t>
      </w:r>
    </w:p>
    <w:p w14:paraId="3205A026" w14:textId="1AB769EA" w:rsidR="00EB0077" w:rsidRDefault="00EB0077" w:rsidP="00EB0077">
      <w:pPr>
        <w:pStyle w:val="ListParagraph"/>
        <w:numPr>
          <w:ilvl w:val="0"/>
          <w:numId w:val="14"/>
        </w:numPr>
        <w:tabs>
          <w:tab w:val="clear" w:pos="1440"/>
          <w:tab w:val="num" w:pos="567"/>
        </w:tabs>
        <w:ind w:left="476" w:hanging="476"/>
        <w:rPr>
          <w:rFonts w:cstheme="minorHAnsi"/>
        </w:rPr>
      </w:pPr>
      <w:r>
        <w:rPr>
          <w:rFonts w:cstheme="minorHAnsi"/>
        </w:rPr>
        <w:lastRenderedPageBreak/>
        <w:t xml:space="preserve">Consenting participants will be allocated a Research ID by the research team member who is obtaining consent, which will be recorded on a Master Log using an Excel spreadsheet. This will be password-protected, stored on an encrypted South Tees NHS Foundation Trust hospital computer, with the research server accessible only to authorised research staff. A separate Results spreadsheet will hold </w:t>
      </w:r>
      <w:r w:rsidR="00E04CFC">
        <w:rPr>
          <w:rFonts w:cstheme="minorHAnsi"/>
        </w:rPr>
        <w:t>coded (r</w:t>
      </w:r>
      <w:r>
        <w:rPr>
          <w:rFonts w:cstheme="minorHAnsi"/>
        </w:rPr>
        <w:t>e-</w:t>
      </w:r>
      <w:proofErr w:type="spellStart"/>
      <w:r>
        <w:rPr>
          <w:rFonts w:cstheme="minorHAnsi"/>
        </w:rPr>
        <w:t>identif</w:t>
      </w:r>
      <w:r w:rsidR="00E04CFC">
        <w:rPr>
          <w:rFonts w:cstheme="minorHAnsi"/>
        </w:rPr>
        <w:t>able</w:t>
      </w:r>
      <w:proofErr w:type="spellEnd"/>
      <w:r w:rsidR="00E04CFC">
        <w:rPr>
          <w:rFonts w:cstheme="minorHAnsi"/>
        </w:rPr>
        <w:t>)</w:t>
      </w:r>
      <w:r>
        <w:rPr>
          <w:rFonts w:cstheme="minorHAnsi"/>
        </w:rPr>
        <w:t xml:space="preserve"> data only, using only the Research ID for participant identification and </w:t>
      </w:r>
      <w:r w:rsidRPr="00F67E3E">
        <w:rPr>
          <w:rFonts w:cstheme="minorHAnsi"/>
          <w:u w:val="single"/>
        </w:rPr>
        <w:t>not</w:t>
      </w:r>
      <w:r>
        <w:rPr>
          <w:rFonts w:cstheme="minorHAnsi"/>
        </w:rPr>
        <w:t xml:space="preserve"> their name, date of birth, hospital number or other </w:t>
      </w:r>
      <w:r w:rsidR="00E04CFC">
        <w:rPr>
          <w:rFonts w:cstheme="minorHAnsi"/>
        </w:rPr>
        <w:t>non-coded identifiers</w:t>
      </w:r>
      <w:r>
        <w:rPr>
          <w:rFonts w:cstheme="minorHAnsi"/>
        </w:rPr>
        <w:t xml:space="preserve">. Data can </w:t>
      </w:r>
      <w:r w:rsidR="00E04CFC">
        <w:rPr>
          <w:rFonts w:cstheme="minorHAnsi"/>
        </w:rPr>
        <w:t xml:space="preserve">only </w:t>
      </w:r>
      <w:r>
        <w:rPr>
          <w:rFonts w:cstheme="minorHAnsi"/>
        </w:rPr>
        <w:t xml:space="preserve">be transcribed by </w:t>
      </w:r>
      <w:r w:rsidR="00E04CFC">
        <w:rPr>
          <w:rFonts w:cstheme="minorHAnsi"/>
        </w:rPr>
        <w:t>a</w:t>
      </w:r>
      <w:r>
        <w:rPr>
          <w:rFonts w:cstheme="minorHAnsi"/>
        </w:rPr>
        <w:t xml:space="preserve"> research team member</w:t>
      </w:r>
      <w:r w:rsidR="00686AE7">
        <w:rPr>
          <w:rFonts w:cstheme="minorHAnsi"/>
        </w:rPr>
        <w:t>.</w:t>
      </w:r>
    </w:p>
    <w:p w14:paraId="1CDD9F82" w14:textId="6DDA9925" w:rsidR="00EB0077" w:rsidRDefault="00EB0077" w:rsidP="00EB0077">
      <w:pPr>
        <w:pStyle w:val="ListParagraph"/>
        <w:numPr>
          <w:ilvl w:val="0"/>
          <w:numId w:val="14"/>
        </w:numPr>
        <w:tabs>
          <w:tab w:val="clear" w:pos="1440"/>
          <w:tab w:val="num" w:pos="567"/>
        </w:tabs>
        <w:ind w:left="476" w:hanging="476"/>
        <w:rPr>
          <w:rFonts w:cstheme="minorHAnsi"/>
        </w:rPr>
      </w:pPr>
      <w:r w:rsidRPr="00B826DE">
        <w:rPr>
          <w:rFonts w:cstheme="minorHAnsi"/>
        </w:rPr>
        <w:t xml:space="preserve">Consenting patients </w:t>
      </w:r>
      <w:r w:rsidR="00E04CFC">
        <w:rPr>
          <w:rFonts w:cstheme="minorHAnsi"/>
        </w:rPr>
        <w:t xml:space="preserve">at JCUH </w:t>
      </w:r>
      <w:r w:rsidRPr="00B826DE">
        <w:rPr>
          <w:rFonts w:cstheme="minorHAnsi"/>
        </w:rPr>
        <w:t xml:space="preserve">will </w:t>
      </w:r>
      <w:r w:rsidRPr="00EF359F">
        <w:rPr>
          <w:rFonts w:cstheme="minorHAnsi"/>
          <w:u w:val="single"/>
        </w:rPr>
        <w:t>not</w:t>
      </w:r>
      <w:r w:rsidRPr="00B826DE">
        <w:rPr>
          <w:rFonts w:cstheme="minorHAnsi"/>
        </w:rPr>
        <w:t xml:space="preserve"> be required to have any intervention outside of their normal clinical care. This is therefore a non-interventional low / negligible risk research study, and the only potential for harm to patients is any failure of data protection.</w:t>
      </w:r>
      <w:r>
        <w:rPr>
          <w:rFonts w:cstheme="minorHAnsi"/>
        </w:rPr>
        <w:t xml:space="preserve"> </w:t>
      </w:r>
    </w:p>
    <w:p w14:paraId="7D3CFF90" w14:textId="56BD9FBB" w:rsidR="00EB0077" w:rsidRDefault="00EB0077" w:rsidP="00EB0077">
      <w:pPr>
        <w:pStyle w:val="ListParagraph"/>
        <w:numPr>
          <w:ilvl w:val="0"/>
          <w:numId w:val="14"/>
        </w:numPr>
        <w:tabs>
          <w:tab w:val="clear" w:pos="1440"/>
          <w:tab w:val="num" w:pos="567"/>
        </w:tabs>
        <w:ind w:left="476" w:hanging="476"/>
        <w:rPr>
          <w:rFonts w:cstheme="minorHAnsi"/>
        </w:rPr>
      </w:pPr>
      <w:r w:rsidRPr="00F67E3E">
        <w:rPr>
          <w:rFonts w:cstheme="minorHAnsi"/>
        </w:rPr>
        <w:t>The following information will be gathered:</w:t>
      </w:r>
      <w:r w:rsidRPr="00F67E3E">
        <w:rPr>
          <w:rFonts w:cstheme="minorHAnsi"/>
        </w:rPr>
        <w:br/>
        <w:t>(a) The treating cardiologist will be asked to complete a pre-CMR questionnaire detailing working diagnosis, d</w:t>
      </w:r>
      <w:r>
        <w:rPr>
          <w:rFonts w:cstheme="minorHAnsi"/>
        </w:rPr>
        <w:t>iagnostic certainty (scale 1-10, see section 7.1</w:t>
      </w:r>
      <w:r w:rsidRPr="00F67E3E">
        <w:rPr>
          <w:rFonts w:cstheme="minorHAnsi"/>
        </w:rPr>
        <w:t>), and detailed capture of the management, encompassing in particular all medications, further tests planned / deferred, plans for future follow-up, and planned family screening. A copy of the questionnaire is included as an Appendix</w:t>
      </w:r>
      <w:r>
        <w:rPr>
          <w:rFonts w:cstheme="minorHAnsi"/>
        </w:rPr>
        <w:t xml:space="preserve">. All data will be transcribed </w:t>
      </w:r>
      <w:r w:rsidR="00E04CFC">
        <w:rPr>
          <w:rFonts w:cstheme="minorHAnsi"/>
        </w:rPr>
        <w:t xml:space="preserve">immediately </w:t>
      </w:r>
      <w:r>
        <w:rPr>
          <w:rFonts w:cstheme="minorHAnsi"/>
        </w:rPr>
        <w:t xml:space="preserve">by the research team member to the </w:t>
      </w:r>
      <w:r w:rsidR="00E04CFC">
        <w:rPr>
          <w:rFonts w:cstheme="minorHAnsi"/>
        </w:rPr>
        <w:t>electronic results</w:t>
      </w:r>
      <w:r>
        <w:rPr>
          <w:rFonts w:cstheme="minorHAnsi"/>
        </w:rPr>
        <w:t xml:space="preserve"> spreadsheet.</w:t>
      </w:r>
      <w:r w:rsidRPr="00F67E3E">
        <w:rPr>
          <w:rFonts w:cstheme="minorHAnsi"/>
        </w:rPr>
        <w:br/>
        <w:t xml:space="preserve">(b) A list of clinical and laboratory parameters which may predict the utility of the CMR will be documented by a research team member, from the clinical notes. These will include age, gender, symptoms and observations at presentation, troponin elevation magnitude, </w:t>
      </w:r>
      <w:r w:rsidRPr="00A73759">
        <w:rPr>
          <w:rFonts w:cstheme="minorHAnsi"/>
        </w:rPr>
        <w:t xml:space="preserve">diabetes, renal function, heart failure, </w:t>
      </w:r>
      <w:r>
        <w:rPr>
          <w:rFonts w:cstheme="minorHAnsi"/>
        </w:rPr>
        <w:t xml:space="preserve">peripheral vascular disease, </w:t>
      </w:r>
      <w:r w:rsidRPr="00A73759">
        <w:rPr>
          <w:rFonts w:cstheme="minorHAnsi"/>
        </w:rPr>
        <w:t>serum C-reactive protein, observations at presentation (pulse, blood pressure, temperature)</w:t>
      </w:r>
      <w:r>
        <w:rPr>
          <w:rFonts w:cstheme="minorHAnsi"/>
        </w:rPr>
        <w:t xml:space="preserve">, </w:t>
      </w:r>
      <w:r w:rsidRPr="00F67E3E">
        <w:rPr>
          <w:rFonts w:cstheme="minorHAnsi"/>
        </w:rPr>
        <w:t xml:space="preserve">angiographic findings, whether intra-vascular coronary imaging was performed, </w:t>
      </w:r>
      <w:r w:rsidR="00E04CFC">
        <w:rPr>
          <w:rFonts w:cstheme="minorHAnsi"/>
        </w:rPr>
        <w:t xml:space="preserve">quantitative </w:t>
      </w:r>
      <w:r w:rsidRPr="00F67E3E">
        <w:rPr>
          <w:rFonts w:cstheme="minorHAnsi"/>
        </w:rPr>
        <w:t>echocardiographic findings</w:t>
      </w:r>
      <w:r>
        <w:rPr>
          <w:rFonts w:cstheme="minorHAnsi"/>
        </w:rPr>
        <w:t xml:space="preserve"> (namely </w:t>
      </w:r>
      <w:r w:rsidRPr="00A73759">
        <w:rPr>
          <w:rFonts w:cstheme="minorHAnsi"/>
        </w:rPr>
        <w:t>left atrial volume, left ventricular volumes, and left ventricular ejection fraction</w:t>
      </w:r>
      <w:r>
        <w:rPr>
          <w:rFonts w:cstheme="minorHAnsi"/>
        </w:rPr>
        <w:t>)</w:t>
      </w:r>
      <w:r w:rsidRPr="00F67E3E">
        <w:rPr>
          <w:rFonts w:cstheme="minorHAnsi"/>
        </w:rPr>
        <w:t>, ECG findings at presentation, and GRACE score of future cardiovascular risk in acute coronary syndromes.</w:t>
      </w:r>
      <w:r w:rsidRPr="00F67E3E">
        <w:rPr>
          <w:rFonts w:cstheme="minorHAnsi"/>
        </w:rPr>
        <w:br/>
        <w:t>(c) After the CMR, the treating cardiologist will now complete a post-CMR questionnaire again detailing the working diagnosis, diagnostic certainty and management.</w:t>
      </w:r>
      <w:r>
        <w:rPr>
          <w:rFonts w:cstheme="minorHAnsi"/>
        </w:rPr>
        <w:t xml:space="preserve"> See appendix.</w:t>
      </w:r>
      <w:r w:rsidRPr="00F67E3E">
        <w:rPr>
          <w:rFonts w:cstheme="minorHAnsi"/>
        </w:rPr>
        <w:br/>
        <w:t>(d) At 12 months post presentation, the patient will be contacted either in person or by telephone by a member of the research team. This will document the occurrence of all hospitalisations, recurrent cardiac events and bleeding over the 12</w:t>
      </w:r>
      <w:r>
        <w:rPr>
          <w:rFonts w:cstheme="minorHAnsi"/>
        </w:rPr>
        <w:t>-</w:t>
      </w:r>
      <w:r w:rsidRPr="00F67E3E">
        <w:rPr>
          <w:rFonts w:cstheme="minorHAnsi"/>
        </w:rPr>
        <w:t>month period.</w:t>
      </w:r>
      <w:r>
        <w:rPr>
          <w:rFonts w:cstheme="minorHAnsi"/>
        </w:rPr>
        <w:t xml:space="preserve"> This will be </w:t>
      </w:r>
      <w:r w:rsidR="00E04CFC">
        <w:rPr>
          <w:rFonts w:cstheme="minorHAnsi"/>
        </w:rPr>
        <w:t xml:space="preserve">entered directly into </w:t>
      </w:r>
      <w:r w:rsidR="00543665">
        <w:rPr>
          <w:rFonts w:cstheme="minorHAnsi"/>
        </w:rPr>
        <w:t>the</w:t>
      </w:r>
      <w:r w:rsidR="00E04CFC">
        <w:rPr>
          <w:rFonts w:cstheme="minorHAnsi"/>
        </w:rPr>
        <w:t xml:space="preserve"> password-protected research spreadsheet.</w:t>
      </w:r>
    </w:p>
    <w:p w14:paraId="28252024" w14:textId="1BAE803C" w:rsidR="00EB0077" w:rsidRPr="00F67E3E" w:rsidRDefault="00EB0077" w:rsidP="00EB0077">
      <w:pPr>
        <w:pStyle w:val="ListParagraph"/>
        <w:numPr>
          <w:ilvl w:val="0"/>
          <w:numId w:val="14"/>
        </w:numPr>
        <w:tabs>
          <w:tab w:val="clear" w:pos="1440"/>
          <w:tab w:val="num" w:pos="567"/>
        </w:tabs>
        <w:ind w:left="476" w:hanging="476"/>
        <w:rPr>
          <w:rFonts w:cstheme="minorHAnsi"/>
        </w:rPr>
      </w:pPr>
      <w:r w:rsidRPr="00F67E3E">
        <w:rPr>
          <w:rFonts w:cstheme="minorHAnsi"/>
        </w:rPr>
        <w:t xml:space="preserve">The conduct of the CMR will be in accordance with the institution's own standard protocol rather than a fixed research protocol, but will be expected to broadly align with international standards such as those detailed in the "SCMR board of trustees task force on standardized protocols (2016)". This has been confirmed for the </w:t>
      </w:r>
      <w:r w:rsidR="0046393C">
        <w:rPr>
          <w:rFonts w:cstheme="minorHAnsi"/>
        </w:rPr>
        <w:t>proposed UK sites</w:t>
      </w:r>
      <w:r w:rsidRPr="00F67E3E">
        <w:rPr>
          <w:rFonts w:cstheme="minorHAnsi"/>
        </w:rPr>
        <w:t xml:space="preserve">. </w:t>
      </w:r>
      <w:r w:rsidR="00557D9C">
        <w:rPr>
          <w:rFonts w:cstheme="minorHAnsi"/>
        </w:rPr>
        <w:t>Sites will be encouraged to perform</w:t>
      </w:r>
      <w:r w:rsidRPr="00F67E3E">
        <w:rPr>
          <w:rFonts w:cstheme="minorHAnsi"/>
        </w:rPr>
        <w:t xml:space="preserve"> CMR within </w:t>
      </w:r>
      <w:r w:rsidR="00557D9C">
        <w:rPr>
          <w:rFonts w:cstheme="minorHAnsi"/>
        </w:rPr>
        <w:t xml:space="preserve">approx. </w:t>
      </w:r>
      <w:r w:rsidRPr="00F67E3E">
        <w:rPr>
          <w:rFonts w:cstheme="minorHAnsi"/>
        </w:rPr>
        <w:t>2 weeks of presentation</w:t>
      </w:r>
      <w:r w:rsidR="00557D9C">
        <w:rPr>
          <w:rFonts w:cstheme="minorHAnsi"/>
        </w:rPr>
        <w:t xml:space="preserve"> in line with standard practice.</w:t>
      </w:r>
    </w:p>
    <w:p w14:paraId="334EBD0D" w14:textId="5D9106DA" w:rsidR="00EB0077" w:rsidRDefault="00EB0077" w:rsidP="00EB0077">
      <w:pPr>
        <w:spacing w:after="200" w:line="276" w:lineRule="auto"/>
        <w:contextualSpacing/>
        <w:rPr>
          <w:rFonts w:cstheme="minorHAnsi"/>
          <w:szCs w:val="22"/>
        </w:rPr>
      </w:pPr>
      <w:r>
        <w:rPr>
          <w:rFonts w:cstheme="minorHAnsi"/>
          <w:szCs w:val="22"/>
        </w:rPr>
        <w:t>Final d</w:t>
      </w:r>
      <w:r w:rsidRPr="00915B20">
        <w:rPr>
          <w:rFonts w:cstheme="minorHAnsi"/>
          <w:szCs w:val="22"/>
        </w:rPr>
        <w:t xml:space="preserve">ata analysis will be </w:t>
      </w:r>
      <w:r>
        <w:rPr>
          <w:rFonts w:cstheme="minorHAnsi"/>
          <w:szCs w:val="22"/>
        </w:rPr>
        <w:t>conducted</w:t>
      </w:r>
      <w:r w:rsidRPr="00915B20">
        <w:rPr>
          <w:rFonts w:cstheme="minorHAnsi"/>
          <w:szCs w:val="22"/>
        </w:rPr>
        <w:t xml:space="preserve"> at the conclusion of the study</w:t>
      </w:r>
      <w:r>
        <w:rPr>
          <w:rFonts w:cstheme="minorHAnsi"/>
          <w:szCs w:val="22"/>
        </w:rPr>
        <w:t xml:space="preserve"> by the lead investigator Rajwani in Perth, Western Australia</w:t>
      </w:r>
      <w:r w:rsidRPr="00915B20">
        <w:rPr>
          <w:rFonts w:cstheme="minorHAnsi"/>
          <w:szCs w:val="22"/>
        </w:rPr>
        <w:t xml:space="preserve">. </w:t>
      </w:r>
      <w:r>
        <w:rPr>
          <w:rFonts w:cstheme="minorHAnsi"/>
          <w:szCs w:val="22"/>
        </w:rPr>
        <w:t xml:space="preserve">This will require transfer of the spreadsheet from each recruiting site </w:t>
      </w:r>
      <w:r w:rsidRPr="00EF359F">
        <w:rPr>
          <w:rFonts w:cstheme="minorHAnsi"/>
          <w:b/>
          <w:szCs w:val="22"/>
        </w:rPr>
        <w:t xml:space="preserve">which only contains de-identified </w:t>
      </w:r>
      <w:r>
        <w:rPr>
          <w:rFonts w:cstheme="minorHAnsi"/>
          <w:b/>
          <w:szCs w:val="22"/>
        </w:rPr>
        <w:t>(coded) data</w:t>
      </w:r>
      <w:r w:rsidR="00543665">
        <w:rPr>
          <w:rFonts w:cstheme="minorHAnsi"/>
          <w:szCs w:val="22"/>
        </w:rPr>
        <w:t>.</w:t>
      </w:r>
      <w:r>
        <w:rPr>
          <w:rFonts w:cstheme="minorHAnsi"/>
          <w:szCs w:val="22"/>
        </w:rPr>
        <w:t xml:space="preserve"> </w:t>
      </w:r>
      <w:r w:rsidR="00543665">
        <w:rPr>
          <w:rFonts w:cstheme="minorHAnsi"/>
          <w:szCs w:val="22"/>
        </w:rPr>
        <w:t>A</w:t>
      </w:r>
      <w:r>
        <w:rPr>
          <w:rFonts w:cstheme="minorHAnsi"/>
          <w:szCs w:val="22"/>
        </w:rPr>
        <w:t>ccess to the Master Log for each site remains only with the local research teams</w:t>
      </w:r>
      <w:r w:rsidR="00543665">
        <w:rPr>
          <w:rFonts w:cstheme="minorHAnsi"/>
          <w:szCs w:val="22"/>
        </w:rPr>
        <w:t>,</w:t>
      </w:r>
      <w:r>
        <w:rPr>
          <w:rFonts w:cstheme="minorHAnsi"/>
          <w:szCs w:val="22"/>
        </w:rPr>
        <w:t xml:space="preserve"> </w:t>
      </w:r>
      <w:r w:rsidR="00543665">
        <w:rPr>
          <w:rFonts w:cstheme="minorHAnsi"/>
          <w:szCs w:val="22"/>
        </w:rPr>
        <w:t>t</w:t>
      </w:r>
      <w:r>
        <w:rPr>
          <w:rFonts w:cstheme="minorHAnsi"/>
          <w:szCs w:val="22"/>
        </w:rPr>
        <w:t xml:space="preserve">hus re-identification of patient identity by the Perth </w:t>
      </w:r>
      <w:r w:rsidR="00543665">
        <w:rPr>
          <w:rFonts w:cstheme="minorHAnsi"/>
          <w:szCs w:val="22"/>
        </w:rPr>
        <w:t xml:space="preserve">investigator </w:t>
      </w:r>
      <w:r>
        <w:rPr>
          <w:rFonts w:cstheme="minorHAnsi"/>
          <w:szCs w:val="22"/>
        </w:rPr>
        <w:t xml:space="preserve">is not possible. The spreadsheets will be sent as an encrypted and password-protected email attachment from PI Austin’s nhs.net account, to lead investigator Rajwani to the encrypted email account at the East Metro Health Service in Perth which is </w:t>
      </w:r>
      <w:hyperlink r:id="rId14" w:history="1">
        <w:r w:rsidRPr="00D7764B">
          <w:rPr>
            <w:rStyle w:val="Hyperlink"/>
            <w:rFonts w:cstheme="minorHAnsi"/>
            <w:szCs w:val="22"/>
          </w:rPr>
          <w:t>adil.rajwani@health.wa.gov.au</w:t>
        </w:r>
      </w:hyperlink>
      <w:r>
        <w:rPr>
          <w:rFonts w:cstheme="minorHAnsi"/>
          <w:szCs w:val="22"/>
        </w:rPr>
        <w:t xml:space="preserve">. </w:t>
      </w:r>
    </w:p>
    <w:p w14:paraId="6EB7697F" w14:textId="77777777" w:rsidR="00EB0077" w:rsidRDefault="00EB0077" w:rsidP="00EB0077">
      <w:pPr>
        <w:spacing w:after="200" w:line="276" w:lineRule="auto"/>
        <w:contextualSpacing/>
        <w:rPr>
          <w:rFonts w:cstheme="minorHAnsi"/>
          <w:szCs w:val="22"/>
        </w:rPr>
      </w:pPr>
    </w:p>
    <w:p w14:paraId="0D571BCF" w14:textId="77777777" w:rsidR="00EB0077" w:rsidRPr="00915B20" w:rsidRDefault="00EB0077" w:rsidP="00EB0077">
      <w:pPr>
        <w:spacing w:after="200" w:line="276" w:lineRule="auto"/>
        <w:contextualSpacing/>
        <w:rPr>
          <w:rFonts w:cstheme="minorHAnsi"/>
          <w:szCs w:val="22"/>
        </w:rPr>
      </w:pPr>
      <w:r>
        <w:rPr>
          <w:rFonts w:cstheme="minorHAnsi"/>
          <w:szCs w:val="22"/>
        </w:rPr>
        <w:lastRenderedPageBreak/>
        <w:t xml:space="preserve">Data analysis will be performed with respect to the primary and secondary outcomes. </w:t>
      </w:r>
      <w:r w:rsidRPr="00915B20">
        <w:rPr>
          <w:rFonts w:cstheme="minorHAnsi"/>
          <w:szCs w:val="22"/>
        </w:rPr>
        <w:t>For diagnosis, the paired pre- versus post-CMR diagnostic labels (from an exhaustive list of 10 aetiologies + “other (please specify)”) will be tabulated, compared and quantified for frequency of change (</w:t>
      </w:r>
      <w:proofErr w:type="spellStart"/>
      <w:r w:rsidRPr="00915B20">
        <w:rPr>
          <w:rFonts w:cstheme="minorHAnsi"/>
          <w:szCs w:val="22"/>
        </w:rPr>
        <w:t>McNemars</w:t>
      </w:r>
      <w:proofErr w:type="spellEnd"/>
      <w:r w:rsidRPr="00915B20">
        <w:rPr>
          <w:rFonts w:cstheme="minorHAnsi"/>
          <w:szCs w:val="22"/>
        </w:rPr>
        <w:t xml:space="preserve"> test). A further analysis will also determine which pre-CMR diagnoses were most / least susceptible to change. Diagnostic certainty is selected from 1 (very uncertain) to 10 (highly certain). Change in diagnostic certainty pre- versus post-CMR will be tested for significance by Student’s paired t-test. Interaction of change in certainty with pre-CMR (un)certainty will also be explored. Management changes will be multi-parametric covering (</w:t>
      </w:r>
      <w:proofErr w:type="spellStart"/>
      <w:r w:rsidRPr="00915B20">
        <w:rPr>
          <w:rFonts w:cstheme="minorHAnsi"/>
          <w:szCs w:val="22"/>
        </w:rPr>
        <w:t>i</w:t>
      </w:r>
      <w:proofErr w:type="spellEnd"/>
      <w:r w:rsidRPr="00915B20">
        <w:rPr>
          <w:rFonts w:cstheme="minorHAnsi"/>
          <w:szCs w:val="22"/>
        </w:rPr>
        <w:t xml:space="preserve">) pharmacotherapy, (ii) further tests indicated / abandoned, and (iii) future outpatient follow-up, with similar analyses to diagnostic label change. Change in any one parameter is clinically significant however, thus multiple changes are not hierarchical over single change. </w:t>
      </w:r>
      <w:r>
        <w:rPr>
          <w:rFonts w:cstheme="minorHAnsi"/>
          <w:szCs w:val="22"/>
        </w:rPr>
        <w:t>T</w:t>
      </w:r>
      <w:r w:rsidRPr="00915B20">
        <w:rPr>
          <w:rFonts w:cstheme="minorHAnsi"/>
          <w:szCs w:val="22"/>
        </w:rPr>
        <w:t xml:space="preserve">he composite of change in diagnosis or management forms the primary endpoint, and individual components will form </w:t>
      </w:r>
      <w:r>
        <w:rPr>
          <w:rFonts w:cstheme="minorHAnsi"/>
          <w:szCs w:val="22"/>
        </w:rPr>
        <w:t xml:space="preserve">the first </w:t>
      </w:r>
      <w:r w:rsidRPr="00915B20">
        <w:rPr>
          <w:rFonts w:cstheme="minorHAnsi"/>
          <w:szCs w:val="22"/>
        </w:rPr>
        <w:t xml:space="preserve">3 secondary outcomes. </w:t>
      </w:r>
      <w:r>
        <w:rPr>
          <w:rFonts w:cstheme="minorHAnsi"/>
          <w:szCs w:val="22"/>
        </w:rPr>
        <w:t>The 4</w:t>
      </w:r>
      <w:r w:rsidRPr="00AD4782">
        <w:rPr>
          <w:rFonts w:cstheme="minorHAnsi"/>
          <w:szCs w:val="22"/>
          <w:vertAlign w:val="superscript"/>
        </w:rPr>
        <w:t>th</w:t>
      </w:r>
      <w:r>
        <w:rPr>
          <w:rFonts w:cstheme="minorHAnsi"/>
          <w:szCs w:val="22"/>
        </w:rPr>
        <w:t xml:space="preserve"> secondary outcome (number-needed-to-test) will be the ratio of scans performed divided by the number of participants where diagnosis or management were changed consequent to the CMR. </w:t>
      </w:r>
      <w:r w:rsidRPr="00915B20">
        <w:rPr>
          <w:rFonts w:cstheme="minorHAnsi"/>
          <w:szCs w:val="22"/>
        </w:rPr>
        <w:t xml:space="preserve">Univariate predictors of a diagnostic CMR study will be determined by logistic regression, </w:t>
      </w:r>
      <w:r>
        <w:rPr>
          <w:rFonts w:cstheme="minorHAnsi"/>
          <w:szCs w:val="22"/>
        </w:rPr>
        <w:t xml:space="preserve">and </w:t>
      </w:r>
      <w:r w:rsidRPr="00915B20">
        <w:rPr>
          <w:rFonts w:cstheme="minorHAnsi"/>
          <w:szCs w:val="22"/>
        </w:rPr>
        <w:t xml:space="preserve">with receiver-operating curve used to determine the sensitivity and specificity for continuous variables such as serum troponin. </w:t>
      </w:r>
      <w:r>
        <w:rPr>
          <w:rFonts w:cstheme="minorHAnsi"/>
          <w:szCs w:val="22"/>
        </w:rPr>
        <w:t xml:space="preserve">Statistical analyses will be performed using GraphPad V7 software. </w:t>
      </w:r>
      <w:r w:rsidRPr="00915B20">
        <w:rPr>
          <w:rFonts w:cstheme="minorHAnsi"/>
          <w:szCs w:val="22"/>
        </w:rPr>
        <w:t xml:space="preserve">Health economic analyses detailed in the proposal will be </w:t>
      </w:r>
      <w:r>
        <w:rPr>
          <w:rFonts w:cstheme="minorHAnsi"/>
          <w:szCs w:val="22"/>
        </w:rPr>
        <w:t>conducted by</w:t>
      </w:r>
      <w:r w:rsidRPr="00915B20">
        <w:rPr>
          <w:rFonts w:cstheme="minorHAnsi"/>
          <w:szCs w:val="22"/>
        </w:rPr>
        <w:t xml:space="preserve"> Health Economics Professor Elizabeth Geelhoed </w:t>
      </w:r>
      <w:r>
        <w:rPr>
          <w:rFonts w:cstheme="minorHAnsi"/>
          <w:szCs w:val="22"/>
        </w:rPr>
        <w:t xml:space="preserve">PhD </w:t>
      </w:r>
      <w:r w:rsidRPr="00915B20">
        <w:rPr>
          <w:rFonts w:cstheme="minorHAnsi"/>
          <w:szCs w:val="22"/>
        </w:rPr>
        <w:t>(</w:t>
      </w:r>
      <w:r>
        <w:rPr>
          <w:rFonts w:cstheme="minorHAnsi"/>
          <w:szCs w:val="22"/>
        </w:rPr>
        <w:t>UWA Perth</w:t>
      </w:r>
      <w:r w:rsidRPr="00915B20">
        <w:rPr>
          <w:rFonts w:cstheme="minorHAnsi"/>
          <w:szCs w:val="22"/>
        </w:rPr>
        <w:t>).</w:t>
      </w:r>
    </w:p>
    <w:p w14:paraId="61D2929D" w14:textId="77777777" w:rsidR="00EB0077" w:rsidRPr="00401DE9" w:rsidRDefault="00EB0077" w:rsidP="00EB0077">
      <w:pPr>
        <w:autoSpaceDE w:val="0"/>
        <w:autoSpaceDN w:val="0"/>
        <w:adjustRightInd w:val="0"/>
        <w:spacing w:after="200" w:line="276" w:lineRule="auto"/>
        <w:ind w:left="895"/>
        <w:contextualSpacing/>
        <w:rPr>
          <w:rFonts w:cstheme="minorHAnsi"/>
          <w:color w:val="0000FF"/>
          <w:szCs w:val="22"/>
        </w:rPr>
      </w:pPr>
    </w:p>
    <w:p w14:paraId="664F76A3" w14:textId="77777777" w:rsidR="00EB0077" w:rsidRPr="003802A1" w:rsidRDefault="00EB0077" w:rsidP="00EB0077">
      <w:pPr>
        <w:pStyle w:val="Heading1"/>
        <w:spacing w:before="0" w:after="200" w:line="276" w:lineRule="auto"/>
        <w:contextualSpacing/>
        <w:rPr>
          <w:rFonts w:asciiTheme="minorHAnsi" w:hAnsiTheme="minorHAnsi" w:cstheme="minorHAnsi"/>
          <w:sz w:val="22"/>
          <w:szCs w:val="22"/>
        </w:rPr>
      </w:pPr>
      <w:r>
        <w:rPr>
          <w:rFonts w:asciiTheme="minorHAnsi" w:hAnsiTheme="minorHAnsi" w:cstheme="minorHAnsi"/>
          <w:color w:val="auto"/>
          <w:sz w:val="22"/>
          <w:szCs w:val="22"/>
        </w:rPr>
        <w:t>6</w:t>
      </w:r>
      <w:r w:rsidRPr="003C12DB">
        <w:rPr>
          <w:rFonts w:asciiTheme="minorHAnsi" w:hAnsiTheme="minorHAnsi" w:cstheme="minorHAnsi"/>
          <w:color w:val="auto"/>
          <w:sz w:val="22"/>
          <w:szCs w:val="22"/>
        </w:rPr>
        <w:tab/>
        <w:t>STUDY SETTING</w:t>
      </w:r>
    </w:p>
    <w:p w14:paraId="118730BF" w14:textId="33D0EBC8" w:rsidR="00EB0077" w:rsidRPr="00915B20" w:rsidRDefault="00EB0077" w:rsidP="00EB0077">
      <w:pPr>
        <w:spacing w:after="200" w:line="276" w:lineRule="auto"/>
        <w:contextualSpacing/>
        <w:rPr>
          <w:rFonts w:cstheme="minorHAnsi"/>
          <w:szCs w:val="22"/>
        </w:rPr>
      </w:pPr>
      <w:r>
        <w:rPr>
          <w:rFonts w:cstheme="minorHAnsi"/>
          <w:szCs w:val="22"/>
        </w:rPr>
        <w:t xml:space="preserve">This is a multi-centre international study, with recruiting sites located in Western Australia, South Australia, and now the UK. </w:t>
      </w:r>
      <w:r w:rsidR="0046393C">
        <w:rPr>
          <w:rFonts w:cstheme="minorHAnsi"/>
          <w:szCs w:val="22"/>
        </w:rPr>
        <w:t>Recruiting sites must</w:t>
      </w:r>
      <w:r>
        <w:rPr>
          <w:rFonts w:cstheme="minorHAnsi"/>
          <w:szCs w:val="22"/>
        </w:rPr>
        <w:t xml:space="preserve"> satisf</w:t>
      </w:r>
      <w:r w:rsidR="0046393C">
        <w:rPr>
          <w:rFonts w:cstheme="minorHAnsi"/>
          <w:szCs w:val="22"/>
        </w:rPr>
        <w:t>y</w:t>
      </w:r>
      <w:r>
        <w:rPr>
          <w:rFonts w:cstheme="minorHAnsi"/>
          <w:szCs w:val="22"/>
        </w:rPr>
        <w:t xml:space="preserve"> the following 3 attributes</w:t>
      </w:r>
      <w:r w:rsidR="0046393C">
        <w:rPr>
          <w:rFonts w:cstheme="minorHAnsi"/>
          <w:szCs w:val="22"/>
        </w:rPr>
        <w:t>:</w:t>
      </w:r>
    </w:p>
    <w:p w14:paraId="0A65C796" w14:textId="3F89A502" w:rsidR="00EB0077" w:rsidRPr="00031117" w:rsidRDefault="00EB0077" w:rsidP="00EB0077">
      <w:pPr>
        <w:pStyle w:val="ListParagraph"/>
        <w:numPr>
          <w:ilvl w:val="0"/>
          <w:numId w:val="15"/>
        </w:numPr>
        <w:ind w:left="426" w:hanging="426"/>
        <w:rPr>
          <w:rFonts w:cstheme="minorHAnsi"/>
        </w:rPr>
      </w:pPr>
      <w:r w:rsidRPr="00031117">
        <w:rPr>
          <w:rFonts w:cstheme="minorHAnsi"/>
        </w:rPr>
        <w:t xml:space="preserve">Providing a 24/7 </w:t>
      </w:r>
      <w:r w:rsidR="0046393C">
        <w:rPr>
          <w:rFonts w:cstheme="minorHAnsi"/>
        </w:rPr>
        <w:t>acute cardiology service</w:t>
      </w:r>
      <w:r w:rsidRPr="00031117">
        <w:rPr>
          <w:rFonts w:cstheme="minorHAnsi"/>
        </w:rPr>
        <w:t xml:space="preserve"> and thus which will be responsible for the inpatient diagnosis and care of MINOCA cases</w:t>
      </w:r>
    </w:p>
    <w:p w14:paraId="7DA681CE" w14:textId="7C20567E" w:rsidR="00EB0077" w:rsidRPr="00031117" w:rsidRDefault="00EB0077" w:rsidP="00EB0077">
      <w:pPr>
        <w:pStyle w:val="ListParagraph"/>
        <w:numPr>
          <w:ilvl w:val="0"/>
          <w:numId w:val="15"/>
        </w:numPr>
        <w:ind w:left="426" w:hanging="426"/>
        <w:rPr>
          <w:rFonts w:cstheme="minorHAnsi"/>
        </w:rPr>
      </w:pPr>
      <w:r w:rsidRPr="00031117">
        <w:rPr>
          <w:rFonts w:cstheme="minorHAnsi"/>
        </w:rPr>
        <w:t xml:space="preserve">Already providing </w:t>
      </w:r>
      <w:r w:rsidR="003A44E6">
        <w:rPr>
          <w:rFonts w:cstheme="minorHAnsi"/>
        </w:rPr>
        <w:t xml:space="preserve">access to </w:t>
      </w:r>
      <w:r w:rsidRPr="00031117">
        <w:rPr>
          <w:rFonts w:cstheme="minorHAnsi"/>
        </w:rPr>
        <w:t>CMR as part of standard clinical care for MINOCA</w:t>
      </w:r>
    </w:p>
    <w:p w14:paraId="77CEC481" w14:textId="77777777" w:rsidR="00EB0077" w:rsidRPr="00031117" w:rsidRDefault="00EB0077" w:rsidP="00EB0077">
      <w:pPr>
        <w:pStyle w:val="ListParagraph"/>
        <w:numPr>
          <w:ilvl w:val="0"/>
          <w:numId w:val="15"/>
        </w:numPr>
        <w:ind w:left="426" w:hanging="426"/>
        <w:rPr>
          <w:rFonts w:cstheme="minorHAnsi"/>
        </w:rPr>
      </w:pPr>
      <w:r w:rsidRPr="00031117">
        <w:rPr>
          <w:rFonts w:cstheme="minorHAnsi"/>
        </w:rPr>
        <w:t xml:space="preserve">Local CMR reporting must by a cardiologist or radiologist with at least Level II accreditation by either the SCMR or </w:t>
      </w:r>
      <w:proofErr w:type="spellStart"/>
      <w:r w:rsidRPr="00031117">
        <w:rPr>
          <w:rFonts w:cstheme="minorHAnsi"/>
        </w:rPr>
        <w:t>EuroCMR</w:t>
      </w:r>
      <w:proofErr w:type="spellEnd"/>
      <w:r w:rsidRPr="00031117">
        <w:rPr>
          <w:rFonts w:cstheme="minorHAnsi"/>
        </w:rPr>
        <w:t xml:space="preserve"> societies.</w:t>
      </w:r>
    </w:p>
    <w:p w14:paraId="52556EB1" w14:textId="77777777" w:rsidR="00EB0077" w:rsidRPr="00031117" w:rsidRDefault="00EB0077" w:rsidP="00EB0077">
      <w:pPr>
        <w:autoSpaceDE w:val="0"/>
        <w:autoSpaceDN w:val="0"/>
        <w:adjustRightInd w:val="0"/>
        <w:spacing w:after="200" w:line="276" w:lineRule="auto"/>
        <w:contextualSpacing/>
        <w:rPr>
          <w:rStyle w:val="Hyperlink"/>
          <w:rFonts w:cstheme="minorHAnsi"/>
          <w:color w:val="FF0000"/>
          <w:u w:val="none"/>
          <w:lang w:eastAsia="en-GB"/>
        </w:rPr>
      </w:pPr>
    </w:p>
    <w:p w14:paraId="32845072" w14:textId="4AC86940" w:rsidR="00EB0077" w:rsidRDefault="00EB0077" w:rsidP="00EB0077">
      <w:pPr>
        <w:autoSpaceDE w:val="0"/>
        <w:autoSpaceDN w:val="0"/>
        <w:adjustRightInd w:val="0"/>
        <w:spacing w:after="200" w:line="276" w:lineRule="auto"/>
        <w:contextualSpacing/>
        <w:rPr>
          <w:rFonts w:cstheme="minorHAnsi"/>
          <w:b/>
        </w:rPr>
      </w:pPr>
      <w:r w:rsidRPr="0011662F">
        <w:rPr>
          <w:rFonts w:cstheme="minorHAnsi"/>
          <w:b/>
        </w:rPr>
        <w:t>7</w:t>
      </w:r>
      <w:r w:rsidRPr="0011662F">
        <w:rPr>
          <w:rFonts w:cstheme="minorHAnsi"/>
          <w:b/>
        </w:rPr>
        <w:tab/>
      </w:r>
      <w:r>
        <w:rPr>
          <w:rFonts w:cstheme="minorHAnsi"/>
          <w:b/>
        </w:rPr>
        <w:t>SAMPLE AND RECRUITMENT</w:t>
      </w:r>
      <w:r w:rsidR="00557D9C">
        <w:rPr>
          <w:rFonts w:cstheme="minorHAnsi"/>
          <w:b/>
        </w:rPr>
        <w:br/>
      </w:r>
    </w:p>
    <w:p w14:paraId="190EFE95" w14:textId="77777777" w:rsidR="00EB0077" w:rsidRDefault="00EB0077" w:rsidP="00EB0077">
      <w:pPr>
        <w:autoSpaceDE w:val="0"/>
        <w:autoSpaceDN w:val="0"/>
        <w:adjustRightInd w:val="0"/>
        <w:spacing w:after="200" w:line="276" w:lineRule="auto"/>
        <w:contextualSpacing/>
        <w:rPr>
          <w:rFonts w:cstheme="minorHAnsi"/>
          <w:b/>
        </w:rPr>
      </w:pPr>
      <w:r>
        <w:rPr>
          <w:rFonts w:cstheme="minorHAnsi"/>
          <w:b/>
        </w:rPr>
        <w:t xml:space="preserve">7.1 </w:t>
      </w:r>
      <w:r>
        <w:rPr>
          <w:rFonts w:cstheme="minorHAnsi"/>
          <w:b/>
        </w:rPr>
        <w:tab/>
      </w:r>
      <w:r w:rsidRPr="0011662F">
        <w:rPr>
          <w:rFonts w:cstheme="minorHAnsi"/>
          <w:b/>
        </w:rPr>
        <w:t>E</w:t>
      </w:r>
      <w:r>
        <w:rPr>
          <w:rFonts w:cstheme="minorHAnsi"/>
          <w:b/>
        </w:rPr>
        <w:t>ligibility Criteria</w:t>
      </w:r>
    </w:p>
    <w:p w14:paraId="6F495372" w14:textId="77777777" w:rsidR="00EB0077" w:rsidRPr="0011662F" w:rsidRDefault="00EB0077" w:rsidP="00EB0077">
      <w:pPr>
        <w:autoSpaceDE w:val="0"/>
        <w:autoSpaceDN w:val="0"/>
        <w:adjustRightInd w:val="0"/>
        <w:spacing w:after="200" w:line="276" w:lineRule="auto"/>
        <w:contextualSpacing/>
        <w:rPr>
          <w:rFonts w:cstheme="minorHAnsi"/>
          <w:b/>
          <w:color w:val="FF0000"/>
          <w:lang w:eastAsia="en-GB"/>
        </w:rPr>
      </w:pPr>
    </w:p>
    <w:p w14:paraId="6B133AE4" w14:textId="3A7399A6" w:rsidR="00EB0077" w:rsidRPr="00915B20" w:rsidRDefault="00803DB1" w:rsidP="00EB0077">
      <w:pPr>
        <w:spacing w:after="200" w:line="276" w:lineRule="auto"/>
        <w:contextualSpacing/>
        <w:rPr>
          <w:rFonts w:cstheme="minorHAnsi"/>
          <w:szCs w:val="22"/>
        </w:rPr>
      </w:pPr>
      <w:r>
        <w:rPr>
          <w:rFonts w:cstheme="minorHAnsi"/>
          <w:szCs w:val="22"/>
        </w:rPr>
        <w:t>K</w:t>
      </w:r>
      <w:r w:rsidR="00EB0077">
        <w:rPr>
          <w:rFonts w:cstheme="minorHAnsi"/>
          <w:szCs w:val="22"/>
        </w:rPr>
        <w:t>ey</w:t>
      </w:r>
      <w:r w:rsidR="00EB0077" w:rsidRPr="00915B20">
        <w:rPr>
          <w:rFonts w:cstheme="minorHAnsi"/>
          <w:szCs w:val="22"/>
        </w:rPr>
        <w:t xml:space="preserve"> inclusion criteria:</w:t>
      </w:r>
    </w:p>
    <w:p w14:paraId="5BC72E0B" w14:textId="77777777" w:rsidR="00EB0077" w:rsidRPr="007F33EC" w:rsidRDefault="00EB0077" w:rsidP="00EB0077">
      <w:pPr>
        <w:pStyle w:val="ListParagraph"/>
        <w:numPr>
          <w:ilvl w:val="0"/>
          <w:numId w:val="13"/>
        </w:numPr>
        <w:ind w:left="426" w:hanging="426"/>
        <w:rPr>
          <w:rFonts w:cstheme="minorHAnsi"/>
        </w:rPr>
      </w:pPr>
      <w:r w:rsidRPr="007F33EC">
        <w:rPr>
          <w:rFonts w:cstheme="minorHAnsi"/>
        </w:rPr>
        <w:t>Presentation with MINOCA (as per the 2016 ESC consensus statement definition)</w:t>
      </w:r>
    </w:p>
    <w:p w14:paraId="033E4786" w14:textId="58CB19B0" w:rsidR="00EB0077" w:rsidRPr="007F33EC" w:rsidRDefault="00803DB1" w:rsidP="00EB0077">
      <w:pPr>
        <w:pStyle w:val="ListParagraph"/>
        <w:numPr>
          <w:ilvl w:val="0"/>
          <w:numId w:val="13"/>
        </w:numPr>
        <w:ind w:left="426" w:hanging="426"/>
        <w:rPr>
          <w:rFonts w:cstheme="minorHAnsi"/>
        </w:rPr>
      </w:pPr>
      <w:r>
        <w:rPr>
          <w:rFonts w:cstheme="minorHAnsi"/>
        </w:rPr>
        <w:t xml:space="preserve">Working diagnosis coronary plaque rupture, or significant </w:t>
      </w:r>
      <w:r w:rsidRPr="007F33EC">
        <w:rPr>
          <w:rFonts w:cstheme="minorHAnsi"/>
        </w:rPr>
        <w:t>diagnostic uncertainty</w:t>
      </w:r>
      <w:r>
        <w:rPr>
          <w:rFonts w:cstheme="minorHAnsi"/>
        </w:rPr>
        <w:t>*</w:t>
      </w:r>
      <w:r w:rsidRPr="007F33EC">
        <w:rPr>
          <w:rFonts w:cstheme="minorHAnsi"/>
        </w:rPr>
        <w:t xml:space="preserve"> </w:t>
      </w:r>
      <w:r>
        <w:rPr>
          <w:rFonts w:cstheme="minorHAnsi"/>
        </w:rPr>
        <w:t>if an alternative diagnosis is considered most likely</w:t>
      </w:r>
    </w:p>
    <w:p w14:paraId="074A85E6" w14:textId="77777777" w:rsidR="00EB0077" w:rsidRPr="007F33EC" w:rsidRDefault="00EB0077" w:rsidP="00EB0077">
      <w:pPr>
        <w:pStyle w:val="ListParagraph"/>
        <w:numPr>
          <w:ilvl w:val="0"/>
          <w:numId w:val="13"/>
        </w:numPr>
        <w:ind w:left="426" w:hanging="426"/>
        <w:rPr>
          <w:rFonts w:cstheme="minorHAnsi"/>
        </w:rPr>
      </w:pPr>
      <w:r w:rsidRPr="007F33EC">
        <w:rPr>
          <w:rFonts w:cstheme="minorHAnsi"/>
        </w:rPr>
        <w:t>Treating clinician intends to further assess by CMR</w:t>
      </w:r>
    </w:p>
    <w:p w14:paraId="50FF6E18" w14:textId="77777777" w:rsidR="00EB0077" w:rsidRPr="007F33EC" w:rsidRDefault="00EB0077" w:rsidP="00EB0077">
      <w:pPr>
        <w:pStyle w:val="ListParagraph"/>
        <w:numPr>
          <w:ilvl w:val="0"/>
          <w:numId w:val="13"/>
        </w:numPr>
        <w:tabs>
          <w:tab w:val="num" w:pos="2880"/>
        </w:tabs>
        <w:ind w:left="426" w:hanging="426"/>
        <w:rPr>
          <w:rFonts w:cstheme="minorHAnsi"/>
        </w:rPr>
      </w:pPr>
      <w:r w:rsidRPr="007F33EC">
        <w:rPr>
          <w:rFonts w:cstheme="minorHAnsi"/>
        </w:rPr>
        <w:t>Age &gt;18 years</w:t>
      </w:r>
    </w:p>
    <w:p w14:paraId="722F7FA0" w14:textId="36022178" w:rsidR="00EB0077" w:rsidRDefault="00EB0077" w:rsidP="00EB0077">
      <w:pPr>
        <w:tabs>
          <w:tab w:val="num" w:pos="2880"/>
        </w:tabs>
        <w:spacing w:after="200" w:line="276" w:lineRule="auto"/>
        <w:contextualSpacing/>
        <w:rPr>
          <w:rFonts w:cstheme="minorHAnsi"/>
          <w:szCs w:val="22"/>
        </w:rPr>
      </w:pPr>
      <w:r>
        <w:rPr>
          <w:rFonts w:cstheme="minorHAnsi"/>
          <w:szCs w:val="22"/>
        </w:rPr>
        <w:t>*D</w:t>
      </w:r>
      <w:r w:rsidRPr="00915B20">
        <w:rPr>
          <w:rFonts w:cstheme="minorHAnsi"/>
          <w:szCs w:val="22"/>
        </w:rPr>
        <w:t xml:space="preserve">iagnostic </w:t>
      </w:r>
      <w:r>
        <w:rPr>
          <w:rFonts w:cstheme="minorHAnsi"/>
          <w:szCs w:val="22"/>
        </w:rPr>
        <w:t>un</w:t>
      </w:r>
      <w:r w:rsidRPr="00915B20">
        <w:rPr>
          <w:rFonts w:cstheme="minorHAnsi"/>
          <w:szCs w:val="22"/>
        </w:rPr>
        <w:t xml:space="preserve">certainty </w:t>
      </w:r>
      <w:r>
        <w:rPr>
          <w:rFonts w:cstheme="minorHAnsi"/>
          <w:szCs w:val="22"/>
        </w:rPr>
        <w:t xml:space="preserve">is defined as </w:t>
      </w:r>
      <w:r w:rsidR="00803DB1">
        <w:rPr>
          <w:rFonts w:cstheme="minorHAnsi"/>
          <w:szCs w:val="22"/>
        </w:rPr>
        <w:t>significant</w:t>
      </w:r>
      <w:r>
        <w:rPr>
          <w:rFonts w:cstheme="minorHAnsi"/>
          <w:szCs w:val="22"/>
        </w:rPr>
        <w:t xml:space="preserve"> doubt on the part of the treating clinician as to the underlying mechanism for the MINOCA, and quantified as a certainty level</w:t>
      </w:r>
      <w:r w:rsidRPr="00915B20">
        <w:rPr>
          <w:rFonts w:cstheme="minorHAnsi"/>
          <w:szCs w:val="22"/>
        </w:rPr>
        <w:t xml:space="preserve"> </w:t>
      </w:r>
      <w:r w:rsidR="00803DB1">
        <w:rPr>
          <w:rFonts w:ascii="Arial" w:hAnsi="Arial" w:cs="Arial"/>
          <w:color w:val="000000"/>
        </w:rPr>
        <w:t>≤7</w:t>
      </w:r>
      <w:r>
        <w:rPr>
          <w:rFonts w:ascii="Arial" w:hAnsi="Arial" w:cs="Arial"/>
          <w:color w:val="000000"/>
        </w:rPr>
        <w:t xml:space="preserve"> (range 1-</w:t>
      </w:r>
      <w:r w:rsidRPr="00915B20">
        <w:rPr>
          <w:rFonts w:cstheme="minorHAnsi"/>
          <w:szCs w:val="22"/>
        </w:rPr>
        <w:t>10, with 1 being fully uncertain and 10 being fully certain)</w:t>
      </w:r>
    </w:p>
    <w:p w14:paraId="234003C7" w14:textId="77777777" w:rsidR="00EB0077" w:rsidRDefault="00EB0077" w:rsidP="00EB0077">
      <w:pPr>
        <w:tabs>
          <w:tab w:val="num" w:pos="2880"/>
        </w:tabs>
        <w:spacing w:after="200" w:line="276" w:lineRule="auto"/>
        <w:contextualSpacing/>
        <w:rPr>
          <w:rFonts w:cstheme="minorHAnsi"/>
          <w:szCs w:val="22"/>
        </w:rPr>
      </w:pPr>
    </w:p>
    <w:p w14:paraId="69DDBD6F" w14:textId="77777777" w:rsidR="00EB0077" w:rsidRDefault="00EB0077" w:rsidP="00EB0077">
      <w:pPr>
        <w:tabs>
          <w:tab w:val="num" w:pos="2880"/>
        </w:tabs>
        <w:spacing w:after="200" w:line="276" w:lineRule="auto"/>
        <w:contextualSpacing/>
        <w:rPr>
          <w:rFonts w:cstheme="minorHAnsi"/>
          <w:szCs w:val="22"/>
        </w:rPr>
      </w:pPr>
      <w:r>
        <w:rPr>
          <w:rFonts w:cstheme="minorHAnsi"/>
          <w:szCs w:val="22"/>
        </w:rPr>
        <w:t>Exclusion criteria are:</w:t>
      </w:r>
    </w:p>
    <w:p w14:paraId="31796CE1" w14:textId="77777777" w:rsidR="00EB0077" w:rsidRPr="00811709" w:rsidRDefault="00EB0077" w:rsidP="00EB0077">
      <w:pPr>
        <w:pStyle w:val="ListParagraph"/>
        <w:numPr>
          <w:ilvl w:val="0"/>
          <w:numId w:val="16"/>
        </w:numPr>
        <w:tabs>
          <w:tab w:val="num" w:pos="2880"/>
        </w:tabs>
        <w:ind w:left="426" w:hanging="426"/>
        <w:rPr>
          <w:rFonts w:cstheme="minorHAnsi"/>
        </w:rPr>
      </w:pPr>
      <w:r w:rsidRPr="00811709">
        <w:rPr>
          <w:rFonts w:cstheme="minorHAnsi"/>
        </w:rPr>
        <w:t>CMR is contra-indicated</w:t>
      </w:r>
      <w:r>
        <w:rPr>
          <w:rFonts w:cstheme="minorHAnsi"/>
        </w:rPr>
        <w:t xml:space="preserve"> or not planned</w:t>
      </w:r>
    </w:p>
    <w:p w14:paraId="1A52CBEE" w14:textId="3384054D" w:rsidR="00EB0077" w:rsidRPr="00811709" w:rsidRDefault="00EB0077" w:rsidP="00EB0077">
      <w:pPr>
        <w:pStyle w:val="ListParagraph"/>
        <w:numPr>
          <w:ilvl w:val="0"/>
          <w:numId w:val="16"/>
        </w:numPr>
        <w:tabs>
          <w:tab w:val="num" w:pos="2880"/>
        </w:tabs>
        <w:ind w:left="426" w:hanging="426"/>
        <w:rPr>
          <w:rFonts w:cstheme="minorHAnsi"/>
        </w:rPr>
      </w:pPr>
      <w:r w:rsidRPr="00811709">
        <w:rPr>
          <w:rFonts w:cstheme="minorHAnsi"/>
        </w:rPr>
        <w:t>Type II myocardial infarction</w:t>
      </w:r>
      <w:r w:rsidR="00543665">
        <w:rPr>
          <w:rFonts w:cstheme="minorHAnsi"/>
        </w:rPr>
        <w:t xml:space="preserve"> rather than MINOCA</w:t>
      </w:r>
    </w:p>
    <w:p w14:paraId="6DFD207B" w14:textId="77777777" w:rsidR="00EB0077" w:rsidRDefault="00EB0077" w:rsidP="00EB0077">
      <w:pPr>
        <w:pStyle w:val="ListParagraph"/>
        <w:numPr>
          <w:ilvl w:val="0"/>
          <w:numId w:val="16"/>
        </w:numPr>
        <w:tabs>
          <w:tab w:val="num" w:pos="2880"/>
        </w:tabs>
        <w:ind w:left="426" w:hanging="426"/>
        <w:rPr>
          <w:rFonts w:cstheme="minorHAnsi"/>
        </w:rPr>
      </w:pPr>
      <w:r w:rsidRPr="00811709">
        <w:rPr>
          <w:rFonts w:cstheme="minorHAnsi"/>
        </w:rPr>
        <w:t>Pregnancy</w:t>
      </w:r>
    </w:p>
    <w:p w14:paraId="39550E5B" w14:textId="77777777" w:rsidR="00EB0077" w:rsidRPr="001E070F" w:rsidRDefault="00EB0077" w:rsidP="00EB0077">
      <w:pPr>
        <w:tabs>
          <w:tab w:val="num" w:pos="2880"/>
        </w:tabs>
        <w:spacing w:line="240" w:lineRule="auto"/>
        <w:rPr>
          <w:rFonts w:cstheme="minorHAnsi"/>
          <w:bCs/>
          <w:color w:val="0000FF"/>
          <w:szCs w:val="22"/>
        </w:rPr>
      </w:pPr>
    </w:p>
    <w:p w14:paraId="0F1480D8" w14:textId="77777777" w:rsidR="00EB0077" w:rsidRDefault="00EB0077" w:rsidP="00803DB1">
      <w:pPr>
        <w:spacing w:after="0" w:line="240" w:lineRule="auto"/>
        <w:rPr>
          <w:rFonts w:cstheme="minorHAnsi"/>
          <w:b/>
          <w:szCs w:val="22"/>
        </w:rPr>
      </w:pPr>
      <w:r>
        <w:rPr>
          <w:rFonts w:cstheme="minorHAnsi"/>
          <w:b/>
          <w:szCs w:val="22"/>
        </w:rPr>
        <w:t xml:space="preserve">7.2 </w:t>
      </w:r>
      <w:r w:rsidRPr="00AE0D8A">
        <w:rPr>
          <w:rFonts w:cstheme="minorHAnsi"/>
          <w:b/>
          <w:szCs w:val="22"/>
        </w:rPr>
        <w:tab/>
      </w:r>
      <w:r>
        <w:rPr>
          <w:rFonts w:cstheme="minorHAnsi"/>
          <w:b/>
          <w:szCs w:val="22"/>
        </w:rPr>
        <w:t>Sampling</w:t>
      </w:r>
    </w:p>
    <w:p w14:paraId="209F9265" w14:textId="77777777" w:rsidR="00EB0077" w:rsidRPr="00AE0D8A" w:rsidRDefault="00EB0077" w:rsidP="00803DB1">
      <w:pPr>
        <w:spacing w:after="0" w:line="240" w:lineRule="auto"/>
        <w:rPr>
          <w:rFonts w:eastAsiaTheme="majorEastAsia" w:cstheme="minorHAnsi"/>
          <w:b/>
          <w:bCs/>
          <w:szCs w:val="22"/>
        </w:rPr>
      </w:pPr>
    </w:p>
    <w:p w14:paraId="24C001D0" w14:textId="44ED6D15" w:rsidR="00EB0077" w:rsidRDefault="00EB0077" w:rsidP="00803DB1">
      <w:pPr>
        <w:spacing w:after="200" w:line="276" w:lineRule="auto"/>
        <w:rPr>
          <w:rFonts w:cstheme="minorHAnsi"/>
          <w:szCs w:val="22"/>
        </w:rPr>
      </w:pPr>
      <w:r>
        <w:rPr>
          <w:rFonts w:cstheme="minorHAnsi"/>
          <w:szCs w:val="22"/>
        </w:rPr>
        <w:t xml:space="preserve">All consecutive eligible individuals </w:t>
      </w:r>
      <w:r w:rsidR="00803DB1">
        <w:rPr>
          <w:rFonts w:cstheme="minorHAnsi"/>
          <w:szCs w:val="22"/>
        </w:rPr>
        <w:t xml:space="preserve">at JCUH </w:t>
      </w:r>
      <w:r>
        <w:rPr>
          <w:rFonts w:cstheme="minorHAnsi"/>
          <w:szCs w:val="22"/>
        </w:rPr>
        <w:t>with</w:t>
      </w:r>
      <w:r w:rsidR="00803DB1">
        <w:rPr>
          <w:rFonts w:cstheme="minorHAnsi"/>
          <w:szCs w:val="22"/>
        </w:rPr>
        <w:t xml:space="preserve"> a</w:t>
      </w:r>
      <w:r>
        <w:rPr>
          <w:rFonts w:cstheme="minorHAnsi"/>
          <w:szCs w:val="22"/>
        </w:rPr>
        <w:t xml:space="preserve"> MINOCA</w:t>
      </w:r>
      <w:r w:rsidR="00803DB1">
        <w:rPr>
          <w:rFonts w:cstheme="minorHAnsi"/>
          <w:szCs w:val="22"/>
        </w:rPr>
        <w:t xml:space="preserve"> presentation following angiography </w:t>
      </w:r>
      <w:r>
        <w:rPr>
          <w:rFonts w:cstheme="minorHAnsi"/>
          <w:szCs w:val="22"/>
        </w:rPr>
        <w:t>will be approached over a period of up to 2 years</w:t>
      </w:r>
      <w:r w:rsidR="00543665">
        <w:rPr>
          <w:rFonts w:cstheme="minorHAnsi"/>
          <w:szCs w:val="22"/>
        </w:rPr>
        <w:t>, and then with conclusion of data accrual at the 1-year anniversary of the last-recruited participant</w:t>
      </w:r>
      <w:r>
        <w:rPr>
          <w:rFonts w:cstheme="minorHAnsi"/>
          <w:szCs w:val="22"/>
        </w:rPr>
        <w:t>. The total s</w:t>
      </w:r>
      <w:r w:rsidRPr="00915B20">
        <w:rPr>
          <w:rFonts w:cstheme="minorHAnsi"/>
          <w:szCs w:val="22"/>
        </w:rPr>
        <w:t xml:space="preserve">ample size </w:t>
      </w:r>
      <w:r>
        <w:rPr>
          <w:rFonts w:cstheme="minorHAnsi"/>
          <w:szCs w:val="22"/>
        </w:rPr>
        <w:t>required</w:t>
      </w:r>
      <w:r w:rsidRPr="00915B20">
        <w:rPr>
          <w:rFonts w:cstheme="minorHAnsi"/>
          <w:szCs w:val="22"/>
        </w:rPr>
        <w:t xml:space="preserve"> </w:t>
      </w:r>
      <w:r>
        <w:rPr>
          <w:rFonts w:cstheme="minorHAnsi"/>
          <w:szCs w:val="22"/>
        </w:rPr>
        <w:t>across all recruiting sites is 384 participants</w:t>
      </w:r>
      <w:r w:rsidRPr="00915B20">
        <w:rPr>
          <w:rFonts w:cstheme="minorHAnsi"/>
          <w:szCs w:val="22"/>
        </w:rPr>
        <w:t xml:space="preserve">. This will allow </w:t>
      </w:r>
      <w:r>
        <w:rPr>
          <w:rFonts w:cstheme="minorHAnsi"/>
          <w:szCs w:val="22"/>
        </w:rPr>
        <w:t>the frequency</w:t>
      </w:r>
      <w:r w:rsidRPr="00915B20">
        <w:rPr>
          <w:rFonts w:cstheme="minorHAnsi"/>
          <w:szCs w:val="22"/>
        </w:rPr>
        <w:t xml:space="preserve"> of the composite of change in diagnosis and</w:t>
      </w:r>
      <w:r>
        <w:rPr>
          <w:rFonts w:cstheme="minorHAnsi"/>
          <w:szCs w:val="22"/>
        </w:rPr>
        <w:t xml:space="preserve"> / or</w:t>
      </w:r>
      <w:r w:rsidRPr="00915B20">
        <w:rPr>
          <w:rFonts w:cstheme="minorHAnsi"/>
          <w:szCs w:val="22"/>
        </w:rPr>
        <w:t xml:space="preserve"> management to be estimated such that their </w:t>
      </w:r>
      <w:r w:rsidR="00543665">
        <w:rPr>
          <w:rFonts w:cstheme="minorHAnsi"/>
          <w:szCs w:val="22"/>
        </w:rPr>
        <w:t>c</w:t>
      </w:r>
      <w:r w:rsidRPr="00915B20">
        <w:rPr>
          <w:rFonts w:cstheme="minorHAnsi"/>
          <w:szCs w:val="22"/>
        </w:rPr>
        <w:t xml:space="preserve">onfidence </w:t>
      </w:r>
      <w:r w:rsidR="00543665">
        <w:rPr>
          <w:rFonts w:cstheme="minorHAnsi"/>
          <w:szCs w:val="22"/>
        </w:rPr>
        <w:t>i</w:t>
      </w:r>
      <w:r w:rsidRPr="00915B20">
        <w:rPr>
          <w:rFonts w:cstheme="minorHAnsi"/>
          <w:szCs w:val="22"/>
        </w:rPr>
        <w:t>ntervals will be no wider than +/-5%, assuming a conservative 50% prevalence for there being a change consequent to the CMR.</w:t>
      </w:r>
      <w:r>
        <w:rPr>
          <w:rFonts w:cstheme="minorHAnsi"/>
          <w:szCs w:val="22"/>
        </w:rPr>
        <w:t xml:space="preserve"> It is anticipated that approximately 100 individuals will be recruited </w:t>
      </w:r>
      <w:r w:rsidR="003A44E6">
        <w:rPr>
          <w:rFonts w:cstheme="minorHAnsi"/>
          <w:szCs w:val="22"/>
        </w:rPr>
        <w:t>via the UK site(s)</w:t>
      </w:r>
      <w:r>
        <w:rPr>
          <w:rFonts w:cstheme="minorHAnsi"/>
          <w:szCs w:val="22"/>
        </w:rPr>
        <w:t>.</w:t>
      </w:r>
    </w:p>
    <w:p w14:paraId="4053BDA0" w14:textId="77777777" w:rsidR="00557D9C" w:rsidRPr="00915B20" w:rsidRDefault="00557D9C" w:rsidP="00EB0077">
      <w:pPr>
        <w:spacing w:after="200" w:line="276" w:lineRule="auto"/>
        <w:contextualSpacing/>
        <w:rPr>
          <w:rFonts w:cstheme="minorHAnsi"/>
          <w:szCs w:val="22"/>
        </w:rPr>
      </w:pPr>
    </w:p>
    <w:p w14:paraId="29838E7F" w14:textId="15A7FCD4" w:rsidR="00475FDA" w:rsidRDefault="00580154" w:rsidP="003802A1">
      <w:pPr>
        <w:pStyle w:val="BodyText"/>
        <w:spacing w:after="120"/>
        <w:rPr>
          <w:rFonts w:asciiTheme="minorHAnsi" w:hAnsiTheme="minorHAnsi" w:cstheme="minorHAnsi"/>
          <w:b/>
          <w:i w:val="0"/>
          <w:sz w:val="22"/>
          <w:szCs w:val="22"/>
        </w:rPr>
      </w:pPr>
      <w:r>
        <w:rPr>
          <w:rFonts w:asciiTheme="minorHAnsi" w:hAnsiTheme="minorHAnsi" w:cstheme="minorHAnsi"/>
          <w:b/>
          <w:i w:val="0"/>
          <w:sz w:val="22"/>
          <w:szCs w:val="22"/>
        </w:rPr>
        <w:t>7.3</w:t>
      </w:r>
      <w:r w:rsidR="00093582">
        <w:rPr>
          <w:rFonts w:asciiTheme="minorHAnsi" w:hAnsiTheme="minorHAnsi" w:cstheme="minorHAnsi"/>
          <w:b/>
          <w:i w:val="0"/>
          <w:sz w:val="22"/>
          <w:szCs w:val="22"/>
        </w:rPr>
        <w:t xml:space="preserve"> </w:t>
      </w:r>
      <w:r w:rsidR="00557D9C">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C</w:t>
      </w:r>
      <w:r w:rsidR="00950F3F">
        <w:rPr>
          <w:rFonts w:asciiTheme="minorHAnsi" w:hAnsiTheme="minorHAnsi" w:cstheme="minorHAnsi"/>
          <w:b/>
          <w:i w:val="0"/>
          <w:sz w:val="22"/>
          <w:szCs w:val="22"/>
        </w:rPr>
        <w:t>onsent</w:t>
      </w:r>
    </w:p>
    <w:p w14:paraId="10C9EE57" w14:textId="71FA2D8B" w:rsidR="00153D83" w:rsidRDefault="00153D83" w:rsidP="00153D83">
      <w:pPr>
        <w:spacing w:after="200" w:line="276" w:lineRule="auto"/>
        <w:contextualSpacing/>
        <w:rPr>
          <w:rFonts w:eastAsia="Times New Roman" w:cstheme="minorHAnsi"/>
          <w:szCs w:val="22"/>
          <w:lang w:val="en-US"/>
        </w:rPr>
      </w:pPr>
      <w:r>
        <w:rPr>
          <w:rFonts w:eastAsia="Times New Roman" w:cstheme="minorHAnsi"/>
          <w:szCs w:val="22"/>
          <w:lang w:val="en-US"/>
        </w:rPr>
        <w:t>Informed consent will be obtained in every case prior to undergoing any activity related to the study. The following steps will be followed:</w:t>
      </w:r>
    </w:p>
    <w:p w14:paraId="12C4EEB1" w14:textId="3A1651D3" w:rsidR="00F62689" w:rsidRDefault="00A76DD7" w:rsidP="00F62689">
      <w:pPr>
        <w:pStyle w:val="ListParagraph"/>
        <w:numPr>
          <w:ilvl w:val="0"/>
          <w:numId w:val="17"/>
        </w:numPr>
        <w:ind w:left="426" w:hanging="426"/>
        <w:rPr>
          <w:rFonts w:eastAsia="Times New Roman" w:cstheme="minorHAnsi"/>
          <w:lang w:val="en-US"/>
        </w:rPr>
      </w:pPr>
      <w:r>
        <w:rPr>
          <w:rFonts w:eastAsia="Times New Roman" w:cstheme="minorHAnsi"/>
          <w:lang w:val="en-US"/>
        </w:rPr>
        <w:t xml:space="preserve">Consent will be in accordance with </w:t>
      </w:r>
      <w:r w:rsidR="00543665">
        <w:rPr>
          <w:rFonts w:eastAsia="Times New Roman" w:cstheme="minorHAnsi"/>
          <w:lang w:val="en-US"/>
        </w:rPr>
        <w:t xml:space="preserve">the principles of </w:t>
      </w:r>
      <w:r>
        <w:rPr>
          <w:rFonts w:eastAsia="Times New Roman" w:cstheme="minorHAnsi"/>
          <w:lang w:val="en-US"/>
        </w:rPr>
        <w:t>GCP</w:t>
      </w:r>
      <w:r w:rsidR="00543665">
        <w:rPr>
          <w:rFonts w:eastAsia="Times New Roman" w:cstheme="minorHAnsi"/>
          <w:lang w:val="en-US"/>
        </w:rPr>
        <w:t>.</w:t>
      </w:r>
    </w:p>
    <w:p w14:paraId="25B21F3D" w14:textId="1499363C" w:rsidR="00153D83" w:rsidRDefault="00153D83" w:rsidP="00F62689">
      <w:pPr>
        <w:pStyle w:val="ListParagraph"/>
        <w:numPr>
          <w:ilvl w:val="0"/>
          <w:numId w:val="17"/>
        </w:numPr>
        <w:ind w:left="426" w:hanging="426"/>
        <w:rPr>
          <w:rFonts w:eastAsia="Times New Roman" w:cstheme="minorHAnsi"/>
          <w:lang w:val="en-US"/>
        </w:rPr>
      </w:pPr>
      <w:r>
        <w:rPr>
          <w:rFonts w:eastAsia="Times New Roman" w:cstheme="minorHAnsi"/>
          <w:lang w:val="en-US"/>
        </w:rPr>
        <w:t xml:space="preserve">Consent </w:t>
      </w:r>
      <w:r w:rsidR="00F62689">
        <w:rPr>
          <w:rFonts w:eastAsia="Times New Roman" w:cstheme="minorHAnsi"/>
          <w:lang w:val="en-US"/>
        </w:rPr>
        <w:t>can</w:t>
      </w:r>
      <w:r>
        <w:rPr>
          <w:rFonts w:eastAsia="Times New Roman" w:cstheme="minorHAnsi"/>
          <w:lang w:val="en-US"/>
        </w:rPr>
        <w:t xml:space="preserve"> only be obtained by a research team member, who will be knowledgeable about the research, its objectives and conduct, and all possible risks.</w:t>
      </w:r>
    </w:p>
    <w:p w14:paraId="12DC6860" w14:textId="2ED65300" w:rsidR="00153D83" w:rsidRDefault="00153D83" w:rsidP="00F62689">
      <w:pPr>
        <w:pStyle w:val="ListParagraph"/>
        <w:numPr>
          <w:ilvl w:val="0"/>
          <w:numId w:val="17"/>
        </w:numPr>
        <w:ind w:left="426" w:hanging="426"/>
        <w:rPr>
          <w:rFonts w:eastAsia="Times New Roman" w:cstheme="minorHAnsi"/>
          <w:lang w:val="en-US"/>
        </w:rPr>
      </w:pPr>
      <w:r>
        <w:rPr>
          <w:rFonts w:eastAsia="Times New Roman" w:cstheme="minorHAnsi"/>
          <w:lang w:val="en-US"/>
        </w:rPr>
        <w:t>Following verbal explanation of the study</w:t>
      </w:r>
      <w:r w:rsidR="00F62689">
        <w:rPr>
          <w:rFonts w:eastAsia="Times New Roman" w:cstheme="minorHAnsi"/>
          <w:lang w:val="en-US"/>
        </w:rPr>
        <w:t xml:space="preserve"> and opportunity to ask questions</w:t>
      </w:r>
      <w:r>
        <w:rPr>
          <w:rFonts w:eastAsia="Times New Roman" w:cstheme="minorHAnsi"/>
          <w:lang w:val="en-US"/>
        </w:rPr>
        <w:t>, patients will be provided with a printed copy of the PIL and Consent form</w:t>
      </w:r>
      <w:r w:rsidR="00F62689">
        <w:rPr>
          <w:rFonts w:eastAsia="Times New Roman" w:cstheme="minorHAnsi"/>
          <w:lang w:val="en-US"/>
        </w:rPr>
        <w:t xml:space="preserve"> (which must be approved by the REC and all other relevant local bodies)</w:t>
      </w:r>
      <w:r>
        <w:rPr>
          <w:rFonts w:eastAsia="Times New Roman" w:cstheme="minorHAnsi"/>
          <w:lang w:val="en-US"/>
        </w:rPr>
        <w:t>. Patients will be provided as much time as required to consider participation, but will cease to be eligible if this is not provided before the CMR study is performed</w:t>
      </w:r>
      <w:r w:rsidR="00F62689">
        <w:rPr>
          <w:rFonts w:eastAsia="Times New Roman" w:cstheme="minorHAnsi"/>
          <w:lang w:val="en-US"/>
        </w:rPr>
        <w:t xml:space="preserve">; this time period is anticipated to span between 24hrs – 2 weeks. </w:t>
      </w:r>
      <w:r w:rsidR="00BF4906">
        <w:rPr>
          <w:rFonts w:eastAsia="Times New Roman" w:cstheme="minorHAnsi"/>
          <w:lang w:val="en-US"/>
        </w:rPr>
        <w:t>This signed form is retained securely in the research office as per standard protocols, a</w:t>
      </w:r>
      <w:r w:rsidR="00F62689">
        <w:rPr>
          <w:rFonts w:eastAsia="Times New Roman" w:cstheme="minorHAnsi"/>
          <w:lang w:val="en-US"/>
        </w:rPr>
        <w:t xml:space="preserve"> copy </w:t>
      </w:r>
      <w:r w:rsidR="00BF4906">
        <w:rPr>
          <w:rFonts w:eastAsia="Times New Roman" w:cstheme="minorHAnsi"/>
          <w:lang w:val="en-US"/>
        </w:rPr>
        <w:t>is retained in the clinical notes, with, and a second copy is retained by the patient</w:t>
      </w:r>
      <w:r w:rsidR="00F62689">
        <w:rPr>
          <w:rFonts w:eastAsia="Times New Roman" w:cstheme="minorHAnsi"/>
          <w:lang w:val="en-US"/>
        </w:rPr>
        <w:t>.</w:t>
      </w:r>
    </w:p>
    <w:p w14:paraId="385B8108" w14:textId="45951F50" w:rsidR="00F62689" w:rsidRDefault="00F62689" w:rsidP="00F62689">
      <w:pPr>
        <w:pStyle w:val="ListParagraph"/>
        <w:numPr>
          <w:ilvl w:val="0"/>
          <w:numId w:val="17"/>
        </w:numPr>
        <w:ind w:left="426" w:hanging="426"/>
        <w:rPr>
          <w:rFonts w:eastAsia="Times New Roman" w:cstheme="minorHAnsi"/>
          <w:lang w:val="en-US"/>
        </w:rPr>
      </w:pPr>
      <w:r>
        <w:rPr>
          <w:rFonts w:eastAsia="Times New Roman" w:cstheme="minorHAnsi"/>
          <w:lang w:val="en-US"/>
        </w:rPr>
        <w:t>Where there is concern about a patient’s capacity to consent, these will not be recruited.</w:t>
      </w:r>
    </w:p>
    <w:p w14:paraId="04DF2BAA" w14:textId="6AFD0F28" w:rsidR="00F62689" w:rsidRDefault="00F62689" w:rsidP="00A76DD7">
      <w:pPr>
        <w:pStyle w:val="ListParagraph"/>
        <w:numPr>
          <w:ilvl w:val="0"/>
          <w:numId w:val="17"/>
        </w:numPr>
        <w:ind w:left="426" w:hanging="426"/>
        <w:rPr>
          <w:rFonts w:eastAsia="Times New Roman" w:cstheme="minorHAnsi"/>
          <w:lang w:val="en-US"/>
        </w:rPr>
      </w:pPr>
      <w:r>
        <w:rPr>
          <w:rFonts w:eastAsia="Times New Roman" w:cstheme="minorHAnsi"/>
          <w:lang w:val="en-US"/>
        </w:rPr>
        <w:t>Participants are able to withdraw consen</w:t>
      </w:r>
      <w:r w:rsidR="00BF4906">
        <w:rPr>
          <w:rFonts w:eastAsia="Times New Roman" w:cstheme="minorHAnsi"/>
          <w:lang w:val="en-US"/>
        </w:rPr>
        <w:t>t at any time during the study.</w:t>
      </w:r>
    </w:p>
    <w:p w14:paraId="093B5C15" w14:textId="77777777" w:rsidR="00BF4906" w:rsidRPr="00153D83" w:rsidRDefault="00BF4906" w:rsidP="00BF4906">
      <w:pPr>
        <w:pStyle w:val="ListParagraph"/>
        <w:ind w:left="426"/>
        <w:rPr>
          <w:rFonts w:eastAsia="Times New Roman" w:cstheme="minorHAnsi"/>
          <w:lang w:val="en-US"/>
        </w:rPr>
      </w:pPr>
    </w:p>
    <w:p w14:paraId="29EA7199" w14:textId="59067B1B" w:rsidR="00475FDA" w:rsidRDefault="00997241" w:rsidP="00BF4906">
      <w:pPr>
        <w:pStyle w:val="Heading1"/>
        <w:spacing w:before="0" w:after="200" w:line="276" w:lineRule="auto"/>
        <w:contextualSpacing/>
        <w:rPr>
          <w:rFonts w:asciiTheme="minorHAnsi" w:hAnsiTheme="minorHAnsi" w:cstheme="minorHAnsi"/>
          <w:color w:val="auto"/>
          <w:sz w:val="22"/>
          <w:szCs w:val="22"/>
        </w:rPr>
      </w:pPr>
      <w:r>
        <w:rPr>
          <w:rFonts w:asciiTheme="minorHAnsi" w:hAnsiTheme="minorHAnsi" w:cstheme="minorHAnsi"/>
          <w:color w:val="auto"/>
          <w:sz w:val="22"/>
          <w:szCs w:val="22"/>
        </w:rPr>
        <w:lastRenderedPageBreak/>
        <w:t>8</w:t>
      </w:r>
      <w:r w:rsidR="00D027C8">
        <w:rPr>
          <w:rFonts w:asciiTheme="minorHAnsi" w:hAnsiTheme="minorHAnsi" w:cstheme="minorHAnsi"/>
          <w:color w:val="auto"/>
          <w:sz w:val="22"/>
          <w:szCs w:val="22"/>
        </w:rPr>
        <w:tab/>
      </w:r>
      <w:r w:rsidR="00475FDA" w:rsidRPr="003C12DB">
        <w:rPr>
          <w:rFonts w:asciiTheme="minorHAnsi" w:hAnsiTheme="minorHAnsi" w:cstheme="minorHAnsi"/>
          <w:color w:val="auto"/>
          <w:sz w:val="22"/>
          <w:szCs w:val="22"/>
        </w:rPr>
        <w:t>ETHICAL AND REGULATORY CONSIDERATIONS</w:t>
      </w:r>
    </w:p>
    <w:p w14:paraId="4443194C" w14:textId="2EAA5BCA" w:rsidR="00BF4906" w:rsidRPr="00BF4906" w:rsidRDefault="00087EC0" w:rsidP="00BF4906">
      <w:pPr>
        <w:pStyle w:val="Heading2"/>
        <w:spacing w:before="0" w:after="200" w:line="276" w:lineRule="auto"/>
        <w:contextualSpacing/>
        <w:rPr>
          <w:rFonts w:asciiTheme="minorHAnsi" w:hAnsiTheme="minorHAnsi" w:cstheme="minorHAnsi"/>
          <w:color w:val="auto"/>
          <w:sz w:val="22"/>
          <w:szCs w:val="22"/>
        </w:rPr>
      </w:pPr>
      <w:r>
        <w:rPr>
          <w:rFonts w:asciiTheme="minorHAnsi" w:hAnsiTheme="minorHAnsi" w:cstheme="minorHAnsi"/>
          <w:color w:val="auto"/>
          <w:sz w:val="22"/>
          <w:szCs w:val="22"/>
        </w:rPr>
        <w:t>This</w:t>
      </w:r>
      <w:r w:rsidR="00F62689" w:rsidRPr="005003A9">
        <w:rPr>
          <w:rFonts w:asciiTheme="minorHAnsi" w:hAnsiTheme="minorHAnsi" w:cstheme="minorHAnsi"/>
          <w:color w:val="auto"/>
          <w:sz w:val="22"/>
          <w:szCs w:val="22"/>
        </w:rPr>
        <w:t xml:space="preserve"> non-interventional study carries low / negligible risk of serious harm to participants. The only appreciable risk is that of </w:t>
      </w:r>
      <w:r w:rsidR="003A44E6">
        <w:rPr>
          <w:rFonts w:asciiTheme="minorHAnsi" w:hAnsiTheme="minorHAnsi" w:cstheme="minorHAnsi"/>
          <w:color w:val="auto"/>
          <w:sz w:val="22"/>
          <w:szCs w:val="22"/>
        </w:rPr>
        <w:t>failure to ensure data security;</w:t>
      </w:r>
      <w:r w:rsidR="00F62689" w:rsidRPr="005003A9">
        <w:rPr>
          <w:rFonts w:asciiTheme="minorHAnsi" w:hAnsiTheme="minorHAnsi" w:cstheme="minorHAnsi"/>
          <w:color w:val="auto"/>
          <w:sz w:val="22"/>
          <w:szCs w:val="22"/>
        </w:rPr>
        <w:t xml:space="preserve"> </w:t>
      </w:r>
      <w:r w:rsidR="003A44E6">
        <w:rPr>
          <w:rFonts w:asciiTheme="minorHAnsi" w:hAnsiTheme="minorHAnsi" w:cstheme="minorHAnsi"/>
          <w:color w:val="auto"/>
          <w:sz w:val="22"/>
          <w:szCs w:val="22"/>
        </w:rPr>
        <w:t xml:space="preserve">the likelihood of this with rigorous adherence to standard research governance and data protection is very low, </w:t>
      </w:r>
      <w:r w:rsidR="00543665">
        <w:rPr>
          <w:rFonts w:asciiTheme="minorHAnsi" w:hAnsiTheme="minorHAnsi" w:cstheme="minorHAnsi"/>
          <w:color w:val="auto"/>
          <w:sz w:val="22"/>
          <w:szCs w:val="22"/>
        </w:rPr>
        <w:t xml:space="preserve">the data gathered are not of an overly sensitive or embarrassing nature, </w:t>
      </w:r>
      <w:r>
        <w:rPr>
          <w:rFonts w:asciiTheme="minorHAnsi" w:hAnsiTheme="minorHAnsi" w:cstheme="minorHAnsi"/>
          <w:color w:val="auto"/>
          <w:sz w:val="22"/>
          <w:szCs w:val="22"/>
        </w:rPr>
        <w:t xml:space="preserve">and </w:t>
      </w:r>
      <w:r w:rsidR="00F62689" w:rsidRPr="005003A9">
        <w:rPr>
          <w:rFonts w:asciiTheme="minorHAnsi" w:hAnsiTheme="minorHAnsi" w:cstheme="minorHAnsi"/>
          <w:color w:val="auto"/>
          <w:sz w:val="22"/>
          <w:szCs w:val="22"/>
        </w:rPr>
        <w:t xml:space="preserve">the research team are themselves NHS clinicians who would in any case have access to </w:t>
      </w:r>
      <w:r>
        <w:rPr>
          <w:rFonts w:asciiTheme="minorHAnsi" w:hAnsiTheme="minorHAnsi" w:cstheme="minorHAnsi"/>
          <w:color w:val="auto"/>
          <w:sz w:val="22"/>
          <w:szCs w:val="22"/>
        </w:rPr>
        <w:t xml:space="preserve">the clinical </w:t>
      </w:r>
      <w:r w:rsidR="00F62689" w:rsidRPr="005003A9">
        <w:rPr>
          <w:rFonts w:asciiTheme="minorHAnsi" w:hAnsiTheme="minorHAnsi" w:cstheme="minorHAnsi"/>
          <w:color w:val="auto"/>
          <w:sz w:val="22"/>
          <w:szCs w:val="22"/>
        </w:rPr>
        <w:t xml:space="preserve">data </w:t>
      </w:r>
      <w:r>
        <w:rPr>
          <w:rFonts w:asciiTheme="minorHAnsi" w:hAnsiTheme="minorHAnsi" w:cstheme="minorHAnsi"/>
          <w:color w:val="auto"/>
          <w:sz w:val="22"/>
          <w:szCs w:val="22"/>
        </w:rPr>
        <w:t xml:space="preserve">captured for </w:t>
      </w:r>
      <w:r w:rsidR="00F62689" w:rsidRPr="005003A9">
        <w:rPr>
          <w:rFonts w:asciiTheme="minorHAnsi" w:hAnsiTheme="minorHAnsi" w:cstheme="minorHAnsi"/>
          <w:color w:val="auto"/>
          <w:sz w:val="22"/>
          <w:szCs w:val="22"/>
        </w:rPr>
        <w:t>this study</w:t>
      </w:r>
      <w:r>
        <w:rPr>
          <w:rFonts w:asciiTheme="minorHAnsi" w:hAnsiTheme="minorHAnsi" w:cstheme="minorHAnsi"/>
          <w:color w:val="auto"/>
          <w:sz w:val="22"/>
          <w:szCs w:val="22"/>
        </w:rPr>
        <w:t>.</w:t>
      </w:r>
      <w:r w:rsidR="005003A9" w:rsidRPr="005003A9">
        <w:rPr>
          <w:rFonts w:asciiTheme="minorHAnsi" w:hAnsiTheme="minorHAnsi" w:cstheme="minorHAnsi"/>
          <w:color w:val="auto"/>
          <w:sz w:val="22"/>
          <w:szCs w:val="22"/>
        </w:rPr>
        <w:t xml:space="preserve"> </w:t>
      </w:r>
      <w:r>
        <w:rPr>
          <w:rFonts w:asciiTheme="minorHAnsi" w:hAnsiTheme="minorHAnsi" w:cstheme="minorHAnsi"/>
          <w:color w:val="auto"/>
          <w:sz w:val="22"/>
          <w:szCs w:val="22"/>
        </w:rPr>
        <w:t>T</w:t>
      </w:r>
      <w:r w:rsidR="005003A9" w:rsidRPr="005003A9">
        <w:rPr>
          <w:rFonts w:asciiTheme="minorHAnsi" w:hAnsiTheme="minorHAnsi" w:cstheme="minorHAnsi"/>
          <w:color w:val="auto"/>
          <w:sz w:val="22"/>
          <w:szCs w:val="22"/>
        </w:rPr>
        <w:t xml:space="preserve">he risks of data breach </w:t>
      </w:r>
      <w:r w:rsidR="005003A9">
        <w:rPr>
          <w:rFonts w:asciiTheme="minorHAnsi" w:hAnsiTheme="minorHAnsi" w:cstheme="minorHAnsi"/>
          <w:color w:val="auto"/>
          <w:sz w:val="22"/>
          <w:szCs w:val="22"/>
        </w:rPr>
        <w:t xml:space="preserve">in this study </w:t>
      </w:r>
      <w:r w:rsidR="005003A9" w:rsidRPr="005003A9">
        <w:rPr>
          <w:rFonts w:asciiTheme="minorHAnsi" w:hAnsiTheme="minorHAnsi" w:cstheme="minorHAnsi"/>
          <w:color w:val="auto"/>
          <w:sz w:val="22"/>
          <w:szCs w:val="22"/>
        </w:rPr>
        <w:t>are not</w:t>
      </w:r>
      <w:r w:rsidR="005003A9">
        <w:rPr>
          <w:rFonts w:asciiTheme="minorHAnsi" w:hAnsiTheme="minorHAnsi" w:cstheme="minorHAnsi"/>
          <w:color w:val="auto"/>
          <w:sz w:val="22"/>
          <w:szCs w:val="22"/>
        </w:rPr>
        <w:t xml:space="preserve"> anticipated to be any</w:t>
      </w:r>
      <w:r w:rsidR="005003A9" w:rsidRPr="005003A9">
        <w:rPr>
          <w:rFonts w:asciiTheme="minorHAnsi" w:hAnsiTheme="minorHAnsi" w:cstheme="minorHAnsi"/>
          <w:color w:val="auto"/>
          <w:sz w:val="22"/>
          <w:szCs w:val="22"/>
        </w:rPr>
        <w:t xml:space="preserve"> higher than other research studies conducted at this site</w:t>
      </w:r>
      <w:r w:rsidR="00F62689" w:rsidRPr="005003A9">
        <w:rPr>
          <w:rFonts w:asciiTheme="minorHAnsi" w:hAnsiTheme="minorHAnsi" w:cstheme="minorHAnsi"/>
          <w:color w:val="auto"/>
          <w:sz w:val="22"/>
          <w:szCs w:val="22"/>
        </w:rPr>
        <w:t>.</w:t>
      </w:r>
      <w:r w:rsidR="00BF4906">
        <w:rPr>
          <w:rFonts w:asciiTheme="minorHAnsi" w:hAnsiTheme="minorHAnsi" w:cstheme="minorHAnsi"/>
          <w:color w:val="auto"/>
          <w:sz w:val="22"/>
          <w:szCs w:val="22"/>
        </w:rPr>
        <w:br/>
      </w:r>
    </w:p>
    <w:p w14:paraId="48349032" w14:textId="49B96245" w:rsidR="00AF1D40" w:rsidRPr="003802A1" w:rsidRDefault="00997241" w:rsidP="00BF4906">
      <w:pPr>
        <w:pStyle w:val="Heading2"/>
        <w:spacing w:before="0" w:after="200" w:line="276" w:lineRule="auto"/>
        <w:contextualSpacing/>
        <w:rPr>
          <w:rFonts w:asciiTheme="minorHAnsi" w:hAnsiTheme="minorHAnsi" w:cstheme="minorHAnsi"/>
          <w:b/>
          <w:color w:val="auto"/>
          <w:sz w:val="22"/>
          <w:szCs w:val="22"/>
        </w:rPr>
      </w:pPr>
      <w:r>
        <w:rPr>
          <w:rFonts w:asciiTheme="minorHAnsi" w:eastAsiaTheme="majorEastAsia" w:hAnsiTheme="minorHAnsi" w:cstheme="minorHAnsi"/>
          <w:b/>
          <w:iCs w:val="0"/>
          <w:color w:val="auto"/>
          <w:sz w:val="22"/>
          <w:szCs w:val="22"/>
        </w:rPr>
        <w:t>8</w:t>
      </w:r>
      <w:r w:rsidR="00C975D7" w:rsidRPr="00C975D7">
        <w:rPr>
          <w:rFonts w:asciiTheme="minorHAnsi" w:eastAsiaTheme="majorEastAsia" w:hAnsiTheme="minorHAnsi" w:cstheme="minorHAnsi"/>
          <w:b/>
          <w:iCs w:val="0"/>
          <w:color w:val="auto"/>
          <w:sz w:val="22"/>
          <w:szCs w:val="22"/>
        </w:rPr>
        <w:t>.1</w:t>
      </w:r>
      <w:r w:rsidR="00AF1D40">
        <w:rPr>
          <w:rFonts w:asciiTheme="minorHAnsi" w:hAnsiTheme="minorHAnsi" w:cstheme="minorHAnsi"/>
          <w:b/>
          <w:color w:val="auto"/>
          <w:sz w:val="22"/>
          <w:szCs w:val="22"/>
        </w:rPr>
        <w:tab/>
      </w:r>
      <w:r w:rsidR="00AF1D40" w:rsidRPr="003C12DB">
        <w:rPr>
          <w:rFonts w:asciiTheme="minorHAnsi" w:hAnsiTheme="minorHAnsi" w:cstheme="minorHAnsi"/>
          <w:b/>
          <w:color w:val="auto"/>
          <w:sz w:val="22"/>
          <w:szCs w:val="22"/>
        </w:rPr>
        <w:t>Assessment and management of ris</w:t>
      </w:r>
      <w:r w:rsidR="00AF1D40">
        <w:rPr>
          <w:rFonts w:asciiTheme="minorHAnsi" w:hAnsiTheme="minorHAnsi" w:cstheme="minorHAnsi"/>
          <w:b/>
          <w:color w:val="auto"/>
          <w:sz w:val="22"/>
          <w:szCs w:val="22"/>
        </w:rPr>
        <w:t>k</w:t>
      </w:r>
    </w:p>
    <w:p w14:paraId="5B490F9A" w14:textId="0D330BB1" w:rsidR="00BF4906" w:rsidRPr="00087EC0" w:rsidRDefault="00783D3B" w:rsidP="00087EC0">
      <w:pPr>
        <w:pStyle w:val="Heading2"/>
        <w:spacing w:before="0" w:after="200" w:line="276" w:lineRule="auto"/>
        <w:contextualSpacing/>
        <w:rPr>
          <w:rFonts w:cstheme="minorHAnsi"/>
          <w:color w:val="0000FF"/>
          <w:szCs w:val="22"/>
        </w:rPr>
      </w:pPr>
      <w:r w:rsidRPr="005003A9">
        <w:rPr>
          <w:rFonts w:asciiTheme="minorHAnsi" w:hAnsiTheme="minorHAnsi" w:cstheme="minorHAnsi"/>
          <w:color w:val="auto"/>
          <w:sz w:val="22"/>
          <w:szCs w:val="22"/>
        </w:rPr>
        <w:t>This is a non-interventional study which carries low / negligible risk of ser</w:t>
      </w:r>
      <w:r>
        <w:rPr>
          <w:rFonts w:asciiTheme="minorHAnsi" w:hAnsiTheme="minorHAnsi" w:cstheme="minorHAnsi"/>
          <w:color w:val="auto"/>
          <w:sz w:val="22"/>
          <w:szCs w:val="22"/>
        </w:rPr>
        <w:t xml:space="preserve">ious harm to participants. By nature of the study design, with all study parameters being provided by the treating clinician rather than patient, the probability of receipt of information portending safeguarding implications is negligible. </w:t>
      </w:r>
      <w:r w:rsidR="00BF4906">
        <w:rPr>
          <w:rFonts w:asciiTheme="minorHAnsi" w:hAnsiTheme="minorHAnsi" w:cstheme="minorHAnsi"/>
          <w:color w:val="auto"/>
          <w:sz w:val="22"/>
          <w:szCs w:val="22"/>
        </w:rPr>
        <w:br/>
      </w:r>
    </w:p>
    <w:p w14:paraId="10772F54" w14:textId="22DB09EE" w:rsidR="00475FDA" w:rsidRPr="006B6502" w:rsidRDefault="00997241" w:rsidP="00087EC0">
      <w:pPr>
        <w:pStyle w:val="BodyText"/>
        <w:tabs>
          <w:tab w:val="left" w:pos="709"/>
        </w:tabs>
        <w:spacing w:after="200" w:line="276" w:lineRule="auto"/>
        <w:contextualSpacing/>
        <w:rPr>
          <w:rFonts w:asciiTheme="minorHAnsi" w:hAnsiTheme="minorHAnsi" w:cstheme="minorHAnsi"/>
          <w:b/>
          <w:i w:val="0"/>
          <w:sz w:val="22"/>
          <w:szCs w:val="22"/>
        </w:rPr>
      </w:pPr>
      <w:r>
        <w:rPr>
          <w:rFonts w:asciiTheme="minorHAnsi" w:hAnsiTheme="minorHAnsi" w:cstheme="minorHAnsi"/>
          <w:b/>
          <w:i w:val="0"/>
          <w:sz w:val="22"/>
          <w:szCs w:val="22"/>
        </w:rPr>
        <w:t>8</w:t>
      </w:r>
      <w:r w:rsidR="00AF1D40">
        <w:rPr>
          <w:rFonts w:asciiTheme="minorHAnsi" w:hAnsiTheme="minorHAnsi" w:cstheme="minorHAnsi"/>
          <w:b/>
          <w:i w:val="0"/>
          <w:sz w:val="22"/>
          <w:szCs w:val="22"/>
        </w:rPr>
        <w:t>.2</w:t>
      </w:r>
      <w:r w:rsidR="00475FDA" w:rsidRPr="003C12DB">
        <w:rPr>
          <w:rFonts w:asciiTheme="minorHAnsi" w:hAnsiTheme="minorHAnsi" w:cstheme="minorHAnsi"/>
          <w:b/>
          <w:i w:val="0"/>
          <w:sz w:val="22"/>
          <w:szCs w:val="22"/>
        </w:rPr>
        <w:t xml:space="preserve"> </w:t>
      </w:r>
      <w:r w:rsidR="003F65B6">
        <w:rPr>
          <w:rFonts w:asciiTheme="minorHAnsi" w:hAnsiTheme="minorHAnsi" w:cstheme="minorHAnsi"/>
          <w:b/>
          <w:i w:val="0"/>
          <w:sz w:val="22"/>
          <w:szCs w:val="22"/>
        </w:rPr>
        <w:tab/>
        <w:t xml:space="preserve"> </w:t>
      </w:r>
      <w:r w:rsidR="00475FDA" w:rsidRPr="003C12DB">
        <w:rPr>
          <w:rFonts w:asciiTheme="minorHAnsi" w:hAnsiTheme="minorHAnsi" w:cstheme="minorHAnsi"/>
          <w:b/>
          <w:i w:val="0"/>
          <w:sz w:val="22"/>
          <w:szCs w:val="22"/>
        </w:rPr>
        <w:t xml:space="preserve">Research Ethics Committee (REC) </w:t>
      </w:r>
      <w:r w:rsidR="009F4727">
        <w:rPr>
          <w:rFonts w:asciiTheme="minorHAnsi" w:hAnsiTheme="minorHAnsi" w:cstheme="minorHAnsi"/>
          <w:b/>
          <w:i w:val="0"/>
          <w:sz w:val="22"/>
          <w:szCs w:val="22"/>
        </w:rPr>
        <w:t xml:space="preserve">and other Regulatory </w:t>
      </w:r>
      <w:r w:rsidR="00475FDA" w:rsidRPr="003C12DB">
        <w:rPr>
          <w:rFonts w:asciiTheme="minorHAnsi" w:hAnsiTheme="minorHAnsi" w:cstheme="minorHAnsi"/>
          <w:b/>
          <w:i w:val="0"/>
          <w:sz w:val="22"/>
          <w:szCs w:val="22"/>
        </w:rPr>
        <w:t>review</w:t>
      </w:r>
      <w:r w:rsidR="00C975D7">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&amp; reports</w:t>
      </w:r>
    </w:p>
    <w:p w14:paraId="310F8C6B" w14:textId="126A541E" w:rsidR="009F4727"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lang w:eastAsia="en-GB"/>
        </w:rPr>
        <w:t>B</w:t>
      </w:r>
      <w:r w:rsidR="00475FDA" w:rsidRPr="00783D3B">
        <w:rPr>
          <w:rFonts w:cstheme="minorHAnsi"/>
          <w:szCs w:val="22"/>
          <w:lang w:eastAsia="en-GB"/>
        </w:rPr>
        <w:t xml:space="preserve">efore the start of the </w:t>
      </w:r>
      <w:r w:rsidR="002E5A6A" w:rsidRPr="00783D3B">
        <w:rPr>
          <w:rFonts w:cstheme="minorHAnsi"/>
          <w:szCs w:val="22"/>
          <w:lang w:eastAsia="en-GB"/>
        </w:rPr>
        <w:t>study</w:t>
      </w:r>
      <w:r w:rsidR="00475FDA" w:rsidRPr="00783D3B">
        <w:rPr>
          <w:rFonts w:cstheme="minorHAnsi"/>
          <w:szCs w:val="22"/>
          <w:lang w:eastAsia="en-GB"/>
        </w:rPr>
        <w:t xml:space="preserve">, </w:t>
      </w:r>
      <w:r w:rsidR="00E51ACD" w:rsidRPr="00783D3B">
        <w:rPr>
          <w:rFonts w:cstheme="minorHAnsi"/>
          <w:szCs w:val="22"/>
          <w:lang w:eastAsia="en-GB"/>
        </w:rPr>
        <w:t xml:space="preserve">a favourable opinion </w:t>
      </w:r>
      <w:r w:rsidR="00475FDA" w:rsidRPr="00783D3B">
        <w:rPr>
          <w:rFonts w:cstheme="minorHAnsi"/>
          <w:szCs w:val="22"/>
          <w:lang w:eastAsia="en-GB"/>
        </w:rPr>
        <w:t xml:space="preserve">will be sought from a REC for the </w:t>
      </w:r>
      <w:r w:rsidR="002E5A6A" w:rsidRPr="00783D3B">
        <w:rPr>
          <w:rFonts w:cstheme="minorHAnsi"/>
          <w:szCs w:val="22"/>
          <w:lang w:eastAsia="en-GB"/>
        </w:rPr>
        <w:t>study</w:t>
      </w:r>
      <w:r w:rsidR="00475FDA" w:rsidRPr="00783D3B">
        <w:rPr>
          <w:rFonts w:cstheme="minorHAnsi"/>
          <w:szCs w:val="22"/>
          <w:lang w:eastAsia="en-GB"/>
        </w:rPr>
        <w:t xml:space="preserve"> protocol, informed consent </w:t>
      </w:r>
      <w:r w:rsidR="00475FDA" w:rsidRPr="00783D3B">
        <w:rPr>
          <w:rFonts w:cstheme="minorHAnsi"/>
          <w:szCs w:val="22"/>
        </w:rPr>
        <w:t xml:space="preserve">forms and other relevant documents e.g. </w:t>
      </w:r>
      <w:r w:rsidR="00783D3B">
        <w:rPr>
          <w:rFonts w:cstheme="minorHAnsi"/>
          <w:szCs w:val="22"/>
        </w:rPr>
        <w:t>study questionnaires</w:t>
      </w:r>
      <w:r w:rsidR="00441AFA" w:rsidRPr="00783D3B">
        <w:rPr>
          <w:rFonts w:cstheme="minorHAnsi"/>
          <w:szCs w:val="22"/>
        </w:rPr>
        <w:t>.</w:t>
      </w:r>
      <w:r w:rsidR="00475FDA" w:rsidRPr="00783D3B">
        <w:rPr>
          <w:rFonts w:cstheme="minorHAnsi"/>
          <w:szCs w:val="22"/>
        </w:rPr>
        <w:t xml:space="preserve"> </w:t>
      </w:r>
    </w:p>
    <w:p w14:paraId="4EB54E95" w14:textId="77777777" w:rsidR="00783D3B" w:rsidRDefault="00783D3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rPr>
        <w:t xml:space="preserve">For any amendment to the study, the Chief Investigator or designee, in agreement with the sponsor will submit information to the appropriate body in order for them to issue approval for the amendment. The Chief Investigator or designee will work with sites (R&amp;D departments at NHS sites as well as the study delivery team) so they can put the necessary arrangements in place to implement the amendment to confirm their support for the study as </w:t>
      </w:r>
      <w:hyperlink r:id="rId15" w:history="1">
        <w:r w:rsidRPr="00783D3B">
          <w:rPr>
            <w:rStyle w:val="Hyperlink"/>
            <w:rFonts w:cstheme="minorHAnsi"/>
            <w:color w:val="auto"/>
            <w:szCs w:val="22"/>
            <w:u w:val="none"/>
          </w:rPr>
          <w:t>amended</w:t>
        </w:r>
      </w:hyperlink>
      <w:r w:rsidRPr="00783D3B">
        <w:rPr>
          <w:rFonts w:cstheme="minorHAnsi"/>
          <w:szCs w:val="22"/>
        </w:rPr>
        <w:t xml:space="preserve">. </w:t>
      </w:r>
    </w:p>
    <w:p w14:paraId="25F95422" w14:textId="743E1BAB" w:rsidR="00475FDA"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rPr>
        <w:t>S</w:t>
      </w:r>
      <w:r w:rsidR="00475FDA" w:rsidRPr="00783D3B">
        <w:rPr>
          <w:rFonts w:cstheme="minorHAnsi"/>
          <w:szCs w:val="22"/>
        </w:rPr>
        <w:t xml:space="preserve">ubstantial amendments that require review by </w:t>
      </w:r>
      <w:r w:rsidR="00796D2D" w:rsidRPr="00783D3B">
        <w:rPr>
          <w:rFonts w:cstheme="minorHAnsi"/>
          <w:szCs w:val="22"/>
        </w:rPr>
        <w:t xml:space="preserve">NHS </w:t>
      </w:r>
      <w:r w:rsidR="00475FDA" w:rsidRPr="00783D3B">
        <w:rPr>
          <w:rFonts w:cstheme="minorHAnsi"/>
          <w:szCs w:val="22"/>
        </w:rPr>
        <w:t>REC will not be implemented until th</w:t>
      </w:r>
      <w:r w:rsidR="00E51ACD" w:rsidRPr="00783D3B">
        <w:rPr>
          <w:rFonts w:cstheme="minorHAnsi"/>
          <w:szCs w:val="22"/>
        </w:rPr>
        <w:t>at review is in place and other mechanisms are in place to implement at site.</w:t>
      </w:r>
      <w:r w:rsidR="00783D3B">
        <w:rPr>
          <w:rFonts w:cstheme="minorHAnsi"/>
          <w:szCs w:val="22"/>
        </w:rPr>
        <w:t xml:space="preserve"> Investi</w:t>
      </w:r>
      <w:r w:rsidR="00973521">
        <w:rPr>
          <w:rFonts w:cstheme="minorHAnsi"/>
          <w:szCs w:val="22"/>
        </w:rPr>
        <w:t>gator</w:t>
      </w:r>
      <w:r w:rsidR="00803DB1">
        <w:rPr>
          <w:rFonts w:cstheme="minorHAnsi"/>
          <w:szCs w:val="22"/>
        </w:rPr>
        <w:t xml:space="preserve">s Rajwani, </w:t>
      </w:r>
      <w:r w:rsidR="00783D3B">
        <w:rPr>
          <w:rFonts w:cstheme="minorHAnsi"/>
          <w:szCs w:val="22"/>
        </w:rPr>
        <w:t xml:space="preserve">Austin and </w:t>
      </w:r>
      <w:proofErr w:type="spellStart"/>
      <w:r w:rsidR="00783D3B">
        <w:rPr>
          <w:rFonts w:cstheme="minorHAnsi"/>
          <w:szCs w:val="22"/>
        </w:rPr>
        <w:t>Maredia</w:t>
      </w:r>
      <w:proofErr w:type="spellEnd"/>
      <w:r w:rsidR="00783D3B">
        <w:rPr>
          <w:rFonts w:cstheme="minorHAnsi"/>
          <w:szCs w:val="22"/>
        </w:rPr>
        <w:t xml:space="preserve"> will determine whether an amendment is substantial or non-substantial.</w:t>
      </w:r>
      <w:r w:rsidR="00E51ACD" w:rsidRPr="00783D3B">
        <w:rPr>
          <w:rFonts w:cstheme="minorHAnsi"/>
          <w:szCs w:val="22"/>
        </w:rPr>
        <w:t xml:space="preserve"> </w:t>
      </w:r>
      <w:r w:rsidR="00783D3B">
        <w:rPr>
          <w:rFonts w:cstheme="minorHAnsi"/>
          <w:szCs w:val="22"/>
        </w:rPr>
        <w:t>Version numbers of amended documents will be updated.</w:t>
      </w:r>
      <w:r w:rsidR="00E51ACD" w:rsidRPr="00783D3B">
        <w:rPr>
          <w:rFonts w:cstheme="minorHAnsi"/>
          <w:szCs w:val="22"/>
        </w:rPr>
        <w:t xml:space="preserve"> </w:t>
      </w:r>
    </w:p>
    <w:p w14:paraId="691D5F7C" w14:textId="3564B0E6" w:rsidR="00475FDA"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rPr>
        <w:t>A</w:t>
      </w:r>
      <w:r w:rsidR="00475FDA" w:rsidRPr="00783D3B">
        <w:rPr>
          <w:rFonts w:cstheme="minorHAnsi"/>
          <w:szCs w:val="22"/>
        </w:rPr>
        <w:t>ll correspondence with the REC</w:t>
      </w:r>
      <w:r w:rsidR="00796D2D" w:rsidRPr="00783D3B">
        <w:rPr>
          <w:rFonts w:cstheme="minorHAnsi"/>
          <w:szCs w:val="22"/>
        </w:rPr>
        <w:t xml:space="preserve"> </w:t>
      </w:r>
      <w:r w:rsidR="00475FDA" w:rsidRPr="00783D3B">
        <w:rPr>
          <w:rFonts w:cstheme="minorHAnsi"/>
          <w:szCs w:val="22"/>
        </w:rPr>
        <w:t xml:space="preserve">will be </w:t>
      </w:r>
      <w:r w:rsidR="00441AFA" w:rsidRPr="00783D3B">
        <w:rPr>
          <w:rFonts w:cstheme="minorHAnsi"/>
          <w:szCs w:val="22"/>
        </w:rPr>
        <w:t>retained.</w:t>
      </w:r>
    </w:p>
    <w:p w14:paraId="3C70317A" w14:textId="13460F0E" w:rsidR="00475FDA"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rPr>
        <w:t>I</w:t>
      </w:r>
      <w:r w:rsidR="00475FDA" w:rsidRPr="00783D3B">
        <w:rPr>
          <w:rFonts w:cstheme="minorHAnsi"/>
          <w:szCs w:val="22"/>
        </w:rPr>
        <w:t>t is the Chief Investigator’s responsibility to produce the annual reports as required.</w:t>
      </w:r>
    </w:p>
    <w:p w14:paraId="54436C73" w14:textId="77777777" w:rsidR="00783D3B" w:rsidRPr="00783D3B" w:rsidRDefault="00C779BB" w:rsidP="00BF4906">
      <w:pPr>
        <w:numPr>
          <w:ilvl w:val="0"/>
          <w:numId w:val="9"/>
        </w:numPr>
        <w:autoSpaceDE w:val="0"/>
        <w:autoSpaceDN w:val="0"/>
        <w:adjustRightInd w:val="0"/>
        <w:spacing w:after="200" w:line="276" w:lineRule="auto"/>
        <w:ind w:left="357" w:hanging="357"/>
        <w:contextualSpacing/>
        <w:rPr>
          <w:rFonts w:cstheme="minorHAnsi"/>
        </w:rPr>
      </w:pPr>
      <w:r w:rsidRPr="00783D3B">
        <w:rPr>
          <w:rFonts w:cstheme="minorHAnsi"/>
          <w:szCs w:val="22"/>
        </w:rPr>
        <w:t>T</w:t>
      </w:r>
      <w:r w:rsidR="00475FDA" w:rsidRPr="00783D3B">
        <w:rPr>
          <w:rFonts w:cstheme="minorHAnsi"/>
          <w:szCs w:val="22"/>
        </w:rPr>
        <w:t xml:space="preserve">he Chief Investigator will notify the </w:t>
      </w:r>
      <w:r w:rsidR="00E51ACD" w:rsidRPr="00783D3B">
        <w:rPr>
          <w:rFonts w:cstheme="minorHAnsi"/>
          <w:szCs w:val="22"/>
        </w:rPr>
        <w:t xml:space="preserve">REC </w:t>
      </w:r>
      <w:r w:rsidR="00475FDA" w:rsidRPr="00783D3B">
        <w:rPr>
          <w:rFonts w:cstheme="minorHAnsi"/>
          <w:szCs w:val="22"/>
        </w:rPr>
        <w:t>of the end of the study</w:t>
      </w:r>
      <w:r w:rsidR="00441AFA" w:rsidRPr="00783D3B">
        <w:rPr>
          <w:rFonts w:cstheme="minorHAnsi"/>
          <w:szCs w:val="22"/>
        </w:rPr>
        <w:t>.</w:t>
      </w:r>
    </w:p>
    <w:p w14:paraId="06FC3026" w14:textId="39A46CF7" w:rsidR="00DD31D1" w:rsidRPr="00783D3B" w:rsidRDefault="00C779BB" w:rsidP="00BF4906">
      <w:pPr>
        <w:numPr>
          <w:ilvl w:val="0"/>
          <w:numId w:val="9"/>
        </w:numPr>
        <w:autoSpaceDE w:val="0"/>
        <w:autoSpaceDN w:val="0"/>
        <w:adjustRightInd w:val="0"/>
        <w:spacing w:after="200" w:line="276" w:lineRule="auto"/>
        <w:ind w:left="357" w:hanging="357"/>
        <w:contextualSpacing/>
        <w:rPr>
          <w:rFonts w:cstheme="minorHAnsi"/>
        </w:rPr>
      </w:pPr>
      <w:r w:rsidRPr="00783D3B">
        <w:rPr>
          <w:rFonts w:cstheme="minorHAnsi"/>
        </w:rPr>
        <w:t>A</w:t>
      </w:r>
      <w:r w:rsidR="00DD31D1" w:rsidRPr="00783D3B">
        <w:rPr>
          <w:rFonts w:cstheme="minorHAnsi"/>
        </w:rPr>
        <w:t>n annual progress report (APR) will be submitted to the REC within 30 days of the anniversary date on which the favourable opinion was given, and annually until the study is declared ended</w:t>
      </w:r>
      <w:r w:rsidRPr="00783D3B">
        <w:rPr>
          <w:rFonts w:cstheme="minorHAnsi"/>
        </w:rPr>
        <w:t>.</w:t>
      </w:r>
    </w:p>
    <w:p w14:paraId="6A309AE5" w14:textId="4C6380A7" w:rsidR="00475FDA"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rPr>
      </w:pPr>
      <w:r w:rsidRPr="00783D3B">
        <w:rPr>
          <w:rFonts w:cstheme="minorHAnsi"/>
          <w:szCs w:val="22"/>
        </w:rPr>
        <w:t>I</w:t>
      </w:r>
      <w:r w:rsidR="00475FDA" w:rsidRPr="00783D3B">
        <w:rPr>
          <w:rFonts w:cstheme="minorHAnsi"/>
          <w:szCs w:val="22"/>
        </w:rPr>
        <w:t>f the study is ended prematurely, the Chief Investigator will notify the REC, including the reasons for the premature termination</w:t>
      </w:r>
      <w:r w:rsidRPr="00783D3B">
        <w:rPr>
          <w:rFonts w:cstheme="minorHAnsi"/>
          <w:szCs w:val="22"/>
        </w:rPr>
        <w:t>.</w:t>
      </w:r>
    </w:p>
    <w:p w14:paraId="4A77B835" w14:textId="77777777" w:rsidR="00783D3B" w:rsidRPr="00783D3B" w:rsidRDefault="00C779BB" w:rsidP="00BF4906">
      <w:pPr>
        <w:numPr>
          <w:ilvl w:val="0"/>
          <w:numId w:val="4"/>
        </w:numPr>
        <w:autoSpaceDE w:val="0"/>
        <w:autoSpaceDN w:val="0"/>
        <w:adjustRightInd w:val="0"/>
        <w:spacing w:after="200" w:line="276" w:lineRule="auto"/>
        <w:ind w:left="357" w:hanging="357"/>
        <w:contextualSpacing/>
        <w:rPr>
          <w:rFonts w:cstheme="minorHAnsi"/>
          <w:szCs w:val="22"/>
          <w:lang w:eastAsia="en-GB"/>
        </w:rPr>
      </w:pPr>
      <w:r w:rsidRPr="00783D3B">
        <w:rPr>
          <w:rFonts w:cstheme="minorHAnsi"/>
          <w:szCs w:val="22"/>
        </w:rPr>
        <w:t>W</w:t>
      </w:r>
      <w:r w:rsidR="00475FDA" w:rsidRPr="00783D3B">
        <w:rPr>
          <w:rFonts w:cstheme="minorHAnsi"/>
          <w:szCs w:val="22"/>
        </w:rPr>
        <w:t>ithin one year after the end of the study, the Chief Investigator will submit a final report with the results, including any publications/abstracts, to the REC</w:t>
      </w:r>
      <w:r w:rsidRPr="00783D3B">
        <w:rPr>
          <w:rFonts w:cstheme="minorHAnsi"/>
          <w:szCs w:val="22"/>
        </w:rPr>
        <w:t>.</w:t>
      </w:r>
      <w:r w:rsidR="00783D3B" w:rsidRPr="00783D3B">
        <w:rPr>
          <w:rFonts w:cstheme="minorHAnsi"/>
          <w:color w:val="0000FF"/>
          <w:szCs w:val="22"/>
        </w:rPr>
        <w:t xml:space="preserve"> </w:t>
      </w:r>
    </w:p>
    <w:p w14:paraId="65B32BB7" w14:textId="6DE2A869" w:rsidR="00475FDA" w:rsidRDefault="00783D3B" w:rsidP="00BF4906">
      <w:pPr>
        <w:numPr>
          <w:ilvl w:val="0"/>
          <w:numId w:val="4"/>
        </w:numPr>
        <w:autoSpaceDE w:val="0"/>
        <w:autoSpaceDN w:val="0"/>
        <w:adjustRightInd w:val="0"/>
        <w:spacing w:after="200" w:line="276" w:lineRule="auto"/>
        <w:ind w:left="357" w:hanging="357"/>
        <w:contextualSpacing/>
        <w:rPr>
          <w:rFonts w:cstheme="minorHAnsi"/>
          <w:szCs w:val="22"/>
          <w:lang w:eastAsia="en-GB"/>
        </w:rPr>
      </w:pPr>
      <w:r w:rsidRPr="00783D3B">
        <w:rPr>
          <w:rFonts w:cstheme="minorHAnsi"/>
          <w:szCs w:val="22"/>
        </w:rPr>
        <w:t>Before any site can enrol patients into the study, the Chief Investigator/Principal Investigator or designee will ensure that appropriate approvals from participating organisations are in place.</w:t>
      </w:r>
    </w:p>
    <w:p w14:paraId="7FFAE639" w14:textId="7CB99C3F" w:rsidR="00B942E5" w:rsidRPr="00783D3B" w:rsidRDefault="00B942E5" w:rsidP="00BF4906">
      <w:pPr>
        <w:numPr>
          <w:ilvl w:val="0"/>
          <w:numId w:val="4"/>
        </w:numPr>
        <w:autoSpaceDE w:val="0"/>
        <w:autoSpaceDN w:val="0"/>
        <w:adjustRightInd w:val="0"/>
        <w:spacing w:after="200" w:line="276" w:lineRule="auto"/>
        <w:ind w:left="357" w:hanging="357"/>
        <w:contextualSpacing/>
        <w:rPr>
          <w:rFonts w:cstheme="minorHAnsi"/>
          <w:szCs w:val="22"/>
          <w:lang w:eastAsia="en-GB"/>
        </w:rPr>
      </w:pPr>
      <w:r>
        <w:rPr>
          <w:rFonts w:cstheme="minorHAnsi"/>
          <w:szCs w:val="22"/>
        </w:rPr>
        <w:t>Independent scientific peer-review of this study was provided by the Medial Research Foundation, Perth, Australia in November 2017.</w:t>
      </w:r>
    </w:p>
    <w:p w14:paraId="333A19DB" w14:textId="2CB6E05E" w:rsidR="006B6502" w:rsidRDefault="006B6502" w:rsidP="00BF4906">
      <w:pPr>
        <w:autoSpaceDE w:val="0"/>
        <w:autoSpaceDN w:val="0"/>
        <w:adjustRightInd w:val="0"/>
        <w:spacing w:after="200" w:line="276" w:lineRule="auto"/>
        <w:contextualSpacing/>
        <w:rPr>
          <w:rFonts w:cstheme="minorHAnsi"/>
          <w:color w:val="0000FF"/>
          <w:szCs w:val="22"/>
        </w:rPr>
      </w:pPr>
    </w:p>
    <w:p w14:paraId="7ECA30BD" w14:textId="2DBCC483" w:rsidR="00543665" w:rsidRDefault="00543665" w:rsidP="00BF4906">
      <w:pPr>
        <w:autoSpaceDE w:val="0"/>
        <w:autoSpaceDN w:val="0"/>
        <w:adjustRightInd w:val="0"/>
        <w:spacing w:after="200" w:line="276" w:lineRule="auto"/>
        <w:contextualSpacing/>
        <w:rPr>
          <w:rFonts w:cstheme="minorHAnsi"/>
          <w:color w:val="0000FF"/>
          <w:szCs w:val="22"/>
        </w:rPr>
      </w:pPr>
    </w:p>
    <w:p w14:paraId="3DCBA730" w14:textId="48D9AEDC" w:rsidR="00543665" w:rsidRDefault="00543665" w:rsidP="00BF4906">
      <w:pPr>
        <w:autoSpaceDE w:val="0"/>
        <w:autoSpaceDN w:val="0"/>
        <w:adjustRightInd w:val="0"/>
        <w:spacing w:after="200" w:line="276" w:lineRule="auto"/>
        <w:contextualSpacing/>
        <w:rPr>
          <w:rFonts w:cstheme="minorHAnsi"/>
          <w:color w:val="0000FF"/>
          <w:szCs w:val="22"/>
        </w:rPr>
      </w:pPr>
    </w:p>
    <w:p w14:paraId="62160044" w14:textId="77777777" w:rsidR="00543665" w:rsidRPr="006B6502" w:rsidRDefault="00543665" w:rsidP="00BF4906">
      <w:pPr>
        <w:autoSpaceDE w:val="0"/>
        <w:autoSpaceDN w:val="0"/>
        <w:adjustRightInd w:val="0"/>
        <w:spacing w:after="200" w:line="276" w:lineRule="auto"/>
        <w:contextualSpacing/>
        <w:rPr>
          <w:rFonts w:cstheme="minorHAnsi"/>
          <w:color w:val="0000FF"/>
          <w:szCs w:val="22"/>
        </w:rPr>
      </w:pPr>
    </w:p>
    <w:p w14:paraId="3E048706" w14:textId="1291C195" w:rsidR="00475FDA" w:rsidRPr="00B942E5" w:rsidRDefault="00087EC0" w:rsidP="00087EC0">
      <w:pPr>
        <w:pStyle w:val="ListParagraph"/>
        <w:numPr>
          <w:ilvl w:val="1"/>
          <w:numId w:val="18"/>
        </w:numPr>
        <w:autoSpaceDE w:val="0"/>
        <w:autoSpaceDN w:val="0"/>
        <w:adjustRightInd w:val="0"/>
        <w:rPr>
          <w:rFonts w:cstheme="minorHAnsi"/>
          <w:b/>
          <w:bCs/>
          <w:lang w:eastAsia="en-GB"/>
        </w:rPr>
      </w:pPr>
      <w:r>
        <w:rPr>
          <w:rFonts w:cstheme="minorHAnsi"/>
          <w:b/>
          <w:bCs/>
          <w:lang w:eastAsia="en-GB"/>
        </w:rPr>
        <w:lastRenderedPageBreak/>
        <w:t xml:space="preserve">      </w:t>
      </w:r>
      <w:r w:rsidR="006B6502" w:rsidRPr="00B942E5">
        <w:rPr>
          <w:rFonts w:cstheme="minorHAnsi"/>
          <w:b/>
          <w:bCs/>
          <w:lang w:eastAsia="en-GB"/>
        </w:rPr>
        <w:t>Protocol c</w:t>
      </w:r>
      <w:r w:rsidR="00475FDA" w:rsidRPr="00B942E5">
        <w:rPr>
          <w:rFonts w:cstheme="minorHAnsi"/>
          <w:b/>
          <w:bCs/>
          <w:lang w:eastAsia="en-GB"/>
        </w:rPr>
        <w:t xml:space="preserve">ompliance </w:t>
      </w:r>
    </w:p>
    <w:p w14:paraId="13850CB1" w14:textId="6487685A" w:rsidR="00475FDA" w:rsidRPr="00B942E5" w:rsidRDefault="00475FDA" w:rsidP="00BF4906">
      <w:pPr>
        <w:autoSpaceDE w:val="0"/>
        <w:autoSpaceDN w:val="0"/>
        <w:adjustRightInd w:val="0"/>
        <w:spacing w:after="200" w:line="276" w:lineRule="auto"/>
        <w:contextualSpacing/>
        <w:rPr>
          <w:rFonts w:cstheme="minorHAnsi"/>
          <w:szCs w:val="22"/>
          <w:lang w:eastAsia="en-GB"/>
        </w:rPr>
      </w:pPr>
      <w:r w:rsidRPr="00B942E5">
        <w:rPr>
          <w:rFonts w:cstheme="minorHAnsi"/>
          <w:szCs w:val="22"/>
          <w:lang w:eastAsia="en-GB"/>
        </w:rPr>
        <w:t>Protocol deviations, non-compliances, or breaches are departures from the approved protocol.</w:t>
      </w:r>
      <w:r w:rsidR="00B942E5" w:rsidRPr="00B942E5">
        <w:rPr>
          <w:rFonts w:cstheme="minorHAnsi"/>
          <w:szCs w:val="22"/>
          <w:lang w:eastAsia="en-GB"/>
        </w:rPr>
        <w:t xml:space="preserve"> </w:t>
      </w:r>
      <w:r w:rsidR="00C779BB" w:rsidRPr="00B942E5">
        <w:rPr>
          <w:rFonts w:cstheme="minorHAnsi"/>
          <w:lang w:eastAsia="en-GB"/>
        </w:rPr>
        <w:t>A</w:t>
      </w:r>
      <w:r w:rsidRPr="00B942E5">
        <w:rPr>
          <w:rFonts w:cstheme="minorHAnsi"/>
          <w:lang w:eastAsia="en-GB"/>
        </w:rPr>
        <w:t xml:space="preserve">ccidental protocol deviations can happen at any time. They must be adequately documented on the relevant forms and reported to the Chief Investigator and Sponsor immediately. </w:t>
      </w:r>
      <w:r w:rsidR="00C779BB" w:rsidRPr="00B942E5">
        <w:rPr>
          <w:rFonts w:cstheme="minorHAnsi"/>
          <w:szCs w:val="22"/>
          <w:lang w:eastAsia="en-GB"/>
        </w:rPr>
        <w:t>D</w:t>
      </w:r>
      <w:r w:rsidRPr="00B942E5">
        <w:rPr>
          <w:rFonts w:cstheme="minorHAnsi"/>
          <w:szCs w:val="22"/>
          <w:lang w:eastAsia="en-GB"/>
        </w:rPr>
        <w:t>eviations from the protocol which are found to frequently recur are not acceptable, will require immediate action and could potentially be classified as a serious breach.</w:t>
      </w:r>
    </w:p>
    <w:p w14:paraId="72449A45" w14:textId="77777777" w:rsidR="00475FDA" w:rsidRPr="003C12DB" w:rsidRDefault="00475FDA" w:rsidP="00BF4906">
      <w:pPr>
        <w:pStyle w:val="Heading3"/>
        <w:spacing w:before="0" w:after="200" w:line="276" w:lineRule="auto"/>
        <w:contextualSpacing/>
        <w:rPr>
          <w:rFonts w:asciiTheme="minorHAnsi" w:hAnsiTheme="minorHAnsi" w:cstheme="minorHAnsi"/>
          <w:color w:val="FF0000"/>
          <w:szCs w:val="22"/>
        </w:rPr>
      </w:pPr>
      <w:bookmarkStart w:id="3" w:name="_Toc303179291"/>
    </w:p>
    <w:bookmarkEnd w:id="3"/>
    <w:p w14:paraId="03D72EE1" w14:textId="1A430BC8" w:rsidR="00475FDA" w:rsidRPr="006B6502" w:rsidRDefault="00997241" w:rsidP="003802A1">
      <w:pPr>
        <w:autoSpaceDE w:val="0"/>
        <w:autoSpaceDN w:val="0"/>
        <w:adjustRightInd w:val="0"/>
        <w:spacing w:line="240" w:lineRule="auto"/>
        <w:rPr>
          <w:rFonts w:cstheme="minorHAnsi"/>
          <w:b/>
          <w:bCs/>
          <w:szCs w:val="22"/>
          <w:lang w:eastAsia="en-GB"/>
        </w:rPr>
      </w:pPr>
      <w:r>
        <w:rPr>
          <w:rFonts w:cstheme="minorHAnsi"/>
          <w:b/>
          <w:bCs/>
          <w:szCs w:val="22"/>
          <w:lang w:eastAsia="en-GB"/>
        </w:rPr>
        <w:t>8</w:t>
      </w:r>
      <w:r w:rsidR="00485F3F">
        <w:rPr>
          <w:rFonts w:cstheme="minorHAnsi"/>
          <w:b/>
          <w:bCs/>
          <w:szCs w:val="22"/>
          <w:lang w:eastAsia="en-GB"/>
        </w:rPr>
        <w:t>.</w:t>
      </w:r>
      <w:r w:rsidR="00BF4906">
        <w:rPr>
          <w:rFonts w:cstheme="minorHAnsi"/>
          <w:b/>
          <w:bCs/>
          <w:szCs w:val="22"/>
          <w:lang w:eastAsia="en-GB"/>
        </w:rPr>
        <w:t>4</w:t>
      </w:r>
      <w:r w:rsidR="00864F75">
        <w:rPr>
          <w:rFonts w:cstheme="minorHAnsi"/>
          <w:b/>
          <w:bCs/>
          <w:szCs w:val="22"/>
          <w:lang w:eastAsia="en-GB"/>
        </w:rPr>
        <w:tab/>
        <w:t>Data protection and patient c</w:t>
      </w:r>
      <w:r w:rsidR="00475FDA" w:rsidRPr="003C12DB">
        <w:rPr>
          <w:rFonts w:cstheme="minorHAnsi"/>
          <w:b/>
          <w:bCs/>
          <w:szCs w:val="22"/>
          <w:lang w:eastAsia="en-GB"/>
        </w:rPr>
        <w:t xml:space="preserve">onfidentiality </w:t>
      </w:r>
    </w:p>
    <w:p w14:paraId="440DE280" w14:textId="7B9BEB43" w:rsidR="005826F7" w:rsidRDefault="008416FF" w:rsidP="005826F7">
      <w:pPr>
        <w:spacing w:after="200" w:line="276" w:lineRule="auto"/>
        <w:contextualSpacing/>
        <w:rPr>
          <w:rFonts w:cstheme="minorHAnsi"/>
          <w:szCs w:val="22"/>
        </w:rPr>
      </w:pPr>
      <w:r>
        <w:rPr>
          <w:rFonts w:cstheme="minorHAnsi"/>
          <w:szCs w:val="22"/>
        </w:rPr>
        <w:t>A</w:t>
      </w:r>
      <w:r w:rsidRPr="008416FF">
        <w:rPr>
          <w:rFonts w:cstheme="minorHAnsi"/>
          <w:szCs w:val="22"/>
        </w:rPr>
        <w:t>ll investigators and study site staff must comply with the requirements of the Data Protection Act 1998 with regards to the collection, storage, processing and disclosure of personal information and will uphold the Act’s core principles</w:t>
      </w:r>
      <w:r>
        <w:rPr>
          <w:rFonts w:cstheme="minorHAnsi"/>
          <w:szCs w:val="22"/>
        </w:rPr>
        <w:t xml:space="preserve">. </w:t>
      </w:r>
      <w:r w:rsidR="00BF4906">
        <w:rPr>
          <w:rFonts w:cstheme="minorHAnsi"/>
          <w:szCs w:val="22"/>
        </w:rPr>
        <w:t xml:space="preserve">Participants will be assigned unique research identifier codes, with </w:t>
      </w:r>
      <w:r w:rsidR="00803DB1">
        <w:rPr>
          <w:rFonts w:cstheme="minorHAnsi"/>
          <w:szCs w:val="22"/>
        </w:rPr>
        <w:t xml:space="preserve">a suffix of </w:t>
      </w:r>
      <w:r w:rsidR="00BF4906">
        <w:rPr>
          <w:rFonts w:cstheme="minorHAnsi"/>
          <w:szCs w:val="22"/>
        </w:rPr>
        <w:t xml:space="preserve">xxx representing sequential numbers from 001 to 999 according to order of recruitment. </w:t>
      </w:r>
      <w:r w:rsidR="00BF4906" w:rsidRPr="002C7AF0">
        <w:rPr>
          <w:rFonts w:cstheme="minorHAnsi"/>
          <w:szCs w:val="22"/>
        </w:rPr>
        <w:t xml:space="preserve">A master log with participant details stored against study ID will be kept </w:t>
      </w:r>
      <w:r w:rsidR="00BF4906">
        <w:rPr>
          <w:rFonts w:cstheme="minorHAnsi"/>
          <w:szCs w:val="22"/>
        </w:rPr>
        <w:t xml:space="preserve">on a password-protected </w:t>
      </w:r>
      <w:r w:rsidR="003A44E6">
        <w:rPr>
          <w:rFonts w:cstheme="minorHAnsi"/>
          <w:szCs w:val="22"/>
        </w:rPr>
        <w:t xml:space="preserve">electronic </w:t>
      </w:r>
      <w:r w:rsidR="00BF4906">
        <w:rPr>
          <w:rFonts w:cstheme="minorHAnsi"/>
          <w:szCs w:val="22"/>
        </w:rPr>
        <w:t>spreadsheet</w:t>
      </w:r>
      <w:r w:rsidR="00BF4906" w:rsidRPr="002C7AF0">
        <w:rPr>
          <w:rFonts w:cstheme="minorHAnsi"/>
          <w:szCs w:val="22"/>
        </w:rPr>
        <w:t>.</w:t>
      </w:r>
      <w:r w:rsidR="00BF4906">
        <w:rPr>
          <w:rFonts w:cstheme="minorHAnsi"/>
          <w:szCs w:val="22"/>
        </w:rPr>
        <w:t xml:space="preserve"> </w:t>
      </w:r>
      <w:r w:rsidRPr="002C7AF0">
        <w:rPr>
          <w:rFonts w:cstheme="minorHAnsi"/>
          <w:szCs w:val="22"/>
        </w:rPr>
        <w:t>Data regarding the diagnosis and management will be captured by questionnaires completed by the treating consultant, before and after the CMR stud</w:t>
      </w:r>
      <w:r>
        <w:rPr>
          <w:rFonts w:cstheme="minorHAnsi"/>
          <w:szCs w:val="22"/>
        </w:rPr>
        <w:t>y as described (section 5). The research d</w:t>
      </w:r>
      <w:r w:rsidR="002C7AF0" w:rsidRPr="002C7AF0">
        <w:rPr>
          <w:rFonts w:cstheme="minorHAnsi"/>
          <w:szCs w:val="22"/>
        </w:rPr>
        <w:t xml:space="preserve">ata will be entered </w:t>
      </w:r>
      <w:r w:rsidR="00BF4906">
        <w:rPr>
          <w:rFonts w:cstheme="minorHAnsi"/>
          <w:szCs w:val="22"/>
        </w:rPr>
        <w:t>into a separate</w:t>
      </w:r>
      <w:r w:rsidR="002C7AF0" w:rsidRPr="002C7AF0">
        <w:rPr>
          <w:rFonts w:cstheme="minorHAnsi"/>
          <w:szCs w:val="22"/>
        </w:rPr>
        <w:t xml:space="preserve"> </w:t>
      </w:r>
      <w:r w:rsidR="00BF4906">
        <w:rPr>
          <w:rFonts w:cstheme="minorHAnsi"/>
          <w:szCs w:val="22"/>
        </w:rPr>
        <w:t xml:space="preserve">password-protected </w:t>
      </w:r>
      <w:r w:rsidR="002C7AF0" w:rsidRPr="002C7AF0">
        <w:rPr>
          <w:rFonts w:cstheme="minorHAnsi"/>
          <w:szCs w:val="22"/>
        </w:rPr>
        <w:t xml:space="preserve">spreadsheet under </w:t>
      </w:r>
      <w:r>
        <w:rPr>
          <w:rFonts w:cstheme="minorHAnsi"/>
          <w:szCs w:val="22"/>
        </w:rPr>
        <w:t xml:space="preserve">these </w:t>
      </w:r>
      <w:r w:rsidR="002C7AF0" w:rsidRPr="002C7AF0">
        <w:rPr>
          <w:rFonts w:cstheme="minorHAnsi"/>
          <w:szCs w:val="22"/>
        </w:rPr>
        <w:t xml:space="preserve">re-identifiable (coded) </w:t>
      </w:r>
      <w:r>
        <w:rPr>
          <w:rFonts w:cstheme="minorHAnsi"/>
          <w:szCs w:val="22"/>
        </w:rPr>
        <w:t>identifiers</w:t>
      </w:r>
      <w:r w:rsidR="005826F7">
        <w:rPr>
          <w:rFonts w:cstheme="minorHAnsi"/>
          <w:szCs w:val="22"/>
        </w:rPr>
        <w:t xml:space="preserve"> and without identifiable data such as name, date of birth or hospital number</w:t>
      </w:r>
      <w:r w:rsidR="002C7AF0" w:rsidRPr="002C7AF0">
        <w:rPr>
          <w:rFonts w:cstheme="minorHAnsi"/>
          <w:szCs w:val="22"/>
        </w:rPr>
        <w:t xml:space="preserve">. </w:t>
      </w:r>
      <w:r w:rsidR="00BF4906">
        <w:rPr>
          <w:rFonts w:cstheme="minorHAnsi"/>
          <w:szCs w:val="22"/>
        </w:rPr>
        <w:t xml:space="preserve">Both spreadsheets </w:t>
      </w:r>
      <w:r w:rsidR="005826F7">
        <w:rPr>
          <w:rFonts w:cstheme="minorHAnsi"/>
          <w:szCs w:val="22"/>
        </w:rPr>
        <w:t>will be hosted on a password-</w:t>
      </w:r>
      <w:r w:rsidR="002C7AF0" w:rsidRPr="002C7AF0">
        <w:rPr>
          <w:rFonts w:cstheme="minorHAnsi"/>
          <w:szCs w:val="22"/>
        </w:rPr>
        <w:t xml:space="preserve">protected secure </w:t>
      </w:r>
      <w:r w:rsidR="005826F7">
        <w:rPr>
          <w:rFonts w:cstheme="minorHAnsi"/>
          <w:szCs w:val="22"/>
        </w:rPr>
        <w:t>computer on the South Tees NHS Foundation encrypted server, which will only be accessible to members of the research team</w:t>
      </w:r>
      <w:r w:rsidR="002C7AF0" w:rsidRPr="002C7AF0">
        <w:rPr>
          <w:rFonts w:cstheme="minorHAnsi"/>
          <w:szCs w:val="22"/>
        </w:rPr>
        <w:t xml:space="preserve">. </w:t>
      </w:r>
      <w:r w:rsidR="005826F7">
        <w:rPr>
          <w:rFonts w:cstheme="minorHAnsi"/>
          <w:szCs w:val="22"/>
        </w:rPr>
        <w:t>As detailed in section 5, final d</w:t>
      </w:r>
      <w:r w:rsidR="005826F7" w:rsidRPr="00915B20">
        <w:rPr>
          <w:rFonts w:cstheme="minorHAnsi"/>
          <w:szCs w:val="22"/>
        </w:rPr>
        <w:t xml:space="preserve">ata analysis will be </w:t>
      </w:r>
      <w:r w:rsidR="005826F7">
        <w:rPr>
          <w:rFonts w:cstheme="minorHAnsi"/>
          <w:szCs w:val="22"/>
        </w:rPr>
        <w:t>conducted</w:t>
      </w:r>
      <w:r w:rsidR="005826F7" w:rsidRPr="00915B20">
        <w:rPr>
          <w:rFonts w:cstheme="minorHAnsi"/>
          <w:szCs w:val="22"/>
        </w:rPr>
        <w:t xml:space="preserve"> at the conclusion of the study</w:t>
      </w:r>
      <w:r w:rsidR="005826F7">
        <w:rPr>
          <w:rFonts w:cstheme="minorHAnsi"/>
          <w:szCs w:val="22"/>
        </w:rPr>
        <w:t xml:space="preserve"> by the lead investigator Rajwani in Perth, Western Australia</w:t>
      </w:r>
      <w:r w:rsidR="005826F7" w:rsidRPr="00915B20">
        <w:rPr>
          <w:rFonts w:cstheme="minorHAnsi"/>
          <w:szCs w:val="22"/>
        </w:rPr>
        <w:t xml:space="preserve">. </w:t>
      </w:r>
      <w:r w:rsidR="005826F7">
        <w:rPr>
          <w:rFonts w:cstheme="minorHAnsi"/>
          <w:szCs w:val="22"/>
        </w:rPr>
        <w:t xml:space="preserve">This will require transfer of the spreadsheet from each recruiting site </w:t>
      </w:r>
      <w:r w:rsidR="005826F7" w:rsidRPr="00EF359F">
        <w:rPr>
          <w:rFonts w:cstheme="minorHAnsi"/>
          <w:b/>
          <w:szCs w:val="22"/>
        </w:rPr>
        <w:t xml:space="preserve">which only contains de-identified </w:t>
      </w:r>
      <w:r w:rsidR="005826F7">
        <w:rPr>
          <w:rFonts w:cstheme="minorHAnsi"/>
          <w:b/>
          <w:szCs w:val="22"/>
        </w:rPr>
        <w:t>(coded) data</w:t>
      </w:r>
      <w:r w:rsidR="005826F7">
        <w:rPr>
          <w:rFonts w:cstheme="minorHAnsi"/>
          <w:szCs w:val="22"/>
        </w:rPr>
        <w:t xml:space="preserve">; access to the Master Log for each site remains only with the local research teams. Thus re-identification of patient identity by the analysing individual in Perth is not possible. The spreadsheets will be sent as an encrypted and password-protected email attachment from PI Austin’s nhs.net account, to lead investigator Rajwani at WA Health which is an encrypted email account at the East Metro Health Service in Perth, address </w:t>
      </w:r>
      <w:hyperlink r:id="rId16" w:history="1">
        <w:r w:rsidR="005826F7" w:rsidRPr="00D7764B">
          <w:rPr>
            <w:rStyle w:val="Hyperlink"/>
            <w:rFonts w:cstheme="minorHAnsi"/>
            <w:szCs w:val="22"/>
          </w:rPr>
          <w:t>adil.rajwani@health.wa.gov.au</w:t>
        </w:r>
      </w:hyperlink>
      <w:r w:rsidR="005826F7">
        <w:rPr>
          <w:rFonts w:cstheme="minorHAnsi"/>
          <w:szCs w:val="22"/>
        </w:rPr>
        <w:t>. Original hard-copy data will be retained securely for 5 years, with PI Austin being the nominated data custodian.</w:t>
      </w:r>
    </w:p>
    <w:p w14:paraId="0F73AD9E" w14:textId="77777777" w:rsidR="00475FDA" w:rsidRPr="003C12DB" w:rsidRDefault="00475FDA" w:rsidP="003802A1">
      <w:pPr>
        <w:pStyle w:val="BodyText"/>
        <w:tabs>
          <w:tab w:val="left" w:pos="0"/>
        </w:tabs>
        <w:spacing w:after="120"/>
        <w:rPr>
          <w:rFonts w:asciiTheme="minorHAnsi" w:hAnsiTheme="minorHAnsi" w:cstheme="minorHAnsi"/>
          <w:b/>
          <w:i w:val="0"/>
          <w:sz w:val="22"/>
          <w:szCs w:val="22"/>
        </w:rPr>
      </w:pPr>
    </w:p>
    <w:p w14:paraId="7BE01922" w14:textId="03EB2BD0" w:rsidR="00475FDA" w:rsidRPr="00864F75" w:rsidRDefault="00997241" w:rsidP="00A76DD7">
      <w:pPr>
        <w:pStyle w:val="Heading31"/>
        <w:suppressAutoHyphens w:val="0"/>
        <w:spacing w:after="200" w:line="276" w:lineRule="auto"/>
        <w:contextualSpacing/>
        <w:rPr>
          <w:rFonts w:asciiTheme="minorHAnsi" w:hAnsiTheme="minorHAnsi" w:cstheme="minorHAnsi"/>
          <w:bCs/>
          <w:sz w:val="22"/>
          <w:szCs w:val="22"/>
          <w:lang w:val="en-GB"/>
        </w:rPr>
      </w:pPr>
      <w:r>
        <w:rPr>
          <w:rFonts w:asciiTheme="minorHAnsi" w:hAnsiTheme="minorHAnsi" w:cstheme="minorHAnsi"/>
          <w:bCs/>
          <w:sz w:val="22"/>
          <w:szCs w:val="22"/>
          <w:lang w:val="en-GB"/>
        </w:rPr>
        <w:t>8</w:t>
      </w:r>
      <w:r w:rsidR="00441AFA">
        <w:rPr>
          <w:rFonts w:asciiTheme="minorHAnsi" w:hAnsiTheme="minorHAnsi" w:cstheme="minorHAnsi"/>
          <w:bCs/>
          <w:sz w:val="22"/>
          <w:szCs w:val="22"/>
          <w:lang w:val="en-GB"/>
        </w:rPr>
        <w:t>.</w:t>
      </w:r>
      <w:r w:rsidR="0074226F">
        <w:rPr>
          <w:rFonts w:asciiTheme="minorHAnsi" w:hAnsiTheme="minorHAnsi" w:cstheme="minorHAnsi"/>
          <w:bCs/>
          <w:sz w:val="22"/>
          <w:szCs w:val="22"/>
          <w:lang w:val="en-GB"/>
        </w:rPr>
        <w:t>7</w:t>
      </w:r>
      <w:r w:rsidR="00864F75" w:rsidRPr="00864F75">
        <w:rPr>
          <w:rFonts w:asciiTheme="minorHAnsi" w:hAnsiTheme="minorHAnsi" w:cstheme="minorHAnsi"/>
          <w:bCs/>
          <w:sz w:val="22"/>
          <w:szCs w:val="22"/>
          <w:lang w:val="en-GB"/>
        </w:rPr>
        <w:tab/>
      </w:r>
      <w:r w:rsidR="00475FDA" w:rsidRPr="00864F75">
        <w:rPr>
          <w:rFonts w:asciiTheme="minorHAnsi" w:hAnsiTheme="minorHAnsi" w:cstheme="minorHAnsi"/>
          <w:bCs/>
          <w:sz w:val="22"/>
          <w:szCs w:val="22"/>
          <w:lang w:val="en-GB"/>
        </w:rPr>
        <w:t>Indemnity</w:t>
      </w:r>
    </w:p>
    <w:p w14:paraId="06EC161D" w14:textId="551B20EC" w:rsidR="00485F3F" w:rsidRDefault="00A76DD7" w:rsidP="00A76DD7">
      <w:pPr>
        <w:pStyle w:val="BodyText"/>
        <w:tabs>
          <w:tab w:val="left" w:pos="0"/>
        </w:tabs>
        <w:spacing w:after="200" w:line="276" w:lineRule="auto"/>
        <w:contextualSpacing/>
        <w:rPr>
          <w:rFonts w:asciiTheme="minorHAnsi" w:hAnsiTheme="minorHAnsi" w:cstheme="minorHAnsi"/>
          <w:i w:val="0"/>
          <w:sz w:val="22"/>
          <w:szCs w:val="22"/>
        </w:rPr>
      </w:pPr>
      <w:r w:rsidRPr="00A76DD7">
        <w:rPr>
          <w:rFonts w:asciiTheme="minorHAnsi" w:hAnsiTheme="minorHAnsi" w:cstheme="minorHAnsi"/>
          <w:i w:val="0"/>
          <w:sz w:val="22"/>
          <w:szCs w:val="22"/>
        </w:rPr>
        <w:t xml:space="preserve">This low / negligible </w:t>
      </w:r>
      <w:r w:rsidR="000C39B2">
        <w:rPr>
          <w:rFonts w:asciiTheme="minorHAnsi" w:hAnsiTheme="minorHAnsi" w:cstheme="minorHAnsi"/>
          <w:i w:val="0"/>
          <w:sz w:val="22"/>
          <w:szCs w:val="22"/>
        </w:rPr>
        <w:t xml:space="preserve">risk </w:t>
      </w:r>
      <w:r w:rsidRPr="00A76DD7">
        <w:rPr>
          <w:rFonts w:asciiTheme="minorHAnsi" w:hAnsiTheme="minorHAnsi" w:cstheme="minorHAnsi"/>
          <w:i w:val="0"/>
          <w:sz w:val="22"/>
          <w:szCs w:val="22"/>
        </w:rPr>
        <w:t>non-interventional study</w:t>
      </w:r>
      <w:r w:rsidR="000C39B2">
        <w:rPr>
          <w:rFonts w:asciiTheme="minorHAnsi" w:hAnsiTheme="minorHAnsi" w:cstheme="minorHAnsi"/>
          <w:i w:val="0"/>
          <w:sz w:val="22"/>
          <w:szCs w:val="22"/>
        </w:rPr>
        <w:t xml:space="preserve"> </w:t>
      </w:r>
      <w:r w:rsidRPr="00A76DD7">
        <w:rPr>
          <w:rFonts w:asciiTheme="minorHAnsi" w:hAnsiTheme="minorHAnsi" w:cstheme="minorHAnsi"/>
          <w:i w:val="0"/>
          <w:sz w:val="22"/>
          <w:szCs w:val="22"/>
        </w:rPr>
        <w:t>will be covered by NHS indemnity.</w:t>
      </w:r>
    </w:p>
    <w:p w14:paraId="2672779D" w14:textId="77777777" w:rsidR="00A76DD7" w:rsidRPr="00A76DD7" w:rsidRDefault="00A76DD7" w:rsidP="00A76DD7">
      <w:pPr>
        <w:pStyle w:val="BodyText"/>
        <w:tabs>
          <w:tab w:val="left" w:pos="0"/>
        </w:tabs>
        <w:spacing w:after="200" w:line="276" w:lineRule="auto"/>
        <w:contextualSpacing/>
        <w:rPr>
          <w:rFonts w:asciiTheme="minorHAnsi" w:hAnsiTheme="minorHAnsi" w:cstheme="minorHAnsi"/>
          <w:i w:val="0"/>
          <w:sz w:val="22"/>
          <w:szCs w:val="22"/>
        </w:rPr>
      </w:pPr>
    </w:p>
    <w:p w14:paraId="64847DF2" w14:textId="4C0B01EF" w:rsidR="00475FDA" w:rsidRPr="00617CC0" w:rsidRDefault="00997241" w:rsidP="00617CC0">
      <w:pPr>
        <w:spacing w:after="200" w:line="276" w:lineRule="auto"/>
        <w:contextualSpacing/>
        <w:rPr>
          <w:rFonts w:cstheme="minorHAnsi"/>
          <w:iCs/>
          <w:szCs w:val="22"/>
        </w:rPr>
      </w:pPr>
      <w:r w:rsidRPr="00617CC0">
        <w:rPr>
          <w:rFonts w:cstheme="minorHAnsi"/>
          <w:b/>
          <w:szCs w:val="22"/>
        </w:rPr>
        <w:t>8</w:t>
      </w:r>
      <w:r w:rsidR="00485F3F" w:rsidRPr="00617CC0">
        <w:rPr>
          <w:rFonts w:cstheme="minorHAnsi"/>
          <w:b/>
          <w:szCs w:val="22"/>
        </w:rPr>
        <w:t>.</w:t>
      </w:r>
      <w:r w:rsidR="0074226F" w:rsidRPr="00617CC0">
        <w:rPr>
          <w:rFonts w:cstheme="minorHAnsi"/>
          <w:b/>
          <w:szCs w:val="22"/>
        </w:rPr>
        <w:t>8</w:t>
      </w:r>
      <w:r w:rsidR="00864F75" w:rsidRPr="00617CC0">
        <w:rPr>
          <w:rFonts w:cstheme="minorHAnsi"/>
          <w:b/>
          <w:szCs w:val="22"/>
        </w:rPr>
        <w:tab/>
      </w:r>
      <w:r w:rsidR="00475FDA" w:rsidRPr="00617CC0">
        <w:rPr>
          <w:rFonts w:cstheme="minorHAnsi"/>
          <w:b/>
          <w:szCs w:val="22"/>
        </w:rPr>
        <w:t xml:space="preserve">Access to the final </w:t>
      </w:r>
      <w:r w:rsidR="005A6EAB" w:rsidRPr="00617CC0">
        <w:rPr>
          <w:rFonts w:cstheme="minorHAnsi"/>
          <w:b/>
          <w:szCs w:val="22"/>
        </w:rPr>
        <w:t>study</w:t>
      </w:r>
      <w:r w:rsidR="00475FDA" w:rsidRPr="00617CC0">
        <w:rPr>
          <w:rFonts w:cstheme="minorHAnsi"/>
          <w:b/>
          <w:szCs w:val="22"/>
        </w:rPr>
        <w:t xml:space="preserve"> dataset</w:t>
      </w:r>
    </w:p>
    <w:p w14:paraId="7B3AD1B6" w14:textId="1ACEB0D8" w:rsidR="00617CC0" w:rsidRPr="00617CC0" w:rsidRDefault="00A76DD7" w:rsidP="00617CC0">
      <w:pPr>
        <w:spacing w:after="200" w:line="276" w:lineRule="auto"/>
        <w:contextualSpacing/>
        <w:rPr>
          <w:rFonts w:cstheme="minorHAnsi"/>
          <w:szCs w:val="22"/>
        </w:rPr>
      </w:pPr>
      <w:r w:rsidRPr="00617CC0">
        <w:rPr>
          <w:rFonts w:cstheme="minorHAnsi"/>
          <w:szCs w:val="22"/>
        </w:rPr>
        <w:t>Data will be stored in a</w:t>
      </w:r>
      <w:r w:rsidR="00A21C6B">
        <w:rPr>
          <w:rFonts w:cstheme="minorHAnsi"/>
          <w:szCs w:val="22"/>
        </w:rPr>
        <w:t>n anonymised</w:t>
      </w:r>
      <w:r w:rsidRPr="00617CC0">
        <w:rPr>
          <w:rFonts w:cstheme="minorHAnsi"/>
          <w:szCs w:val="22"/>
        </w:rPr>
        <w:t xml:space="preserve"> de-identified format as described earlier, separately from the master log listing patient names. Princip</w:t>
      </w:r>
      <w:r w:rsidR="00F765F4">
        <w:rPr>
          <w:rFonts w:cstheme="minorHAnsi"/>
          <w:szCs w:val="22"/>
        </w:rPr>
        <w:t>al</w:t>
      </w:r>
      <w:r w:rsidRPr="00617CC0">
        <w:rPr>
          <w:rFonts w:cstheme="minorHAnsi"/>
          <w:szCs w:val="22"/>
        </w:rPr>
        <w:t xml:space="preserve"> Investigators will only have access to the datasets for their individual site, and will not routinely have access to the full dataset. At the conclusion of the study, the datasets will be amalgamated by Chief Investigator Rajwani to permit data analysis, but this will only be of the de-identified datasets and not individual site master logs, and as such no single researcher will be able to perform re-identification of the full dataset. Check analysis of the fu</w:t>
      </w:r>
      <w:r w:rsidR="00803DB1">
        <w:rPr>
          <w:rFonts w:cstheme="minorHAnsi"/>
          <w:szCs w:val="22"/>
        </w:rPr>
        <w:t>ll (de-identified) dataset by overall study investigator</w:t>
      </w:r>
      <w:r w:rsidRPr="00617CC0">
        <w:rPr>
          <w:rFonts w:cstheme="minorHAnsi"/>
          <w:szCs w:val="22"/>
        </w:rPr>
        <w:t xml:space="preserve"> Rajwani will be performed with statistician Dr Sally Burrows at the </w:t>
      </w:r>
      <w:r w:rsidRPr="00617CC0">
        <w:rPr>
          <w:rFonts w:cstheme="minorHAnsi"/>
          <w:szCs w:val="22"/>
        </w:rPr>
        <w:lastRenderedPageBreak/>
        <w:t>University of Western Australia, and analysis on a sub-set of the full data for cost-efficacy analyses will be by affiliate investigator Prof Elizabeth Geelhoed, University of Western Australia.</w:t>
      </w:r>
      <w:r w:rsidR="005826F7">
        <w:rPr>
          <w:rFonts w:cstheme="minorHAnsi"/>
          <w:szCs w:val="22"/>
        </w:rPr>
        <w:t xml:space="preserve"> </w:t>
      </w:r>
      <w:r w:rsidR="00617CC0" w:rsidRPr="00617CC0">
        <w:rPr>
          <w:rFonts w:cstheme="minorHAnsi"/>
          <w:szCs w:val="22"/>
        </w:rPr>
        <w:t xml:space="preserve">We </w:t>
      </w:r>
      <w:r w:rsidR="005826F7">
        <w:rPr>
          <w:rFonts w:cstheme="minorHAnsi"/>
          <w:szCs w:val="22"/>
        </w:rPr>
        <w:t xml:space="preserve">also </w:t>
      </w:r>
      <w:r w:rsidR="00617CC0" w:rsidRPr="00617CC0">
        <w:rPr>
          <w:rFonts w:cstheme="minorHAnsi"/>
          <w:szCs w:val="22"/>
        </w:rPr>
        <w:t xml:space="preserve">seek to retain the ability to perform secondary analyses of the dataset, however these will be confined to </w:t>
      </w:r>
      <w:r w:rsidR="005826F7">
        <w:rPr>
          <w:rFonts w:cstheme="minorHAnsi"/>
          <w:szCs w:val="22"/>
        </w:rPr>
        <w:t>(</w:t>
      </w:r>
      <w:proofErr w:type="spellStart"/>
      <w:r w:rsidR="005826F7">
        <w:rPr>
          <w:rFonts w:cstheme="minorHAnsi"/>
          <w:szCs w:val="22"/>
        </w:rPr>
        <w:t>i</w:t>
      </w:r>
      <w:proofErr w:type="spellEnd"/>
      <w:r w:rsidR="005826F7">
        <w:rPr>
          <w:rFonts w:cstheme="minorHAnsi"/>
          <w:szCs w:val="22"/>
        </w:rPr>
        <w:t>) epidemiological associations of MINOCA, and (ii) any additional</w:t>
      </w:r>
      <w:r w:rsidR="00617CC0" w:rsidRPr="00617CC0">
        <w:rPr>
          <w:rFonts w:cstheme="minorHAnsi"/>
          <w:szCs w:val="22"/>
        </w:rPr>
        <w:t xml:space="preserve"> interactions of CMR with MINOCA, and we have explicitly listed this request within the patient documentation.</w:t>
      </w:r>
    </w:p>
    <w:p w14:paraId="36B461BB" w14:textId="77777777" w:rsidR="00864F75" w:rsidRPr="00617CC0" w:rsidRDefault="00864F75" w:rsidP="00617CC0">
      <w:pPr>
        <w:autoSpaceDE w:val="0"/>
        <w:autoSpaceDN w:val="0"/>
        <w:adjustRightInd w:val="0"/>
        <w:spacing w:after="200" w:line="276" w:lineRule="auto"/>
        <w:ind w:left="895"/>
        <w:contextualSpacing/>
        <w:rPr>
          <w:rFonts w:cstheme="minorHAnsi"/>
          <w:szCs w:val="22"/>
        </w:rPr>
      </w:pPr>
    </w:p>
    <w:p w14:paraId="2D5EAA66" w14:textId="6D8F9BCE" w:rsidR="00475FDA" w:rsidRPr="006B6502" w:rsidRDefault="00B942E5"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3C12DB">
        <w:rPr>
          <w:rFonts w:asciiTheme="minorHAnsi" w:hAnsiTheme="minorHAnsi" w:cstheme="minorHAnsi"/>
          <w:color w:val="auto"/>
          <w:spacing w:val="-3"/>
          <w:szCs w:val="22"/>
        </w:rPr>
        <w:tab/>
        <w:t>REFERENCES</w:t>
      </w:r>
    </w:p>
    <w:p w14:paraId="44DB72ED" w14:textId="210A827D" w:rsidR="00E46B9B" w:rsidRDefault="00B8795B" w:rsidP="00087EC0">
      <w:pPr>
        <w:pStyle w:val="ListParagraph"/>
        <w:numPr>
          <w:ilvl w:val="0"/>
          <w:numId w:val="19"/>
        </w:numPr>
        <w:ind w:left="426" w:hanging="426"/>
      </w:pPr>
      <w:proofErr w:type="spellStart"/>
      <w:r w:rsidRPr="00386054">
        <w:t>Agewall</w:t>
      </w:r>
      <w:proofErr w:type="spellEnd"/>
      <w:r w:rsidRPr="00386054">
        <w:t xml:space="preserve"> S, Beltrame JF, Reynolds HR, et al. ESC working group position paper on myocardial infarction with non-obstructive coronary arteries. Eur Heart J. 2017;38(3):143-53.</w:t>
      </w:r>
    </w:p>
    <w:p w14:paraId="246C8C32" w14:textId="504A5B80" w:rsidR="00B8795B" w:rsidRPr="00087EC0" w:rsidRDefault="00B8795B" w:rsidP="00087EC0">
      <w:pPr>
        <w:pStyle w:val="ListParagraph"/>
        <w:numPr>
          <w:ilvl w:val="0"/>
          <w:numId w:val="19"/>
        </w:numPr>
        <w:ind w:left="426" w:hanging="426"/>
        <w:rPr>
          <w:rFonts w:cstheme="minorHAnsi"/>
        </w:rPr>
      </w:pPr>
      <w:proofErr w:type="spellStart"/>
      <w:r w:rsidRPr="00087EC0">
        <w:rPr>
          <w:rFonts w:cstheme="minorHAnsi"/>
        </w:rPr>
        <w:t>Assomull</w:t>
      </w:r>
      <w:proofErr w:type="spellEnd"/>
      <w:r w:rsidRPr="00087EC0">
        <w:rPr>
          <w:rFonts w:cstheme="minorHAnsi"/>
        </w:rPr>
        <w:t xml:space="preserve"> RG, Lyne JC, Keenan N, et al. The role of cardiovascular magnetic resonance in patients presenting with chest pain, raised troponin and unobstructed coronary arteries. Eur Heart J. 2007;28:1242-49</w:t>
      </w:r>
    </w:p>
    <w:p w14:paraId="13F603FA" w14:textId="77777777" w:rsidR="00087EC0" w:rsidRPr="00087EC0" w:rsidRDefault="00B8795B" w:rsidP="00087EC0">
      <w:pPr>
        <w:pStyle w:val="ListParagraph"/>
        <w:numPr>
          <w:ilvl w:val="0"/>
          <w:numId w:val="19"/>
        </w:numPr>
        <w:ind w:left="426" w:hanging="426"/>
        <w:rPr>
          <w:rFonts w:cstheme="minorHAnsi"/>
        </w:rPr>
      </w:pPr>
      <w:proofErr w:type="spellStart"/>
      <w:r w:rsidRPr="00087EC0">
        <w:rPr>
          <w:rFonts w:cstheme="minorHAnsi"/>
        </w:rPr>
        <w:t>Dastidar</w:t>
      </w:r>
      <w:proofErr w:type="spellEnd"/>
      <w:r w:rsidRPr="00087EC0">
        <w:rPr>
          <w:rFonts w:cstheme="minorHAnsi"/>
        </w:rPr>
        <w:t xml:space="preserve"> AG, Rodrigues JC, Johnson TW, et al. Myocardial Infarction with non-obstructed coronary arteries. Impact of CMR early after presentation. J Am Coll </w:t>
      </w:r>
      <w:proofErr w:type="spellStart"/>
      <w:r w:rsidRPr="00087EC0">
        <w:rPr>
          <w:rFonts w:cstheme="minorHAnsi"/>
        </w:rPr>
        <w:t>Cardiol</w:t>
      </w:r>
      <w:proofErr w:type="spellEnd"/>
      <w:r w:rsidRPr="00087EC0">
        <w:rPr>
          <w:rFonts w:cstheme="minorHAnsi"/>
        </w:rPr>
        <w:t>. 2017;10(10):1204-06</w:t>
      </w:r>
      <w:r w:rsidR="00087EC0" w:rsidRPr="00087EC0">
        <w:t xml:space="preserve"> </w:t>
      </w:r>
    </w:p>
    <w:p w14:paraId="20ECB655" w14:textId="788DCB09" w:rsidR="00B8795B" w:rsidRPr="00087EC0" w:rsidRDefault="00087EC0" w:rsidP="00087EC0">
      <w:pPr>
        <w:pStyle w:val="ListParagraph"/>
        <w:numPr>
          <w:ilvl w:val="0"/>
          <w:numId w:val="19"/>
        </w:numPr>
        <w:ind w:left="426" w:hanging="426"/>
        <w:rPr>
          <w:rFonts w:cstheme="minorHAnsi"/>
        </w:rPr>
      </w:pPr>
      <w:r>
        <w:t xml:space="preserve">Rajwani </w:t>
      </w:r>
      <w:r w:rsidRPr="00386054">
        <w:t xml:space="preserve">A, Stewart MJ, Richardson JD, Child NM, </w:t>
      </w:r>
      <w:proofErr w:type="spellStart"/>
      <w:r w:rsidRPr="00386054">
        <w:t>Maredia</w:t>
      </w:r>
      <w:proofErr w:type="spellEnd"/>
      <w:r w:rsidRPr="00386054">
        <w:t xml:space="preserve"> N. The incremental impact of cardiac MRI on clinical decision-making. Br J </w:t>
      </w:r>
      <w:proofErr w:type="spellStart"/>
      <w:r w:rsidRPr="00386054">
        <w:t>Radiol</w:t>
      </w:r>
      <w:proofErr w:type="spellEnd"/>
      <w:r w:rsidRPr="00386054">
        <w:t>. 2016;89(1057):20150662</w:t>
      </w:r>
    </w:p>
    <w:p w14:paraId="431BDBB5" w14:textId="7B8892DC" w:rsidR="00093582" w:rsidRPr="00087EC0" w:rsidRDefault="00087EC0" w:rsidP="00E46B9B">
      <w:pPr>
        <w:pStyle w:val="ListParagraph"/>
        <w:numPr>
          <w:ilvl w:val="0"/>
          <w:numId w:val="19"/>
        </w:numPr>
        <w:ind w:left="426" w:hanging="426"/>
        <w:rPr>
          <w:rFonts w:eastAsiaTheme="majorEastAsia" w:cstheme="minorHAnsi"/>
          <w:b/>
          <w:bCs/>
          <w:spacing w:val="-3"/>
        </w:rPr>
      </w:pPr>
      <w:proofErr w:type="spellStart"/>
      <w:r>
        <w:t>Fryback</w:t>
      </w:r>
      <w:proofErr w:type="spellEnd"/>
      <w:r>
        <w:t xml:space="preserve"> DG, Thornbury JR. The efficacy of diagnostic imaging. Med </w:t>
      </w:r>
      <w:proofErr w:type="spellStart"/>
      <w:r>
        <w:t>Decis</w:t>
      </w:r>
      <w:proofErr w:type="spellEnd"/>
      <w:r>
        <w:t xml:space="preserve"> Making. 1991;11(2):88-94</w:t>
      </w:r>
    </w:p>
    <w:p w14:paraId="39DA848B" w14:textId="0EB0364B" w:rsidR="00475FDA" w:rsidRDefault="00401DE9"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1</w:t>
      </w:r>
      <w:r w:rsidR="00087EC0">
        <w:rPr>
          <w:rFonts w:asciiTheme="minorHAnsi" w:hAnsiTheme="minorHAnsi" w:cstheme="minorHAnsi"/>
          <w:color w:val="auto"/>
          <w:spacing w:val="-3"/>
          <w:szCs w:val="22"/>
        </w:rPr>
        <w:t>0</w:t>
      </w:r>
      <w:r w:rsidR="00475FDA" w:rsidRPr="003C12DB">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APPENDICIES</w:t>
      </w:r>
    </w:p>
    <w:p w14:paraId="3F750A43" w14:textId="77777777" w:rsidR="003B4870" w:rsidRPr="003B4870" w:rsidRDefault="003B4870" w:rsidP="003B4870"/>
    <w:p w14:paraId="51987446" w14:textId="6DCF5D0E" w:rsidR="00475FDA" w:rsidRPr="004B3BCA" w:rsidRDefault="00552E09"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w:t>
      </w:r>
      <w:r w:rsidR="00087EC0">
        <w:rPr>
          <w:rFonts w:cstheme="minorHAnsi"/>
          <w:b/>
          <w:bCs/>
          <w:szCs w:val="22"/>
          <w:lang w:eastAsia="en-GB"/>
        </w:rPr>
        <w:t>0</w:t>
      </w:r>
      <w:r w:rsidR="003B4870">
        <w:rPr>
          <w:rFonts w:cstheme="minorHAnsi"/>
          <w:b/>
          <w:bCs/>
          <w:szCs w:val="22"/>
          <w:lang w:eastAsia="en-GB"/>
        </w:rPr>
        <w:t>.1</w:t>
      </w:r>
      <w:r w:rsidR="00864F75">
        <w:rPr>
          <w:rFonts w:cstheme="minorHAnsi"/>
          <w:b/>
          <w:bCs/>
          <w:szCs w:val="22"/>
          <w:lang w:eastAsia="en-GB"/>
        </w:rPr>
        <w:tab/>
      </w:r>
      <w:r w:rsidR="003B4870">
        <w:rPr>
          <w:rFonts w:cstheme="minorHAnsi"/>
          <w:b/>
          <w:bCs/>
          <w:szCs w:val="22"/>
          <w:lang w:eastAsia="en-GB"/>
        </w:rPr>
        <w:t xml:space="preserve">Appendix 1- </w:t>
      </w:r>
      <w:r w:rsidR="00864F75">
        <w:rPr>
          <w:rFonts w:cstheme="minorHAnsi"/>
          <w:b/>
          <w:bCs/>
          <w:szCs w:val="22"/>
          <w:lang w:eastAsia="en-GB"/>
        </w:rPr>
        <w:t>Required d</w:t>
      </w:r>
      <w:r w:rsidR="00475FDA" w:rsidRPr="004B3BCA">
        <w:rPr>
          <w:rFonts w:cstheme="minorHAnsi"/>
          <w:b/>
          <w:bCs/>
          <w:szCs w:val="22"/>
          <w:lang w:eastAsia="en-GB"/>
        </w:rPr>
        <w:t xml:space="preserve">ocumentation </w:t>
      </w:r>
    </w:p>
    <w:p w14:paraId="134D5A71" w14:textId="476F85EB" w:rsidR="00093582" w:rsidRPr="00087EC0" w:rsidRDefault="00087EC0" w:rsidP="00087EC0">
      <w:pPr>
        <w:spacing w:after="200" w:line="276" w:lineRule="auto"/>
        <w:contextualSpacing/>
        <w:rPr>
          <w:rFonts w:cstheme="minorHAnsi"/>
          <w:bCs/>
          <w:szCs w:val="22"/>
          <w:lang w:eastAsia="en-GB"/>
        </w:rPr>
      </w:pPr>
      <w:r w:rsidRPr="00087EC0">
        <w:rPr>
          <w:rFonts w:cstheme="minorHAnsi"/>
          <w:bCs/>
          <w:szCs w:val="22"/>
          <w:lang w:eastAsia="en-GB"/>
        </w:rPr>
        <w:t>CV –</w:t>
      </w:r>
      <w:r w:rsidR="00803DB1">
        <w:rPr>
          <w:rFonts w:cstheme="minorHAnsi"/>
          <w:bCs/>
          <w:szCs w:val="22"/>
          <w:lang w:eastAsia="en-GB"/>
        </w:rPr>
        <w:t xml:space="preserve"> I</w:t>
      </w:r>
      <w:r w:rsidRPr="00087EC0">
        <w:rPr>
          <w:rFonts w:cstheme="minorHAnsi"/>
          <w:bCs/>
          <w:szCs w:val="22"/>
          <w:lang w:eastAsia="en-GB"/>
        </w:rPr>
        <w:t>nvestigator Rajwani</w:t>
      </w:r>
    </w:p>
    <w:p w14:paraId="5D16FD22" w14:textId="30771FB4" w:rsidR="00087EC0" w:rsidRDefault="00087EC0" w:rsidP="00087EC0">
      <w:pPr>
        <w:spacing w:after="200" w:line="276" w:lineRule="auto"/>
        <w:contextualSpacing/>
        <w:rPr>
          <w:rFonts w:cstheme="minorHAnsi"/>
          <w:bCs/>
          <w:szCs w:val="22"/>
          <w:lang w:eastAsia="en-GB"/>
        </w:rPr>
      </w:pPr>
      <w:r w:rsidRPr="00087EC0">
        <w:rPr>
          <w:rFonts w:cstheme="minorHAnsi"/>
          <w:bCs/>
          <w:szCs w:val="22"/>
          <w:lang w:eastAsia="en-GB"/>
        </w:rPr>
        <w:t xml:space="preserve">CV – </w:t>
      </w:r>
      <w:r w:rsidR="00803DB1">
        <w:rPr>
          <w:rFonts w:cstheme="minorHAnsi"/>
          <w:bCs/>
          <w:szCs w:val="22"/>
          <w:lang w:eastAsia="en-GB"/>
        </w:rPr>
        <w:t>I</w:t>
      </w:r>
      <w:r w:rsidRPr="00087EC0">
        <w:rPr>
          <w:rFonts w:cstheme="minorHAnsi"/>
          <w:bCs/>
          <w:szCs w:val="22"/>
          <w:lang w:eastAsia="en-GB"/>
        </w:rPr>
        <w:t>nvestigator Austin</w:t>
      </w:r>
    </w:p>
    <w:p w14:paraId="55F2DD4D" w14:textId="529CF3B9" w:rsidR="00087EC0" w:rsidRPr="00087EC0" w:rsidRDefault="00087EC0" w:rsidP="00087EC0">
      <w:pPr>
        <w:spacing w:after="200" w:line="276" w:lineRule="auto"/>
        <w:contextualSpacing/>
        <w:rPr>
          <w:rFonts w:cstheme="minorHAnsi"/>
          <w:bCs/>
          <w:szCs w:val="22"/>
          <w:lang w:eastAsia="en-GB"/>
        </w:rPr>
      </w:pPr>
      <w:r w:rsidRPr="00087EC0">
        <w:rPr>
          <w:rFonts w:cstheme="minorHAnsi"/>
          <w:bCs/>
          <w:szCs w:val="22"/>
          <w:lang w:eastAsia="en-GB"/>
        </w:rPr>
        <w:t>Patient information letter and consent form</w:t>
      </w:r>
    </w:p>
    <w:p w14:paraId="3EDA2A7E" w14:textId="0728FC94" w:rsidR="00087EC0" w:rsidRPr="00087EC0" w:rsidRDefault="00087EC0" w:rsidP="00087EC0">
      <w:pPr>
        <w:spacing w:after="200" w:line="276" w:lineRule="auto"/>
        <w:contextualSpacing/>
        <w:rPr>
          <w:rFonts w:cstheme="minorHAnsi"/>
          <w:bCs/>
          <w:szCs w:val="22"/>
          <w:lang w:eastAsia="en-GB"/>
        </w:rPr>
      </w:pPr>
      <w:r w:rsidRPr="00087EC0">
        <w:rPr>
          <w:rFonts w:cstheme="minorHAnsi"/>
          <w:bCs/>
          <w:szCs w:val="22"/>
          <w:lang w:eastAsia="en-GB"/>
        </w:rPr>
        <w:t>Pre-CMR questionnaire</w:t>
      </w:r>
    </w:p>
    <w:p w14:paraId="6A3ED2C7" w14:textId="0BBA7A2B" w:rsidR="00087EC0" w:rsidRPr="00087EC0" w:rsidRDefault="00087EC0" w:rsidP="00087EC0">
      <w:pPr>
        <w:spacing w:after="200" w:line="276" w:lineRule="auto"/>
        <w:contextualSpacing/>
        <w:rPr>
          <w:rFonts w:cstheme="minorHAnsi"/>
          <w:bCs/>
          <w:szCs w:val="22"/>
          <w:lang w:eastAsia="en-GB"/>
        </w:rPr>
      </w:pPr>
      <w:r w:rsidRPr="00087EC0">
        <w:rPr>
          <w:rFonts w:cstheme="minorHAnsi"/>
          <w:bCs/>
          <w:szCs w:val="22"/>
          <w:lang w:eastAsia="en-GB"/>
        </w:rPr>
        <w:t>Post-CMR questionnaire</w:t>
      </w:r>
    </w:p>
    <w:p w14:paraId="4A6E7CE7" w14:textId="73D37BA2" w:rsidR="00087EC0" w:rsidRDefault="00087EC0" w:rsidP="00087EC0">
      <w:pPr>
        <w:spacing w:after="200" w:line="276" w:lineRule="auto"/>
        <w:contextualSpacing/>
        <w:rPr>
          <w:rFonts w:cstheme="minorHAnsi"/>
          <w:b/>
          <w:bCs/>
          <w:szCs w:val="22"/>
          <w:lang w:eastAsia="en-GB"/>
        </w:rPr>
      </w:pPr>
      <w:r w:rsidRPr="00087EC0">
        <w:rPr>
          <w:rFonts w:cstheme="minorHAnsi"/>
          <w:bCs/>
          <w:szCs w:val="22"/>
          <w:lang w:eastAsia="en-GB"/>
        </w:rPr>
        <w:t>One-Year interview</w:t>
      </w:r>
      <w:r w:rsidR="003A44E6">
        <w:rPr>
          <w:rFonts w:cstheme="minorHAnsi"/>
          <w:bCs/>
          <w:szCs w:val="22"/>
          <w:lang w:eastAsia="en-GB"/>
        </w:rPr>
        <w:t xml:space="preserve"> questionnaire</w:t>
      </w: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5B595587" w:rsidR="00475FDA" w:rsidRDefault="00401DE9" w:rsidP="004B3BCA">
      <w:pPr>
        <w:spacing w:line="240" w:lineRule="auto"/>
        <w:rPr>
          <w:rFonts w:cstheme="minorHAnsi"/>
          <w:b/>
          <w:bCs/>
          <w:szCs w:val="22"/>
          <w:lang w:eastAsia="en-GB"/>
        </w:rPr>
      </w:pPr>
      <w:r>
        <w:rPr>
          <w:rFonts w:cstheme="minorHAnsi"/>
          <w:b/>
          <w:szCs w:val="22"/>
          <w:lang w:eastAsia="en-GB"/>
        </w:rPr>
        <w:t>1</w:t>
      </w:r>
      <w:r w:rsidR="00087EC0">
        <w:rPr>
          <w:rFonts w:cstheme="minorHAnsi"/>
          <w:b/>
          <w:szCs w:val="22"/>
          <w:lang w:eastAsia="en-GB"/>
        </w:rPr>
        <w:t>0</w:t>
      </w:r>
      <w:r w:rsidR="003B4870">
        <w:rPr>
          <w:rFonts w:cstheme="minorHAnsi"/>
          <w:b/>
          <w:szCs w:val="22"/>
          <w:lang w:eastAsia="en-GB"/>
        </w:rPr>
        <w:t>.2</w:t>
      </w:r>
      <w:r w:rsidR="00475FDA" w:rsidRPr="003C12DB">
        <w:rPr>
          <w:rFonts w:cstheme="minorHAnsi"/>
          <w:szCs w:val="22"/>
          <w:lang w:eastAsia="en-GB"/>
        </w:rPr>
        <w:t xml:space="preserve"> </w:t>
      </w:r>
      <w:r w:rsidR="00864F75">
        <w:rPr>
          <w:rFonts w:cstheme="minorHAnsi"/>
          <w:szCs w:val="22"/>
          <w:lang w:eastAsia="en-GB"/>
        </w:rPr>
        <w:tab/>
      </w:r>
      <w:r w:rsidR="00475FDA" w:rsidRPr="003C12DB">
        <w:rPr>
          <w:rFonts w:cstheme="minorHAnsi"/>
          <w:b/>
          <w:bCs/>
          <w:szCs w:val="22"/>
          <w:lang w:eastAsia="en-GB"/>
        </w:rPr>
        <w:t>Appe</w:t>
      </w:r>
      <w:r w:rsidR="003B4870">
        <w:rPr>
          <w:rFonts w:cstheme="minorHAnsi"/>
          <w:b/>
          <w:bCs/>
          <w:szCs w:val="22"/>
          <w:lang w:eastAsia="en-GB"/>
        </w:rPr>
        <w:t>ndix 2</w:t>
      </w:r>
      <w:r w:rsidR="00475FDA" w:rsidRPr="003C12DB">
        <w:rPr>
          <w:rFonts w:cstheme="minorHAnsi"/>
          <w:b/>
          <w:bCs/>
          <w:szCs w:val="22"/>
          <w:lang w:eastAsia="en-GB"/>
        </w:rPr>
        <w:t xml:space="preserve"> – Schedule of Procedures</w:t>
      </w:r>
      <w:r w:rsidR="00973EB9">
        <w:rPr>
          <w:rFonts w:cstheme="minorHAnsi"/>
          <w:b/>
          <w:bCs/>
          <w:szCs w:val="22"/>
          <w:lang w:eastAsia="en-GB"/>
        </w:rPr>
        <w:t xml:space="preserve"> (Example)</w:t>
      </w:r>
    </w:p>
    <w:p w14:paraId="56C2DDD7" w14:textId="77777777" w:rsidR="004B3BCA" w:rsidRPr="004B3BCA" w:rsidRDefault="004B3BCA" w:rsidP="004B3BCA">
      <w:pPr>
        <w:spacing w:line="240" w:lineRule="auto"/>
        <w:rPr>
          <w:rFonts w:cstheme="minorHAnsi"/>
          <w:b/>
          <w:bCs/>
          <w:szCs w:val="22"/>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829"/>
        <w:gridCol w:w="1843"/>
        <w:gridCol w:w="1843"/>
        <w:gridCol w:w="1843"/>
      </w:tblGrid>
      <w:tr w:rsidR="00475FDA" w:rsidRPr="003C12DB" w14:paraId="591119A1" w14:textId="77777777" w:rsidTr="004B3BCA">
        <w:trPr>
          <w:trHeight w:val="454"/>
        </w:trPr>
        <w:tc>
          <w:tcPr>
            <w:tcW w:w="2815" w:type="dxa"/>
            <w:vMerge w:val="restart"/>
          </w:tcPr>
          <w:p w14:paraId="1CA40309" w14:textId="77777777" w:rsidR="00475FDA" w:rsidRPr="00087EC0" w:rsidRDefault="00475FDA" w:rsidP="003802A1">
            <w:pPr>
              <w:spacing w:line="240" w:lineRule="auto"/>
              <w:rPr>
                <w:rFonts w:cstheme="minorHAnsi"/>
                <w:b/>
                <w:iCs/>
                <w:szCs w:val="22"/>
              </w:rPr>
            </w:pPr>
            <w:r w:rsidRPr="00087EC0">
              <w:rPr>
                <w:rFonts w:cstheme="minorHAnsi"/>
                <w:b/>
                <w:iCs/>
                <w:szCs w:val="22"/>
              </w:rPr>
              <w:t>Procedures</w:t>
            </w:r>
          </w:p>
        </w:tc>
        <w:tc>
          <w:tcPr>
            <w:tcW w:w="7358" w:type="dxa"/>
            <w:gridSpan w:val="4"/>
            <w:vAlign w:val="center"/>
          </w:tcPr>
          <w:p w14:paraId="5B153EA5" w14:textId="77777777" w:rsidR="00475FDA" w:rsidRPr="00087EC0" w:rsidRDefault="00475FDA" w:rsidP="003802A1">
            <w:pPr>
              <w:spacing w:line="240" w:lineRule="auto"/>
              <w:rPr>
                <w:rFonts w:cstheme="minorHAnsi"/>
                <w:b/>
                <w:iCs/>
                <w:szCs w:val="22"/>
              </w:rPr>
            </w:pPr>
            <w:r w:rsidRPr="00087EC0">
              <w:rPr>
                <w:rFonts w:cstheme="minorHAnsi"/>
                <w:b/>
                <w:iCs/>
                <w:szCs w:val="22"/>
              </w:rPr>
              <w:t>Visits (insert visit numbers as appropriate)</w:t>
            </w:r>
          </w:p>
        </w:tc>
      </w:tr>
      <w:tr w:rsidR="00E46B9B" w:rsidRPr="003C12DB" w14:paraId="783ED491" w14:textId="77777777" w:rsidTr="00E46B9B">
        <w:trPr>
          <w:trHeight w:val="454"/>
        </w:trPr>
        <w:tc>
          <w:tcPr>
            <w:tcW w:w="2815" w:type="dxa"/>
            <w:vMerge/>
          </w:tcPr>
          <w:p w14:paraId="00111F97" w14:textId="77777777" w:rsidR="00E46B9B" w:rsidRPr="00087EC0" w:rsidRDefault="00E46B9B" w:rsidP="003802A1">
            <w:pPr>
              <w:spacing w:line="240" w:lineRule="auto"/>
              <w:rPr>
                <w:rFonts w:cstheme="minorHAnsi"/>
                <w:b/>
                <w:iCs/>
                <w:szCs w:val="22"/>
              </w:rPr>
            </w:pPr>
          </w:p>
        </w:tc>
        <w:tc>
          <w:tcPr>
            <w:tcW w:w="1829" w:type="dxa"/>
            <w:vAlign w:val="center"/>
          </w:tcPr>
          <w:p w14:paraId="2BF59F20" w14:textId="77777777" w:rsidR="00E46B9B" w:rsidRPr="00087EC0" w:rsidRDefault="00E46B9B" w:rsidP="003802A1">
            <w:pPr>
              <w:spacing w:line="240" w:lineRule="auto"/>
              <w:rPr>
                <w:rFonts w:cstheme="minorHAnsi"/>
                <w:b/>
                <w:iCs/>
                <w:szCs w:val="22"/>
              </w:rPr>
            </w:pPr>
            <w:r w:rsidRPr="00087EC0">
              <w:rPr>
                <w:rFonts w:cstheme="minorHAnsi"/>
                <w:b/>
                <w:iCs/>
                <w:szCs w:val="22"/>
              </w:rPr>
              <w:t>Screening</w:t>
            </w:r>
          </w:p>
        </w:tc>
        <w:tc>
          <w:tcPr>
            <w:tcW w:w="1843" w:type="dxa"/>
            <w:vAlign w:val="center"/>
          </w:tcPr>
          <w:p w14:paraId="08E65C1B" w14:textId="77777777" w:rsidR="00E46B9B" w:rsidRPr="00087EC0" w:rsidRDefault="00E46B9B" w:rsidP="003802A1">
            <w:pPr>
              <w:spacing w:line="240" w:lineRule="auto"/>
              <w:rPr>
                <w:rFonts w:cstheme="minorHAnsi"/>
                <w:b/>
                <w:iCs/>
                <w:szCs w:val="22"/>
              </w:rPr>
            </w:pPr>
            <w:r w:rsidRPr="00087EC0">
              <w:rPr>
                <w:rFonts w:cstheme="minorHAnsi"/>
                <w:b/>
                <w:iCs/>
                <w:szCs w:val="22"/>
              </w:rPr>
              <w:t>Baseline</w:t>
            </w:r>
          </w:p>
        </w:tc>
        <w:tc>
          <w:tcPr>
            <w:tcW w:w="1843" w:type="dxa"/>
            <w:vAlign w:val="center"/>
          </w:tcPr>
          <w:p w14:paraId="43E540CC" w14:textId="50472C0A" w:rsidR="00E46B9B" w:rsidRPr="00087EC0" w:rsidRDefault="00E46B9B" w:rsidP="003802A1">
            <w:pPr>
              <w:spacing w:line="240" w:lineRule="auto"/>
              <w:rPr>
                <w:rFonts w:cstheme="minorHAnsi"/>
                <w:b/>
                <w:bCs/>
                <w:szCs w:val="22"/>
              </w:rPr>
            </w:pPr>
            <w:r w:rsidRPr="00087EC0">
              <w:rPr>
                <w:rFonts w:cstheme="minorHAnsi"/>
                <w:b/>
                <w:bCs/>
                <w:szCs w:val="22"/>
              </w:rPr>
              <w:t>Post CMR</w:t>
            </w:r>
          </w:p>
        </w:tc>
        <w:tc>
          <w:tcPr>
            <w:tcW w:w="1843" w:type="dxa"/>
            <w:vAlign w:val="center"/>
          </w:tcPr>
          <w:p w14:paraId="204E55D0" w14:textId="6AAEA74D" w:rsidR="00E46B9B" w:rsidRPr="00087EC0" w:rsidRDefault="00E46B9B" w:rsidP="003802A1">
            <w:pPr>
              <w:spacing w:line="240" w:lineRule="auto"/>
              <w:rPr>
                <w:rFonts w:cstheme="minorHAnsi"/>
                <w:b/>
                <w:bCs/>
                <w:szCs w:val="22"/>
              </w:rPr>
            </w:pPr>
            <w:r w:rsidRPr="00087EC0">
              <w:rPr>
                <w:rFonts w:cstheme="minorHAnsi"/>
                <w:b/>
                <w:bCs/>
                <w:szCs w:val="22"/>
              </w:rPr>
              <w:t>1 year</w:t>
            </w:r>
          </w:p>
        </w:tc>
      </w:tr>
      <w:tr w:rsidR="00E46B9B" w:rsidRPr="003C12DB" w14:paraId="7866830B" w14:textId="77777777" w:rsidTr="00E46B9B">
        <w:trPr>
          <w:trHeight w:val="454"/>
        </w:trPr>
        <w:tc>
          <w:tcPr>
            <w:tcW w:w="2815" w:type="dxa"/>
            <w:vAlign w:val="center"/>
          </w:tcPr>
          <w:p w14:paraId="1D6DADDF" w14:textId="5D1081E4" w:rsidR="00E46B9B" w:rsidRPr="00087EC0" w:rsidRDefault="00E46B9B" w:rsidP="00E46B9B">
            <w:pPr>
              <w:spacing w:line="240" w:lineRule="auto"/>
              <w:rPr>
                <w:rFonts w:cstheme="minorHAnsi"/>
                <w:szCs w:val="22"/>
              </w:rPr>
            </w:pPr>
            <w:r w:rsidRPr="00087EC0">
              <w:rPr>
                <w:rFonts w:cstheme="minorHAnsi"/>
                <w:szCs w:val="22"/>
              </w:rPr>
              <w:t>Informed consent</w:t>
            </w:r>
            <w:r w:rsidRPr="00087EC0">
              <w:rPr>
                <w:rFonts w:cstheme="minorHAnsi"/>
                <w:szCs w:val="22"/>
              </w:rPr>
              <w:br/>
            </w:r>
          </w:p>
        </w:tc>
        <w:tc>
          <w:tcPr>
            <w:tcW w:w="1829" w:type="dxa"/>
            <w:vAlign w:val="center"/>
          </w:tcPr>
          <w:p w14:paraId="13B40CC5" w14:textId="013BEB79" w:rsidR="00E46B9B" w:rsidRPr="00087EC0" w:rsidRDefault="00E46B9B" w:rsidP="00973EB9">
            <w:pPr>
              <w:spacing w:line="240" w:lineRule="auto"/>
              <w:jc w:val="center"/>
              <w:rPr>
                <w:rFonts w:cstheme="minorHAnsi"/>
                <w:bCs/>
                <w:szCs w:val="22"/>
              </w:rPr>
            </w:pPr>
            <w:r w:rsidRPr="00087EC0">
              <w:rPr>
                <w:rFonts w:cstheme="minorHAnsi"/>
                <w:bCs/>
                <w:szCs w:val="22"/>
              </w:rPr>
              <w:t>X1</w:t>
            </w:r>
          </w:p>
        </w:tc>
        <w:tc>
          <w:tcPr>
            <w:tcW w:w="1843" w:type="dxa"/>
            <w:vAlign w:val="center"/>
          </w:tcPr>
          <w:p w14:paraId="7D5AA35A" w14:textId="77777777" w:rsidR="00E46B9B" w:rsidRPr="00087EC0" w:rsidRDefault="00E46B9B" w:rsidP="003802A1">
            <w:pPr>
              <w:spacing w:line="240" w:lineRule="auto"/>
              <w:rPr>
                <w:rFonts w:cstheme="minorHAnsi"/>
                <w:bCs/>
                <w:szCs w:val="22"/>
              </w:rPr>
            </w:pPr>
          </w:p>
        </w:tc>
        <w:tc>
          <w:tcPr>
            <w:tcW w:w="1843" w:type="dxa"/>
            <w:vAlign w:val="center"/>
          </w:tcPr>
          <w:p w14:paraId="19399FF8" w14:textId="77777777" w:rsidR="00E46B9B" w:rsidRPr="00087EC0" w:rsidRDefault="00E46B9B" w:rsidP="003802A1">
            <w:pPr>
              <w:spacing w:line="240" w:lineRule="auto"/>
              <w:rPr>
                <w:rFonts w:cstheme="minorHAnsi"/>
                <w:bCs/>
                <w:szCs w:val="22"/>
              </w:rPr>
            </w:pPr>
          </w:p>
        </w:tc>
        <w:tc>
          <w:tcPr>
            <w:tcW w:w="1843" w:type="dxa"/>
            <w:vAlign w:val="center"/>
          </w:tcPr>
          <w:p w14:paraId="5F66736A" w14:textId="77777777" w:rsidR="00E46B9B" w:rsidRPr="00087EC0" w:rsidRDefault="00E46B9B" w:rsidP="003802A1">
            <w:pPr>
              <w:spacing w:line="240" w:lineRule="auto"/>
              <w:rPr>
                <w:rFonts w:cstheme="minorHAnsi"/>
                <w:bCs/>
                <w:szCs w:val="22"/>
              </w:rPr>
            </w:pPr>
          </w:p>
        </w:tc>
      </w:tr>
      <w:tr w:rsidR="00E46B9B" w:rsidRPr="003C12DB" w14:paraId="2EEF3CD4" w14:textId="77777777" w:rsidTr="00E46B9B">
        <w:trPr>
          <w:trHeight w:val="327"/>
        </w:trPr>
        <w:tc>
          <w:tcPr>
            <w:tcW w:w="2815" w:type="dxa"/>
            <w:vAlign w:val="center"/>
          </w:tcPr>
          <w:p w14:paraId="0FBE3F86" w14:textId="5CABD2E9" w:rsidR="00E46B9B" w:rsidRPr="00087EC0" w:rsidRDefault="00E46B9B" w:rsidP="00E46B9B">
            <w:pPr>
              <w:spacing w:line="240" w:lineRule="auto"/>
              <w:rPr>
                <w:rFonts w:cstheme="minorHAnsi"/>
                <w:szCs w:val="22"/>
              </w:rPr>
            </w:pPr>
            <w:r w:rsidRPr="00087EC0">
              <w:rPr>
                <w:rFonts w:cstheme="minorHAnsi"/>
                <w:szCs w:val="22"/>
              </w:rPr>
              <w:t>Demographics</w:t>
            </w:r>
            <w:r w:rsidRPr="00087EC0">
              <w:rPr>
                <w:rFonts w:cstheme="minorHAnsi"/>
                <w:szCs w:val="22"/>
              </w:rPr>
              <w:br/>
            </w:r>
          </w:p>
        </w:tc>
        <w:tc>
          <w:tcPr>
            <w:tcW w:w="1829" w:type="dxa"/>
            <w:vAlign w:val="center"/>
          </w:tcPr>
          <w:p w14:paraId="1097BB58" w14:textId="77777777" w:rsidR="00E46B9B" w:rsidRPr="00087EC0" w:rsidRDefault="00E46B9B" w:rsidP="003802A1">
            <w:pPr>
              <w:spacing w:line="240" w:lineRule="auto"/>
              <w:rPr>
                <w:rFonts w:cstheme="minorHAnsi"/>
                <w:bCs/>
                <w:szCs w:val="22"/>
              </w:rPr>
            </w:pPr>
          </w:p>
        </w:tc>
        <w:tc>
          <w:tcPr>
            <w:tcW w:w="1843" w:type="dxa"/>
            <w:vAlign w:val="center"/>
          </w:tcPr>
          <w:p w14:paraId="27FAD345" w14:textId="44BC5BD7" w:rsidR="00E46B9B" w:rsidRPr="00087EC0" w:rsidRDefault="00E46B9B" w:rsidP="00973EB9">
            <w:pPr>
              <w:spacing w:line="240" w:lineRule="auto"/>
              <w:jc w:val="center"/>
              <w:rPr>
                <w:rFonts w:cstheme="minorHAnsi"/>
                <w:bCs/>
                <w:szCs w:val="22"/>
              </w:rPr>
            </w:pPr>
            <w:r w:rsidRPr="00087EC0">
              <w:rPr>
                <w:rFonts w:cstheme="minorHAnsi"/>
                <w:bCs/>
                <w:szCs w:val="22"/>
              </w:rPr>
              <w:t>X1</w:t>
            </w:r>
          </w:p>
        </w:tc>
        <w:tc>
          <w:tcPr>
            <w:tcW w:w="1843" w:type="dxa"/>
            <w:vAlign w:val="center"/>
          </w:tcPr>
          <w:p w14:paraId="5C87CFA9" w14:textId="6F301AC8" w:rsidR="00E46B9B" w:rsidRPr="00087EC0" w:rsidRDefault="00E46B9B" w:rsidP="00973EB9">
            <w:pPr>
              <w:spacing w:line="240" w:lineRule="auto"/>
              <w:jc w:val="center"/>
              <w:rPr>
                <w:rFonts w:cstheme="minorHAnsi"/>
                <w:bCs/>
                <w:szCs w:val="22"/>
              </w:rPr>
            </w:pPr>
          </w:p>
        </w:tc>
        <w:tc>
          <w:tcPr>
            <w:tcW w:w="1843" w:type="dxa"/>
            <w:vAlign w:val="center"/>
          </w:tcPr>
          <w:p w14:paraId="02B9DA10" w14:textId="77777777" w:rsidR="00E46B9B" w:rsidRPr="00087EC0" w:rsidRDefault="00E46B9B" w:rsidP="003802A1">
            <w:pPr>
              <w:spacing w:line="240" w:lineRule="auto"/>
              <w:rPr>
                <w:rFonts w:cstheme="minorHAnsi"/>
                <w:bCs/>
                <w:szCs w:val="22"/>
              </w:rPr>
            </w:pPr>
          </w:p>
        </w:tc>
      </w:tr>
      <w:tr w:rsidR="00E46B9B" w:rsidRPr="003C12DB" w14:paraId="469E0E98" w14:textId="77777777" w:rsidTr="00E46B9B">
        <w:trPr>
          <w:trHeight w:val="454"/>
        </w:trPr>
        <w:tc>
          <w:tcPr>
            <w:tcW w:w="2815" w:type="dxa"/>
            <w:vAlign w:val="center"/>
          </w:tcPr>
          <w:p w14:paraId="2AFD6085" w14:textId="4E2C1D7E" w:rsidR="00E46B9B" w:rsidRPr="00087EC0" w:rsidRDefault="00E46B9B" w:rsidP="00E46B9B">
            <w:pPr>
              <w:spacing w:line="240" w:lineRule="auto"/>
              <w:rPr>
                <w:rFonts w:cstheme="minorHAnsi"/>
                <w:szCs w:val="22"/>
              </w:rPr>
            </w:pPr>
            <w:r w:rsidRPr="00087EC0">
              <w:rPr>
                <w:rFonts w:cstheme="minorHAnsi"/>
                <w:szCs w:val="22"/>
              </w:rPr>
              <w:t xml:space="preserve">Baseline questionnaire </w:t>
            </w:r>
            <w:r w:rsidRPr="00087EC0">
              <w:rPr>
                <w:rFonts w:cstheme="minorHAnsi"/>
                <w:szCs w:val="22"/>
              </w:rPr>
              <w:br/>
              <w:t>(by treating clinician)</w:t>
            </w:r>
          </w:p>
        </w:tc>
        <w:tc>
          <w:tcPr>
            <w:tcW w:w="1829" w:type="dxa"/>
            <w:vAlign w:val="center"/>
          </w:tcPr>
          <w:p w14:paraId="556C8E14" w14:textId="77777777" w:rsidR="00E46B9B" w:rsidRPr="00087EC0" w:rsidRDefault="00E46B9B" w:rsidP="003802A1">
            <w:pPr>
              <w:spacing w:line="240" w:lineRule="auto"/>
              <w:rPr>
                <w:rFonts w:cstheme="minorHAnsi"/>
                <w:bCs/>
                <w:szCs w:val="22"/>
              </w:rPr>
            </w:pPr>
          </w:p>
        </w:tc>
        <w:tc>
          <w:tcPr>
            <w:tcW w:w="1843" w:type="dxa"/>
            <w:vAlign w:val="center"/>
          </w:tcPr>
          <w:p w14:paraId="40938535" w14:textId="0FABF7C7" w:rsidR="00E46B9B" w:rsidRPr="00087EC0" w:rsidRDefault="00E46B9B" w:rsidP="00973EB9">
            <w:pPr>
              <w:spacing w:line="240" w:lineRule="auto"/>
              <w:jc w:val="center"/>
              <w:rPr>
                <w:rFonts w:cstheme="minorHAnsi"/>
                <w:bCs/>
                <w:szCs w:val="22"/>
              </w:rPr>
            </w:pPr>
            <w:r w:rsidRPr="00087EC0">
              <w:rPr>
                <w:rFonts w:cstheme="minorHAnsi"/>
                <w:bCs/>
                <w:szCs w:val="22"/>
              </w:rPr>
              <w:t>X1</w:t>
            </w:r>
          </w:p>
        </w:tc>
        <w:tc>
          <w:tcPr>
            <w:tcW w:w="1843" w:type="dxa"/>
            <w:vAlign w:val="center"/>
          </w:tcPr>
          <w:p w14:paraId="766A2A54" w14:textId="23806F22" w:rsidR="00E46B9B" w:rsidRPr="00087EC0" w:rsidRDefault="00E46B9B" w:rsidP="00973EB9">
            <w:pPr>
              <w:spacing w:line="240" w:lineRule="auto"/>
              <w:jc w:val="center"/>
              <w:rPr>
                <w:rFonts w:cstheme="minorHAnsi"/>
                <w:bCs/>
                <w:szCs w:val="22"/>
              </w:rPr>
            </w:pPr>
          </w:p>
        </w:tc>
        <w:tc>
          <w:tcPr>
            <w:tcW w:w="1843" w:type="dxa"/>
            <w:vAlign w:val="center"/>
          </w:tcPr>
          <w:p w14:paraId="6C0CEAF1" w14:textId="77777777" w:rsidR="00E46B9B" w:rsidRPr="00087EC0" w:rsidRDefault="00E46B9B" w:rsidP="003802A1">
            <w:pPr>
              <w:spacing w:line="240" w:lineRule="auto"/>
              <w:rPr>
                <w:rFonts w:cstheme="minorHAnsi"/>
                <w:bCs/>
                <w:szCs w:val="22"/>
              </w:rPr>
            </w:pPr>
          </w:p>
        </w:tc>
      </w:tr>
      <w:tr w:rsidR="00E46B9B" w:rsidRPr="003C12DB" w14:paraId="0B5C0808" w14:textId="77777777" w:rsidTr="00E46B9B">
        <w:trPr>
          <w:trHeight w:val="454"/>
        </w:trPr>
        <w:tc>
          <w:tcPr>
            <w:tcW w:w="2815" w:type="dxa"/>
            <w:vAlign w:val="center"/>
          </w:tcPr>
          <w:p w14:paraId="38A2BE8D" w14:textId="40156761" w:rsidR="00E46B9B" w:rsidRPr="00087EC0" w:rsidRDefault="00E46B9B" w:rsidP="00E46B9B">
            <w:pPr>
              <w:spacing w:line="240" w:lineRule="auto"/>
              <w:rPr>
                <w:rFonts w:cstheme="minorHAnsi"/>
                <w:szCs w:val="22"/>
              </w:rPr>
            </w:pPr>
            <w:r w:rsidRPr="00087EC0">
              <w:rPr>
                <w:rFonts w:cstheme="minorHAnsi"/>
                <w:szCs w:val="22"/>
              </w:rPr>
              <w:lastRenderedPageBreak/>
              <w:t>Post-CMR questionnaire</w:t>
            </w:r>
            <w:r w:rsidRPr="00087EC0">
              <w:rPr>
                <w:rFonts w:cstheme="minorHAnsi"/>
                <w:szCs w:val="22"/>
              </w:rPr>
              <w:br/>
              <w:t>(by treating clinician)</w:t>
            </w:r>
          </w:p>
        </w:tc>
        <w:tc>
          <w:tcPr>
            <w:tcW w:w="1829" w:type="dxa"/>
            <w:vAlign w:val="center"/>
          </w:tcPr>
          <w:p w14:paraId="5674FF30" w14:textId="77777777" w:rsidR="00E46B9B" w:rsidRPr="00087EC0" w:rsidRDefault="00E46B9B" w:rsidP="003802A1">
            <w:pPr>
              <w:spacing w:line="240" w:lineRule="auto"/>
              <w:rPr>
                <w:rFonts w:cstheme="minorHAnsi"/>
                <w:bCs/>
                <w:szCs w:val="22"/>
              </w:rPr>
            </w:pPr>
          </w:p>
        </w:tc>
        <w:tc>
          <w:tcPr>
            <w:tcW w:w="1843" w:type="dxa"/>
            <w:vAlign w:val="center"/>
          </w:tcPr>
          <w:p w14:paraId="616EB7B7" w14:textId="2C397D9E" w:rsidR="00E46B9B" w:rsidRPr="00087EC0" w:rsidRDefault="00E46B9B" w:rsidP="00973EB9">
            <w:pPr>
              <w:spacing w:line="240" w:lineRule="auto"/>
              <w:jc w:val="center"/>
              <w:rPr>
                <w:rFonts w:cstheme="minorHAnsi"/>
                <w:bCs/>
                <w:szCs w:val="22"/>
              </w:rPr>
            </w:pPr>
          </w:p>
        </w:tc>
        <w:tc>
          <w:tcPr>
            <w:tcW w:w="1843" w:type="dxa"/>
            <w:vAlign w:val="center"/>
          </w:tcPr>
          <w:p w14:paraId="6F8ADB2B" w14:textId="2D0B29F7" w:rsidR="00E46B9B" w:rsidRPr="00087EC0" w:rsidRDefault="00E46B9B" w:rsidP="00973EB9">
            <w:pPr>
              <w:spacing w:line="240" w:lineRule="auto"/>
              <w:jc w:val="center"/>
              <w:rPr>
                <w:rFonts w:cstheme="minorHAnsi"/>
                <w:bCs/>
                <w:szCs w:val="22"/>
              </w:rPr>
            </w:pPr>
            <w:r w:rsidRPr="00087EC0">
              <w:rPr>
                <w:rFonts w:cstheme="minorHAnsi"/>
                <w:bCs/>
                <w:szCs w:val="22"/>
              </w:rPr>
              <w:t>X1</w:t>
            </w:r>
          </w:p>
        </w:tc>
        <w:tc>
          <w:tcPr>
            <w:tcW w:w="1843" w:type="dxa"/>
            <w:vAlign w:val="center"/>
          </w:tcPr>
          <w:p w14:paraId="4D92949C" w14:textId="2397A276" w:rsidR="00E46B9B" w:rsidRPr="00087EC0" w:rsidRDefault="00E46B9B" w:rsidP="00973EB9">
            <w:pPr>
              <w:spacing w:line="240" w:lineRule="auto"/>
              <w:jc w:val="center"/>
              <w:rPr>
                <w:rFonts w:cstheme="minorHAnsi"/>
                <w:bCs/>
                <w:szCs w:val="22"/>
              </w:rPr>
            </w:pPr>
          </w:p>
        </w:tc>
      </w:tr>
      <w:tr w:rsidR="00E46B9B" w:rsidRPr="003C12DB" w14:paraId="386E307F" w14:textId="77777777" w:rsidTr="00E46B9B">
        <w:trPr>
          <w:trHeight w:val="454"/>
        </w:trPr>
        <w:tc>
          <w:tcPr>
            <w:tcW w:w="2815" w:type="dxa"/>
            <w:vAlign w:val="center"/>
          </w:tcPr>
          <w:p w14:paraId="7D417223" w14:textId="46C70B7D" w:rsidR="00E46B9B" w:rsidRPr="00087EC0" w:rsidRDefault="00E46B9B" w:rsidP="00E46B9B">
            <w:pPr>
              <w:spacing w:line="240" w:lineRule="auto"/>
              <w:rPr>
                <w:rFonts w:cstheme="minorHAnsi"/>
                <w:szCs w:val="22"/>
              </w:rPr>
            </w:pPr>
            <w:r w:rsidRPr="00087EC0">
              <w:rPr>
                <w:rFonts w:cstheme="minorHAnsi"/>
                <w:szCs w:val="22"/>
              </w:rPr>
              <w:t xml:space="preserve">1 year interview </w:t>
            </w:r>
            <w:r w:rsidRPr="00087EC0">
              <w:rPr>
                <w:rFonts w:cstheme="minorHAnsi"/>
                <w:szCs w:val="22"/>
              </w:rPr>
              <w:br/>
            </w:r>
          </w:p>
        </w:tc>
        <w:tc>
          <w:tcPr>
            <w:tcW w:w="1829" w:type="dxa"/>
            <w:vAlign w:val="center"/>
          </w:tcPr>
          <w:p w14:paraId="52C4A877" w14:textId="77777777" w:rsidR="00E46B9B" w:rsidRPr="00087EC0" w:rsidRDefault="00E46B9B" w:rsidP="003802A1">
            <w:pPr>
              <w:spacing w:line="240" w:lineRule="auto"/>
              <w:rPr>
                <w:rFonts w:cstheme="minorHAnsi"/>
                <w:bCs/>
                <w:szCs w:val="22"/>
              </w:rPr>
            </w:pPr>
          </w:p>
        </w:tc>
        <w:tc>
          <w:tcPr>
            <w:tcW w:w="1843" w:type="dxa"/>
            <w:vAlign w:val="center"/>
          </w:tcPr>
          <w:p w14:paraId="5D7FD1E4" w14:textId="77777777" w:rsidR="00E46B9B" w:rsidRPr="00087EC0" w:rsidRDefault="00E46B9B" w:rsidP="003802A1">
            <w:pPr>
              <w:spacing w:line="240" w:lineRule="auto"/>
              <w:rPr>
                <w:rFonts w:cstheme="minorHAnsi"/>
                <w:bCs/>
                <w:szCs w:val="22"/>
              </w:rPr>
            </w:pPr>
          </w:p>
        </w:tc>
        <w:tc>
          <w:tcPr>
            <w:tcW w:w="1843" w:type="dxa"/>
            <w:vAlign w:val="center"/>
          </w:tcPr>
          <w:p w14:paraId="0BA410EA" w14:textId="77777777" w:rsidR="00E46B9B" w:rsidRPr="00087EC0" w:rsidRDefault="00E46B9B" w:rsidP="003802A1">
            <w:pPr>
              <w:spacing w:line="240" w:lineRule="auto"/>
              <w:rPr>
                <w:rFonts w:cstheme="minorHAnsi"/>
                <w:bCs/>
                <w:szCs w:val="22"/>
              </w:rPr>
            </w:pPr>
          </w:p>
        </w:tc>
        <w:tc>
          <w:tcPr>
            <w:tcW w:w="1843" w:type="dxa"/>
            <w:vAlign w:val="center"/>
          </w:tcPr>
          <w:p w14:paraId="4940078B" w14:textId="5640057A" w:rsidR="00E46B9B" w:rsidRPr="00087EC0" w:rsidRDefault="00E46B9B" w:rsidP="00E46B9B">
            <w:pPr>
              <w:spacing w:line="240" w:lineRule="auto"/>
              <w:jc w:val="center"/>
              <w:rPr>
                <w:rFonts w:cstheme="minorHAnsi"/>
                <w:bCs/>
                <w:szCs w:val="22"/>
              </w:rPr>
            </w:pPr>
            <w:r w:rsidRPr="00087EC0">
              <w:rPr>
                <w:rFonts w:cstheme="minorHAnsi"/>
                <w:bCs/>
                <w:szCs w:val="22"/>
              </w:rPr>
              <w:t>X1</w:t>
            </w:r>
          </w:p>
        </w:tc>
      </w:tr>
    </w:tbl>
    <w:p w14:paraId="5ED06340" w14:textId="77777777" w:rsidR="00475FDA" w:rsidRPr="003C12DB" w:rsidRDefault="00475FDA" w:rsidP="003802A1">
      <w:pPr>
        <w:spacing w:line="240" w:lineRule="auto"/>
        <w:rPr>
          <w:rFonts w:cstheme="minorHAnsi"/>
          <w:color w:val="0000FF"/>
          <w:szCs w:val="22"/>
        </w:rPr>
      </w:pPr>
    </w:p>
    <w:p w14:paraId="7A169885" w14:textId="77777777" w:rsidR="00475FDA" w:rsidRPr="003C12DB" w:rsidRDefault="00475FDA" w:rsidP="003802A1">
      <w:pPr>
        <w:spacing w:line="240" w:lineRule="auto"/>
        <w:rPr>
          <w:rFonts w:cstheme="minorHAnsi"/>
          <w:color w:val="0000FF"/>
          <w:szCs w:val="22"/>
        </w:rPr>
      </w:pPr>
    </w:p>
    <w:p w14:paraId="09E6141A" w14:textId="05F5F5BA" w:rsidR="00475FDA" w:rsidRPr="004B3BCA" w:rsidRDefault="003B4870" w:rsidP="003802A1">
      <w:pPr>
        <w:spacing w:line="240" w:lineRule="auto"/>
        <w:rPr>
          <w:rFonts w:cstheme="minorHAnsi"/>
          <w:b/>
          <w:bCs/>
          <w:szCs w:val="22"/>
          <w:lang w:eastAsia="en-GB"/>
        </w:rPr>
      </w:pPr>
      <w:r>
        <w:rPr>
          <w:rFonts w:cstheme="minorHAnsi"/>
          <w:b/>
          <w:szCs w:val="22"/>
          <w:lang w:eastAsia="en-GB"/>
        </w:rPr>
        <w:t>13.3</w:t>
      </w:r>
      <w:r w:rsidR="00864F75">
        <w:rPr>
          <w:rFonts w:cstheme="minorHAnsi"/>
          <w:szCs w:val="22"/>
          <w:lang w:eastAsia="en-GB"/>
        </w:rPr>
        <w:tab/>
      </w:r>
      <w:r w:rsidR="00973EB9">
        <w:rPr>
          <w:rFonts w:cstheme="minorHAnsi"/>
          <w:b/>
          <w:bCs/>
          <w:szCs w:val="22"/>
          <w:lang w:eastAsia="en-GB"/>
        </w:rPr>
        <w:t xml:space="preserve">Appendix </w:t>
      </w:r>
      <w:r>
        <w:rPr>
          <w:rFonts w:cstheme="minorHAnsi"/>
          <w:b/>
          <w:bCs/>
          <w:szCs w:val="22"/>
          <w:lang w:eastAsia="en-GB"/>
        </w:rPr>
        <w:t>3</w:t>
      </w:r>
      <w:r w:rsidR="00475FDA" w:rsidRPr="003C12DB">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3C12DB" w14:paraId="4CE62FEB" w14:textId="77777777" w:rsidTr="004B3BCA">
        <w:trPr>
          <w:trHeight w:val="821"/>
        </w:trPr>
        <w:tc>
          <w:tcPr>
            <w:tcW w:w="1515" w:type="dxa"/>
          </w:tcPr>
          <w:p w14:paraId="5A9DD2E1" w14:textId="77777777" w:rsidR="00475FDA" w:rsidRPr="00087EC0" w:rsidRDefault="00475FDA" w:rsidP="003802A1">
            <w:pPr>
              <w:spacing w:line="240" w:lineRule="auto"/>
              <w:rPr>
                <w:rFonts w:cstheme="minorHAnsi"/>
                <w:b/>
                <w:szCs w:val="22"/>
              </w:rPr>
            </w:pPr>
            <w:r w:rsidRPr="00087EC0">
              <w:rPr>
                <w:rFonts w:cstheme="minorHAnsi"/>
                <w:b/>
                <w:szCs w:val="22"/>
              </w:rPr>
              <w:t>Amendment No.</w:t>
            </w:r>
          </w:p>
        </w:tc>
        <w:tc>
          <w:tcPr>
            <w:tcW w:w="1515" w:type="dxa"/>
          </w:tcPr>
          <w:p w14:paraId="73AFECBC" w14:textId="09B6DE28" w:rsidR="00475FDA" w:rsidRPr="00087EC0" w:rsidRDefault="004B3BCA" w:rsidP="003802A1">
            <w:pPr>
              <w:spacing w:line="240" w:lineRule="auto"/>
              <w:rPr>
                <w:rFonts w:cstheme="minorHAnsi"/>
                <w:b/>
                <w:szCs w:val="22"/>
              </w:rPr>
            </w:pPr>
            <w:r w:rsidRPr="00087EC0">
              <w:rPr>
                <w:rFonts w:cstheme="minorHAnsi"/>
                <w:b/>
                <w:szCs w:val="22"/>
              </w:rPr>
              <w:t>Protocol version n</w:t>
            </w:r>
            <w:r w:rsidR="00475FDA" w:rsidRPr="00087EC0">
              <w:rPr>
                <w:rFonts w:cstheme="minorHAnsi"/>
                <w:b/>
                <w:szCs w:val="22"/>
              </w:rPr>
              <w:t>o.</w:t>
            </w:r>
          </w:p>
        </w:tc>
        <w:tc>
          <w:tcPr>
            <w:tcW w:w="1515" w:type="dxa"/>
          </w:tcPr>
          <w:p w14:paraId="3F19D0D2" w14:textId="77777777" w:rsidR="00475FDA" w:rsidRPr="00087EC0" w:rsidRDefault="00475FDA" w:rsidP="003802A1">
            <w:pPr>
              <w:spacing w:line="240" w:lineRule="auto"/>
              <w:rPr>
                <w:rFonts w:cstheme="minorHAnsi"/>
                <w:b/>
                <w:szCs w:val="22"/>
              </w:rPr>
            </w:pPr>
            <w:r w:rsidRPr="00087EC0">
              <w:rPr>
                <w:rFonts w:cstheme="minorHAnsi"/>
                <w:b/>
                <w:szCs w:val="22"/>
              </w:rPr>
              <w:t>Date issued</w:t>
            </w:r>
          </w:p>
        </w:tc>
        <w:tc>
          <w:tcPr>
            <w:tcW w:w="1516" w:type="dxa"/>
          </w:tcPr>
          <w:p w14:paraId="5C6CF11D" w14:textId="77777777" w:rsidR="00475FDA" w:rsidRPr="00087EC0" w:rsidRDefault="00475FDA" w:rsidP="003802A1">
            <w:pPr>
              <w:spacing w:line="240" w:lineRule="auto"/>
              <w:rPr>
                <w:rFonts w:cstheme="minorHAnsi"/>
                <w:b/>
                <w:szCs w:val="22"/>
              </w:rPr>
            </w:pPr>
            <w:r w:rsidRPr="00087EC0">
              <w:rPr>
                <w:rFonts w:cstheme="minorHAnsi"/>
                <w:b/>
                <w:szCs w:val="22"/>
              </w:rPr>
              <w:t>Author(s) of changes</w:t>
            </w:r>
          </w:p>
        </w:tc>
        <w:tc>
          <w:tcPr>
            <w:tcW w:w="4112" w:type="dxa"/>
          </w:tcPr>
          <w:p w14:paraId="5A6AC3CB" w14:textId="3B8AED7E" w:rsidR="00475FDA" w:rsidRPr="00087EC0" w:rsidRDefault="004B3BCA" w:rsidP="003802A1">
            <w:pPr>
              <w:spacing w:line="240" w:lineRule="auto"/>
              <w:rPr>
                <w:rFonts w:cstheme="minorHAnsi"/>
                <w:b/>
                <w:szCs w:val="22"/>
              </w:rPr>
            </w:pPr>
            <w:r w:rsidRPr="00087EC0">
              <w:rPr>
                <w:rFonts w:cstheme="minorHAnsi"/>
                <w:b/>
                <w:szCs w:val="22"/>
              </w:rPr>
              <w:t>Details of c</w:t>
            </w:r>
            <w:r w:rsidR="00475FDA" w:rsidRPr="00087EC0">
              <w:rPr>
                <w:rFonts w:cstheme="minorHAnsi"/>
                <w:b/>
                <w:szCs w:val="22"/>
              </w:rPr>
              <w:t>hanges made</w:t>
            </w:r>
          </w:p>
        </w:tc>
      </w:tr>
      <w:tr w:rsidR="00475FDA" w:rsidRPr="003C12DB" w14:paraId="6EEA2E86" w14:textId="77777777" w:rsidTr="004B3BCA">
        <w:trPr>
          <w:trHeight w:val="290"/>
        </w:trPr>
        <w:tc>
          <w:tcPr>
            <w:tcW w:w="1515" w:type="dxa"/>
          </w:tcPr>
          <w:p w14:paraId="35C916CD" w14:textId="77777777" w:rsidR="00475FDA" w:rsidRPr="00087EC0" w:rsidRDefault="00475FDA" w:rsidP="003802A1">
            <w:pPr>
              <w:spacing w:line="240" w:lineRule="auto"/>
              <w:rPr>
                <w:rFonts w:cstheme="minorHAnsi"/>
                <w:szCs w:val="22"/>
              </w:rPr>
            </w:pPr>
          </w:p>
        </w:tc>
        <w:tc>
          <w:tcPr>
            <w:tcW w:w="1515" w:type="dxa"/>
          </w:tcPr>
          <w:p w14:paraId="7E7C746F" w14:textId="77777777" w:rsidR="00475FDA" w:rsidRPr="00087EC0" w:rsidRDefault="00475FDA" w:rsidP="003802A1">
            <w:pPr>
              <w:spacing w:line="240" w:lineRule="auto"/>
              <w:rPr>
                <w:rFonts w:cstheme="minorHAnsi"/>
                <w:szCs w:val="22"/>
              </w:rPr>
            </w:pPr>
          </w:p>
        </w:tc>
        <w:tc>
          <w:tcPr>
            <w:tcW w:w="1515" w:type="dxa"/>
          </w:tcPr>
          <w:p w14:paraId="078BCED9" w14:textId="77777777" w:rsidR="00475FDA" w:rsidRPr="00087EC0" w:rsidRDefault="00475FDA" w:rsidP="003802A1">
            <w:pPr>
              <w:spacing w:line="240" w:lineRule="auto"/>
              <w:rPr>
                <w:rFonts w:cstheme="minorHAnsi"/>
                <w:szCs w:val="22"/>
              </w:rPr>
            </w:pPr>
          </w:p>
        </w:tc>
        <w:tc>
          <w:tcPr>
            <w:tcW w:w="1516" w:type="dxa"/>
          </w:tcPr>
          <w:p w14:paraId="198B0C83" w14:textId="77777777" w:rsidR="00475FDA" w:rsidRPr="00087EC0" w:rsidRDefault="00475FDA" w:rsidP="003802A1">
            <w:pPr>
              <w:spacing w:line="240" w:lineRule="auto"/>
              <w:rPr>
                <w:rFonts w:cstheme="minorHAnsi"/>
                <w:szCs w:val="22"/>
              </w:rPr>
            </w:pPr>
          </w:p>
        </w:tc>
        <w:tc>
          <w:tcPr>
            <w:tcW w:w="4112" w:type="dxa"/>
          </w:tcPr>
          <w:p w14:paraId="066BC17B" w14:textId="77777777" w:rsidR="00475FDA" w:rsidRPr="00087EC0" w:rsidRDefault="00475FDA" w:rsidP="003802A1">
            <w:pPr>
              <w:spacing w:line="240" w:lineRule="auto"/>
              <w:rPr>
                <w:rFonts w:cstheme="minorHAnsi"/>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9F4727">
      <w:footerReference w:type="default" r:id="rId17"/>
      <w:headerReference w:type="first" r:id="rId18"/>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B8DFB" w14:textId="77777777" w:rsidR="001A3AF0" w:rsidRDefault="001A3AF0" w:rsidP="00234F6D">
      <w:r>
        <w:separator/>
      </w:r>
    </w:p>
  </w:endnote>
  <w:endnote w:type="continuationSeparator" w:id="0">
    <w:p w14:paraId="730470F5" w14:textId="77777777" w:rsidR="001A3AF0" w:rsidRDefault="001A3AF0"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322233"/>
      <w:docPartObj>
        <w:docPartGallery w:val="Page Numbers (Bottom of Page)"/>
        <w:docPartUnique/>
      </w:docPartObj>
    </w:sdtPr>
    <w:sdtEndPr>
      <w:rPr>
        <w:noProof/>
      </w:rPr>
    </w:sdtEndPr>
    <w:sdtContent>
      <w:p w14:paraId="7888A21E" w14:textId="673E8D9C" w:rsidR="00101DAF" w:rsidRDefault="00101DAF">
        <w:pPr>
          <w:pStyle w:val="Footer"/>
          <w:jc w:val="center"/>
        </w:pPr>
        <w:r>
          <w:fldChar w:fldCharType="begin"/>
        </w:r>
        <w:r>
          <w:instrText xml:space="preserve"> PAGE   \* MERGEFORMAT </w:instrText>
        </w:r>
        <w:r>
          <w:fldChar w:fldCharType="separate"/>
        </w:r>
        <w:r w:rsidR="00A363DD">
          <w:rPr>
            <w:noProof/>
          </w:rPr>
          <w:t>vi</w:t>
        </w:r>
        <w:r>
          <w:rPr>
            <w:noProof/>
          </w:rPr>
          <w:fldChar w:fldCharType="end"/>
        </w:r>
      </w:p>
    </w:sdtContent>
  </w:sdt>
  <w:p w14:paraId="47E1B00C" w14:textId="146ECFA7" w:rsidR="00101DAF" w:rsidRDefault="00536C9F" w:rsidP="00536C9F">
    <w:pPr>
      <w:pStyle w:val="Footer"/>
      <w:jc w:val="center"/>
    </w:pPr>
    <w:r>
      <w:t>Protocol, CMR in MINOCA, V1</w:t>
    </w:r>
    <w:r w:rsidR="00885B1D">
      <w:t>.0, 20200727</w:t>
    </w:r>
  </w:p>
  <w:p w14:paraId="30437931" w14:textId="1811A8E2" w:rsidR="00101DAF" w:rsidRDefault="00101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77777777" w:rsidR="00101DAF" w:rsidRDefault="00101DAF" w:rsidP="00580154">
            <w:pPr>
              <w:pStyle w:val="Footer"/>
              <w:jc w:val="center"/>
            </w:pPr>
            <w:r>
              <w:fldChar w:fldCharType="begin"/>
            </w:r>
            <w:r>
              <w:instrText xml:space="preserve"> PAGE   \* MERGEFORMAT </w:instrText>
            </w:r>
            <w:r>
              <w:fldChar w:fldCharType="separate"/>
            </w:r>
            <w:r w:rsidR="00885B1D">
              <w:rPr>
                <w:noProof/>
              </w:rPr>
              <w:t>i</w:t>
            </w:r>
            <w:r>
              <w:rPr>
                <w:noProof/>
              </w:rPr>
              <w:fldChar w:fldCharType="end"/>
            </w:r>
          </w:p>
        </w:sdtContent>
      </w:sdt>
      <w:p w14:paraId="0DE01E20" w14:textId="69F05E35" w:rsidR="00101DAF" w:rsidRDefault="00101DAF" w:rsidP="00125CCC">
        <w:pPr>
          <w:pStyle w:val="Footer"/>
        </w:pPr>
        <w:r>
          <w:t xml:space="preserve">Final Version 1.1 March 2016- Qualitative Protocol Tool </w:t>
        </w:r>
      </w:p>
      <w:p w14:paraId="12E6A340" w14:textId="3236C588" w:rsidR="00101DAF" w:rsidRDefault="001A3AF0">
        <w:pPr>
          <w:pStyle w:val="Footer"/>
          <w:jc w:val="center"/>
        </w:pPr>
      </w:p>
    </w:sdtContent>
  </w:sdt>
  <w:p w14:paraId="6F77A712" w14:textId="4DD22BC9" w:rsidR="00101DAF" w:rsidRDefault="00101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557101"/>
      <w:docPartObj>
        <w:docPartGallery w:val="Page Numbers (Bottom of Page)"/>
        <w:docPartUnique/>
      </w:docPartObj>
    </w:sdtPr>
    <w:sdtEndPr>
      <w:rPr>
        <w:noProof/>
      </w:rPr>
    </w:sdtEndPr>
    <w:sdtContent>
      <w:p w14:paraId="4EBBDBCA" w14:textId="1CAA45C3" w:rsidR="00101DAF" w:rsidRDefault="00101DAF" w:rsidP="00580154">
        <w:pPr>
          <w:pStyle w:val="Footer"/>
          <w:jc w:val="center"/>
        </w:pPr>
        <w:r>
          <w:fldChar w:fldCharType="begin"/>
        </w:r>
        <w:r>
          <w:instrText xml:space="preserve"> PAGE   \* MERGEFORMAT </w:instrText>
        </w:r>
        <w:r>
          <w:fldChar w:fldCharType="separate"/>
        </w:r>
        <w:r w:rsidR="00803DB1">
          <w:rPr>
            <w:noProof/>
          </w:rPr>
          <w:t>10</w:t>
        </w:r>
        <w:r>
          <w:rPr>
            <w:noProof/>
          </w:rPr>
          <w:fldChar w:fldCharType="end"/>
        </w:r>
      </w:p>
    </w:sdtContent>
  </w:sdt>
  <w:p w14:paraId="1FAB965D" w14:textId="1FDC0611" w:rsidR="00101DAF" w:rsidRDefault="00AE4609" w:rsidP="00AE4609">
    <w:pPr>
      <w:pStyle w:val="Footer"/>
      <w:jc w:val="center"/>
    </w:pPr>
    <w:r>
      <w:t>Protocol, CMR in MINOCA, V1 20200722</w:t>
    </w:r>
  </w:p>
  <w:p w14:paraId="7D35542F" w14:textId="77777777" w:rsidR="00AE4609" w:rsidRDefault="00AE4609" w:rsidP="00AE46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A1C4D" w14:textId="77777777" w:rsidR="001A3AF0" w:rsidRDefault="001A3AF0" w:rsidP="00234F6D">
      <w:r>
        <w:separator/>
      </w:r>
    </w:p>
  </w:footnote>
  <w:footnote w:type="continuationSeparator" w:id="0">
    <w:p w14:paraId="7B83EE29" w14:textId="77777777" w:rsidR="001A3AF0" w:rsidRDefault="001A3AF0"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9EE74" w14:textId="77777777" w:rsidR="00101DAF" w:rsidRDefault="00101DAF">
    <w:pPr>
      <w:pStyle w:val="Header"/>
    </w:pPr>
    <w:r>
      <w:rPr>
        <w:noProof/>
        <w:lang w:val="en-AU" w:eastAsia="en-AU"/>
      </w:rPr>
      <w:drawing>
        <wp:anchor distT="0" distB="0" distL="114300" distR="114300" simplePos="0" relativeHeight="251661312" behindDoc="0" locked="0" layoutInCell="1" allowOverlap="1" wp14:anchorId="725A8C99" wp14:editId="3F394B3A">
          <wp:simplePos x="0" y="0"/>
          <wp:positionH relativeFrom="column">
            <wp:posOffset>4158615</wp:posOffset>
          </wp:positionH>
          <wp:positionV relativeFrom="paragraph">
            <wp:posOffset>-2540</wp:posOffset>
          </wp:positionV>
          <wp:extent cx="2171065" cy="537845"/>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3936"/>
      <w:gridCol w:w="1984"/>
      <w:gridCol w:w="3680"/>
    </w:tblGrid>
    <w:tr w:rsidR="00101DAF" w14:paraId="1C9364EF" w14:textId="77777777" w:rsidTr="003C12DB">
      <w:tc>
        <w:tcPr>
          <w:tcW w:w="3936" w:type="dxa"/>
          <w:vAlign w:val="center"/>
        </w:tcPr>
        <w:p w14:paraId="3DED9D13" w14:textId="1AD93DCC" w:rsidR="00101DAF" w:rsidRPr="003C12DB" w:rsidRDefault="00101DAF" w:rsidP="00475FDA">
          <w:pPr>
            <w:tabs>
              <w:tab w:val="center" w:pos="4692"/>
            </w:tabs>
            <w:suppressAutoHyphens/>
            <w:rPr>
              <w:rFonts w:ascii="Arial" w:hAnsi="Arial" w:cs="Arial"/>
              <w:sz w:val="16"/>
              <w:szCs w:val="16"/>
            </w:rPr>
          </w:pPr>
          <w:r>
            <w:rPr>
              <w:rFonts w:ascii="Arial" w:hAnsi="Arial" w:cs="Arial"/>
              <w:sz w:val="16"/>
              <w:szCs w:val="16"/>
            </w:rPr>
            <w:t>CMR in MINOCA</w:t>
          </w:r>
        </w:p>
      </w:tc>
      <w:tc>
        <w:tcPr>
          <w:tcW w:w="1984" w:type="dxa"/>
          <w:vAlign w:val="center"/>
        </w:tcPr>
        <w:p w14:paraId="5FAFBFF0" w14:textId="77777777" w:rsidR="00101DAF" w:rsidRPr="003C12DB" w:rsidRDefault="00101DAF"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101DAF" w:rsidRPr="003C12DB" w:rsidRDefault="00101DAF" w:rsidP="00475FDA">
          <w:pPr>
            <w:tabs>
              <w:tab w:val="center" w:pos="4692"/>
            </w:tabs>
            <w:suppressAutoHyphens/>
            <w:rPr>
              <w:rFonts w:ascii="Arial" w:hAnsi="Arial" w:cs="Arial"/>
              <w:b/>
              <w:sz w:val="16"/>
              <w:szCs w:val="16"/>
            </w:rPr>
          </w:pPr>
        </w:p>
        <w:p w14:paraId="74633273" w14:textId="42602CB8" w:rsidR="00101DAF" w:rsidRPr="003C12DB" w:rsidRDefault="00101DAF" w:rsidP="002E5A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5D93E1BD" w14:textId="77777777" w:rsidR="00101DAF" w:rsidRDefault="0010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34277" w14:textId="0E5C8AC9" w:rsidR="00101DAF" w:rsidRPr="00234F6D" w:rsidRDefault="00101DAF" w:rsidP="00BE008E">
    <w:r>
      <w:rPr>
        <w:noProof/>
        <w:lang w:val="en-AU" w:eastAsia="en-AU"/>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7B8E0" w14:textId="77777777" w:rsidR="00101DAF" w:rsidRPr="00234F6D" w:rsidRDefault="00101DAF" w:rsidP="00BE008E">
    <w:r>
      <w:rPr>
        <w:noProof/>
        <w:lang w:val="en-AU" w:eastAsia="en-AU"/>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 w15:restartNumberingAfterBreak="0">
    <w:nsid w:val="077D6504"/>
    <w:multiLevelType w:val="hybridMultilevel"/>
    <w:tmpl w:val="50D08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7" w15:restartNumberingAfterBreak="0">
    <w:nsid w:val="3D646EF3"/>
    <w:multiLevelType w:val="hybridMultilevel"/>
    <w:tmpl w:val="69D0E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357440"/>
    <w:multiLevelType w:val="hybridMultilevel"/>
    <w:tmpl w:val="F674893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9" w15:restartNumberingAfterBreak="0">
    <w:nsid w:val="4D5869B5"/>
    <w:multiLevelType w:val="hybridMultilevel"/>
    <w:tmpl w:val="D1A8D9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51BB37C3"/>
    <w:multiLevelType w:val="hybridMultilevel"/>
    <w:tmpl w:val="FE1062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325B8"/>
    <w:multiLevelType w:val="multilevel"/>
    <w:tmpl w:val="7CD6883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15"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B4B32"/>
    <w:multiLevelType w:val="hybridMultilevel"/>
    <w:tmpl w:val="2E446848"/>
    <w:lvl w:ilvl="0" w:tplc="C238794A">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3B35AF"/>
    <w:multiLevelType w:val="hybridMultilevel"/>
    <w:tmpl w:val="11C28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F8562B"/>
    <w:multiLevelType w:val="hybridMultilevel"/>
    <w:tmpl w:val="2AF2D6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6"/>
  </w:num>
  <w:num w:numId="5">
    <w:abstractNumId w:val="4"/>
  </w:num>
  <w:num w:numId="6">
    <w:abstractNumId w:val="16"/>
  </w:num>
  <w:num w:numId="7">
    <w:abstractNumId w:val="12"/>
  </w:num>
  <w:num w:numId="8">
    <w:abstractNumId w:val="5"/>
  </w:num>
  <w:num w:numId="9">
    <w:abstractNumId w:val="0"/>
  </w:num>
  <w:num w:numId="10">
    <w:abstractNumId w:val="10"/>
  </w:num>
  <w:num w:numId="11">
    <w:abstractNumId w:val="3"/>
  </w:num>
  <w:num w:numId="12">
    <w:abstractNumId w:val="14"/>
  </w:num>
  <w:num w:numId="13">
    <w:abstractNumId w:val="9"/>
  </w:num>
  <w:num w:numId="14">
    <w:abstractNumId w:val="17"/>
  </w:num>
  <w:num w:numId="15">
    <w:abstractNumId w:val="18"/>
  </w:num>
  <w:num w:numId="16">
    <w:abstractNumId w:val="19"/>
  </w:num>
  <w:num w:numId="17">
    <w:abstractNumId w:val="7"/>
  </w:num>
  <w:num w:numId="18">
    <w:abstractNumId w:val="13"/>
  </w:num>
  <w:num w:numId="19">
    <w:abstractNumId w:val="11"/>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F6D"/>
    <w:rsid w:val="000025F9"/>
    <w:rsid w:val="0002148A"/>
    <w:rsid w:val="00031117"/>
    <w:rsid w:val="0003364E"/>
    <w:rsid w:val="00037433"/>
    <w:rsid w:val="00067B4C"/>
    <w:rsid w:val="00076F16"/>
    <w:rsid w:val="00077C32"/>
    <w:rsid w:val="00087EC0"/>
    <w:rsid w:val="00090DDB"/>
    <w:rsid w:val="00093582"/>
    <w:rsid w:val="000A4DA5"/>
    <w:rsid w:val="000C39B2"/>
    <w:rsid w:val="000C7CF4"/>
    <w:rsid w:val="000F25C6"/>
    <w:rsid w:val="00101DAF"/>
    <w:rsid w:val="0011497F"/>
    <w:rsid w:val="0011662F"/>
    <w:rsid w:val="00125CCC"/>
    <w:rsid w:val="001444A7"/>
    <w:rsid w:val="00153D83"/>
    <w:rsid w:val="001560EF"/>
    <w:rsid w:val="001601B4"/>
    <w:rsid w:val="00162C40"/>
    <w:rsid w:val="00172503"/>
    <w:rsid w:val="00191996"/>
    <w:rsid w:val="001A3AF0"/>
    <w:rsid w:val="001B16DC"/>
    <w:rsid w:val="001B19EB"/>
    <w:rsid w:val="001B41C4"/>
    <w:rsid w:val="001B5720"/>
    <w:rsid w:val="001C016E"/>
    <w:rsid w:val="001D1F95"/>
    <w:rsid w:val="001E070F"/>
    <w:rsid w:val="001F5043"/>
    <w:rsid w:val="001F7E63"/>
    <w:rsid w:val="00203745"/>
    <w:rsid w:val="002126E2"/>
    <w:rsid w:val="00217D21"/>
    <w:rsid w:val="00233EB6"/>
    <w:rsid w:val="00234F6D"/>
    <w:rsid w:val="00236B04"/>
    <w:rsid w:val="00236E57"/>
    <w:rsid w:val="0024467D"/>
    <w:rsid w:val="002676B7"/>
    <w:rsid w:val="002C7AF0"/>
    <w:rsid w:val="002D0BA5"/>
    <w:rsid w:val="002D1722"/>
    <w:rsid w:val="002D1E31"/>
    <w:rsid w:val="002D1F77"/>
    <w:rsid w:val="002D2D7D"/>
    <w:rsid w:val="002D6FB1"/>
    <w:rsid w:val="002E5A6A"/>
    <w:rsid w:val="002F6166"/>
    <w:rsid w:val="00340F67"/>
    <w:rsid w:val="00347851"/>
    <w:rsid w:val="00350036"/>
    <w:rsid w:val="00361288"/>
    <w:rsid w:val="00373AEE"/>
    <w:rsid w:val="003768F0"/>
    <w:rsid w:val="003802A1"/>
    <w:rsid w:val="00393305"/>
    <w:rsid w:val="003A37EA"/>
    <w:rsid w:val="003A44E6"/>
    <w:rsid w:val="003B0F22"/>
    <w:rsid w:val="003B4870"/>
    <w:rsid w:val="003B5464"/>
    <w:rsid w:val="003C12DB"/>
    <w:rsid w:val="003D3924"/>
    <w:rsid w:val="003E55B7"/>
    <w:rsid w:val="003E5CA2"/>
    <w:rsid w:val="003F5BF3"/>
    <w:rsid w:val="003F65B6"/>
    <w:rsid w:val="00401DE9"/>
    <w:rsid w:val="00403A6A"/>
    <w:rsid w:val="004140B8"/>
    <w:rsid w:val="00415746"/>
    <w:rsid w:val="00441AFA"/>
    <w:rsid w:val="0044745A"/>
    <w:rsid w:val="0046376B"/>
    <w:rsid w:val="0046393C"/>
    <w:rsid w:val="00472921"/>
    <w:rsid w:val="00475FDA"/>
    <w:rsid w:val="004859A3"/>
    <w:rsid w:val="00485F3F"/>
    <w:rsid w:val="004B3BCA"/>
    <w:rsid w:val="004C3339"/>
    <w:rsid w:val="004C7FC7"/>
    <w:rsid w:val="004D083E"/>
    <w:rsid w:val="004D676C"/>
    <w:rsid w:val="004E32DC"/>
    <w:rsid w:val="004F0D9E"/>
    <w:rsid w:val="004F1476"/>
    <w:rsid w:val="005003A9"/>
    <w:rsid w:val="00536C9F"/>
    <w:rsid w:val="00543665"/>
    <w:rsid w:val="00552E09"/>
    <w:rsid w:val="005567CC"/>
    <w:rsid w:val="00557D9C"/>
    <w:rsid w:val="00562DA2"/>
    <w:rsid w:val="00573120"/>
    <w:rsid w:val="00580154"/>
    <w:rsid w:val="005826F7"/>
    <w:rsid w:val="005A6EAB"/>
    <w:rsid w:val="005A725E"/>
    <w:rsid w:val="005D12F5"/>
    <w:rsid w:val="005E6F37"/>
    <w:rsid w:val="005F7C56"/>
    <w:rsid w:val="00617CC0"/>
    <w:rsid w:val="006359B7"/>
    <w:rsid w:val="006361A0"/>
    <w:rsid w:val="006452D8"/>
    <w:rsid w:val="00675632"/>
    <w:rsid w:val="00680801"/>
    <w:rsid w:val="00686AE7"/>
    <w:rsid w:val="006B56CA"/>
    <w:rsid w:val="006B6502"/>
    <w:rsid w:val="006D21AC"/>
    <w:rsid w:val="006D5D8A"/>
    <w:rsid w:val="006D77EB"/>
    <w:rsid w:val="006E37FA"/>
    <w:rsid w:val="006F15A5"/>
    <w:rsid w:val="00711B42"/>
    <w:rsid w:val="0071257C"/>
    <w:rsid w:val="0071773D"/>
    <w:rsid w:val="00730202"/>
    <w:rsid w:val="00734DEC"/>
    <w:rsid w:val="00737A44"/>
    <w:rsid w:val="00740144"/>
    <w:rsid w:val="0074226F"/>
    <w:rsid w:val="00783D3B"/>
    <w:rsid w:val="00791B24"/>
    <w:rsid w:val="00796D2D"/>
    <w:rsid w:val="00797B69"/>
    <w:rsid w:val="007B68AF"/>
    <w:rsid w:val="007B7936"/>
    <w:rsid w:val="007C6D68"/>
    <w:rsid w:val="007E59CA"/>
    <w:rsid w:val="007F262C"/>
    <w:rsid w:val="007F33EC"/>
    <w:rsid w:val="007F6F4E"/>
    <w:rsid w:val="007F7C65"/>
    <w:rsid w:val="007F7E3C"/>
    <w:rsid w:val="00803DB1"/>
    <w:rsid w:val="00811709"/>
    <w:rsid w:val="00826F5E"/>
    <w:rsid w:val="00833D51"/>
    <w:rsid w:val="00840A29"/>
    <w:rsid w:val="008416FF"/>
    <w:rsid w:val="00864F75"/>
    <w:rsid w:val="008755A8"/>
    <w:rsid w:val="00877917"/>
    <w:rsid w:val="00885B1D"/>
    <w:rsid w:val="008A2D3A"/>
    <w:rsid w:val="008B2B3B"/>
    <w:rsid w:val="008D0806"/>
    <w:rsid w:val="008E3512"/>
    <w:rsid w:val="008F0C9F"/>
    <w:rsid w:val="008F7008"/>
    <w:rsid w:val="008F7B4D"/>
    <w:rsid w:val="00901ED0"/>
    <w:rsid w:val="0090219E"/>
    <w:rsid w:val="00915B20"/>
    <w:rsid w:val="00924293"/>
    <w:rsid w:val="0093643E"/>
    <w:rsid w:val="00950F3F"/>
    <w:rsid w:val="00951A86"/>
    <w:rsid w:val="009620CF"/>
    <w:rsid w:val="009623B9"/>
    <w:rsid w:val="009655F2"/>
    <w:rsid w:val="00966380"/>
    <w:rsid w:val="00970C8D"/>
    <w:rsid w:val="00970CAF"/>
    <w:rsid w:val="00973521"/>
    <w:rsid w:val="00973EB9"/>
    <w:rsid w:val="00983566"/>
    <w:rsid w:val="00987A19"/>
    <w:rsid w:val="00994557"/>
    <w:rsid w:val="00997241"/>
    <w:rsid w:val="009F4727"/>
    <w:rsid w:val="00A13F7C"/>
    <w:rsid w:val="00A21C6B"/>
    <w:rsid w:val="00A24638"/>
    <w:rsid w:val="00A27E45"/>
    <w:rsid w:val="00A31748"/>
    <w:rsid w:val="00A363DD"/>
    <w:rsid w:val="00A40045"/>
    <w:rsid w:val="00A76DD7"/>
    <w:rsid w:val="00A837E2"/>
    <w:rsid w:val="00A86F4D"/>
    <w:rsid w:val="00A966D1"/>
    <w:rsid w:val="00AA2AA0"/>
    <w:rsid w:val="00AA45F7"/>
    <w:rsid w:val="00AD0CDB"/>
    <w:rsid w:val="00AD4782"/>
    <w:rsid w:val="00AE0D8A"/>
    <w:rsid w:val="00AE4609"/>
    <w:rsid w:val="00AF1D40"/>
    <w:rsid w:val="00AF5D66"/>
    <w:rsid w:val="00B02B04"/>
    <w:rsid w:val="00B15108"/>
    <w:rsid w:val="00B15CE5"/>
    <w:rsid w:val="00B17F61"/>
    <w:rsid w:val="00B26E7C"/>
    <w:rsid w:val="00B50C8F"/>
    <w:rsid w:val="00B52DB1"/>
    <w:rsid w:val="00B673F2"/>
    <w:rsid w:val="00B678E1"/>
    <w:rsid w:val="00B678FD"/>
    <w:rsid w:val="00B709EF"/>
    <w:rsid w:val="00B75230"/>
    <w:rsid w:val="00B826DE"/>
    <w:rsid w:val="00B8795B"/>
    <w:rsid w:val="00B90470"/>
    <w:rsid w:val="00B942E5"/>
    <w:rsid w:val="00BA53C2"/>
    <w:rsid w:val="00BB4C5C"/>
    <w:rsid w:val="00BD7D96"/>
    <w:rsid w:val="00BE008E"/>
    <w:rsid w:val="00BF4906"/>
    <w:rsid w:val="00C22507"/>
    <w:rsid w:val="00C35482"/>
    <w:rsid w:val="00C56D9D"/>
    <w:rsid w:val="00C5704F"/>
    <w:rsid w:val="00C61B86"/>
    <w:rsid w:val="00C702A6"/>
    <w:rsid w:val="00C779BB"/>
    <w:rsid w:val="00C83FDB"/>
    <w:rsid w:val="00C84257"/>
    <w:rsid w:val="00C871DE"/>
    <w:rsid w:val="00C9216D"/>
    <w:rsid w:val="00C93C01"/>
    <w:rsid w:val="00C975D7"/>
    <w:rsid w:val="00CA7C26"/>
    <w:rsid w:val="00CB2B1E"/>
    <w:rsid w:val="00CE060B"/>
    <w:rsid w:val="00CE1128"/>
    <w:rsid w:val="00CE731E"/>
    <w:rsid w:val="00D027C8"/>
    <w:rsid w:val="00D10D33"/>
    <w:rsid w:val="00D3479C"/>
    <w:rsid w:val="00D5595B"/>
    <w:rsid w:val="00D56745"/>
    <w:rsid w:val="00D706FE"/>
    <w:rsid w:val="00D94355"/>
    <w:rsid w:val="00DA6A8F"/>
    <w:rsid w:val="00DB7C49"/>
    <w:rsid w:val="00DC44FF"/>
    <w:rsid w:val="00DD0F9F"/>
    <w:rsid w:val="00DD31D1"/>
    <w:rsid w:val="00DD4883"/>
    <w:rsid w:val="00DE3BEB"/>
    <w:rsid w:val="00DE6852"/>
    <w:rsid w:val="00DF796C"/>
    <w:rsid w:val="00E04213"/>
    <w:rsid w:val="00E04CFC"/>
    <w:rsid w:val="00E365A2"/>
    <w:rsid w:val="00E4026C"/>
    <w:rsid w:val="00E46B9B"/>
    <w:rsid w:val="00E51ACD"/>
    <w:rsid w:val="00E57D0C"/>
    <w:rsid w:val="00E60311"/>
    <w:rsid w:val="00E623A3"/>
    <w:rsid w:val="00E94CA1"/>
    <w:rsid w:val="00EA4F17"/>
    <w:rsid w:val="00EB0077"/>
    <w:rsid w:val="00EB3796"/>
    <w:rsid w:val="00EC0B53"/>
    <w:rsid w:val="00EF018A"/>
    <w:rsid w:val="00F117B8"/>
    <w:rsid w:val="00F14F66"/>
    <w:rsid w:val="00F2333D"/>
    <w:rsid w:val="00F23B42"/>
    <w:rsid w:val="00F2415B"/>
    <w:rsid w:val="00F330BB"/>
    <w:rsid w:val="00F412AE"/>
    <w:rsid w:val="00F62689"/>
    <w:rsid w:val="00F67E3E"/>
    <w:rsid w:val="00F75BE4"/>
    <w:rsid w:val="00F765F4"/>
    <w:rsid w:val="00F83D7D"/>
    <w:rsid w:val="00F91599"/>
    <w:rsid w:val="00F91FBF"/>
    <w:rsid w:val="00F9322F"/>
    <w:rsid w:val="00F965D0"/>
    <w:rsid w:val="00FA0A14"/>
    <w:rsid w:val="00FA3CEB"/>
    <w:rsid w:val="00FA6943"/>
    <w:rsid w:val="00FC0700"/>
    <w:rsid w:val="00FC5FAF"/>
    <w:rsid w:val="00FD1B55"/>
    <w:rsid w:val="00FD25EF"/>
    <w:rsid w:val="00FD6F3E"/>
    <w:rsid w:val="00FE1355"/>
    <w:rsid w:val="00FE712F"/>
    <w:rsid w:val="00FF0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26AC"/>
  <w14:defaultImageDpi w14:val="300"/>
  <w15:docId w15:val="{900612DC-AC72-4B6B-9C7C-1CB680E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character" w:customStyle="1" w:styleId="UnresolvedMention1">
    <w:name w:val="Unresolved Mention1"/>
    <w:basedOn w:val="DefaultParagraphFont"/>
    <w:uiPriority w:val="99"/>
    <w:semiHidden/>
    <w:unhideWhenUsed/>
    <w:rsid w:val="005E6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dil.rajwani@health.w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ra.nhs.uk/resources/after-you-apply/amendment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dil.rajwani@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9034-8041-4BA0-B372-72DD56E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Maredia Neil (RTR) South Tees NHS Trust</dc:creator>
  <cp:lastModifiedBy>Adil Rajwani</cp:lastModifiedBy>
  <cp:revision>2</cp:revision>
  <cp:lastPrinted>2014-11-21T16:55:00Z</cp:lastPrinted>
  <dcterms:created xsi:type="dcterms:W3CDTF">2020-09-28T12:06:00Z</dcterms:created>
  <dcterms:modified xsi:type="dcterms:W3CDTF">2020-09-28T12:06:00Z</dcterms:modified>
</cp:coreProperties>
</file>