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4526D" w14:textId="0B834755" w:rsidR="002F0D14" w:rsidRPr="002F0D14" w:rsidRDefault="001D2F14" w:rsidP="000334AE">
      <w:pPr>
        <w:jc w:val="center"/>
        <w:rPr>
          <w:b/>
        </w:rPr>
      </w:pPr>
      <w:bookmarkStart w:id="0" w:name="_GoBack"/>
      <w:bookmarkEnd w:id="0"/>
      <w:r w:rsidRPr="009E1297">
        <w:rPr>
          <w:b/>
        </w:rPr>
        <w:t xml:space="preserve">Study Title: </w:t>
      </w:r>
      <w:r w:rsidRPr="009E1297">
        <w:t xml:space="preserve"> </w:t>
      </w:r>
      <w:proofErr w:type="spellStart"/>
      <w:r w:rsidR="00CB31BC">
        <w:t>Sero</w:t>
      </w:r>
      <w:proofErr w:type="spellEnd"/>
      <w:r w:rsidR="00CB31BC">
        <w:t>-</w:t>
      </w:r>
      <w:r w:rsidR="000F262D">
        <w:t>epidemiological survey</w:t>
      </w:r>
      <w:r w:rsidR="00CB31BC">
        <w:t xml:space="preserve"> of England in 2019/2020</w:t>
      </w:r>
    </w:p>
    <w:p w14:paraId="36727F5A" w14:textId="465447DE" w:rsidR="00D4541A" w:rsidRDefault="00383FCC" w:rsidP="001D2F14">
      <w:pPr>
        <w:jc w:val="center"/>
      </w:pPr>
      <w:r>
        <w:rPr>
          <w:b/>
        </w:rPr>
        <w:t>Internal Reference Number / Short title</w:t>
      </w:r>
      <w:r w:rsidR="001D2F14" w:rsidRPr="009E1297">
        <w:rPr>
          <w:b/>
        </w:rPr>
        <w:t>:</w:t>
      </w:r>
      <w:r w:rsidR="001D2F14" w:rsidRPr="009E1297">
        <w:t xml:space="preserve"> </w:t>
      </w:r>
      <w:r w:rsidR="00114E9A">
        <w:t>OVG 2019/</w:t>
      </w:r>
      <w:r w:rsidR="00B410C3">
        <w:t>01</w:t>
      </w:r>
      <w:r w:rsidR="00114E9A">
        <w:t>.</w:t>
      </w:r>
      <w:r w:rsidR="00D4541A">
        <w:t xml:space="preserve">  </w:t>
      </w:r>
      <w:r w:rsidR="00CB31BC">
        <w:t>What’s the STORY? (</w:t>
      </w:r>
      <w:r w:rsidR="004024CC">
        <w:t xml:space="preserve">Serum Testing Of Representative </w:t>
      </w:r>
      <w:r w:rsidR="00223BFD">
        <w:t>Youngsters</w:t>
      </w:r>
      <w:r w:rsidR="00CB31BC">
        <w:t>)</w:t>
      </w:r>
    </w:p>
    <w:p w14:paraId="413F6657" w14:textId="149E50C3" w:rsidR="001D2F14" w:rsidRDefault="001D2F14" w:rsidP="001D2F14">
      <w:pPr>
        <w:jc w:val="center"/>
        <w:rPr>
          <w:highlight w:val="yellow"/>
        </w:rPr>
      </w:pPr>
      <w:r w:rsidRPr="009E1297">
        <w:rPr>
          <w:b/>
        </w:rPr>
        <w:t>Ethics Ref:</w:t>
      </w:r>
      <w:r w:rsidRPr="009E1297">
        <w:t xml:space="preserve"> </w:t>
      </w:r>
      <w:r w:rsidR="00BD7DA4">
        <w:t>19/LO/1040</w:t>
      </w:r>
    </w:p>
    <w:p w14:paraId="797F7BD7" w14:textId="5AFACE3D" w:rsidR="0089123A" w:rsidRPr="0089123A" w:rsidRDefault="0089123A" w:rsidP="001D2F14">
      <w:pPr>
        <w:jc w:val="center"/>
        <w:rPr>
          <w:b/>
        </w:rPr>
      </w:pPr>
      <w:r w:rsidRPr="00553D9C">
        <w:rPr>
          <w:b/>
        </w:rPr>
        <w:t>IRAS Project ID:</w:t>
      </w:r>
      <w:r w:rsidR="007663A4">
        <w:rPr>
          <w:b/>
        </w:rPr>
        <w:t xml:space="preserve"> 263097</w:t>
      </w:r>
    </w:p>
    <w:p w14:paraId="3845E1DC" w14:textId="793078CC" w:rsidR="001D2F14" w:rsidRPr="009E1297" w:rsidRDefault="001D2F14" w:rsidP="001D2F14">
      <w:pPr>
        <w:jc w:val="center"/>
      </w:pPr>
      <w:r w:rsidRPr="009E1297">
        <w:rPr>
          <w:b/>
        </w:rPr>
        <w:t>Date and Version No:</w:t>
      </w:r>
      <w:r w:rsidRPr="009E1297">
        <w:t xml:space="preserve"> </w:t>
      </w:r>
      <w:r w:rsidR="004255C2">
        <w:t>V</w:t>
      </w:r>
      <w:r w:rsidR="00A037D4" w:rsidRPr="00964B2F">
        <w:t xml:space="preserve">ersion </w:t>
      </w:r>
      <w:r w:rsidR="00120E97">
        <w:t>9.</w:t>
      </w:r>
      <w:r w:rsidR="00BC2815">
        <w:t>1</w:t>
      </w:r>
      <w:r w:rsidR="00964B2F" w:rsidRPr="0051031D">
        <w:t xml:space="preserve"> </w:t>
      </w:r>
      <w:r w:rsidR="003E45B7">
        <w:t>2</w:t>
      </w:r>
      <w:r w:rsidR="00BC2815">
        <w:t>0</w:t>
      </w:r>
      <w:r w:rsidR="004255C2" w:rsidRPr="0051031D">
        <w:t>-</w:t>
      </w:r>
      <w:r w:rsidR="00BC2815">
        <w:t>AUG</w:t>
      </w:r>
      <w:r w:rsidR="004255C2" w:rsidRPr="0051031D">
        <w:t>-</w:t>
      </w:r>
      <w:r w:rsidR="00964B2F">
        <w:t>202</w:t>
      </w:r>
      <w:r w:rsidR="00864DC7">
        <w:t>1</w:t>
      </w:r>
    </w:p>
    <w:p w14:paraId="6BF68EFC" w14:textId="77777777" w:rsidR="001D2F14" w:rsidRPr="009E1297" w:rsidRDefault="001D2F14" w:rsidP="001D2F14"/>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9E1297" w14:paraId="6A272DF6" w14:textId="77777777" w:rsidTr="6217F8DA">
        <w:trPr>
          <w:jc w:val="center"/>
        </w:trPr>
        <w:tc>
          <w:tcPr>
            <w:tcW w:w="2841" w:type="dxa"/>
          </w:tcPr>
          <w:p w14:paraId="6CD8401F" w14:textId="009F592E" w:rsidR="001D2F14" w:rsidRPr="009E1297" w:rsidRDefault="001D2F14" w:rsidP="00ED19FA">
            <w:pPr>
              <w:rPr>
                <w:b/>
              </w:rPr>
            </w:pPr>
            <w:r w:rsidRPr="009E1297">
              <w:rPr>
                <w:b/>
              </w:rPr>
              <w:t>Chief Investigator:</w:t>
            </w:r>
          </w:p>
        </w:tc>
        <w:tc>
          <w:tcPr>
            <w:tcW w:w="6583" w:type="dxa"/>
          </w:tcPr>
          <w:p w14:paraId="747AC5A3" w14:textId="77777777" w:rsidR="00B05A1B" w:rsidRPr="00B70206" w:rsidRDefault="00B05A1B" w:rsidP="0026293E">
            <w:pPr>
              <w:spacing w:after="0"/>
              <w:rPr>
                <w:rFonts w:ascii="Calibri" w:hAnsi="Calibri"/>
                <w:bCs/>
              </w:rPr>
            </w:pPr>
            <w:r>
              <w:rPr>
                <w:rFonts w:ascii="Calibri" w:hAnsi="Calibri"/>
                <w:bCs/>
              </w:rPr>
              <w:t>Professor</w:t>
            </w:r>
            <w:r w:rsidRPr="00B70206">
              <w:rPr>
                <w:rFonts w:ascii="Calibri" w:hAnsi="Calibri"/>
                <w:bCs/>
              </w:rPr>
              <w:t xml:space="preserve"> Matthew Snape</w:t>
            </w:r>
          </w:p>
          <w:p w14:paraId="24FD0311" w14:textId="77777777" w:rsidR="00B05A1B" w:rsidRPr="00B70206" w:rsidRDefault="00B05A1B" w:rsidP="008C67A2">
            <w:pPr>
              <w:spacing w:after="0"/>
              <w:rPr>
                <w:rFonts w:ascii="Calibri" w:hAnsi="Calibri"/>
                <w:bCs/>
              </w:rPr>
            </w:pPr>
            <w:r>
              <w:rPr>
                <w:rFonts w:ascii="Calibri" w:hAnsi="Calibri"/>
                <w:bCs/>
              </w:rPr>
              <w:t>Associate Professor</w:t>
            </w:r>
            <w:r w:rsidRPr="00B70206">
              <w:rPr>
                <w:rFonts w:ascii="Calibri" w:hAnsi="Calibri"/>
                <w:bCs/>
              </w:rPr>
              <w:t xml:space="preserve"> in General Paediatrics and Vaccinology</w:t>
            </w:r>
          </w:p>
          <w:p w14:paraId="196B589A" w14:textId="77777777" w:rsidR="00B05A1B" w:rsidRPr="00B70206" w:rsidRDefault="00B05A1B" w:rsidP="008C67A2">
            <w:pPr>
              <w:spacing w:after="0"/>
              <w:rPr>
                <w:rFonts w:ascii="Calibri" w:hAnsi="Calibri"/>
                <w:bCs/>
              </w:rPr>
            </w:pPr>
            <w:r w:rsidRPr="00B70206">
              <w:rPr>
                <w:rFonts w:ascii="Calibri" w:hAnsi="Calibri"/>
                <w:bCs/>
              </w:rPr>
              <w:t>Centre for Clinical Vaccinology and Tropical Medicine (CCVTM)</w:t>
            </w:r>
          </w:p>
          <w:p w14:paraId="4632D2FA" w14:textId="77777777" w:rsidR="00B05A1B" w:rsidRPr="00B70206" w:rsidRDefault="00B05A1B" w:rsidP="008C67A2">
            <w:pPr>
              <w:spacing w:after="0"/>
              <w:rPr>
                <w:rFonts w:ascii="Calibri" w:hAnsi="Calibri"/>
                <w:bCs/>
              </w:rPr>
            </w:pPr>
            <w:r w:rsidRPr="00B70206">
              <w:rPr>
                <w:rFonts w:ascii="Calibri" w:hAnsi="Calibri"/>
                <w:bCs/>
              </w:rPr>
              <w:t>University of Oxford</w:t>
            </w:r>
          </w:p>
          <w:p w14:paraId="26D4A227" w14:textId="77777777" w:rsidR="00B05A1B" w:rsidRPr="00B70206" w:rsidRDefault="00B05A1B" w:rsidP="008C67A2">
            <w:pPr>
              <w:spacing w:after="0"/>
              <w:rPr>
                <w:rFonts w:ascii="Calibri" w:hAnsi="Calibri"/>
                <w:bCs/>
              </w:rPr>
            </w:pPr>
            <w:r w:rsidRPr="00B70206">
              <w:rPr>
                <w:rFonts w:ascii="Calibri" w:hAnsi="Calibri"/>
                <w:bCs/>
              </w:rPr>
              <w:t>Churchill Hospital, Oxford OX37LE</w:t>
            </w:r>
          </w:p>
          <w:p w14:paraId="20BA3FF8" w14:textId="77777777" w:rsidR="001D2F14" w:rsidRDefault="00B05A1B" w:rsidP="008C67A2">
            <w:pPr>
              <w:spacing w:after="0"/>
              <w:rPr>
                <w:rFonts w:ascii="Calibri" w:hAnsi="Calibri"/>
                <w:bCs/>
              </w:rPr>
            </w:pPr>
            <w:r w:rsidRPr="00B70206">
              <w:rPr>
                <w:rFonts w:ascii="Calibri" w:hAnsi="Calibri"/>
                <w:bCs/>
              </w:rPr>
              <w:t>United Kingdom</w:t>
            </w:r>
          </w:p>
          <w:p w14:paraId="3F20D8BA" w14:textId="120D3BC2" w:rsidR="008C67A2" w:rsidRPr="009E1297" w:rsidRDefault="008C67A2" w:rsidP="008C67A2">
            <w:pPr>
              <w:spacing w:after="0"/>
              <w:rPr>
                <w:highlight w:val="yellow"/>
              </w:rPr>
            </w:pPr>
          </w:p>
        </w:tc>
      </w:tr>
      <w:tr w:rsidR="001D2F14" w:rsidRPr="009E1297" w14:paraId="155FD167" w14:textId="77777777" w:rsidTr="6217F8DA">
        <w:trPr>
          <w:jc w:val="center"/>
        </w:trPr>
        <w:tc>
          <w:tcPr>
            <w:tcW w:w="2841" w:type="dxa"/>
          </w:tcPr>
          <w:p w14:paraId="7C1B20C3" w14:textId="4BAC330D" w:rsidR="00D24E32" w:rsidRDefault="001D2F14" w:rsidP="00ED19FA">
            <w:pPr>
              <w:rPr>
                <w:b/>
              </w:rPr>
            </w:pPr>
            <w:r w:rsidRPr="009E1297">
              <w:rPr>
                <w:b/>
              </w:rPr>
              <w:t xml:space="preserve">Investigators: </w:t>
            </w:r>
          </w:p>
          <w:p w14:paraId="024F998F" w14:textId="77777777" w:rsidR="00D24E32" w:rsidRPr="004024CC" w:rsidRDefault="00D24E32" w:rsidP="00D24E32"/>
          <w:p w14:paraId="4416972D" w14:textId="77777777" w:rsidR="00D24E32" w:rsidRPr="004024CC" w:rsidRDefault="00D24E32" w:rsidP="00304CAF"/>
          <w:p w14:paraId="25479221" w14:textId="77777777" w:rsidR="00D24E32" w:rsidRPr="004024CC" w:rsidRDefault="00D24E32" w:rsidP="00304CAF"/>
          <w:p w14:paraId="1CBB8EF8" w14:textId="77777777" w:rsidR="00D24E32" w:rsidRPr="004024CC" w:rsidRDefault="00D24E32" w:rsidP="00304CAF"/>
          <w:p w14:paraId="5E03A43E" w14:textId="77777777" w:rsidR="00D24E32" w:rsidRPr="004024CC" w:rsidRDefault="00D24E32" w:rsidP="00304CAF"/>
          <w:p w14:paraId="19538F1D" w14:textId="77777777" w:rsidR="00D24E32" w:rsidRPr="004024CC" w:rsidRDefault="00D24E32" w:rsidP="005C498A"/>
          <w:p w14:paraId="3E798DA3" w14:textId="77777777" w:rsidR="00D24E32" w:rsidRPr="004024CC" w:rsidRDefault="00D24E32"/>
          <w:p w14:paraId="7F55D79D" w14:textId="77777777" w:rsidR="00D24E32" w:rsidRPr="004024CC" w:rsidRDefault="00D24E32"/>
          <w:p w14:paraId="282F482D" w14:textId="1B3DA5B0" w:rsidR="00D24E32" w:rsidRDefault="00D24E32" w:rsidP="00D24E32"/>
          <w:p w14:paraId="270A09F6" w14:textId="77777777" w:rsidR="001D2F14" w:rsidRPr="00304CAF" w:rsidRDefault="001D2F14" w:rsidP="00D24E32"/>
        </w:tc>
        <w:tc>
          <w:tcPr>
            <w:tcW w:w="6583" w:type="dxa"/>
          </w:tcPr>
          <w:p w14:paraId="0F4B8402" w14:textId="77777777" w:rsidR="0075136C" w:rsidRDefault="00D24194" w:rsidP="008C67A2">
            <w:pPr>
              <w:spacing w:after="0"/>
            </w:pPr>
            <w:r w:rsidRPr="00D24194">
              <w:t>Dr Eva Galiza</w:t>
            </w:r>
            <w:r w:rsidR="00964B2F">
              <w:t xml:space="preserve"> </w:t>
            </w:r>
          </w:p>
          <w:p w14:paraId="239BBD9E" w14:textId="350EDBC1" w:rsidR="00567B2C" w:rsidRPr="00567B2C" w:rsidRDefault="00567B2C" w:rsidP="00241927">
            <w:pPr>
              <w:pStyle w:val="ListParagraph"/>
              <w:numPr>
                <w:ilvl w:val="0"/>
                <w:numId w:val="24"/>
              </w:numPr>
              <w:spacing w:after="0"/>
            </w:pPr>
            <w:r>
              <w:t>St Georges Hospital</w:t>
            </w:r>
            <w:r w:rsidR="005B6BD1">
              <w:t xml:space="preserve"> NHS Foundation </w:t>
            </w:r>
            <w:r w:rsidR="00AF744D">
              <w:t>T</w:t>
            </w:r>
            <w:r w:rsidR="005B6BD1">
              <w:t>rust</w:t>
            </w:r>
          </w:p>
          <w:p w14:paraId="7F9B049F" w14:textId="77777777" w:rsidR="006B4381" w:rsidRDefault="00567B2C" w:rsidP="008C67A2">
            <w:pPr>
              <w:spacing w:after="0"/>
            </w:pPr>
            <w:r>
              <w:t xml:space="preserve">Professor </w:t>
            </w:r>
            <w:r w:rsidR="006B4381">
              <w:t xml:space="preserve">Saul Faust </w:t>
            </w:r>
            <w:r w:rsidRPr="00567B2C">
              <w:t xml:space="preserve"> </w:t>
            </w:r>
          </w:p>
          <w:p w14:paraId="2F843398" w14:textId="16113D34" w:rsidR="005B6BD1" w:rsidRDefault="00567B2C" w:rsidP="00241927">
            <w:pPr>
              <w:pStyle w:val="ListParagraph"/>
              <w:numPr>
                <w:ilvl w:val="0"/>
                <w:numId w:val="24"/>
              </w:numPr>
              <w:spacing w:after="0"/>
            </w:pPr>
            <w:r>
              <w:t>Professor in Paediatric Infectious Diseases</w:t>
            </w:r>
            <w:r w:rsidRPr="00567B2C">
              <w:t xml:space="preserve"> </w:t>
            </w:r>
            <w:r>
              <w:t>University</w:t>
            </w:r>
            <w:r w:rsidR="005B6BD1">
              <w:t xml:space="preserve"> Hospital Southampton NHS Foundation </w:t>
            </w:r>
            <w:r w:rsidR="00AF744D">
              <w:t>T</w:t>
            </w:r>
            <w:r w:rsidR="005B6BD1">
              <w:t>rust</w:t>
            </w:r>
          </w:p>
          <w:p w14:paraId="35962CD1" w14:textId="15221D05" w:rsidR="006B4381" w:rsidRDefault="00567B2C" w:rsidP="008C67A2">
            <w:pPr>
              <w:spacing w:after="0"/>
            </w:pPr>
            <w:r>
              <w:t xml:space="preserve">Dr </w:t>
            </w:r>
            <w:r w:rsidRPr="00567B2C">
              <w:t xml:space="preserve">Stephen Hughes  </w:t>
            </w:r>
          </w:p>
          <w:p w14:paraId="58BFF4A6" w14:textId="10D63385" w:rsidR="001D29DB" w:rsidRPr="0051031D" w:rsidRDefault="001D29DB" w:rsidP="008C67A2">
            <w:pPr>
              <w:spacing w:after="0"/>
            </w:pPr>
            <w:r w:rsidRPr="003822D5">
              <w:t>Dr Clare Murray</w:t>
            </w:r>
          </w:p>
          <w:p w14:paraId="507887EB" w14:textId="015B2A4F" w:rsidR="00567B2C" w:rsidRPr="00567B2C" w:rsidRDefault="00567B2C" w:rsidP="00241927">
            <w:pPr>
              <w:pStyle w:val="ListParagraph"/>
              <w:numPr>
                <w:ilvl w:val="0"/>
                <w:numId w:val="24"/>
              </w:numPr>
              <w:spacing w:after="0"/>
            </w:pPr>
            <w:r>
              <w:t xml:space="preserve">Royal </w:t>
            </w:r>
            <w:r w:rsidRPr="00567B2C">
              <w:t>Manchester</w:t>
            </w:r>
            <w:r>
              <w:t xml:space="preserve"> Children’s Hospital</w:t>
            </w:r>
          </w:p>
          <w:p w14:paraId="56DADAEE" w14:textId="77777777" w:rsidR="00147E26" w:rsidRDefault="00D24194" w:rsidP="008C67A2">
            <w:pPr>
              <w:spacing w:after="0"/>
            </w:pPr>
            <w:r>
              <w:t xml:space="preserve"> </w:t>
            </w:r>
            <w:r w:rsidRPr="00D24194">
              <w:t>Dr Marion Roderick</w:t>
            </w:r>
            <w:r w:rsidR="00964B2F">
              <w:t xml:space="preserve"> </w:t>
            </w:r>
          </w:p>
          <w:p w14:paraId="2E912313" w14:textId="39539729" w:rsidR="00F86C99" w:rsidRDefault="00F86C99" w:rsidP="00241927">
            <w:pPr>
              <w:pStyle w:val="ListParagraph"/>
              <w:numPr>
                <w:ilvl w:val="0"/>
                <w:numId w:val="24"/>
              </w:numPr>
              <w:spacing w:after="0"/>
            </w:pPr>
            <w:r>
              <w:t xml:space="preserve">University Hospitals Bristol NHS Foundation Trust </w:t>
            </w:r>
          </w:p>
          <w:p w14:paraId="64B36EAC" w14:textId="00FEB08D" w:rsidR="00DD32C8" w:rsidRDefault="00DD32C8" w:rsidP="008C67A2">
            <w:pPr>
              <w:spacing w:after="0"/>
            </w:pPr>
            <w:r>
              <w:rPr>
                <w:color w:val="000000"/>
              </w:rPr>
              <w:t>Dr Fiona Shackley</w:t>
            </w:r>
          </w:p>
          <w:p w14:paraId="6720D0BA" w14:textId="36AB2E88" w:rsidR="00967769" w:rsidRDefault="005B6BD1" w:rsidP="00241927">
            <w:pPr>
              <w:pStyle w:val="ListParagraph"/>
              <w:numPr>
                <w:ilvl w:val="0"/>
                <w:numId w:val="24"/>
              </w:numPr>
              <w:spacing w:after="0"/>
            </w:pPr>
            <w:r>
              <w:t xml:space="preserve">Sheffield Children’s Hospital NHS Trust </w:t>
            </w:r>
          </w:p>
          <w:p w14:paraId="671E4DE6" w14:textId="77777777" w:rsidR="00967769" w:rsidRDefault="00967769" w:rsidP="008C67A2">
            <w:pPr>
              <w:spacing w:after="0"/>
            </w:pPr>
            <w:r>
              <w:t>Dr Sam Oddie</w:t>
            </w:r>
          </w:p>
          <w:p w14:paraId="56CD7471" w14:textId="6024F42A" w:rsidR="00967769" w:rsidRDefault="005B6BD1" w:rsidP="00241927">
            <w:pPr>
              <w:pStyle w:val="ListParagraph"/>
              <w:numPr>
                <w:ilvl w:val="0"/>
                <w:numId w:val="24"/>
              </w:numPr>
              <w:spacing w:after="0"/>
            </w:pPr>
            <w:r>
              <w:t xml:space="preserve">Bradford Teaching Hospitals NHS Foundation Trust </w:t>
            </w:r>
          </w:p>
          <w:p w14:paraId="17CDA535" w14:textId="77777777" w:rsidR="00147E26" w:rsidRDefault="00967769" w:rsidP="008C67A2">
            <w:pPr>
              <w:spacing w:after="0"/>
            </w:pPr>
            <w:r>
              <w:t xml:space="preserve">Dr Tim Lee </w:t>
            </w:r>
          </w:p>
          <w:p w14:paraId="1EFB0553" w14:textId="77777777" w:rsidR="008075C1" w:rsidRDefault="005B6BD1" w:rsidP="00241927">
            <w:pPr>
              <w:pStyle w:val="ListParagraph"/>
              <w:numPr>
                <w:ilvl w:val="0"/>
                <w:numId w:val="24"/>
              </w:numPr>
              <w:spacing w:after="0"/>
            </w:pPr>
            <w:r>
              <w:t>Leeds Teaching Hospitals NHS Trust</w:t>
            </w:r>
          </w:p>
          <w:p w14:paraId="5D70B893" w14:textId="77777777" w:rsidR="00BF5DCE" w:rsidRDefault="00BF5DCE" w:rsidP="00BF5DCE">
            <w:pPr>
              <w:spacing w:after="0"/>
            </w:pPr>
            <w:r>
              <w:t>Dr David Turner</w:t>
            </w:r>
          </w:p>
          <w:p w14:paraId="76CA5EF8" w14:textId="77777777" w:rsidR="00BF5DCE" w:rsidRDefault="00BF5DCE" w:rsidP="00241927">
            <w:pPr>
              <w:pStyle w:val="ListParagraph"/>
              <w:numPr>
                <w:ilvl w:val="0"/>
                <w:numId w:val="24"/>
              </w:numPr>
              <w:spacing w:after="0"/>
            </w:pPr>
            <w:r>
              <w:t>University of Nottingham Health Service</w:t>
            </w:r>
          </w:p>
          <w:p w14:paraId="5FDE9677" w14:textId="77777777" w:rsidR="00BF5DCE" w:rsidRDefault="00BF5DCE" w:rsidP="00BF5DCE">
            <w:pPr>
              <w:spacing w:after="0"/>
            </w:pPr>
            <w:r>
              <w:t>Dr Mala Raman</w:t>
            </w:r>
          </w:p>
          <w:p w14:paraId="37C4D658" w14:textId="2E65AF4F" w:rsidR="00BF5DCE" w:rsidRPr="008C67A2" w:rsidRDefault="7463D49A" w:rsidP="00241927">
            <w:pPr>
              <w:pStyle w:val="ListParagraph"/>
              <w:numPr>
                <w:ilvl w:val="0"/>
                <w:numId w:val="24"/>
              </w:numPr>
              <w:spacing w:after="0"/>
            </w:pPr>
            <w:r>
              <w:t xml:space="preserve">University Hospitals </w:t>
            </w:r>
            <w:r w:rsidR="00BF5DCE">
              <w:t xml:space="preserve">Plymouth NHS </w:t>
            </w:r>
            <w:r w:rsidR="00AF744D">
              <w:t>T</w:t>
            </w:r>
            <w:r w:rsidR="00BF5DCE">
              <w:t>rust</w:t>
            </w:r>
          </w:p>
        </w:tc>
      </w:tr>
      <w:tr w:rsidR="00304CAF" w:rsidRPr="009E1297" w14:paraId="3C32C571" w14:textId="77777777" w:rsidTr="6217F8DA">
        <w:trPr>
          <w:jc w:val="center"/>
        </w:trPr>
        <w:tc>
          <w:tcPr>
            <w:tcW w:w="2841" w:type="dxa"/>
          </w:tcPr>
          <w:p w14:paraId="17E697D0" w14:textId="77777777" w:rsidR="00893E64" w:rsidRDefault="00893E64" w:rsidP="00ED19FA">
            <w:pPr>
              <w:rPr>
                <w:b/>
              </w:rPr>
            </w:pPr>
          </w:p>
          <w:p w14:paraId="640ED61D" w14:textId="77777777" w:rsidR="0026293E" w:rsidRDefault="0026293E" w:rsidP="00ED19FA">
            <w:pPr>
              <w:rPr>
                <w:b/>
              </w:rPr>
            </w:pPr>
          </w:p>
          <w:p w14:paraId="431657BF" w14:textId="77777777" w:rsidR="0026293E" w:rsidRDefault="0026293E" w:rsidP="00ED19FA">
            <w:pPr>
              <w:rPr>
                <w:b/>
              </w:rPr>
            </w:pPr>
          </w:p>
          <w:p w14:paraId="064E625F" w14:textId="77777777" w:rsidR="0026293E" w:rsidRDefault="0026293E" w:rsidP="00ED19FA">
            <w:pPr>
              <w:rPr>
                <w:b/>
              </w:rPr>
            </w:pPr>
          </w:p>
          <w:p w14:paraId="0EB140E6" w14:textId="77777777" w:rsidR="0026293E" w:rsidRDefault="0026293E" w:rsidP="00ED19FA">
            <w:pPr>
              <w:rPr>
                <w:b/>
              </w:rPr>
            </w:pPr>
          </w:p>
          <w:p w14:paraId="4AC7F5E8" w14:textId="0E1A70C2" w:rsidR="000A2C9B" w:rsidRDefault="000A2C9B" w:rsidP="00ED19FA">
            <w:pPr>
              <w:rPr>
                <w:b/>
              </w:rPr>
            </w:pPr>
          </w:p>
          <w:p w14:paraId="1EAE8643" w14:textId="3D1787F7" w:rsidR="00304CAF" w:rsidRPr="00304CAF" w:rsidRDefault="00304CAF" w:rsidP="00ED19FA">
            <w:pPr>
              <w:rPr>
                <w:b/>
              </w:rPr>
            </w:pPr>
            <w:r w:rsidRPr="00304CAF">
              <w:rPr>
                <w:b/>
              </w:rPr>
              <w:t xml:space="preserve">PHE </w:t>
            </w:r>
            <w:r w:rsidR="0049219A">
              <w:rPr>
                <w:b/>
              </w:rPr>
              <w:t>Investigators</w:t>
            </w:r>
          </w:p>
        </w:tc>
        <w:tc>
          <w:tcPr>
            <w:tcW w:w="6583" w:type="dxa"/>
          </w:tcPr>
          <w:p w14:paraId="1927E11F" w14:textId="54668DEC" w:rsidR="00893E64" w:rsidRDefault="00893E64" w:rsidP="008C67A2">
            <w:pPr>
              <w:spacing w:after="0"/>
            </w:pPr>
            <w:r>
              <w:lastRenderedPageBreak/>
              <w:t>Dr Paul Klenerman</w:t>
            </w:r>
          </w:p>
          <w:p w14:paraId="396013F9" w14:textId="193D64D0" w:rsidR="0026293E" w:rsidRDefault="004B2F1E" w:rsidP="00241927">
            <w:pPr>
              <w:pStyle w:val="ListParagraph"/>
              <w:numPr>
                <w:ilvl w:val="0"/>
                <w:numId w:val="24"/>
              </w:numPr>
              <w:spacing w:after="0"/>
            </w:pPr>
            <w:r>
              <w:t>Nuffield Department of Medicine University of Oxford</w:t>
            </w:r>
          </w:p>
          <w:p w14:paraId="0B8AD13B" w14:textId="77777777" w:rsidR="0026293E" w:rsidRDefault="0026293E" w:rsidP="0026293E">
            <w:pPr>
              <w:spacing w:after="0"/>
            </w:pPr>
            <w:r>
              <w:t>Dr Stephen Owens</w:t>
            </w:r>
          </w:p>
          <w:p w14:paraId="67898120" w14:textId="77777777" w:rsidR="0026293E" w:rsidRDefault="0026293E" w:rsidP="00241927">
            <w:pPr>
              <w:pStyle w:val="ListParagraph"/>
              <w:numPr>
                <w:ilvl w:val="0"/>
                <w:numId w:val="33"/>
              </w:numPr>
              <w:spacing w:after="0"/>
            </w:pPr>
            <w:r>
              <w:t>The Newcastle Upon Tyne Hospitals NHS Foundation Trust</w:t>
            </w:r>
          </w:p>
          <w:p w14:paraId="212B8769" w14:textId="77777777" w:rsidR="0026293E" w:rsidRDefault="0026293E" w:rsidP="0026293E">
            <w:pPr>
              <w:spacing w:after="0"/>
            </w:pPr>
            <w:r>
              <w:t>Dr Paul Turner</w:t>
            </w:r>
          </w:p>
          <w:p w14:paraId="1DF6985F" w14:textId="77777777" w:rsidR="0026293E" w:rsidRDefault="0026293E" w:rsidP="00241927">
            <w:pPr>
              <w:pStyle w:val="ListParagraph"/>
              <w:numPr>
                <w:ilvl w:val="0"/>
                <w:numId w:val="33"/>
              </w:numPr>
              <w:spacing w:after="0"/>
              <w:ind w:left="714" w:hanging="357"/>
            </w:pPr>
            <w:r>
              <w:rPr>
                <w:rFonts w:ascii="Calibri" w:hAnsi="Calibri" w:cs="Calibri"/>
                <w:color w:val="000000"/>
              </w:rPr>
              <w:t>Imperial College Healthcare NHS Trust</w:t>
            </w:r>
          </w:p>
          <w:p w14:paraId="18402418" w14:textId="77777777" w:rsidR="0026293E" w:rsidRDefault="0026293E" w:rsidP="0026293E">
            <w:pPr>
              <w:spacing w:after="0"/>
            </w:pPr>
            <w:r>
              <w:t xml:space="preserve">Helen Cockerill </w:t>
            </w:r>
          </w:p>
          <w:p w14:paraId="3F7964E2" w14:textId="73808C33" w:rsidR="0026293E" w:rsidRDefault="0026293E" w:rsidP="00241927">
            <w:pPr>
              <w:pStyle w:val="ListParagraph"/>
              <w:numPr>
                <w:ilvl w:val="0"/>
                <w:numId w:val="33"/>
              </w:numPr>
              <w:spacing w:after="0"/>
              <w:ind w:left="714" w:hanging="357"/>
            </w:pPr>
            <w:r>
              <w:lastRenderedPageBreak/>
              <w:t>West Suffolk NHS Foundation Trust</w:t>
            </w:r>
          </w:p>
          <w:p w14:paraId="6AFE988D" w14:textId="22F58198" w:rsidR="00304CAF" w:rsidRPr="005C498A" w:rsidRDefault="00304CAF" w:rsidP="008C67A2">
            <w:pPr>
              <w:spacing w:after="0"/>
            </w:pPr>
            <w:r w:rsidRPr="005C498A">
              <w:t>Dr Jamie Lopez</w:t>
            </w:r>
            <w:r w:rsidR="005C498A" w:rsidRPr="005C498A">
              <w:t xml:space="preserve"> </w:t>
            </w:r>
            <w:r w:rsidRPr="005C498A">
              <w:t>Bernal</w:t>
            </w:r>
          </w:p>
          <w:p w14:paraId="65331C72" w14:textId="7AECD35D" w:rsidR="005C498A" w:rsidRPr="00763BCB" w:rsidRDefault="005C498A" w:rsidP="00241927">
            <w:pPr>
              <w:pStyle w:val="ListParagraph"/>
              <w:numPr>
                <w:ilvl w:val="0"/>
                <w:numId w:val="24"/>
              </w:numPr>
              <w:spacing w:after="0"/>
              <w:rPr>
                <w:color w:val="000000" w:themeColor="text1"/>
              </w:rPr>
            </w:pPr>
            <w:r w:rsidRPr="005C498A">
              <w:t xml:space="preserve">Public </w:t>
            </w:r>
            <w:r w:rsidRPr="00763BCB">
              <w:rPr>
                <w:color w:val="000000" w:themeColor="text1"/>
              </w:rPr>
              <w:t>Health Consultant at Public Health England</w:t>
            </w:r>
          </w:p>
          <w:p w14:paraId="4142BD2A" w14:textId="77777777" w:rsidR="00304CAF" w:rsidRPr="00763BCB" w:rsidRDefault="00304CAF" w:rsidP="008C67A2">
            <w:pPr>
              <w:spacing w:after="0"/>
              <w:rPr>
                <w:color w:val="000000" w:themeColor="text1"/>
              </w:rPr>
            </w:pPr>
            <w:r w:rsidRPr="00763BCB">
              <w:rPr>
                <w:color w:val="000000" w:themeColor="text1"/>
              </w:rPr>
              <w:t xml:space="preserve">Dr Gayatri Amirthalingam </w:t>
            </w:r>
          </w:p>
          <w:p w14:paraId="6F2D3A36" w14:textId="6C53C82B" w:rsidR="005C498A" w:rsidRPr="00763BCB" w:rsidRDefault="005C498A" w:rsidP="00241927">
            <w:pPr>
              <w:pStyle w:val="ListParagraph"/>
              <w:numPr>
                <w:ilvl w:val="0"/>
                <w:numId w:val="24"/>
              </w:numPr>
              <w:spacing w:after="0"/>
              <w:rPr>
                <w:color w:val="000000" w:themeColor="text1"/>
              </w:rPr>
            </w:pPr>
            <w:r w:rsidRPr="008C67A2">
              <w:rPr>
                <w:rFonts w:cs="Arial"/>
                <w:color w:val="000000" w:themeColor="text1"/>
                <w:shd w:val="clear" w:color="auto" w:fill="FFFFFF"/>
              </w:rPr>
              <w:t>Consultant Epidemiologist at </w:t>
            </w:r>
            <w:r w:rsidRPr="00763BCB">
              <w:rPr>
                <w:rFonts w:cs="Arial"/>
                <w:bCs/>
                <w:color w:val="000000" w:themeColor="text1"/>
                <w:shd w:val="clear" w:color="auto" w:fill="FFFFFF"/>
              </w:rPr>
              <w:t>Public Health England</w:t>
            </w:r>
          </w:p>
          <w:p w14:paraId="49F21079" w14:textId="77777777" w:rsidR="00304CAF" w:rsidRPr="00763BCB" w:rsidRDefault="00304CAF" w:rsidP="008C67A2">
            <w:pPr>
              <w:spacing w:after="0"/>
              <w:rPr>
                <w:color w:val="000000" w:themeColor="text1"/>
              </w:rPr>
            </w:pPr>
            <w:r w:rsidRPr="00763BCB">
              <w:rPr>
                <w:color w:val="000000" w:themeColor="text1"/>
              </w:rPr>
              <w:t xml:space="preserve">Professor Nick Andrews </w:t>
            </w:r>
          </w:p>
          <w:p w14:paraId="2D7F194E" w14:textId="666EBC82" w:rsidR="00304CAF" w:rsidRPr="00763BCB" w:rsidRDefault="00304CAF" w:rsidP="00B933DF">
            <w:pPr>
              <w:pStyle w:val="ListParagraph"/>
              <w:numPr>
                <w:ilvl w:val="0"/>
                <w:numId w:val="24"/>
              </w:numPr>
              <w:spacing w:after="0"/>
              <w:rPr>
                <w:color w:val="000000" w:themeColor="text1"/>
              </w:rPr>
            </w:pPr>
            <w:r w:rsidRPr="00763BCB">
              <w:rPr>
                <w:color w:val="000000" w:themeColor="text1"/>
              </w:rPr>
              <w:t>D</w:t>
            </w:r>
            <w:r w:rsidRPr="008C67A2">
              <w:rPr>
                <w:rFonts w:cs="Arial"/>
                <w:color w:val="000000" w:themeColor="text1"/>
                <w:shd w:val="clear" w:color="auto" w:fill="FFFFFF"/>
              </w:rPr>
              <w:t>eputy head of the Statistics Unit at Public Health England</w:t>
            </w:r>
          </w:p>
          <w:p w14:paraId="4BD91D1B" w14:textId="43FF6FB9" w:rsidR="00304CAF" w:rsidRPr="00763BCB" w:rsidRDefault="00304CAF" w:rsidP="008C67A2">
            <w:pPr>
              <w:spacing w:after="0"/>
              <w:rPr>
                <w:color w:val="000000" w:themeColor="text1"/>
              </w:rPr>
            </w:pPr>
            <w:r w:rsidRPr="00763BCB">
              <w:rPr>
                <w:color w:val="000000" w:themeColor="text1"/>
              </w:rPr>
              <w:t>Professor Ray Borrow</w:t>
            </w:r>
          </w:p>
          <w:p w14:paraId="6ED6064D" w14:textId="79DF84DA" w:rsidR="00304CAF" w:rsidRPr="00763BCB" w:rsidRDefault="00304CAF" w:rsidP="00B933DF">
            <w:pPr>
              <w:pStyle w:val="ListParagraph"/>
              <w:numPr>
                <w:ilvl w:val="0"/>
                <w:numId w:val="24"/>
              </w:numPr>
              <w:spacing w:after="0"/>
              <w:rPr>
                <w:color w:val="000000" w:themeColor="text1"/>
              </w:rPr>
            </w:pPr>
            <w:r w:rsidRPr="008C67A2">
              <w:rPr>
                <w:rFonts w:cs="Arial"/>
                <w:color w:val="000000" w:themeColor="text1"/>
                <w:shd w:val="clear" w:color="auto" w:fill="FFFFFF"/>
              </w:rPr>
              <w:t>Head of VEU Consultant Clinical Scientist</w:t>
            </w:r>
          </w:p>
          <w:p w14:paraId="47A008CB" w14:textId="77777777" w:rsidR="005C498A" w:rsidRPr="00763BCB" w:rsidRDefault="00304CAF" w:rsidP="008C67A2">
            <w:pPr>
              <w:spacing w:after="0"/>
              <w:rPr>
                <w:color w:val="000000" w:themeColor="text1"/>
              </w:rPr>
            </w:pPr>
            <w:r w:rsidRPr="00763BCB">
              <w:rPr>
                <w:color w:val="000000" w:themeColor="text1"/>
              </w:rPr>
              <w:t xml:space="preserve">Dr Mary Ramsay </w:t>
            </w:r>
          </w:p>
          <w:p w14:paraId="28616A2B" w14:textId="5342C363" w:rsidR="00304CAF" w:rsidRPr="005C498A" w:rsidRDefault="00304CAF" w:rsidP="00B933DF">
            <w:pPr>
              <w:pStyle w:val="ListParagraph"/>
              <w:numPr>
                <w:ilvl w:val="0"/>
                <w:numId w:val="24"/>
              </w:numPr>
              <w:spacing w:after="0"/>
            </w:pPr>
            <w:r w:rsidRPr="008C67A2">
              <w:rPr>
                <w:rFonts w:cs="Helvetica"/>
                <w:color w:val="000000" w:themeColor="text1"/>
                <w:shd w:val="clear" w:color="auto" w:fill="FFFFFF"/>
              </w:rPr>
              <w:t>Consultant Epidemiologist and Head of the Immunisation, Hepatitis and Blood Safety department at Public Health England </w:t>
            </w:r>
          </w:p>
        </w:tc>
      </w:tr>
      <w:tr w:rsidR="001D2F14" w:rsidRPr="009E1297" w14:paraId="1EEAF499" w14:textId="77777777" w:rsidTr="6217F8DA">
        <w:trPr>
          <w:jc w:val="center"/>
        </w:trPr>
        <w:tc>
          <w:tcPr>
            <w:tcW w:w="2841" w:type="dxa"/>
          </w:tcPr>
          <w:p w14:paraId="17F11152" w14:textId="633E7CBB" w:rsidR="001D2F14" w:rsidRPr="009E1297" w:rsidRDefault="001D2F14" w:rsidP="00ED19FA">
            <w:pPr>
              <w:rPr>
                <w:b/>
              </w:rPr>
            </w:pPr>
            <w:r w:rsidRPr="009E1297">
              <w:rPr>
                <w:b/>
              </w:rPr>
              <w:lastRenderedPageBreak/>
              <w:t xml:space="preserve">Sponsor: </w:t>
            </w:r>
          </w:p>
        </w:tc>
        <w:tc>
          <w:tcPr>
            <w:tcW w:w="6583" w:type="dxa"/>
          </w:tcPr>
          <w:p w14:paraId="16323369" w14:textId="4E278258" w:rsidR="0089123A" w:rsidRPr="00383FCC" w:rsidRDefault="00B05A1B" w:rsidP="00B05A1B">
            <w:r>
              <w:t>University of Oxford</w:t>
            </w:r>
          </w:p>
        </w:tc>
      </w:tr>
      <w:tr w:rsidR="001D2F14" w:rsidRPr="009E1297" w14:paraId="6170CF3B" w14:textId="77777777" w:rsidTr="6217F8DA">
        <w:trPr>
          <w:jc w:val="center"/>
        </w:trPr>
        <w:tc>
          <w:tcPr>
            <w:tcW w:w="2841" w:type="dxa"/>
          </w:tcPr>
          <w:p w14:paraId="36B666ED" w14:textId="77777777" w:rsidR="001D2F14" w:rsidRPr="009E1297" w:rsidRDefault="00383FCC" w:rsidP="00ED19FA">
            <w:pPr>
              <w:rPr>
                <w:b/>
              </w:rPr>
            </w:pPr>
            <w:r>
              <w:rPr>
                <w:b/>
              </w:rPr>
              <w:t>Funder</w:t>
            </w:r>
            <w:r w:rsidR="001D2F14" w:rsidRPr="009E1297">
              <w:rPr>
                <w:b/>
              </w:rPr>
              <w:t>:</w:t>
            </w:r>
          </w:p>
        </w:tc>
        <w:tc>
          <w:tcPr>
            <w:tcW w:w="6583" w:type="dxa"/>
          </w:tcPr>
          <w:p w14:paraId="0E9767AB" w14:textId="3801C13E" w:rsidR="001D2F14" w:rsidRPr="009E1297" w:rsidRDefault="007A2747" w:rsidP="00ED19FA">
            <w:pPr>
              <w:rPr>
                <w:highlight w:val="cyan"/>
              </w:rPr>
            </w:pPr>
            <w:r w:rsidRPr="007A2747">
              <w:t xml:space="preserve">National Institute for Health Research </w:t>
            </w:r>
            <w:r>
              <w:t>(</w:t>
            </w:r>
            <w:r w:rsidRPr="007A2747">
              <w:t>NIHR</w:t>
            </w:r>
            <w:r>
              <w:t>)</w:t>
            </w:r>
          </w:p>
        </w:tc>
      </w:tr>
      <w:tr w:rsidR="001D2F14" w:rsidRPr="009E1297" w14:paraId="7291099A" w14:textId="77777777" w:rsidTr="6217F8DA">
        <w:trPr>
          <w:jc w:val="center"/>
        </w:trPr>
        <w:tc>
          <w:tcPr>
            <w:tcW w:w="2841" w:type="dxa"/>
          </w:tcPr>
          <w:p w14:paraId="3FCAE88B" w14:textId="77777777"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14:paraId="6647FBBA" w14:textId="2F5BB688" w:rsidR="001D2F14" w:rsidRPr="009E1297" w:rsidRDefault="001D2F14" w:rsidP="00ED19FA">
            <w:pPr>
              <w:rPr>
                <w:highlight w:val="yellow"/>
              </w:rPr>
            </w:pPr>
          </w:p>
        </w:tc>
      </w:tr>
    </w:tbl>
    <w:p w14:paraId="1ACF724D" w14:textId="434E9A96" w:rsidR="0089123A" w:rsidRPr="009E1297" w:rsidRDefault="0089123A" w:rsidP="001D2F14">
      <w:r w:rsidRPr="0089123A">
        <w:rPr>
          <w:b/>
        </w:rPr>
        <w:t xml:space="preserve">Statistician Signature: </w:t>
      </w:r>
      <w:r w:rsidRPr="0089123A">
        <w:rPr>
          <w:b/>
        </w:rPr>
        <w:tab/>
      </w:r>
    </w:p>
    <w:p w14:paraId="563349AC" w14:textId="66FC7F1B" w:rsidR="00851D55" w:rsidRDefault="00851D55" w:rsidP="001D2F14">
      <w:r>
        <w:t>Conflicts of Interest</w:t>
      </w:r>
    </w:p>
    <w:p w14:paraId="0C60C9F5" w14:textId="69EC5760" w:rsidR="001D2F14" w:rsidRPr="000334AE" w:rsidRDefault="00851D55" w:rsidP="001D2F14">
      <w:r>
        <w:t>Professor’s Snape</w:t>
      </w:r>
      <w:r w:rsidR="0075136C">
        <w:t xml:space="preserve"> </w:t>
      </w:r>
      <w:r>
        <w:t xml:space="preserve">and Faust act, on behalf of their employing institutions, as Chief and/or Principal Investigators on research studies funded and/or sponsored by vaccine manufacturers including </w:t>
      </w:r>
      <w:proofErr w:type="spellStart"/>
      <w:r>
        <w:t>Novavax</w:t>
      </w:r>
      <w:proofErr w:type="spellEnd"/>
      <w:r>
        <w:t xml:space="preserve">, </w:t>
      </w:r>
      <w:proofErr w:type="spellStart"/>
      <w:r>
        <w:t>Glaxosmithkline</w:t>
      </w:r>
      <w:proofErr w:type="spellEnd"/>
      <w:r>
        <w:t>, Sanofi-Pasteur, Medimmune and Janssen.  These investigators receive no personal financial benefit for this work.</w:t>
      </w:r>
    </w:p>
    <w:p w14:paraId="44D0520B" w14:textId="77777777" w:rsidR="001D2F14" w:rsidRPr="009E1297" w:rsidRDefault="001D2F14" w:rsidP="001D2F14">
      <w:pPr>
        <w:rPr>
          <w:b/>
        </w:rPr>
      </w:pPr>
      <w:r w:rsidRPr="009E1297">
        <w:rPr>
          <w:b/>
        </w:rPr>
        <w:t>Confidentiality Statement</w:t>
      </w:r>
    </w:p>
    <w:p w14:paraId="2B3A5F1E" w14:textId="7A51ADBF" w:rsidR="00034E86" w:rsidRPr="00DC6340" w:rsidRDefault="001D2F14" w:rsidP="00034E86">
      <w:pPr>
        <w:rPr>
          <w:rFonts w:cs="Arial"/>
          <w:b/>
          <w:sz w:val="20"/>
          <w:szCs w:val="20"/>
        </w:rPr>
      </w:pPr>
      <w:r w:rsidRPr="00383FCC">
        <w:t xml:space="preserve">This document contains confidential information that must not be disclosed to anyone other than the Sponsor, the Investigator Team, </w:t>
      </w:r>
      <w:r w:rsidR="00736ECF">
        <w:t xml:space="preserve">HRA, </w:t>
      </w:r>
      <w:r w:rsidRPr="00383FCC">
        <w:t xml:space="preserve">host </w:t>
      </w:r>
      <w:r w:rsidR="00383FCC" w:rsidRPr="00383FCC">
        <w:t>organisation</w:t>
      </w:r>
      <w:r w:rsidRPr="00383FCC">
        <w:t>, and members of the Research Ethics Committee, unless authorised to do so.</w:t>
      </w:r>
    </w:p>
    <w:p w14:paraId="795FCB53" w14:textId="77777777" w:rsidR="00034E86" w:rsidRPr="00BF7E3D" w:rsidRDefault="00034E86" w:rsidP="00034E86">
      <w:pPr>
        <w:spacing w:before="120"/>
        <w:ind w:firstLine="1"/>
        <w:jc w:val="center"/>
        <w:rPr>
          <w:rFonts w:cs="Arial"/>
          <w:b/>
        </w:rPr>
      </w:pPr>
      <w:r w:rsidRPr="00BF7E3D">
        <w:rPr>
          <w:rFonts w:cs="Arial"/>
          <w:b/>
        </w:rPr>
        <w:t>Protocol signature page</w:t>
      </w:r>
    </w:p>
    <w:p w14:paraId="3419074A" w14:textId="16B5195E" w:rsidR="00034E86" w:rsidRDefault="00034E86" w:rsidP="000334AE">
      <w:pPr>
        <w:spacing w:before="120"/>
        <w:ind w:firstLine="1"/>
        <w:rPr>
          <w:rFonts w:cs="Arial"/>
        </w:rPr>
      </w:pPr>
      <w:r w:rsidRPr="00BF7E3D">
        <w:rPr>
          <w:rFonts w:cs="Arial"/>
        </w:rPr>
        <w:t xml:space="preserve">The undersigned has read and understood the </w:t>
      </w:r>
      <w:r w:rsidR="00631B26" w:rsidRPr="00BF7E3D">
        <w:rPr>
          <w:rFonts w:cs="Arial"/>
        </w:rPr>
        <w:t>research study</w:t>
      </w:r>
      <w:r w:rsidRPr="00BF7E3D">
        <w:rPr>
          <w:rFonts w:cs="Arial"/>
        </w:rPr>
        <w:t xml:space="preserve"> protocol detailed above and agrees to conduct the </w:t>
      </w:r>
      <w:r w:rsidR="00631B26" w:rsidRPr="00BF7E3D">
        <w:rPr>
          <w:rFonts w:cs="Arial"/>
        </w:rPr>
        <w:t xml:space="preserve">research study </w:t>
      </w:r>
      <w:r w:rsidRPr="00BF7E3D">
        <w:rPr>
          <w:rFonts w:cs="Arial"/>
        </w:rPr>
        <w:t xml:space="preserve">in compliance with the protocol.  </w:t>
      </w:r>
    </w:p>
    <w:p w14:paraId="7DEFD864" w14:textId="29C61598" w:rsidR="0051031D" w:rsidRPr="00BF7E3D" w:rsidRDefault="0051031D" w:rsidP="0051031D">
      <w:pPr>
        <w:spacing w:before="320"/>
        <w:rPr>
          <w:rFonts w:cs="Arial"/>
          <w:sz w:val="20"/>
          <w:szCs w:val="20"/>
        </w:rPr>
      </w:pPr>
    </w:p>
    <w:tbl>
      <w:tblPr>
        <w:tblW w:w="9083" w:type="dxa"/>
        <w:jc w:val="center"/>
        <w:tblCellMar>
          <w:left w:w="45" w:type="dxa"/>
          <w:right w:w="45" w:type="dxa"/>
        </w:tblCellMar>
        <w:tblLook w:val="04A0" w:firstRow="1" w:lastRow="0" w:firstColumn="1" w:lastColumn="0" w:noHBand="0" w:noVBand="1"/>
      </w:tblPr>
      <w:tblGrid>
        <w:gridCol w:w="2200"/>
        <w:gridCol w:w="179"/>
        <w:gridCol w:w="2156"/>
        <w:gridCol w:w="282"/>
        <w:gridCol w:w="2342"/>
        <w:gridCol w:w="414"/>
        <w:gridCol w:w="1510"/>
      </w:tblGrid>
      <w:tr w:rsidR="00034E86" w:rsidRPr="00306DD7" w14:paraId="17F4A0BC" w14:textId="77777777" w:rsidTr="000929A7">
        <w:trPr>
          <w:cantSplit/>
          <w:trHeight w:val="343"/>
          <w:jc w:val="center"/>
        </w:trPr>
        <w:tc>
          <w:tcPr>
            <w:tcW w:w="2200" w:type="dxa"/>
            <w:tcBorders>
              <w:top w:val="single" w:sz="4" w:space="0" w:color="auto"/>
            </w:tcBorders>
            <w:shd w:val="clear" w:color="auto" w:fill="auto"/>
          </w:tcPr>
          <w:p w14:paraId="0F4C7EAA" w14:textId="77777777" w:rsidR="00034E86" w:rsidRPr="00BF7E3D" w:rsidRDefault="00034E86" w:rsidP="00641D2C">
            <w:pPr>
              <w:jc w:val="center"/>
              <w:rPr>
                <w:rFonts w:cs="Arial"/>
                <w:b/>
                <w:sz w:val="20"/>
                <w:szCs w:val="20"/>
              </w:rPr>
            </w:pPr>
            <w:r w:rsidRPr="00BF7E3D">
              <w:rPr>
                <w:rFonts w:cs="Arial"/>
                <w:b/>
                <w:sz w:val="20"/>
                <w:szCs w:val="20"/>
              </w:rPr>
              <w:t xml:space="preserve">Principal Investigator </w:t>
            </w:r>
            <w:r w:rsidRPr="00BF7E3D">
              <w:rPr>
                <w:rFonts w:cs="Arial"/>
                <w:sz w:val="18"/>
                <w:szCs w:val="18"/>
              </w:rPr>
              <w:t xml:space="preserve">(Please print name) </w:t>
            </w:r>
          </w:p>
        </w:tc>
        <w:tc>
          <w:tcPr>
            <w:tcW w:w="179" w:type="dxa"/>
            <w:shd w:val="clear" w:color="auto" w:fill="auto"/>
          </w:tcPr>
          <w:p w14:paraId="04A3FEA0" w14:textId="77777777" w:rsidR="00034E86" w:rsidRPr="00BF7E3D" w:rsidRDefault="00034E86" w:rsidP="00641D2C">
            <w:pPr>
              <w:jc w:val="center"/>
              <w:rPr>
                <w:rFonts w:cs="Arial"/>
                <w:b/>
                <w:sz w:val="20"/>
                <w:szCs w:val="20"/>
              </w:rPr>
            </w:pPr>
          </w:p>
        </w:tc>
        <w:tc>
          <w:tcPr>
            <w:tcW w:w="2156" w:type="dxa"/>
            <w:tcBorders>
              <w:top w:val="single" w:sz="4" w:space="0" w:color="auto"/>
            </w:tcBorders>
            <w:shd w:val="clear" w:color="auto" w:fill="auto"/>
          </w:tcPr>
          <w:p w14:paraId="226C02D0" w14:textId="77777777" w:rsidR="00034E86" w:rsidRPr="00BF7E3D" w:rsidRDefault="00034E86" w:rsidP="00641D2C">
            <w:pPr>
              <w:jc w:val="center"/>
              <w:rPr>
                <w:rFonts w:cs="Arial"/>
                <w:b/>
                <w:sz w:val="20"/>
                <w:szCs w:val="20"/>
              </w:rPr>
            </w:pPr>
            <w:r w:rsidRPr="00BF7E3D">
              <w:rPr>
                <w:rFonts w:cs="Arial"/>
                <w:b/>
                <w:sz w:val="20"/>
                <w:szCs w:val="20"/>
              </w:rPr>
              <w:t>Signature</w:t>
            </w:r>
          </w:p>
        </w:tc>
        <w:tc>
          <w:tcPr>
            <w:tcW w:w="282" w:type="dxa"/>
            <w:shd w:val="clear" w:color="auto" w:fill="auto"/>
          </w:tcPr>
          <w:p w14:paraId="24B4B25E" w14:textId="78FD63E7" w:rsidR="00C86A12" w:rsidRDefault="00C86A12" w:rsidP="00641D2C">
            <w:pPr>
              <w:jc w:val="center"/>
              <w:rPr>
                <w:rFonts w:cs="Arial"/>
                <w:b/>
                <w:sz w:val="20"/>
                <w:szCs w:val="20"/>
              </w:rPr>
            </w:pPr>
          </w:p>
          <w:p w14:paraId="4F544171" w14:textId="77777777" w:rsidR="00C86A12" w:rsidRPr="000929A7" w:rsidRDefault="00C86A12" w:rsidP="000929A7">
            <w:pPr>
              <w:rPr>
                <w:rFonts w:cs="Arial"/>
                <w:sz w:val="20"/>
                <w:szCs w:val="20"/>
              </w:rPr>
            </w:pPr>
          </w:p>
          <w:p w14:paraId="2BEE9BA4" w14:textId="7BD5ACD4" w:rsidR="00034E86" w:rsidRPr="000929A7" w:rsidRDefault="00034E86" w:rsidP="000929A7">
            <w:pPr>
              <w:rPr>
                <w:rFonts w:cs="Arial"/>
                <w:sz w:val="20"/>
                <w:szCs w:val="20"/>
              </w:rPr>
            </w:pPr>
          </w:p>
        </w:tc>
        <w:tc>
          <w:tcPr>
            <w:tcW w:w="2342" w:type="dxa"/>
            <w:tcBorders>
              <w:top w:val="single" w:sz="4" w:space="0" w:color="auto"/>
            </w:tcBorders>
            <w:shd w:val="clear" w:color="auto" w:fill="auto"/>
          </w:tcPr>
          <w:p w14:paraId="432B7A98" w14:textId="77777777" w:rsidR="00034E86" w:rsidRPr="00BF7E3D" w:rsidRDefault="00034E86" w:rsidP="00641D2C">
            <w:pPr>
              <w:jc w:val="center"/>
              <w:rPr>
                <w:rFonts w:cs="Arial"/>
                <w:b/>
                <w:sz w:val="20"/>
                <w:szCs w:val="20"/>
              </w:rPr>
            </w:pPr>
            <w:r w:rsidRPr="00BF7E3D">
              <w:rPr>
                <w:rFonts w:cs="Arial"/>
                <w:b/>
                <w:sz w:val="20"/>
                <w:szCs w:val="20"/>
              </w:rPr>
              <w:t xml:space="preserve">Site name or ID number </w:t>
            </w:r>
          </w:p>
        </w:tc>
        <w:tc>
          <w:tcPr>
            <w:tcW w:w="414" w:type="dxa"/>
            <w:shd w:val="clear" w:color="auto" w:fill="auto"/>
          </w:tcPr>
          <w:p w14:paraId="760AE6C4" w14:textId="77777777" w:rsidR="00034E86" w:rsidRPr="00BF7E3D" w:rsidRDefault="00034E86" w:rsidP="00641D2C">
            <w:pPr>
              <w:jc w:val="center"/>
              <w:rPr>
                <w:rFonts w:cs="Arial"/>
                <w:b/>
                <w:sz w:val="20"/>
                <w:szCs w:val="20"/>
              </w:rPr>
            </w:pPr>
          </w:p>
        </w:tc>
        <w:tc>
          <w:tcPr>
            <w:tcW w:w="1510" w:type="dxa"/>
            <w:tcBorders>
              <w:top w:val="single" w:sz="4" w:space="0" w:color="auto"/>
            </w:tcBorders>
            <w:shd w:val="clear" w:color="auto" w:fill="auto"/>
          </w:tcPr>
          <w:p w14:paraId="1B43ED55" w14:textId="77777777" w:rsidR="00034E86" w:rsidRPr="00306DD7" w:rsidRDefault="00034E86" w:rsidP="00641D2C">
            <w:pPr>
              <w:jc w:val="center"/>
              <w:rPr>
                <w:rFonts w:cs="Arial"/>
                <w:b/>
                <w:sz w:val="20"/>
                <w:szCs w:val="20"/>
              </w:rPr>
            </w:pPr>
            <w:r w:rsidRPr="00BF7E3D">
              <w:rPr>
                <w:rFonts w:cs="Arial"/>
                <w:b/>
                <w:sz w:val="20"/>
                <w:szCs w:val="20"/>
              </w:rPr>
              <w:t>Date</w:t>
            </w:r>
          </w:p>
        </w:tc>
      </w:tr>
    </w:tbl>
    <w:p w14:paraId="475417BA" w14:textId="60F14B84" w:rsidR="00034E86" w:rsidRDefault="00034E86" w:rsidP="00034E86">
      <w:pPr>
        <w:rPr>
          <w:rFonts w:cs="Arial"/>
          <w:sz w:val="20"/>
          <w:szCs w:val="20"/>
        </w:rPr>
      </w:pPr>
    </w:p>
    <w:p w14:paraId="55797783" w14:textId="77777777" w:rsidR="00030BEF" w:rsidRDefault="008075C1" w:rsidP="008075C1">
      <w:pPr>
        <w:tabs>
          <w:tab w:val="left" w:pos="3328"/>
        </w:tabs>
        <w:rPr>
          <w:rFonts w:cs="Arial"/>
          <w:sz w:val="20"/>
          <w:szCs w:val="20"/>
        </w:rPr>
      </w:pPr>
      <w:r>
        <w:rPr>
          <w:rFonts w:cs="Arial"/>
          <w:sz w:val="20"/>
          <w:szCs w:val="20"/>
        </w:rPr>
        <w:tab/>
      </w:r>
    </w:p>
    <w:p w14:paraId="3778D30C" w14:textId="62E3BA93" w:rsidR="00A223C7" w:rsidRPr="001C2B3A" w:rsidRDefault="00A223C7" w:rsidP="008075C1">
      <w:pPr>
        <w:tabs>
          <w:tab w:val="left" w:pos="3328"/>
        </w:tabs>
        <w:rPr>
          <w:b/>
          <w:sz w:val="24"/>
          <w:szCs w:val="24"/>
        </w:rPr>
      </w:pPr>
      <w:r w:rsidRPr="001C2B3A">
        <w:rPr>
          <w:b/>
          <w:sz w:val="24"/>
          <w:szCs w:val="24"/>
        </w:rPr>
        <w:lastRenderedPageBreak/>
        <w:t>TABLE OF CONTENTS</w:t>
      </w:r>
    </w:p>
    <w:sdt>
      <w:sdtPr>
        <w:rPr>
          <w:rFonts w:eastAsiaTheme="minorEastAsia" w:cstheme="minorBidi"/>
          <w:b w:val="0"/>
          <w:bCs w:val="0"/>
          <w:sz w:val="22"/>
          <w:szCs w:val="22"/>
        </w:rPr>
        <w:id w:val="11557282"/>
        <w:docPartObj>
          <w:docPartGallery w:val="Table of Contents"/>
          <w:docPartUnique/>
        </w:docPartObj>
      </w:sdtPr>
      <w:sdtEndPr>
        <w:rPr>
          <w:rFonts w:eastAsiaTheme="majorEastAsia" w:cstheme="majorBidi"/>
          <w:sz w:val="24"/>
          <w:szCs w:val="28"/>
        </w:rPr>
      </w:sdtEndPr>
      <w:sdtContent>
        <w:p w14:paraId="4AE8EC9D" w14:textId="77777777" w:rsidR="0079308A" w:rsidRPr="001C2B3A" w:rsidRDefault="0079308A" w:rsidP="0079308A">
          <w:pPr>
            <w:pStyle w:val="TOCHeading"/>
            <w:rPr>
              <w:sz w:val="4"/>
              <w:szCs w:val="4"/>
            </w:rPr>
          </w:pPr>
        </w:p>
        <w:p w14:paraId="3D2B4BCD" w14:textId="56305A4B" w:rsidR="001A4BC2" w:rsidRDefault="00BA1AC3">
          <w:pPr>
            <w:pStyle w:val="TOC1"/>
            <w:rPr>
              <w:noProof/>
            </w:rPr>
          </w:pPr>
          <w:r w:rsidRPr="001C2B3A">
            <w:fldChar w:fldCharType="begin"/>
          </w:r>
          <w:r w:rsidR="0079308A" w:rsidRPr="001C2B3A">
            <w:instrText xml:space="preserve"> TOC \o "1-3" \h \z \u </w:instrText>
          </w:r>
          <w:r w:rsidRPr="001C2B3A">
            <w:fldChar w:fldCharType="separate"/>
          </w:r>
          <w:hyperlink w:anchor="_Toc62129131" w:history="1">
            <w:r w:rsidR="001A4BC2" w:rsidRPr="00C95943">
              <w:rPr>
                <w:rStyle w:val="Hyperlink"/>
                <w:noProof/>
                <w14:scene3d>
                  <w14:camera w14:prst="orthographicFront"/>
                  <w14:lightRig w14:rig="threePt" w14:dir="t">
                    <w14:rot w14:lat="0" w14:lon="0" w14:rev="0"/>
                  </w14:lightRig>
                </w14:scene3d>
              </w:rPr>
              <w:t>1.</w:t>
            </w:r>
            <w:r w:rsidR="001A4BC2">
              <w:rPr>
                <w:noProof/>
              </w:rPr>
              <w:tab/>
            </w:r>
            <w:r w:rsidR="001A4BC2" w:rsidRPr="00C95943">
              <w:rPr>
                <w:rStyle w:val="Hyperlink"/>
                <w:noProof/>
              </w:rPr>
              <w:t>KEY CONTACTS</w:t>
            </w:r>
            <w:r w:rsidR="001A4BC2">
              <w:rPr>
                <w:noProof/>
                <w:webHidden/>
              </w:rPr>
              <w:tab/>
            </w:r>
            <w:r w:rsidR="001A4BC2">
              <w:rPr>
                <w:noProof/>
                <w:webHidden/>
              </w:rPr>
              <w:fldChar w:fldCharType="begin"/>
            </w:r>
            <w:r w:rsidR="001A4BC2">
              <w:rPr>
                <w:noProof/>
                <w:webHidden/>
              </w:rPr>
              <w:instrText xml:space="preserve"> PAGEREF _Toc62129131 \h </w:instrText>
            </w:r>
            <w:r w:rsidR="001A4BC2">
              <w:rPr>
                <w:noProof/>
                <w:webHidden/>
              </w:rPr>
            </w:r>
            <w:r w:rsidR="001A4BC2">
              <w:rPr>
                <w:noProof/>
                <w:webHidden/>
              </w:rPr>
              <w:fldChar w:fldCharType="separate"/>
            </w:r>
            <w:r w:rsidR="001A4BC2">
              <w:rPr>
                <w:noProof/>
                <w:webHidden/>
              </w:rPr>
              <w:t>5</w:t>
            </w:r>
            <w:r w:rsidR="001A4BC2">
              <w:rPr>
                <w:noProof/>
                <w:webHidden/>
              </w:rPr>
              <w:fldChar w:fldCharType="end"/>
            </w:r>
          </w:hyperlink>
        </w:p>
        <w:p w14:paraId="4107D80E" w14:textId="78B6D5C6" w:rsidR="001A4BC2" w:rsidRDefault="000228E3">
          <w:pPr>
            <w:pStyle w:val="TOC1"/>
            <w:rPr>
              <w:noProof/>
            </w:rPr>
          </w:pPr>
          <w:hyperlink w:anchor="_Toc62129132" w:history="1">
            <w:r w:rsidR="001A4BC2" w:rsidRPr="00C95943">
              <w:rPr>
                <w:rStyle w:val="Hyperlink"/>
                <w:noProof/>
                <w14:scene3d>
                  <w14:camera w14:prst="orthographicFront"/>
                  <w14:lightRig w14:rig="threePt" w14:dir="t">
                    <w14:rot w14:lat="0" w14:lon="0" w14:rev="0"/>
                  </w14:lightRig>
                </w14:scene3d>
              </w:rPr>
              <w:t>2.</w:t>
            </w:r>
            <w:r w:rsidR="001A4BC2">
              <w:rPr>
                <w:noProof/>
              </w:rPr>
              <w:tab/>
            </w:r>
            <w:r w:rsidR="001A4BC2" w:rsidRPr="00C95943">
              <w:rPr>
                <w:rStyle w:val="Hyperlink"/>
                <w:noProof/>
              </w:rPr>
              <w:t>LAY SUMMARY</w:t>
            </w:r>
            <w:r w:rsidR="001A4BC2">
              <w:rPr>
                <w:noProof/>
                <w:webHidden/>
              </w:rPr>
              <w:tab/>
            </w:r>
            <w:r w:rsidR="001A4BC2">
              <w:rPr>
                <w:noProof/>
                <w:webHidden/>
              </w:rPr>
              <w:fldChar w:fldCharType="begin"/>
            </w:r>
            <w:r w:rsidR="001A4BC2">
              <w:rPr>
                <w:noProof/>
                <w:webHidden/>
              </w:rPr>
              <w:instrText xml:space="preserve"> PAGEREF _Toc62129132 \h </w:instrText>
            </w:r>
            <w:r w:rsidR="001A4BC2">
              <w:rPr>
                <w:noProof/>
                <w:webHidden/>
              </w:rPr>
            </w:r>
            <w:r w:rsidR="001A4BC2">
              <w:rPr>
                <w:noProof/>
                <w:webHidden/>
              </w:rPr>
              <w:fldChar w:fldCharType="separate"/>
            </w:r>
            <w:r w:rsidR="001A4BC2">
              <w:rPr>
                <w:noProof/>
                <w:webHidden/>
              </w:rPr>
              <w:t>5</w:t>
            </w:r>
            <w:r w:rsidR="001A4BC2">
              <w:rPr>
                <w:noProof/>
                <w:webHidden/>
              </w:rPr>
              <w:fldChar w:fldCharType="end"/>
            </w:r>
          </w:hyperlink>
        </w:p>
        <w:p w14:paraId="64F87018" w14:textId="2F34E69F" w:rsidR="001A4BC2" w:rsidRDefault="000228E3">
          <w:pPr>
            <w:pStyle w:val="TOC1"/>
            <w:rPr>
              <w:noProof/>
            </w:rPr>
          </w:pPr>
          <w:hyperlink w:anchor="_Toc62129133" w:history="1">
            <w:r w:rsidR="001A4BC2" w:rsidRPr="00C95943">
              <w:rPr>
                <w:rStyle w:val="Hyperlink"/>
                <w:noProof/>
                <w14:scene3d>
                  <w14:camera w14:prst="orthographicFront"/>
                  <w14:lightRig w14:rig="threePt" w14:dir="t">
                    <w14:rot w14:lat="0" w14:lon="0" w14:rev="0"/>
                  </w14:lightRig>
                </w14:scene3d>
              </w:rPr>
              <w:t>3.</w:t>
            </w:r>
            <w:r w:rsidR="001A4BC2">
              <w:rPr>
                <w:noProof/>
              </w:rPr>
              <w:tab/>
            </w:r>
            <w:r w:rsidR="001A4BC2" w:rsidRPr="00C95943">
              <w:rPr>
                <w:rStyle w:val="Hyperlink"/>
                <w:noProof/>
              </w:rPr>
              <w:t>SYNOPSIS</w:t>
            </w:r>
            <w:r w:rsidR="001A4BC2">
              <w:rPr>
                <w:noProof/>
                <w:webHidden/>
              </w:rPr>
              <w:tab/>
            </w:r>
            <w:r w:rsidR="001A4BC2">
              <w:rPr>
                <w:noProof/>
                <w:webHidden/>
              </w:rPr>
              <w:fldChar w:fldCharType="begin"/>
            </w:r>
            <w:r w:rsidR="001A4BC2">
              <w:rPr>
                <w:noProof/>
                <w:webHidden/>
              </w:rPr>
              <w:instrText xml:space="preserve"> PAGEREF _Toc62129133 \h </w:instrText>
            </w:r>
            <w:r w:rsidR="001A4BC2">
              <w:rPr>
                <w:noProof/>
                <w:webHidden/>
              </w:rPr>
            </w:r>
            <w:r w:rsidR="001A4BC2">
              <w:rPr>
                <w:noProof/>
                <w:webHidden/>
              </w:rPr>
              <w:fldChar w:fldCharType="separate"/>
            </w:r>
            <w:r w:rsidR="001A4BC2">
              <w:rPr>
                <w:noProof/>
                <w:webHidden/>
              </w:rPr>
              <w:t>7</w:t>
            </w:r>
            <w:r w:rsidR="001A4BC2">
              <w:rPr>
                <w:noProof/>
                <w:webHidden/>
              </w:rPr>
              <w:fldChar w:fldCharType="end"/>
            </w:r>
          </w:hyperlink>
        </w:p>
        <w:p w14:paraId="29F12ED9" w14:textId="1752BF54" w:rsidR="001A4BC2" w:rsidRDefault="000228E3">
          <w:pPr>
            <w:pStyle w:val="TOC1"/>
            <w:rPr>
              <w:noProof/>
            </w:rPr>
          </w:pPr>
          <w:hyperlink w:anchor="_Toc62129134" w:history="1">
            <w:r w:rsidR="001A4BC2" w:rsidRPr="00C95943">
              <w:rPr>
                <w:rStyle w:val="Hyperlink"/>
                <w:noProof/>
                <w14:scene3d>
                  <w14:camera w14:prst="orthographicFront"/>
                  <w14:lightRig w14:rig="threePt" w14:dir="t">
                    <w14:rot w14:lat="0" w14:lon="0" w14:rev="0"/>
                  </w14:lightRig>
                </w14:scene3d>
              </w:rPr>
              <w:t>4.</w:t>
            </w:r>
            <w:r w:rsidR="001A4BC2">
              <w:rPr>
                <w:noProof/>
              </w:rPr>
              <w:tab/>
            </w:r>
            <w:r w:rsidR="001A4BC2" w:rsidRPr="00C95943">
              <w:rPr>
                <w:rStyle w:val="Hyperlink"/>
                <w:noProof/>
              </w:rPr>
              <w:t>ABBREVIATIONS</w:t>
            </w:r>
            <w:r w:rsidR="001A4BC2">
              <w:rPr>
                <w:noProof/>
                <w:webHidden/>
              </w:rPr>
              <w:tab/>
            </w:r>
            <w:r w:rsidR="001A4BC2">
              <w:rPr>
                <w:noProof/>
                <w:webHidden/>
              </w:rPr>
              <w:fldChar w:fldCharType="begin"/>
            </w:r>
            <w:r w:rsidR="001A4BC2">
              <w:rPr>
                <w:noProof/>
                <w:webHidden/>
              </w:rPr>
              <w:instrText xml:space="preserve"> PAGEREF _Toc62129134 \h </w:instrText>
            </w:r>
            <w:r w:rsidR="001A4BC2">
              <w:rPr>
                <w:noProof/>
                <w:webHidden/>
              </w:rPr>
            </w:r>
            <w:r w:rsidR="001A4BC2">
              <w:rPr>
                <w:noProof/>
                <w:webHidden/>
              </w:rPr>
              <w:fldChar w:fldCharType="separate"/>
            </w:r>
            <w:r w:rsidR="001A4BC2">
              <w:rPr>
                <w:noProof/>
                <w:webHidden/>
              </w:rPr>
              <w:t>10</w:t>
            </w:r>
            <w:r w:rsidR="001A4BC2">
              <w:rPr>
                <w:noProof/>
                <w:webHidden/>
              </w:rPr>
              <w:fldChar w:fldCharType="end"/>
            </w:r>
          </w:hyperlink>
        </w:p>
        <w:p w14:paraId="249F046A" w14:textId="26DCECAD" w:rsidR="001A4BC2" w:rsidRDefault="000228E3">
          <w:pPr>
            <w:pStyle w:val="TOC1"/>
            <w:rPr>
              <w:noProof/>
            </w:rPr>
          </w:pPr>
          <w:hyperlink w:anchor="_Toc62129135" w:history="1">
            <w:r w:rsidR="001A4BC2" w:rsidRPr="00C95943">
              <w:rPr>
                <w:rStyle w:val="Hyperlink"/>
                <w:noProof/>
                <w14:scene3d>
                  <w14:camera w14:prst="orthographicFront"/>
                  <w14:lightRig w14:rig="threePt" w14:dir="t">
                    <w14:rot w14:lat="0" w14:lon="0" w14:rev="0"/>
                  </w14:lightRig>
                </w14:scene3d>
              </w:rPr>
              <w:t>5.</w:t>
            </w:r>
            <w:r w:rsidR="001A4BC2">
              <w:rPr>
                <w:noProof/>
              </w:rPr>
              <w:tab/>
            </w:r>
            <w:r w:rsidR="001A4BC2" w:rsidRPr="00C95943">
              <w:rPr>
                <w:rStyle w:val="Hyperlink"/>
                <w:noProof/>
              </w:rPr>
              <w:t>BACKGROUND AND RATIONALE</w:t>
            </w:r>
            <w:r w:rsidR="001A4BC2">
              <w:rPr>
                <w:noProof/>
                <w:webHidden/>
              </w:rPr>
              <w:tab/>
            </w:r>
            <w:r w:rsidR="001A4BC2">
              <w:rPr>
                <w:noProof/>
                <w:webHidden/>
              </w:rPr>
              <w:fldChar w:fldCharType="begin"/>
            </w:r>
            <w:r w:rsidR="001A4BC2">
              <w:rPr>
                <w:noProof/>
                <w:webHidden/>
              </w:rPr>
              <w:instrText xml:space="preserve"> PAGEREF _Toc62129135 \h </w:instrText>
            </w:r>
            <w:r w:rsidR="001A4BC2">
              <w:rPr>
                <w:noProof/>
                <w:webHidden/>
              </w:rPr>
            </w:r>
            <w:r w:rsidR="001A4BC2">
              <w:rPr>
                <w:noProof/>
                <w:webHidden/>
              </w:rPr>
              <w:fldChar w:fldCharType="separate"/>
            </w:r>
            <w:r w:rsidR="001A4BC2">
              <w:rPr>
                <w:noProof/>
                <w:webHidden/>
              </w:rPr>
              <w:t>12</w:t>
            </w:r>
            <w:r w:rsidR="001A4BC2">
              <w:rPr>
                <w:noProof/>
                <w:webHidden/>
              </w:rPr>
              <w:fldChar w:fldCharType="end"/>
            </w:r>
          </w:hyperlink>
        </w:p>
        <w:p w14:paraId="03791839" w14:textId="35917629" w:rsidR="001A4BC2" w:rsidRDefault="000228E3">
          <w:pPr>
            <w:pStyle w:val="TOC3"/>
            <w:tabs>
              <w:tab w:val="right" w:leader="dot" w:pos="9402"/>
            </w:tabs>
            <w:rPr>
              <w:noProof/>
            </w:rPr>
          </w:pPr>
          <w:hyperlink w:anchor="_Toc62129136" w:history="1">
            <w:r w:rsidR="001A4BC2" w:rsidRPr="00C95943">
              <w:rPr>
                <w:rStyle w:val="Hyperlink"/>
                <w:noProof/>
              </w:rPr>
              <w:t>Use of seroprevalence studies in pandemics</w:t>
            </w:r>
            <w:r w:rsidR="001A4BC2">
              <w:rPr>
                <w:noProof/>
                <w:webHidden/>
              </w:rPr>
              <w:tab/>
            </w:r>
            <w:r w:rsidR="001A4BC2">
              <w:rPr>
                <w:noProof/>
                <w:webHidden/>
              </w:rPr>
              <w:fldChar w:fldCharType="begin"/>
            </w:r>
            <w:r w:rsidR="001A4BC2">
              <w:rPr>
                <w:noProof/>
                <w:webHidden/>
              </w:rPr>
              <w:instrText xml:space="preserve"> PAGEREF _Toc62129136 \h </w:instrText>
            </w:r>
            <w:r w:rsidR="001A4BC2">
              <w:rPr>
                <w:noProof/>
                <w:webHidden/>
              </w:rPr>
            </w:r>
            <w:r w:rsidR="001A4BC2">
              <w:rPr>
                <w:noProof/>
                <w:webHidden/>
              </w:rPr>
              <w:fldChar w:fldCharType="separate"/>
            </w:r>
            <w:r w:rsidR="001A4BC2">
              <w:rPr>
                <w:noProof/>
                <w:webHidden/>
              </w:rPr>
              <w:t>15</w:t>
            </w:r>
            <w:r w:rsidR="001A4BC2">
              <w:rPr>
                <w:noProof/>
                <w:webHidden/>
              </w:rPr>
              <w:fldChar w:fldCharType="end"/>
            </w:r>
          </w:hyperlink>
        </w:p>
        <w:p w14:paraId="57A301A5" w14:textId="7DFC4B03" w:rsidR="001A4BC2" w:rsidRDefault="000228E3">
          <w:pPr>
            <w:pStyle w:val="TOC1"/>
            <w:rPr>
              <w:noProof/>
            </w:rPr>
          </w:pPr>
          <w:hyperlink w:anchor="_Toc62129137" w:history="1">
            <w:r w:rsidR="001A4BC2" w:rsidRPr="00C95943">
              <w:rPr>
                <w:rStyle w:val="Hyperlink"/>
                <w:noProof/>
                <w14:scene3d>
                  <w14:camera w14:prst="orthographicFront"/>
                  <w14:lightRig w14:rig="threePt" w14:dir="t">
                    <w14:rot w14:lat="0" w14:lon="0" w14:rev="0"/>
                  </w14:lightRig>
                </w14:scene3d>
              </w:rPr>
              <w:t>6.</w:t>
            </w:r>
            <w:r w:rsidR="001A4BC2">
              <w:rPr>
                <w:noProof/>
              </w:rPr>
              <w:tab/>
            </w:r>
            <w:r w:rsidR="001A4BC2" w:rsidRPr="00C95943">
              <w:rPr>
                <w:rStyle w:val="Hyperlink"/>
                <w:noProof/>
              </w:rPr>
              <w:t>OBJECTIVES AND OUTCOME MEASURES</w:t>
            </w:r>
            <w:r w:rsidR="001A4BC2">
              <w:rPr>
                <w:noProof/>
                <w:webHidden/>
              </w:rPr>
              <w:tab/>
            </w:r>
            <w:r w:rsidR="001A4BC2">
              <w:rPr>
                <w:noProof/>
                <w:webHidden/>
              </w:rPr>
              <w:fldChar w:fldCharType="begin"/>
            </w:r>
            <w:r w:rsidR="001A4BC2">
              <w:rPr>
                <w:noProof/>
                <w:webHidden/>
              </w:rPr>
              <w:instrText xml:space="preserve"> PAGEREF _Toc62129137 \h </w:instrText>
            </w:r>
            <w:r w:rsidR="001A4BC2">
              <w:rPr>
                <w:noProof/>
                <w:webHidden/>
              </w:rPr>
            </w:r>
            <w:r w:rsidR="001A4BC2">
              <w:rPr>
                <w:noProof/>
                <w:webHidden/>
              </w:rPr>
              <w:fldChar w:fldCharType="separate"/>
            </w:r>
            <w:r w:rsidR="001A4BC2">
              <w:rPr>
                <w:noProof/>
                <w:webHidden/>
              </w:rPr>
              <w:t>16</w:t>
            </w:r>
            <w:r w:rsidR="001A4BC2">
              <w:rPr>
                <w:noProof/>
                <w:webHidden/>
              </w:rPr>
              <w:fldChar w:fldCharType="end"/>
            </w:r>
          </w:hyperlink>
        </w:p>
        <w:p w14:paraId="238306F6" w14:textId="7FAC767C" w:rsidR="001A4BC2" w:rsidRDefault="000228E3">
          <w:pPr>
            <w:pStyle w:val="TOC1"/>
            <w:rPr>
              <w:noProof/>
            </w:rPr>
          </w:pPr>
          <w:hyperlink w:anchor="_Toc62129138" w:history="1">
            <w:r w:rsidR="001A4BC2" w:rsidRPr="00C95943">
              <w:rPr>
                <w:rStyle w:val="Hyperlink"/>
                <w:noProof/>
                <w14:scene3d>
                  <w14:camera w14:prst="orthographicFront"/>
                  <w14:lightRig w14:rig="threePt" w14:dir="t">
                    <w14:rot w14:lat="0" w14:lon="0" w14:rev="0"/>
                  </w14:lightRig>
                </w14:scene3d>
              </w:rPr>
              <w:t>7.</w:t>
            </w:r>
            <w:r w:rsidR="001A4BC2">
              <w:rPr>
                <w:noProof/>
              </w:rPr>
              <w:tab/>
            </w:r>
            <w:r w:rsidR="001A4BC2" w:rsidRPr="00C95943">
              <w:rPr>
                <w:rStyle w:val="Hyperlink"/>
                <w:noProof/>
              </w:rPr>
              <w:t>STUDY DESIGN</w:t>
            </w:r>
            <w:r w:rsidR="001A4BC2">
              <w:rPr>
                <w:noProof/>
                <w:webHidden/>
              </w:rPr>
              <w:tab/>
            </w:r>
            <w:r w:rsidR="001A4BC2">
              <w:rPr>
                <w:noProof/>
                <w:webHidden/>
              </w:rPr>
              <w:fldChar w:fldCharType="begin"/>
            </w:r>
            <w:r w:rsidR="001A4BC2">
              <w:rPr>
                <w:noProof/>
                <w:webHidden/>
              </w:rPr>
              <w:instrText xml:space="preserve"> PAGEREF _Toc62129138 \h </w:instrText>
            </w:r>
            <w:r w:rsidR="001A4BC2">
              <w:rPr>
                <w:noProof/>
                <w:webHidden/>
              </w:rPr>
            </w:r>
            <w:r w:rsidR="001A4BC2">
              <w:rPr>
                <w:noProof/>
                <w:webHidden/>
              </w:rPr>
              <w:fldChar w:fldCharType="separate"/>
            </w:r>
            <w:r w:rsidR="001A4BC2">
              <w:rPr>
                <w:noProof/>
                <w:webHidden/>
              </w:rPr>
              <w:t>18</w:t>
            </w:r>
            <w:r w:rsidR="001A4BC2">
              <w:rPr>
                <w:noProof/>
                <w:webHidden/>
              </w:rPr>
              <w:fldChar w:fldCharType="end"/>
            </w:r>
          </w:hyperlink>
        </w:p>
        <w:p w14:paraId="74AED40B" w14:textId="300408B8" w:rsidR="001A4BC2" w:rsidRDefault="000228E3">
          <w:pPr>
            <w:pStyle w:val="TOC2"/>
            <w:rPr>
              <w:noProof/>
            </w:rPr>
          </w:pPr>
          <w:hyperlink w:anchor="_Toc62129139" w:history="1">
            <w:r w:rsidR="001A4BC2" w:rsidRPr="00C95943">
              <w:rPr>
                <w:rStyle w:val="Hyperlink"/>
                <w:noProof/>
              </w:rPr>
              <w:t>7.1.</w:t>
            </w:r>
            <w:r w:rsidR="001A4BC2">
              <w:rPr>
                <w:noProof/>
              </w:rPr>
              <w:tab/>
            </w:r>
            <w:r w:rsidR="001A4BC2" w:rsidRPr="00C95943">
              <w:rPr>
                <w:rStyle w:val="Hyperlink"/>
                <w:noProof/>
              </w:rPr>
              <w:t>Study design</w:t>
            </w:r>
            <w:r w:rsidR="001A4BC2">
              <w:rPr>
                <w:noProof/>
                <w:webHidden/>
              </w:rPr>
              <w:tab/>
            </w:r>
            <w:r w:rsidR="001A4BC2">
              <w:rPr>
                <w:noProof/>
                <w:webHidden/>
              </w:rPr>
              <w:fldChar w:fldCharType="begin"/>
            </w:r>
            <w:r w:rsidR="001A4BC2">
              <w:rPr>
                <w:noProof/>
                <w:webHidden/>
              </w:rPr>
              <w:instrText xml:space="preserve"> PAGEREF _Toc62129139 \h </w:instrText>
            </w:r>
            <w:r w:rsidR="001A4BC2">
              <w:rPr>
                <w:noProof/>
                <w:webHidden/>
              </w:rPr>
            </w:r>
            <w:r w:rsidR="001A4BC2">
              <w:rPr>
                <w:noProof/>
                <w:webHidden/>
              </w:rPr>
              <w:fldChar w:fldCharType="separate"/>
            </w:r>
            <w:r w:rsidR="001A4BC2">
              <w:rPr>
                <w:noProof/>
                <w:webHidden/>
              </w:rPr>
              <w:t>18</w:t>
            </w:r>
            <w:r w:rsidR="001A4BC2">
              <w:rPr>
                <w:noProof/>
                <w:webHidden/>
              </w:rPr>
              <w:fldChar w:fldCharType="end"/>
            </w:r>
          </w:hyperlink>
        </w:p>
        <w:p w14:paraId="7209B18A" w14:textId="16D502F5" w:rsidR="001A4BC2" w:rsidRDefault="000228E3">
          <w:pPr>
            <w:pStyle w:val="TOC2"/>
            <w:rPr>
              <w:noProof/>
            </w:rPr>
          </w:pPr>
          <w:hyperlink w:anchor="_Toc62129140" w:history="1">
            <w:r w:rsidR="001A4BC2" w:rsidRPr="00C95943">
              <w:rPr>
                <w:rStyle w:val="Hyperlink"/>
                <w:noProof/>
              </w:rPr>
              <w:t>7.2.</w:t>
            </w:r>
            <w:r w:rsidR="001A4BC2">
              <w:rPr>
                <w:noProof/>
              </w:rPr>
              <w:tab/>
            </w:r>
            <w:r w:rsidR="001A4BC2" w:rsidRPr="00C95943">
              <w:rPr>
                <w:rStyle w:val="Hyperlink"/>
                <w:noProof/>
              </w:rPr>
              <w:t>Study Sites</w:t>
            </w:r>
            <w:r w:rsidR="001A4BC2">
              <w:rPr>
                <w:noProof/>
                <w:webHidden/>
              </w:rPr>
              <w:tab/>
            </w:r>
            <w:r w:rsidR="001A4BC2">
              <w:rPr>
                <w:noProof/>
                <w:webHidden/>
              </w:rPr>
              <w:fldChar w:fldCharType="begin"/>
            </w:r>
            <w:r w:rsidR="001A4BC2">
              <w:rPr>
                <w:noProof/>
                <w:webHidden/>
              </w:rPr>
              <w:instrText xml:space="preserve"> PAGEREF _Toc62129140 \h </w:instrText>
            </w:r>
            <w:r w:rsidR="001A4BC2">
              <w:rPr>
                <w:noProof/>
                <w:webHidden/>
              </w:rPr>
            </w:r>
            <w:r w:rsidR="001A4BC2">
              <w:rPr>
                <w:noProof/>
                <w:webHidden/>
              </w:rPr>
              <w:fldChar w:fldCharType="separate"/>
            </w:r>
            <w:r w:rsidR="001A4BC2">
              <w:rPr>
                <w:noProof/>
                <w:webHidden/>
              </w:rPr>
              <w:t>19</w:t>
            </w:r>
            <w:r w:rsidR="001A4BC2">
              <w:rPr>
                <w:noProof/>
                <w:webHidden/>
              </w:rPr>
              <w:fldChar w:fldCharType="end"/>
            </w:r>
          </w:hyperlink>
        </w:p>
        <w:p w14:paraId="78ECEB99" w14:textId="657477B2" w:rsidR="001A4BC2" w:rsidRDefault="000228E3">
          <w:pPr>
            <w:pStyle w:val="TOC2"/>
            <w:rPr>
              <w:noProof/>
            </w:rPr>
          </w:pPr>
          <w:hyperlink w:anchor="_Toc62129141" w:history="1">
            <w:r w:rsidR="001A4BC2" w:rsidRPr="00C95943">
              <w:rPr>
                <w:rStyle w:val="Hyperlink"/>
                <w:noProof/>
              </w:rPr>
              <w:t>7.3.</w:t>
            </w:r>
            <w:r w:rsidR="001A4BC2">
              <w:rPr>
                <w:noProof/>
              </w:rPr>
              <w:tab/>
            </w:r>
            <w:r w:rsidR="001A4BC2" w:rsidRPr="00C95943">
              <w:rPr>
                <w:rStyle w:val="Hyperlink"/>
                <w:noProof/>
              </w:rPr>
              <w:t>Identification of individuals</w:t>
            </w:r>
            <w:r w:rsidR="001A4BC2">
              <w:rPr>
                <w:noProof/>
                <w:webHidden/>
              </w:rPr>
              <w:tab/>
            </w:r>
            <w:r w:rsidR="001A4BC2">
              <w:rPr>
                <w:noProof/>
                <w:webHidden/>
              </w:rPr>
              <w:fldChar w:fldCharType="begin"/>
            </w:r>
            <w:r w:rsidR="001A4BC2">
              <w:rPr>
                <w:noProof/>
                <w:webHidden/>
              </w:rPr>
              <w:instrText xml:space="preserve"> PAGEREF _Toc62129141 \h </w:instrText>
            </w:r>
            <w:r w:rsidR="001A4BC2">
              <w:rPr>
                <w:noProof/>
                <w:webHidden/>
              </w:rPr>
            </w:r>
            <w:r w:rsidR="001A4BC2">
              <w:rPr>
                <w:noProof/>
                <w:webHidden/>
              </w:rPr>
              <w:fldChar w:fldCharType="separate"/>
            </w:r>
            <w:r w:rsidR="001A4BC2">
              <w:rPr>
                <w:noProof/>
                <w:webHidden/>
              </w:rPr>
              <w:t>19</w:t>
            </w:r>
            <w:r w:rsidR="001A4BC2">
              <w:rPr>
                <w:noProof/>
                <w:webHidden/>
              </w:rPr>
              <w:fldChar w:fldCharType="end"/>
            </w:r>
          </w:hyperlink>
        </w:p>
        <w:p w14:paraId="34173F26" w14:textId="5847C410" w:rsidR="001A4BC2" w:rsidRDefault="000228E3">
          <w:pPr>
            <w:pStyle w:val="TOC2"/>
            <w:rPr>
              <w:noProof/>
            </w:rPr>
          </w:pPr>
          <w:hyperlink w:anchor="_Toc62129142" w:history="1">
            <w:r w:rsidR="001A4BC2" w:rsidRPr="00C95943">
              <w:rPr>
                <w:rStyle w:val="Hyperlink"/>
                <w:noProof/>
              </w:rPr>
              <w:t>7.4.</w:t>
            </w:r>
            <w:r w:rsidR="001A4BC2">
              <w:rPr>
                <w:noProof/>
              </w:rPr>
              <w:tab/>
            </w:r>
            <w:r w:rsidR="001A4BC2" w:rsidRPr="00C95943">
              <w:rPr>
                <w:rStyle w:val="Hyperlink"/>
                <w:noProof/>
              </w:rPr>
              <w:t>Sample Size</w:t>
            </w:r>
            <w:r w:rsidR="001A4BC2">
              <w:rPr>
                <w:noProof/>
                <w:webHidden/>
              </w:rPr>
              <w:tab/>
            </w:r>
            <w:r w:rsidR="001A4BC2">
              <w:rPr>
                <w:noProof/>
                <w:webHidden/>
              </w:rPr>
              <w:fldChar w:fldCharType="begin"/>
            </w:r>
            <w:r w:rsidR="001A4BC2">
              <w:rPr>
                <w:noProof/>
                <w:webHidden/>
              </w:rPr>
              <w:instrText xml:space="preserve"> PAGEREF _Toc62129142 \h </w:instrText>
            </w:r>
            <w:r w:rsidR="001A4BC2">
              <w:rPr>
                <w:noProof/>
                <w:webHidden/>
              </w:rPr>
            </w:r>
            <w:r w:rsidR="001A4BC2">
              <w:rPr>
                <w:noProof/>
                <w:webHidden/>
              </w:rPr>
              <w:fldChar w:fldCharType="separate"/>
            </w:r>
            <w:r w:rsidR="001A4BC2">
              <w:rPr>
                <w:noProof/>
                <w:webHidden/>
              </w:rPr>
              <w:t>19</w:t>
            </w:r>
            <w:r w:rsidR="001A4BC2">
              <w:rPr>
                <w:noProof/>
                <w:webHidden/>
              </w:rPr>
              <w:fldChar w:fldCharType="end"/>
            </w:r>
          </w:hyperlink>
        </w:p>
        <w:p w14:paraId="7ADE644D" w14:textId="23A9D69A" w:rsidR="001A4BC2" w:rsidRDefault="000228E3">
          <w:pPr>
            <w:pStyle w:val="TOC2"/>
            <w:rPr>
              <w:noProof/>
            </w:rPr>
          </w:pPr>
          <w:hyperlink w:anchor="_Toc62129143" w:history="1">
            <w:r w:rsidR="001A4BC2" w:rsidRPr="00C95943">
              <w:rPr>
                <w:rStyle w:val="Hyperlink"/>
                <w:noProof/>
              </w:rPr>
              <w:t>7.5.</w:t>
            </w:r>
            <w:r w:rsidR="001A4BC2">
              <w:rPr>
                <w:noProof/>
              </w:rPr>
              <w:tab/>
            </w:r>
            <w:r w:rsidR="001A4BC2" w:rsidRPr="00C95943">
              <w:rPr>
                <w:rStyle w:val="Hyperlink"/>
                <w:noProof/>
              </w:rPr>
              <w:t>Collection of samples</w:t>
            </w:r>
            <w:r w:rsidR="001A4BC2">
              <w:rPr>
                <w:noProof/>
                <w:webHidden/>
              </w:rPr>
              <w:tab/>
            </w:r>
            <w:r w:rsidR="001A4BC2">
              <w:rPr>
                <w:noProof/>
                <w:webHidden/>
              </w:rPr>
              <w:fldChar w:fldCharType="begin"/>
            </w:r>
            <w:r w:rsidR="001A4BC2">
              <w:rPr>
                <w:noProof/>
                <w:webHidden/>
              </w:rPr>
              <w:instrText xml:space="preserve"> PAGEREF _Toc62129143 \h </w:instrText>
            </w:r>
            <w:r w:rsidR="001A4BC2">
              <w:rPr>
                <w:noProof/>
                <w:webHidden/>
              </w:rPr>
            </w:r>
            <w:r w:rsidR="001A4BC2">
              <w:rPr>
                <w:noProof/>
                <w:webHidden/>
              </w:rPr>
              <w:fldChar w:fldCharType="separate"/>
            </w:r>
            <w:r w:rsidR="001A4BC2">
              <w:rPr>
                <w:noProof/>
                <w:webHidden/>
              </w:rPr>
              <w:t>19</w:t>
            </w:r>
            <w:r w:rsidR="001A4BC2">
              <w:rPr>
                <w:noProof/>
                <w:webHidden/>
              </w:rPr>
              <w:fldChar w:fldCharType="end"/>
            </w:r>
          </w:hyperlink>
        </w:p>
        <w:p w14:paraId="40BAD376" w14:textId="77A6327A" w:rsidR="001A4BC2" w:rsidRDefault="000228E3">
          <w:pPr>
            <w:pStyle w:val="TOC2"/>
            <w:rPr>
              <w:noProof/>
            </w:rPr>
          </w:pPr>
          <w:hyperlink w:anchor="_Toc62129144" w:history="1">
            <w:r w:rsidR="001A4BC2" w:rsidRPr="00C95943">
              <w:rPr>
                <w:rStyle w:val="Hyperlink"/>
                <w:noProof/>
              </w:rPr>
              <w:t>7.6.</w:t>
            </w:r>
            <w:r w:rsidR="001A4BC2">
              <w:rPr>
                <w:noProof/>
              </w:rPr>
              <w:tab/>
            </w:r>
            <w:r w:rsidR="001A4BC2" w:rsidRPr="00C95943">
              <w:rPr>
                <w:rStyle w:val="Hyperlink"/>
                <w:noProof/>
              </w:rPr>
              <w:t>Questionnaire &amp; Vaccination History</w:t>
            </w:r>
            <w:r w:rsidR="001A4BC2">
              <w:rPr>
                <w:noProof/>
                <w:webHidden/>
              </w:rPr>
              <w:tab/>
            </w:r>
            <w:r w:rsidR="001A4BC2">
              <w:rPr>
                <w:noProof/>
                <w:webHidden/>
              </w:rPr>
              <w:fldChar w:fldCharType="begin"/>
            </w:r>
            <w:r w:rsidR="001A4BC2">
              <w:rPr>
                <w:noProof/>
                <w:webHidden/>
              </w:rPr>
              <w:instrText xml:space="preserve"> PAGEREF _Toc62129144 \h </w:instrText>
            </w:r>
            <w:r w:rsidR="001A4BC2">
              <w:rPr>
                <w:noProof/>
                <w:webHidden/>
              </w:rPr>
            </w:r>
            <w:r w:rsidR="001A4BC2">
              <w:rPr>
                <w:noProof/>
                <w:webHidden/>
              </w:rPr>
              <w:fldChar w:fldCharType="separate"/>
            </w:r>
            <w:r w:rsidR="001A4BC2">
              <w:rPr>
                <w:noProof/>
                <w:webHidden/>
              </w:rPr>
              <w:t>19</w:t>
            </w:r>
            <w:r w:rsidR="001A4BC2">
              <w:rPr>
                <w:noProof/>
                <w:webHidden/>
              </w:rPr>
              <w:fldChar w:fldCharType="end"/>
            </w:r>
          </w:hyperlink>
        </w:p>
        <w:p w14:paraId="5A4F2883" w14:textId="0418712E" w:rsidR="001A4BC2" w:rsidRDefault="000228E3">
          <w:pPr>
            <w:pStyle w:val="TOC2"/>
            <w:rPr>
              <w:noProof/>
            </w:rPr>
          </w:pPr>
          <w:hyperlink w:anchor="_Toc62129145" w:history="1">
            <w:r w:rsidR="001A4BC2" w:rsidRPr="00C95943">
              <w:rPr>
                <w:rStyle w:val="Hyperlink"/>
                <w:noProof/>
              </w:rPr>
              <w:t>7.7.</w:t>
            </w:r>
            <w:r w:rsidR="001A4BC2">
              <w:rPr>
                <w:noProof/>
              </w:rPr>
              <w:tab/>
            </w:r>
            <w:r w:rsidR="001A4BC2" w:rsidRPr="00C95943">
              <w:rPr>
                <w:rStyle w:val="Hyperlink"/>
                <w:noProof/>
              </w:rPr>
              <w:t>Compensation</w:t>
            </w:r>
            <w:r w:rsidR="001A4BC2">
              <w:rPr>
                <w:noProof/>
                <w:webHidden/>
              </w:rPr>
              <w:tab/>
            </w:r>
            <w:r w:rsidR="001A4BC2">
              <w:rPr>
                <w:noProof/>
                <w:webHidden/>
              </w:rPr>
              <w:fldChar w:fldCharType="begin"/>
            </w:r>
            <w:r w:rsidR="001A4BC2">
              <w:rPr>
                <w:noProof/>
                <w:webHidden/>
              </w:rPr>
              <w:instrText xml:space="preserve"> PAGEREF _Toc62129145 \h </w:instrText>
            </w:r>
            <w:r w:rsidR="001A4BC2">
              <w:rPr>
                <w:noProof/>
                <w:webHidden/>
              </w:rPr>
            </w:r>
            <w:r w:rsidR="001A4BC2">
              <w:rPr>
                <w:noProof/>
                <w:webHidden/>
              </w:rPr>
              <w:fldChar w:fldCharType="separate"/>
            </w:r>
            <w:r w:rsidR="001A4BC2">
              <w:rPr>
                <w:noProof/>
                <w:webHidden/>
              </w:rPr>
              <w:t>20</w:t>
            </w:r>
            <w:r w:rsidR="001A4BC2">
              <w:rPr>
                <w:noProof/>
                <w:webHidden/>
              </w:rPr>
              <w:fldChar w:fldCharType="end"/>
            </w:r>
          </w:hyperlink>
        </w:p>
        <w:p w14:paraId="29D210D8" w14:textId="0E78633B" w:rsidR="001A4BC2" w:rsidRDefault="000228E3">
          <w:pPr>
            <w:pStyle w:val="TOC2"/>
            <w:rPr>
              <w:noProof/>
            </w:rPr>
          </w:pPr>
          <w:hyperlink w:anchor="_Toc62129146" w:history="1">
            <w:r w:rsidR="001A4BC2" w:rsidRPr="00C95943">
              <w:rPr>
                <w:rStyle w:val="Hyperlink"/>
                <w:noProof/>
              </w:rPr>
              <w:t>7.8.</w:t>
            </w:r>
            <w:r w:rsidR="001A4BC2">
              <w:rPr>
                <w:noProof/>
              </w:rPr>
              <w:tab/>
            </w:r>
            <w:r w:rsidR="001A4BC2" w:rsidRPr="00C95943">
              <w:rPr>
                <w:rStyle w:val="Hyperlink"/>
                <w:noProof/>
              </w:rPr>
              <w:t>Comparison with Residual Serum Samples</w:t>
            </w:r>
            <w:r w:rsidR="001A4BC2">
              <w:rPr>
                <w:noProof/>
                <w:webHidden/>
              </w:rPr>
              <w:tab/>
            </w:r>
            <w:r w:rsidR="001A4BC2">
              <w:rPr>
                <w:noProof/>
                <w:webHidden/>
              </w:rPr>
              <w:fldChar w:fldCharType="begin"/>
            </w:r>
            <w:r w:rsidR="001A4BC2">
              <w:rPr>
                <w:noProof/>
                <w:webHidden/>
              </w:rPr>
              <w:instrText xml:space="preserve"> PAGEREF _Toc62129146 \h </w:instrText>
            </w:r>
            <w:r w:rsidR="001A4BC2">
              <w:rPr>
                <w:noProof/>
                <w:webHidden/>
              </w:rPr>
            </w:r>
            <w:r w:rsidR="001A4BC2">
              <w:rPr>
                <w:noProof/>
                <w:webHidden/>
              </w:rPr>
              <w:fldChar w:fldCharType="separate"/>
            </w:r>
            <w:r w:rsidR="001A4BC2">
              <w:rPr>
                <w:noProof/>
                <w:webHidden/>
              </w:rPr>
              <w:t>20</w:t>
            </w:r>
            <w:r w:rsidR="001A4BC2">
              <w:rPr>
                <w:noProof/>
                <w:webHidden/>
              </w:rPr>
              <w:fldChar w:fldCharType="end"/>
            </w:r>
          </w:hyperlink>
        </w:p>
        <w:p w14:paraId="7ADCED7B" w14:textId="2F08871B" w:rsidR="001A4BC2" w:rsidRDefault="000228E3">
          <w:pPr>
            <w:pStyle w:val="TOC1"/>
            <w:rPr>
              <w:noProof/>
            </w:rPr>
          </w:pPr>
          <w:hyperlink w:anchor="_Toc62129147" w:history="1">
            <w:r w:rsidR="001A4BC2" w:rsidRPr="00C95943">
              <w:rPr>
                <w:rStyle w:val="Hyperlink"/>
                <w:noProof/>
                <w14:scene3d>
                  <w14:camera w14:prst="orthographicFront"/>
                  <w14:lightRig w14:rig="threePt" w14:dir="t">
                    <w14:rot w14:lat="0" w14:lon="0" w14:rev="0"/>
                  </w14:lightRig>
                </w14:scene3d>
              </w:rPr>
              <w:t>8.</w:t>
            </w:r>
            <w:r w:rsidR="001A4BC2">
              <w:rPr>
                <w:noProof/>
              </w:rPr>
              <w:tab/>
            </w:r>
            <w:r w:rsidR="001A4BC2" w:rsidRPr="00C95943">
              <w:rPr>
                <w:rStyle w:val="Hyperlink"/>
                <w:noProof/>
              </w:rPr>
              <w:t>PARTICIPANT IDENTIFICATION</w:t>
            </w:r>
            <w:r w:rsidR="001A4BC2">
              <w:rPr>
                <w:noProof/>
                <w:webHidden/>
              </w:rPr>
              <w:tab/>
            </w:r>
            <w:r w:rsidR="001A4BC2">
              <w:rPr>
                <w:noProof/>
                <w:webHidden/>
              </w:rPr>
              <w:fldChar w:fldCharType="begin"/>
            </w:r>
            <w:r w:rsidR="001A4BC2">
              <w:rPr>
                <w:noProof/>
                <w:webHidden/>
              </w:rPr>
              <w:instrText xml:space="preserve"> PAGEREF _Toc62129147 \h </w:instrText>
            </w:r>
            <w:r w:rsidR="001A4BC2">
              <w:rPr>
                <w:noProof/>
                <w:webHidden/>
              </w:rPr>
            </w:r>
            <w:r w:rsidR="001A4BC2">
              <w:rPr>
                <w:noProof/>
                <w:webHidden/>
              </w:rPr>
              <w:fldChar w:fldCharType="separate"/>
            </w:r>
            <w:r w:rsidR="001A4BC2">
              <w:rPr>
                <w:noProof/>
                <w:webHidden/>
              </w:rPr>
              <w:t>20</w:t>
            </w:r>
            <w:r w:rsidR="001A4BC2">
              <w:rPr>
                <w:noProof/>
                <w:webHidden/>
              </w:rPr>
              <w:fldChar w:fldCharType="end"/>
            </w:r>
          </w:hyperlink>
        </w:p>
        <w:p w14:paraId="088F7EAC" w14:textId="272C6741" w:rsidR="001A4BC2" w:rsidRDefault="000228E3">
          <w:pPr>
            <w:pStyle w:val="TOC2"/>
            <w:rPr>
              <w:noProof/>
            </w:rPr>
          </w:pPr>
          <w:hyperlink w:anchor="_Toc62129148" w:history="1">
            <w:r w:rsidR="001A4BC2" w:rsidRPr="00C95943">
              <w:rPr>
                <w:rStyle w:val="Hyperlink"/>
                <w:noProof/>
              </w:rPr>
              <w:t>8.1.</w:t>
            </w:r>
            <w:r w:rsidR="001A4BC2">
              <w:rPr>
                <w:noProof/>
              </w:rPr>
              <w:tab/>
            </w:r>
            <w:r w:rsidR="001A4BC2" w:rsidRPr="00C95943">
              <w:rPr>
                <w:rStyle w:val="Hyperlink"/>
                <w:noProof/>
              </w:rPr>
              <w:t>Study Participants</w:t>
            </w:r>
            <w:r w:rsidR="001A4BC2">
              <w:rPr>
                <w:noProof/>
                <w:webHidden/>
              </w:rPr>
              <w:tab/>
            </w:r>
            <w:r w:rsidR="001A4BC2">
              <w:rPr>
                <w:noProof/>
                <w:webHidden/>
              </w:rPr>
              <w:fldChar w:fldCharType="begin"/>
            </w:r>
            <w:r w:rsidR="001A4BC2">
              <w:rPr>
                <w:noProof/>
                <w:webHidden/>
              </w:rPr>
              <w:instrText xml:space="preserve"> PAGEREF _Toc62129148 \h </w:instrText>
            </w:r>
            <w:r w:rsidR="001A4BC2">
              <w:rPr>
                <w:noProof/>
                <w:webHidden/>
              </w:rPr>
            </w:r>
            <w:r w:rsidR="001A4BC2">
              <w:rPr>
                <w:noProof/>
                <w:webHidden/>
              </w:rPr>
              <w:fldChar w:fldCharType="separate"/>
            </w:r>
            <w:r w:rsidR="001A4BC2">
              <w:rPr>
                <w:noProof/>
                <w:webHidden/>
              </w:rPr>
              <w:t>20</w:t>
            </w:r>
            <w:r w:rsidR="001A4BC2">
              <w:rPr>
                <w:noProof/>
                <w:webHidden/>
              </w:rPr>
              <w:fldChar w:fldCharType="end"/>
            </w:r>
          </w:hyperlink>
        </w:p>
        <w:p w14:paraId="03FB510C" w14:textId="6ACF06BB" w:rsidR="001A4BC2" w:rsidRDefault="000228E3">
          <w:pPr>
            <w:pStyle w:val="TOC2"/>
            <w:rPr>
              <w:noProof/>
            </w:rPr>
          </w:pPr>
          <w:hyperlink w:anchor="_Toc62129149" w:history="1">
            <w:r w:rsidR="001A4BC2" w:rsidRPr="00C95943">
              <w:rPr>
                <w:rStyle w:val="Hyperlink"/>
                <w:noProof/>
              </w:rPr>
              <w:t>8.2.</w:t>
            </w:r>
            <w:r w:rsidR="001A4BC2">
              <w:rPr>
                <w:noProof/>
              </w:rPr>
              <w:tab/>
            </w:r>
            <w:r w:rsidR="001A4BC2" w:rsidRPr="00C95943">
              <w:rPr>
                <w:rStyle w:val="Hyperlink"/>
                <w:noProof/>
              </w:rPr>
              <w:t>Inclusion Criteria</w:t>
            </w:r>
            <w:r w:rsidR="001A4BC2">
              <w:rPr>
                <w:noProof/>
                <w:webHidden/>
              </w:rPr>
              <w:tab/>
            </w:r>
            <w:r w:rsidR="001A4BC2">
              <w:rPr>
                <w:noProof/>
                <w:webHidden/>
              </w:rPr>
              <w:fldChar w:fldCharType="begin"/>
            </w:r>
            <w:r w:rsidR="001A4BC2">
              <w:rPr>
                <w:noProof/>
                <w:webHidden/>
              </w:rPr>
              <w:instrText xml:space="preserve"> PAGEREF _Toc62129149 \h </w:instrText>
            </w:r>
            <w:r w:rsidR="001A4BC2">
              <w:rPr>
                <w:noProof/>
                <w:webHidden/>
              </w:rPr>
            </w:r>
            <w:r w:rsidR="001A4BC2">
              <w:rPr>
                <w:noProof/>
                <w:webHidden/>
              </w:rPr>
              <w:fldChar w:fldCharType="separate"/>
            </w:r>
            <w:r w:rsidR="001A4BC2">
              <w:rPr>
                <w:noProof/>
                <w:webHidden/>
              </w:rPr>
              <w:t>20</w:t>
            </w:r>
            <w:r w:rsidR="001A4BC2">
              <w:rPr>
                <w:noProof/>
                <w:webHidden/>
              </w:rPr>
              <w:fldChar w:fldCharType="end"/>
            </w:r>
          </w:hyperlink>
        </w:p>
        <w:p w14:paraId="5B60F48D" w14:textId="519B6ECD" w:rsidR="001A4BC2" w:rsidRDefault="000228E3">
          <w:pPr>
            <w:pStyle w:val="TOC2"/>
            <w:rPr>
              <w:noProof/>
            </w:rPr>
          </w:pPr>
          <w:hyperlink w:anchor="_Toc62129150" w:history="1">
            <w:r w:rsidR="001A4BC2" w:rsidRPr="00C95943">
              <w:rPr>
                <w:rStyle w:val="Hyperlink"/>
                <w:noProof/>
              </w:rPr>
              <w:t>8.3.</w:t>
            </w:r>
            <w:r w:rsidR="001A4BC2">
              <w:rPr>
                <w:noProof/>
              </w:rPr>
              <w:tab/>
            </w:r>
            <w:r w:rsidR="001A4BC2" w:rsidRPr="00C95943">
              <w:rPr>
                <w:rStyle w:val="Hyperlink"/>
                <w:noProof/>
              </w:rPr>
              <w:t>Exclusion Criteria</w:t>
            </w:r>
            <w:r w:rsidR="001A4BC2">
              <w:rPr>
                <w:noProof/>
                <w:webHidden/>
              </w:rPr>
              <w:tab/>
            </w:r>
            <w:r w:rsidR="001A4BC2">
              <w:rPr>
                <w:noProof/>
                <w:webHidden/>
              </w:rPr>
              <w:fldChar w:fldCharType="begin"/>
            </w:r>
            <w:r w:rsidR="001A4BC2">
              <w:rPr>
                <w:noProof/>
                <w:webHidden/>
              </w:rPr>
              <w:instrText xml:space="preserve"> PAGEREF _Toc62129150 \h </w:instrText>
            </w:r>
            <w:r w:rsidR="001A4BC2">
              <w:rPr>
                <w:noProof/>
                <w:webHidden/>
              </w:rPr>
            </w:r>
            <w:r w:rsidR="001A4BC2">
              <w:rPr>
                <w:noProof/>
                <w:webHidden/>
              </w:rPr>
              <w:fldChar w:fldCharType="separate"/>
            </w:r>
            <w:r w:rsidR="001A4BC2">
              <w:rPr>
                <w:noProof/>
                <w:webHidden/>
              </w:rPr>
              <w:t>21</w:t>
            </w:r>
            <w:r w:rsidR="001A4BC2">
              <w:rPr>
                <w:noProof/>
                <w:webHidden/>
              </w:rPr>
              <w:fldChar w:fldCharType="end"/>
            </w:r>
          </w:hyperlink>
        </w:p>
        <w:p w14:paraId="3192B218" w14:textId="62F8630C" w:rsidR="001A4BC2" w:rsidRDefault="000228E3">
          <w:pPr>
            <w:pStyle w:val="TOC1"/>
            <w:rPr>
              <w:noProof/>
            </w:rPr>
          </w:pPr>
          <w:hyperlink w:anchor="_Toc62129151" w:history="1">
            <w:r w:rsidR="001A4BC2" w:rsidRPr="00C95943">
              <w:rPr>
                <w:rStyle w:val="Hyperlink"/>
                <w:noProof/>
                <w14:scene3d>
                  <w14:camera w14:prst="orthographicFront"/>
                  <w14:lightRig w14:rig="threePt" w14:dir="t">
                    <w14:rot w14:lat="0" w14:lon="0" w14:rev="0"/>
                  </w14:lightRig>
                </w14:scene3d>
              </w:rPr>
              <w:t>9.</w:t>
            </w:r>
            <w:r w:rsidR="001A4BC2">
              <w:rPr>
                <w:noProof/>
              </w:rPr>
              <w:tab/>
            </w:r>
            <w:r w:rsidR="001A4BC2" w:rsidRPr="00C95943">
              <w:rPr>
                <w:rStyle w:val="Hyperlink"/>
                <w:noProof/>
              </w:rPr>
              <w:t>PROTOCOL PROCEDURES</w:t>
            </w:r>
            <w:r w:rsidR="001A4BC2">
              <w:rPr>
                <w:noProof/>
                <w:webHidden/>
              </w:rPr>
              <w:tab/>
            </w:r>
            <w:r w:rsidR="001A4BC2">
              <w:rPr>
                <w:noProof/>
                <w:webHidden/>
              </w:rPr>
              <w:fldChar w:fldCharType="begin"/>
            </w:r>
            <w:r w:rsidR="001A4BC2">
              <w:rPr>
                <w:noProof/>
                <w:webHidden/>
              </w:rPr>
              <w:instrText xml:space="preserve"> PAGEREF _Toc62129151 \h </w:instrText>
            </w:r>
            <w:r w:rsidR="001A4BC2">
              <w:rPr>
                <w:noProof/>
                <w:webHidden/>
              </w:rPr>
            </w:r>
            <w:r w:rsidR="001A4BC2">
              <w:rPr>
                <w:noProof/>
                <w:webHidden/>
              </w:rPr>
              <w:fldChar w:fldCharType="separate"/>
            </w:r>
            <w:r w:rsidR="001A4BC2">
              <w:rPr>
                <w:noProof/>
                <w:webHidden/>
              </w:rPr>
              <w:t>21</w:t>
            </w:r>
            <w:r w:rsidR="001A4BC2">
              <w:rPr>
                <w:noProof/>
                <w:webHidden/>
              </w:rPr>
              <w:fldChar w:fldCharType="end"/>
            </w:r>
          </w:hyperlink>
        </w:p>
        <w:p w14:paraId="63C719A2" w14:textId="508499B2" w:rsidR="001A4BC2" w:rsidRDefault="000228E3">
          <w:pPr>
            <w:pStyle w:val="TOC2"/>
            <w:rPr>
              <w:noProof/>
            </w:rPr>
          </w:pPr>
          <w:hyperlink w:anchor="_Toc62129152" w:history="1">
            <w:r w:rsidR="001A4BC2" w:rsidRPr="00C95943">
              <w:rPr>
                <w:rStyle w:val="Hyperlink"/>
                <w:noProof/>
              </w:rPr>
              <w:t>9.1.</w:t>
            </w:r>
            <w:r w:rsidR="001A4BC2">
              <w:rPr>
                <w:noProof/>
              </w:rPr>
              <w:tab/>
            </w:r>
            <w:r w:rsidR="001A4BC2" w:rsidRPr="00C95943">
              <w:rPr>
                <w:rStyle w:val="Hyperlink"/>
                <w:noProof/>
              </w:rPr>
              <w:t>Recruitment Group 1</w:t>
            </w:r>
            <w:r w:rsidR="001A4BC2">
              <w:rPr>
                <w:noProof/>
                <w:webHidden/>
              </w:rPr>
              <w:tab/>
            </w:r>
            <w:r w:rsidR="001A4BC2">
              <w:rPr>
                <w:noProof/>
                <w:webHidden/>
              </w:rPr>
              <w:fldChar w:fldCharType="begin"/>
            </w:r>
            <w:r w:rsidR="001A4BC2">
              <w:rPr>
                <w:noProof/>
                <w:webHidden/>
              </w:rPr>
              <w:instrText xml:space="preserve"> PAGEREF _Toc62129152 \h </w:instrText>
            </w:r>
            <w:r w:rsidR="001A4BC2">
              <w:rPr>
                <w:noProof/>
                <w:webHidden/>
              </w:rPr>
            </w:r>
            <w:r w:rsidR="001A4BC2">
              <w:rPr>
                <w:noProof/>
                <w:webHidden/>
              </w:rPr>
              <w:fldChar w:fldCharType="separate"/>
            </w:r>
            <w:r w:rsidR="001A4BC2">
              <w:rPr>
                <w:noProof/>
                <w:webHidden/>
              </w:rPr>
              <w:t>21</w:t>
            </w:r>
            <w:r w:rsidR="001A4BC2">
              <w:rPr>
                <w:noProof/>
                <w:webHidden/>
              </w:rPr>
              <w:fldChar w:fldCharType="end"/>
            </w:r>
          </w:hyperlink>
        </w:p>
        <w:p w14:paraId="682F50AA" w14:textId="7D2AA18A" w:rsidR="001A4BC2" w:rsidRDefault="000228E3">
          <w:pPr>
            <w:pStyle w:val="TOC2"/>
            <w:rPr>
              <w:noProof/>
            </w:rPr>
          </w:pPr>
          <w:hyperlink w:anchor="_Toc62129153" w:history="1">
            <w:r w:rsidR="001A4BC2" w:rsidRPr="00C95943">
              <w:rPr>
                <w:rStyle w:val="Hyperlink"/>
                <w:rFonts w:ascii="Calibri" w:hAnsi="Calibri"/>
                <w:noProof/>
              </w:rPr>
              <w:t>9.2.</w:t>
            </w:r>
            <w:r w:rsidR="001A4BC2">
              <w:rPr>
                <w:noProof/>
              </w:rPr>
              <w:tab/>
            </w:r>
            <w:r w:rsidR="001A4BC2" w:rsidRPr="00C95943">
              <w:rPr>
                <w:rStyle w:val="Hyperlink"/>
                <w:noProof/>
              </w:rPr>
              <w:t>Recruitment Group 2</w:t>
            </w:r>
            <w:r w:rsidR="001A4BC2">
              <w:rPr>
                <w:noProof/>
                <w:webHidden/>
              </w:rPr>
              <w:tab/>
            </w:r>
            <w:r w:rsidR="001A4BC2">
              <w:rPr>
                <w:noProof/>
                <w:webHidden/>
              </w:rPr>
              <w:fldChar w:fldCharType="begin"/>
            </w:r>
            <w:r w:rsidR="001A4BC2">
              <w:rPr>
                <w:noProof/>
                <w:webHidden/>
              </w:rPr>
              <w:instrText xml:space="preserve"> PAGEREF _Toc62129153 \h </w:instrText>
            </w:r>
            <w:r w:rsidR="001A4BC2">
              <w:rPr>
                <w:noProof/>
                <w:webHidden/>
              </w:rPr>
            </w:r>
            <w:r w:rsidR="001A4BC2">
              <w:rPr>
                <w:noProof/>
                <w:webHidden/>
              </w:rPr>
              <w:fldChar w:fldCharType="separate"/>
            </w:r>
            <w:r w:rsidR="001A4BC2">
              <w:rPr>
                <w:noProof/>
                <w:webHidden/>
              </w:rPr>
              <w:t>22</w:t>
            </w:r>
            <w:r w:rsidR="001A4BC2">
              <w:rPr>
                <w:noProof/>
                <w:webHidden/>
              </w:rPr>
              <w:fldChar w:fldCharType="end"/>
            </w:r>
          </w:hyperlink>
        </w:p>
        <w:p w14:paraId="7A366A69" w14:textId="383AB13C" w:rsidR="001A4BC2" w:rsidRDefault="000228E3">
          <w:pPr>
            <w:pStyle w:val="TOC2"/>
            <w:rPr>
              <w:noProof/>
            </w:rPr>
          </w:pPr>
          <w:hyperlink w:anchor="_Toc62129154" w:history="1">
            <w:r w:rsidR="001A4BC2" w:rsidRPr="00C95943">
              <w:rPr>
                <w:rStyle w:val="Hyperlink"/>
                <w:noProof/>
              </w:rPr>
              <w:t>9.3.</w:t>
            </w:r>
            <w:r w:rsidR="001A4BC2">
              <w:rPr>
                <w:noProof/>
              </w:rPr>
              <w:tab/>
            </w:r>
            <w:r w:rsidR="001A4BC2" w:rsidRPr="00C95943">
              <w:rPr>
                <w:rStyle w:val="Hyperlink"/>
                <w:noProof/>
              </w:rPr>
              <w:t>Group 3</w:t>
            </w:r>
            <w:r w:rsidR="001A4BC2">
              <w:rPr>
                <w:noProof/>
                <w:webHidden/>
              </w:rPr>
              <w:tab/>
            </w:r>
            <w:r w:rsidR="001A4BC2">
              <w:rPr>
                <w:noProof/>
                <w:webHidden/>
              </w:rPr>
              <w:fldChar w:fldCharType="begin"/>
            </w:r>
            <w:r w:rsidR="001A4BC2">
              <w:rPr>
                <w:noProof/>
                <w:webHidden/>
              </w:rPr>
              <w:instrText xml:space="preserve"> PAGEREF _Toc62129154 \h </w:instrText>
            </w:r>
            <w:r w:rsidR="001A4BC2">
              <w:rPr>
                <w:noProof/>
                <w:webHidden/>
              </w:rPr>
            </w:r>
            <w:r w:rsidR="001A4BC2">
              <w:rPr>
                <w:noProof/>
                <w:webHidden/>
              </w:rPr>
              <w:fldChar w:fldCharType="separate"/>
            </w:r>
            <w:r w:rsidR="001A4BC2">
              <w:rPr>
                <w:noProof/>
                <w:webHidden/>
              </w:rPr>
              <w:t>23</w:t>
            </w:r>
            <w:r w:rsidR="001A4BC2">
              <w:rPr>
                <w:noProof/>
                <w:webHidden/>
              </w:rPr>
              <w:fldChar w:fldCharType="end"/>
            </w:r>
          </w:hyperlink>
        </w:p>
        <w:p w14:paraId="149D4A7D" w14:textId="0A3C35F9" w:rsidR="001A4BC2" w:rsidRDefault="000228E3">
          <w:pPr>
            <w:pStyle w:val="TOC2"/>
            <w:rPr>
              <w:noProof/>
            </w:rPr>
          </w:pPr>
          <w:hyperlink w:anchor="_Toc62129155" w:history="1">
            <w:r w:rsidR="001A4BC2" w:rsidRPr="00C95943">
              <w:rPr>
                <w:rStyle w:val="Hyperlink"/>
                <w:noProof/>
              </w:rPr>
              <w:t>9.4.</w:t>
            </w:r>
            <w:r w:rsidR="001A4BC2">
              <w:rPr>
                <w:noProof/>
              </w:rPr>
              <w:tab/>
            </w:r>
            <w:r w:rsidR="001A4BC2" w:rsidRPr="00C95943">
              <w:rPr>
                <w:rStyle w:val="Hyperlink"/>
                <w:noProof/>
              </w:rPr>
              <w:t>Screening and Eligibility Assessment</w:t>
            </w:r>
            <w:r w:rsidR="001A4BC2">
              <w:rPr>
                <w:noProof/>
                <w:webHidden/>
              </w:rPr>
              <w:tab/>
            </w:r>
            <w:r w:rsidR="001A4BC2">
              <w:rPr>
                <w:noProof/>
                <w:webHidden/>
              </w:rPr>
              <w:fldChar w:fldCharType="begin"/>
            </w:r>
            <w:r w:rsidR="001A4BC2">
              <w:rPr>
                <w:noProof/>
                <w:webHidden/>
              </w:rPr>
              <w:instrText xml:space="preserve"> PAGEREF _Toc62129155 \h </w:instrText>
            </w:r>
            <w:r w:rsidR="001A4BC2">
              <w:rPr>
                <w:noProof/>
                <w:webHidden/>
              </w:rPr>
            </w:r>
            <w:r w:rsidR="001A4BC2">
              <w:rPr>
                <w:noProof/>
                <w:webHidden/>
              </w:rPr>
              <w:fldChar w:fldCharType="separate"/>
            </w:r>
            <w:r w:rsidR="001A4BC2">
              <w:rPr>
                <w:noProof/>
                <w:webHidden/>
              </w:rPr>
              <w:t>24</w:t>
            </w:r>
            <w:r w:rsidR="001A4BC2">
              <w:rPr>
                <w:noProof/>
                <w:webHidden/>
              </w:rPr>
              <w:fldChar w:fldCharType="end"/>
            </w:r>
          </w:hyperlink>
        </w:p>
        <w:p w14:paraId="713F5920" w14:textId="4E33105B" w:rsidR="001A4BC2" w:rsidRDefault="000228E3">
          <w:pPr>
            <w:pStyle w:val="TOC2"/>
            <w:rPr>
              <w:noProof/>
            </w:rPr>
          </w:pPr>
          <w:hyperlink w:anchor="_Toc62129156" w:history="1">
            <w:r w:rsidR="001A4BC2" w:rsidRPr="00C95943">
              <w:rPr>
                <w:rStyle w:val="Hyperlink"/>
                <w:noProof/>
              </w:rPr>
              <w:t>9.5.</w:t>
            </w:r>
            <w:r w:rsidR="001A4BC2">
              <w:rPr>
                <w:noProof/>
              </w:rPr>
              <w:tab/>
            </w:r>
            <w:r w:rsidR="001A4BC2" w:rsidRPr="00C95943">
              <w:rPr>
                <w:rStyle w:val="Hyperlink"/>
                <w:noProof/>
              </w:rPr>
              <w:t>Informed Consent</w:t>
            </w:r>
            <w:r w:rsidR="001A4BC2">
              <w:rPr>
                <w:noProof/>
                <w:webHidden/>
              </w:rPr>
              <w:tab/>
            </w:r>
            <w:r w:rsidR="001A4BC2">
              <w:rPr>
                <w:noProof/>
                <w:webHidden/>
              </w:rPr>
              <w:fldChar w:fldCharType="begin"/>
            </w:r>
            <w:r w:rsidR="001A4BC2">
              <w:rPr>
                <w:noProof/>
                <w:webHidden/>
              </w:rPr>
              <w:instrText xml:space="preserve"> PAGEREF _Toc62129156 \h </w:instrText>
            </w:r>
            <w:r w:rsidR="001A4BC2">
              <w:rPr>
                <w:noProof/>
                <w:webHidden/>
              </w:rPr>
            </w:r>
            <w:r w:rsidR="001A4BC2">
              <w:rPr>
                <w:noProof/>
                <w:webHidden/>
              </w:rPr>
              <w:fldChar w:fldCharType="separate"/>
            </w:r>
            <w:r w:rsidR="001A4BC2">
              <w:rPr>
                <w:noProof/>
                <w:webHidden/>
              </w:rPr>
              <w:t>24</w:t>
            </w:r>
            <w:r w:rsidR="001A4BC2">
              <w:rPr>
                <w:noProof/>
                <w:webHidden/>
              </w:rPr>
              <w:fldChar w:fldCharType="end"/>
            </w:r>
          </w:hyperlink>
        </w:p>
        <w:p w14:paraId="264B17EA" w14:textId="5D732816" w:rsidR="001A4BC2" w:rsidRDefault="000228E3">
          <w:pPr>
            <w:pStyle w:val="TOC2"/>
            <w:rPr>
              <w:noProof/>
            </w:rPr>
          </w:pPr>
          <w:hyperlink w:anchor="_Toc62129157" w:history="1">
            <w:r w:rsidR="001A4BC2" w:rsidRPr="00C95943">
              <w:rPr>
                <w:rStyle w:val="Hyperlink"/>
                <w:noProof/>
              </w:rPr>
              <w:t>9.6.</w:t>
            </w:r>
            <w:r w:rsidR="001A4BC2">
              <w:rPr>
                <w:noProof/>
              </w:rPr>
              <w:tab/>
            </w:r>
            <w:r w:rsidR="001A4BC2" w:rsidRPr="00C95943">
              <w:rPr>
                <w:rStyle w:val="Hyperlink"/>
                <w:noProof/>
              </w:rPr>
              <w:t>Study visits</w:t>
            </w:r>
            <w:r w:rsidR="001A4BC2">
              <w:rPr>
                <w:noProof/>
                <w:webHidden/>
              </w:rPr>
              <w:tab/>
            </w:r>
            <w:r w:rsidR="001A4BC2">
              <w:rPr>
                <w:noProof/>
                <w:webHidden/>
              </w:rPr>
              <w:fldChar w:fldCharType="begin"/>
            </w:r>
            <w:r w:rsidR="001A4BC2">
              <w:rPr>
                <w:noProof/>
                <w:webHidden/>
              </w:rPr>
              <w:instrText xml:space="preserve"> PAGEREF _Toc62129157 \h </w:instrText>
            </w:r>
            <w:r w:rsidR="001A4BC2">
              <w:rPr>
                <w:noProof/>
                <w:webHidden/>
              </w:rPr>
            </w:r>
            <w:r w:rsidR="001A4BC2">
              <w:rPr>
                <w:noProof/>
                <w:webHidden/>
              </w:rPr>
              <w:fldChar w:fldCharType="separate"/>
            </w:r>
            <w:r w:rsidR="001A4BC2">
              <w:rPr>
                <w:noProof/>
                <w:webHidden/>
              </w:rPr>
              <w:t>25</w:t>
            </w:r>
            <w:r w:rsidR="001A4BC2">
              <w:rPr>
                <w:noProof/>
                <w:webHidden/>
              </w:rPr>
              <w:fldChar w:fldCharType="end"/>
            </w:r>
          </w:hyperlink>
        </w:p>
        <w:p w14:paraId="29E12614" w14:textId="51836BF5" w:rsidR="001A4BC2" w:rsidRDefault="000228E3">
          <w:pPr>
            <w:pStyle w:val="TOC3"/>
            <w:tabs>
              <w:tab w:val="right" w:leader="dot" w:pos="9402"/>
            </w:tabs>
            <w:rPr>
              <w:noProof/>
            </w:rPr>
          </w:pPr>
          <w:hyperlink w:anchor="_Toc62129158" w:history="1">
            <w:r w:rsidR="001A4BC2" w:rsidRPr="00C95943">
              <w:rPr>
                <w:rStyle w:val="Hyperlink"/>
                <w:rFonts w:cstheme="minorHAnsi"/>
                <w:noProof/>
              </w:rPr>
              <w:t>9.6.1 Visit 1</w:t>
            </w:r>
            <w:r w:rsidR="001A4BC2">
              <w:rPr>
                <w:noProof/>
                <w:webHidden/>
              </w:rPr>
              <w:tab/>
            </w:r>
            <w:r w:rsidR="001A4BC2">
              <w:rPr>
                <w:noProof/>
                <w:webHidden/>
              </w:rPr>
              <w:fldChar w:fldCharType="begin"/>
            </w:r>
            <w:r w:rsidR="001A4BC2">
              <w:rPr>
                <w:noProof/>
                <w:webHidden/>
              </w:rPr>
              <w:instrText xml:space="preserve"> PAGEREF _Toc62129158 \h </w:instrText>
            </w:r>
            <w:r w:rsidR="001A4BC2">
              <w:rPr>
                <w:noProof/>
                <w:webHidden/>
              </w:rPr>
            </w:r>
            <w:r w:rsidR="001A4BC2">
              <w:rPr>
                <w:noProof/>
                <w:webHidden/>
              </w:rPr>
              <w:fldChar w:fldCharType="separate"/>
            </w:r>
            <w:r w:rsidR="001A4BC2">
              <w:rPr>
                <w:noProof/>
                <w:webHidden/>
              </w:rPr>
              <w:t>25</w:t>
            </w:r>
            <w:r w:rsidR="001A4BC2">
              <w:rPr>
                <w:noProof/>
                <w:webHidden/>
              </w:rPr>
              <w:fldChar w:fldCharType="end"/>
            </w:r>
          </w:hyperlink>
        </w:p>
        <w:p w14:paraId="3D7E9E57" w14:textId="1F5ABE62" w:rsidR="001A4BC2" w:rsidRDefault="000228E3">
          <w:pPr>
            <w:pStyle w:val="TOC3"/>
            <w:tabs>
              <w:tab w:val="right" w:leader="dot" w:pos="9402"/>
            </w:tabs>
            <w:rPr>
              <w:noProof/>
            </w:rPr>
          </w:pPr>
          <w:hyperlink w:anchor="_Toc62129159" w:history="1">
            <w:r w:rsidR="001A4BC2" w:rsidRPr="00C95943">
              <w:rPr>
                <w:rStyle w:val="Hyperlink"/>
                <w:rFonts w:cstheme="minorHAnsi"/>
                <w:noProof/>
              </w:rPr>
              <w:t>9.6.2 Subsequent visits (longitudinal sampling cohort)</w:t>
            </w:r>
            <w:r w:rsidR="001A4BC2">
              <w:rPr>
                <w:noProof/>
                <w:webHidden/>
              </w:rPr>
              <w:tab/>
            </w:r>
            <w:r w:rsidR="001A4BC2">
              <w:rPr>
                <w:noProof/>
                <w:webHidden/>
              </w:rPr>
              <w:fldChar w:fldCharType="begin"/>
            </w:r>
            <w:r w:rsidR="001A4BC2">
              <w:rPr>
                <w:noProof/>
                <w:webHidden/>
              </w:rPr>
              <w:instrText xml:space="preserve"> PAGEREF _Toc62129159 \h </w:instrText>
            </w:r>
            <w:r w:rsidR="001A4BC2">
              <w:rPr>
                <w:noProof/>
                <w:webHidden/>
              </w:rPr>
            </w:r>
            <w:r w:rsidR="001A4BC2">
              <w:rPr>
                <w:noProof/>
                <w:webHidden/>
              </w:rPr>
              <w:fldChar w:fldCharType="separate"/>
            </w:r>
            <w:r w:rsidR="001A4BC2">
              <w:rPr>
                <w:noProof/>
                <w:webHidden/>
              </w:rPr>
              <w:t>26</w:t>
            </w:r>
            <w:r w:rsidR="001A4BC2">
              <w:rPr>
                <w:noProof/>
                <w:webHidden/>
              </w:rPr>
              <w:fldChar w:fldCharType="end"/>
            </w:r>
          </w:hyperlink>
        </w:p>
        <w:p w14:paraId="3D8D379D" w14:textId="5E24C87A" w:rsidR="001A4BC2" w:rsidRDefault="000228E3">
          <w:pPr>
            <w:pStyle w:val="TOC2"/>
            <w:rPr>
              <w:noProof/>
            </w:rPr>
          </w:pPr>
          <w:hyperlink w:anchor="_Toc62129160" w:history="1">
            <w:r w:rsidR="001A4BC2" w:rsidRPr="00C95943">
              <w:rPr>
                <w:rStyle w:val="Hyperlink"/>
                <w:noProof/>
              </w:rPr>
              <w:t>9.7.</w:t>
            </w:r>
            <w:r w:rsidR="001A4BC2">
              <w:rPr>
                <w:noProof/>
              </w:rPr>
              <w:tab/>
            </w:r>
            <w:r w:rsidR="001A4BC2" w:rsidRPr="00C95943">
              <w:rPr>
                <w:rStyle w:val="Hyperlink"/>
                <w:noProof/>
              </w:rPr>
              <w:t>Laboratory methods</w:t>
            </w:r>
            <w:r w:rsidR="001A4BC2">
              <w:rPr>
                <w:noProof/>
                <w:webHidden/>
              </w:rPr>
              <w:tab/>
            </w:r>
            <w:r w:rsidR="001A4BC2">
              <w:rPr>
                <w:noProof/>
                <w:webHidden/>
              </w:rPr>
              <w:fldChar w:fldCharType="begin"/>
            </w:r>
            <w:r w:rsidR="001A4BC2">
              <w:rPr>
                <w:noProof/>
                <w:webHidden/>
              </w:rPr>
              <w:instrText xml:space="preserve"> PAGEREF _Toc62129160 \h </w:instrText>
            </w:r>
            <w:r w:rsidR="001A4BC2">
              <w:rPr>
                <w:noProof/>
                <w:webHidden/>
              </w:rPr>
            </w:r>
            <w:r w:rsidR="001A4BC2">
              <w:rPr>
                <w:noProof/>
                <w:webHidden/>
              </w:rPr>
              <w:fldChar w:fldCharType="separate"/>
            </w:r>
            <w:r w:rsidR="001A4BC2">
              <w:rPr>
                <w:noProof/>
                <w:webHidden/>
              </w:rPr>
              <w:t>27</w:t>
            </w:r>
            <w:r w:rsidR="001A4BC2">
              <w:rPr>
                <w:noProof/>
                <w:webHidden/>
              </w:rPr>
              <w:fldChar w:fldCharType="end"/>
            </w:r>
          </w:hyperlink>
        </w:p>
        <w:p w14:paraId="6D9B4ADD" w14:textId="1B6D3F5E" w:rsidR="001A4BC2" w:rsidRDefault="000228E3">
          <w:pPr>
            <w:pStyle w:val="TOC2"/>
            <w:rPr>
              <w:noProof/>
            </w:rPr>
          </w:pPr>
          <w:hyperlink w:anchor="_Toc62129161" w:history="1">
            <w:r w:rsidR="001A4BC2" w:rsidRPr="00C95943">
              <w:rPr>
                <w:rStyle w:val="Hyperlink"/>
                <w:noProof/>
              </w:rPr>
              <w:t>9.8.</w:t>
            </w:r>
            <w:r w:rsidR="001A4BC2">
              <w:rPr>
                <w:noProof/>
              </w:rPr>
              <w:tab/>
            </w:r>
            <w:r w:rsidR="001A4BC2" w:rsidRPr="00C95943">
              <w:rPr>
                <w:rStyle w:val="Hyperlink"/>
                <w:noProof/>
              </w:rPr>
              <w:t xml:space="preserve">Discontinuation/Withdrawal of participants from </w:t>
            </w:r>
            <w:r w:rsidR="001A4BC2" w:rsidRPr="00C95943">
              <w:rPr>
                <w:rStyle w:val="Hyperlink"/>
                <w:rFonts w:cs="Arial"/>
                <w:noProof/>
              </w:rPr>
              <w:t>research study</w:t>
            </w:r>
            <w:r w:rsidR="001A4BC2">
              <w:rPr>
                <w:noProof/>
                <w:webHidden/>
              </w:rPr>
              <w:tab/>
            </w:r>
            <w:r w:rsidR="001A4BC2">
              <w:rPr>
                <w:noProof/>
                <w:webHidden/>
              </w:rPr>
              <w:fldChar w:fldCharType="begin"/>
            </w:r>
            <w:r w:rsidR="001A4BC2">
              <w:rPr>
                <w:noProof/>
                <w:webHidden/>
              </w:rPr>
              <w:instrText xml:space="preserve"> PAGEREF _Toc62129161 \h </w:instrText>
            </w:r>
            <w:r w:rsidR="001A4BC2">
              <w:rPr>
                <w:noProof/>
                <w:webHidden/>
              </w:rPr>
            </w:r>
            <w:r w:rsidR="001A4BC2">
              <w:rPr>
                <w:noProof/>
                <w:webHidden/>
              </w:rPr>
              <w:fldChar w:fldCharType="separate"/>
            </w:r>
            <w:r w:rsidR="001A4BC2">
              <w:rPr>
                <w:noProof/>
                <w:webHidden/>
              </w:rPr>
              <w:t>28</w:t>
            </w:r>
            <w:r w:rsidR="001A4BC2">
              <w:rPr>
                <w:noProof/>
                <w:webHidden/>
              </w:rPr>
              <w:fldChar w:fldCharType="end"/>
            </w:r>
          </w:hyperlink>
        </w:p>
        <w:p w14:paraId="7993EF67" w14:textId="2A61DF20" w:rsidR="001A4BC2" w:rsidRDefault="000228E3">
          <w:pPr>
            <w:pStyle w:val="TOC2"/>
            <w:rPr>
              <w:noProof/>
            </w:rPr>
          </w:pPr>
          <w:hyperlink w:anchor="_Toc62129162" w:history="1">
            <w:r w:rsidR="001A4BC2" w:rsidRPr="00C95943">
              <w:rPr>
                <w:rStyle w:val="Hyperlink"/>
                <w:noProof/>
              </w:rPr>
              <w:t>9.9.</w:t>
            </w:r>
            <w:r w:rsidR="001A4BC2">
              <w:rPr>
                <w:noProof/>
              </w:rPr>
              <w:tab/>
            </w:r>
            <w:r w:rsidR="001A4BC2" w:rsidRPr="00C95943">
              <w:rPr>
                <w:rStyle w:val="Hyperlink"/>
                <w:noProof/>
              </w:rPr>
              <w:t>Definition of the end of research study</w:t>
            </w:r>
            <w:r w:rsidR="001A4BC2">
              <w:rPr>
                <w:noProof/>
                <w:webHidden/>
              </w:rPr>
              <w:tab/>
            </w:r>
            <w:r w:rsidR="001A4BC2">
              <w:rPr>
                <w:noProof/>
                <w:webHidden/>
              </w:rPr>
              <w:fldChar w:fldCharType="begin"/>
            </w:r>
            <w:r w:rsidR="001A4BC2">
              <w:rPr>
                <w:noProof/>
                <w:webHidden/>
              </w:rPr>
              <w:instrText xml:space="preserve"> PAGEREF _Toc62129162 \h </w:instrText>
            </w:r>
            <w:r w:rsidR="001A4BC2">
              <w:rPr>
                <w:noProof/>
                <w:webHidden/>
              </w:rPr>
            </w:r>
            <w:r w:rsidR="001A4BC2">
              <w:rPr>
                <w:noProof/>
                <w:webHidden/>
              </w:rPr>
              <w:fldChar w:fldCharType="separate"/>
            </w:r>
            <w:r w:rsidR="001A4BC2">
              <w:rPr>
                <w:noProof/>
                <w:webHidden/>
              </w:rPr>
              <w:t>28</w:t>
            </w:r>
            <w:r w:rsidR="001A4BC2">
              <w:rPr>
                <w:noProof/>
                <w:webHidden/>
              </w:rPr>
              <w:fldChar w:fldCharType="end"/>
            </w:r>
          </w:hyperlink>
        </w:p>
        <w:p w14:paraId="3B542AA5" w14:textId="321D5DE2" w:rsidR="001A4BC2" w:rsidRDefault="000228E3">
          <w:pPr>
            <w:pStyle w:val="TOC1"/>
            <w:rPr>
              <w:noProof/>
            </w:rPr>
          </w:pPr>
          <w:hyperlink w:anchor="_Toc62129163" w:history="1">
            <w:r w:rsidR="001A4BC2" w:rsidRPr="00C95943">
              <w:rPr>
                <w:rStyle w:val="Hyperlink"/>
                <w:noProof/>
                <w14:scene3d>
                  <w14:camera w14:prst="orthographicFront"/>
                  <w14:lightRig w14:rig="threePt" w14:dir="t">
                    <w14:rot w14:lat="0" w14:lon="0" w14:rev="0"/>
                  </w14:lightRig>
                </w14:scene3d>
              </w:rPr>
              <w:t>10.</w:t>
            </w:r>
            <w:r w:rsidR="001A4BC2">
              <w:rPr>
                <w:noProof/>
              </w:rPr>
              <w:tab/>
            </w:r>
            <w:r w:rsidR="001A4BC2" w:rsidRPr="00C95943">
              <w:rPr>
                <w:rStyle w:val="Hyperlink"/>
                <w:noProof/>
              </w:rPr>
              <w:t>SAFETY REPORTING</w:t>
            </w:r>
            <w:r w:rsidR="001A4BC2">
              <w:rPr>
                <w:noProof/>
                <w:webHidden/>
              </w:rPr>
              <w:tab/>
            </w:r>
            <w:r w:rsidR="001A4BC2">
              <w:rPr>
                <w:noProof/>
                <w:webHidden/>
              </w:rPr>
              <w:fldChar w:fldCharType="begin"/>
            </w:r>
            <w:r w:rsidR="001A4BC2">
              <w:rPr>
                <w:noProof/>
                <w:webHidden/>
              </w:rPr>
              <w:instrText xml:space="preserve"> PAGEREF _Toc62129163 \h </w:instrText>
            </w:r>
            <w:r w:rsidR="001A4BC2">
              <w:rPr>
                <w:noProof/>
                <w:webHidden/>
              </w:rPr>
            </w:r>
            <w:r w:rsidR="001A4BC2">
              <w:rPr>
                <w:noProof/>
                <w:webHidden/>
              </w:rPr>
              <w:fldChar w:fldCharType="separate"/>
            </w:r>
            <w:r w:rsidR="001A4BC2">
              <w:rPr>
                <w:noProof/>
                <w:webHidden/>
              </w:rPr>
              <w:t>28</w:t>
            </w:r>
            <w:r w:rsidR="001A4BC2">
              <w:rPr>
                <w:noProof/>
                <w:webHidden/>
              </w:rPr>
              <w:fldChar w:fldCharType="end"/>
            </w:r>
          </w:hyperlink>
        </w:p>
        <w:p w14:paraId="26F4C8E5" w14:textId="19DDF44B" w:rsidR="001A4BC2" w:rsidRDefault="000228E3">
          <w:pPr>
            <w:pStyle w:val="TOC2"/>
            <w:rPr>
              <w:noProof/>
            </w:rPr>
          </w:pPr>
          <w:hyperlink w:anchor="_Toc62129164" w:history="1">
            <w:r w:rsidR="001A4BC2" w:rsidRPr="00C95943">
              <w:rPr>
                <w:rStyle w:val="Hyperlink"/>
                <w:noProof/>
              </w:rPr>
              <w:t>10.1.</w:t>
            </w:r>
            <w:r w:rsidR="001A4BC2">
              <w:rPr>
                <w:noProof/>
              </w:rPr>
              <w:tab/>
            </w:r>
            <w:r w:rsidR="001A4BC2" w:rsidRPr="00C95943">
              <w:rPr>
                <w:rStyle w:val="Hyperlink"/>
                <w:noProof/>
              </w:rPr>
              <w:t>Reporting Procedures for All Adverse Events</w:t>
            </w:r>
            <w:r w:rsidR="001A4BC2">
              <w:rPr>
                <w:noProof/>
                <w:webHidden/>
              </w:rPr>
              <w:tab/>
            </w:r>
            <w:r w:rsidR="001A4BC2">
              <w:rPr>
                <w:noProof/>
                <w:webHidden/>
              </w:rPr>
              <w:fldChar w:fldCharType="begin"/>
            </w:r>
            <w:r w:rsidR="001A4BC2">
              <w:rPr>
                <w:noProof/>
                <w:webHidden/>
              </w:rPr>
              <w:instrText xml:space="preserve"> PAGEREF _Toc62129164 \h </w:instrText>
            </w:r>
            <w:r w:rsidR="001A4BC2">
              <w:rPr>
                <w:noProof/>
                <w:webHidden/>
              </w:rPr>
            </w:r>
            <w:r w:rsidR="001A4BC2">
              <w:rPr>
                <w:noProof/>
                <w:webHidden/>
              </w:rPr>
              <w:fldChar w:fldCharType="separate"/>
            </w:r>
            <w:r w:rsidR="001A4BC2">
              <w:rPr>
                <w:noProof/>
                <w:webHidden/>
              </w:rPr>
              <w:t>28</w:t>
            </w:r>
            <w:r w:rsidR="001A4BC2">
              <w:rPr>
                <w:noProof/>
                <w:webHidden/>
              </w:rPr>
              <w:fldChar w:fldCharType="end"/>
            </w:r>
          </w:hyperlink>
        </w:p>
        <w:p w14:paraId="17CBC193" w14:textId="413B4ECF" w:rsidR="001A4BC2" w:rsidRDefault="000228E3">
          <w:pPr>
            <w:pStyle w:val="TOC2"/>
            <w:rPr>
              <w:noProof/>
            </w:rPr>
          </w:pPr>
          <w:hyperlink w:anchor="_Toc62129165" w:history="1">
            <w:r w:rsidR="001A4BC2" w:rsidRPr="00C95943">
              <w:rPr>
                <w:rStyle w:val="Hyperlink"/>
                <w:noProof/>
              </w:rPr>
              <w:t>10.2.</w:t>
            </w:r>
            <w:r w:rsidR="001A4BC2">
              <w:rPr>
                <w:noProof/>
              </w:rPr>
              <w:tab/>
            </w:r>
            <w:r w:rsidR="001A4BC2" w:rsidRPr="00C95943">
              <w:rPr>
                <w:rStyle w:val="Hyperlink"/>
                <w:noProof/>
              </w:rPr>
              <w:t>Reporting Procedures for Serious Adverse Events</w:t>
            </w:r>
            <w:r w:rsidR="001A4BC2">
              <w:rPr>
                <w:noProof/>
                <w:webHidden/>
              </w:rPr>
              <w:tab/>
            </w:r>
            <w:r w:rsidR="001A4BC2">
              <w:rPr>
                <w:noProof/>
                <w:webHidden/>
              </w:rPr>
              <w:fldChar w:fldCharType="begin"/>
            </w:r>
            <w:r w:rsidR="001A4BC2">
              <w:rPr>
                <w:noProof/>
                <w:webHidden/>
              </w:rPr>
              <w:instrText xml:space="preserve"> PAGEREF _Toc62129165 \h </w:instrText>
            </w:r>
            <w:r w:rsidR="001A4BC2">
              <w:rPr>
                <w:noProof/>
                <w:webHidden/>
              </w:rPr>
            </w:r>
            <w:r w:rsidR="001A4BC2">
              <w:rPr>
                <w:noProof/>
                <w:webHidden/>
              </w:rPr>
              <w:fldChar w:fldCharType="separate"/>
            </w:r>
            <w:r w:rsidR="001A4BC2">
              <w:rPr>
                <w:noProof/>
                <w:webHidden/>
              </w:rPr>
              <w:t>29</w:t>
            </w:r>
            <w:r w:rsidR="001A4BC2">
              <w:rPr>
                <w:noProof/>
                <w:webHidden/>
              </w:rPr>
              <w:fldChar w:fldCharType="end"/>
            </w:r>
          </w:hyperlink>
        </w:p>
        <w:p w14:paraId="7ECDE9B5" w14:textId="6777757D" w:rsidR="001A4BC2" w:rsidRDefault="000228E3">
          <w:pPr>
            <w:pStyle w:val="TOC2"/>
            <w:rPr>
              <w:noProof/>
            </w:rPr>
          </w:pPr>
          <w:hyperlink w:anchor="_Toc62129166" w:history="1">
            <w:r w:rsidR="001A4BC2" w:rsidRPr="00C95943">
              <w:rPr>
                <w:rStyle w:val="Hyperlink"/>
                <w:noProof/>
              </w:rPr>
              <w:t>10.3.</w:t>
            </w:r>
            <w:r w:rsidR="001A4BC2">
              <w:rPr>
                <w:noProof/>
              </w:rPr>
              <w:tab/>
            </w:r>
            <w:r w:rsidR="001A4BC2" w:rsidRPr="00C95943">
              <w:rPr>
                <w:rStyle w:val="Hyperlink"/>
                <w:noProof/>
              </w:rPr>
              <w:t>Criteria for the Termination of the Study</w:t>
            </w:r>
            <w:r w:rsidR="001A4BC2">
              <w:rPr>
                <w:noProof/>
                <w:webHidden/>
              </w:rPr>
              <w:tab/>
            </w:r>
            <w:r w:rsidR="001A4BC2">
              <w:rPr>
                <w:noProof/>
                <w:webHidden/>
              </w:rPr>
              <w:fldChar w:fldCharType="begin"/>
            </w:r>
            <w:r w:rsidR="001A4BC2">
              <w:rPr>
                <w:noProof/>
                <w:webHidden/>
              </w:rPr>
              <w:instrText xml:space="preserve"> PAGEREF _Toc62129166 \h </w:instrText>
            </w:r>
            <w:r w:rsidR="001A4BC2">
              <w:rPr>
                <w:noProof/>
                <w:webHidden/>
              </w:rPr>
            </w:r>
            <w:r w:rsidR="001A4BC2">
              <w:rPr>
                <w:noProof/>
                <w:webHidden/>
              </w:rPr>
              <w:fldChar w:fldCharType="separate"/>
            </w:r>
            <w:r w:rsidR="001A4BC2">
              <w:rPr>
                <w:noProof/>
                <w:webHidden/>
              </w:rPr>
              <w:t>29</w:t>
            </w:r>
            <w:r w:rsidR="001A4BC2">
              <w:rPr>
                <w:noProof/>
                <w:webHidden/>
              </w:rPr>
              <w:fldChar w:fldCharType="end"/>
            </w:r>
          </w:hyperlink>
        </w:p>
        <w:p w14:paraId="3C8BC5A2" w14:textId="12867605" w:rsidR="001A4BC2" w:rsidRDefault="000228E3">
          <w:pPr>
            <w:pStyle w:val="TOC1"/>
            <w:rPr>
              <w:noProof/>
            </w:rPr>
          </w:pPr>
          <w:hyperlink w:anchor="_Toc62129167" w:history="1">
            <w:r w:rsidR="001A4BC2" w:rsidRPr="00C95943">
              <w:rPr>
                <w:rStyle w:val="Hyperlink"/>
                <w:noProof/>
                <w14:scene3d>
                  <w14:camera w14:prst="orthographicFront"/>
                  <w14:lightRig w14:rig="threePt" w14:dir="t">
                    <w14:rot w14:lat="0" w14:lon="0" w14:rev="0"/>
                  </w14:lightRig>
                </w14:scene3d>
              </w:rPr>
              <w:t>11.</w:t>
            </w:r>
            <w:r w:rsidR="001A4BC2">
              <w:rPr>
                <w:noProof/>
              </w:rPr>
              <w:tab/>
            </w:r>
            <w:r w:rsidR="001A4BC2" w:rsidRPr="00C95943">
              <w:rPr>
                <w:rStyle w:val="Hyperlink"/>
                <w:noProof/>
              </w:rPr>
              <w:t>STATISTICS AND ANALYSIS</w:t>
            </w:r>
            <w:r w:rsidR="001A4BC2">
              <w:rPr>
                <w:noProof/>
                <w:webHidden/>
              </w:rPr>
              <w:tab/>
            </w:r>
            <w:r w:rsidR="001A4BC2">
              <w:rPr>
                <w:noProof/>
                <w:webHidden/>
              </w:rPr>
              <w:fldChar w:fldCharType="begin"/>
            </w:r>
            <w:r w:rsidR="001A4BC2">
              <w:rPr>
                <w:noProof/>
                <w:webHidden/>
              </w:rPr>
              <w:instrText xml:space="preserve"> PAGEREF _Toc62129167 \h </w:instrText>
            </w:r>
            <w:r w:rsidR="001A4BC2">
              <w:rPr>
                <w:noProof/>
                <w:webHidden/>
              </w:rPr>
            </w:r>
            <w:r w:rsidR="001A4BC2">
              <w:rPr>
                <w:noProof/>
                <w:webHidden/>
              </w:rPr>
              <w:fldChar w:fldCharType="separate"/>
            </w:r>
            <w:r w:rsidR="001A4BC2">
              <w:rPr>
                <w:noProof/>
                <w:webHidden/>
              </w:rPr>
              <w:t>29</w:t>
            </w:r>
            <w:r w:rsidR="001A4BC2">
              <w:rPr>
                <w:noProof/>
                <w:webHidden/>
              </w:rPr>
              <w:fldChar w:fldCharType="end"/>
            </w:r>
          </w:hyperlink>
        </w:p>
        <w:p w14:paraId="59299B83" w14:textId="46B82830" w:rsidR="001A4BC2" w:rsidRDefault="000228E3">
          <w:pPr>
            <w:pStyle w:val="TOC2"/>
            <w:rPr>
              <w:noProof/>
            </w:rPr>
          </w:pPr>
          <w:hyperlink w:anchor="_Toc62129168" w:history="1">
            <w:r w:rsidR="001A4BC2" w:rsidRPr="00C95943">
              <w:rPr>
                <w:rStyle w:val="Hyperlink"/>
                <w:noProof/>
              </w:rPr>
              <w:t>11.1.</w:t>
            </w:r>
            <w:r w:rsidR="001A4BC2">
              <w:rPr>
                <w:noProof/>
              </w:rPr>
              <w:tab/>
            </w:r>
            <w:r w:rsidR="001A4BC2" w:rsidRPr="00C95943">
              <w:rPr>
                <w:rStyle w:val="Hyperlink"/>
                <w:noProof/>
              </w:rPr>
              <w:t>Description of the Statistical Methods</w:t>
            </w:r>
            <w:r w:rsidR="001A4BC2">
              <w:rPr>
                <w:noProof/>
                <w:webHidden/>
              </w:rPr>
              <w:tab/>
            </w:r>
            <w:r w:rsidR="001A4BC2">
              <w:rPr>
                <w:noProof/>
                <w:webHidden/>
              </w:rPr>
              <w:fldChar w:fldCharType="begin"/>
            </w:r>
            <w:r w:rsidR="001A4BC2">
              <w:rPr>
                <w:noProof/>
                <w:webHidden/>
              </w:rPr>
              <w:instrText xml:space="preserve"> PAGEREF _Toc62129168 \h </w:instrText>
            </w:r>
            <w:r w:rsidR="001A4BC2">
              <w:rPr>
                <w:noProof/>
                <w:webHidden/>
              </w:rPr>
            </w:r>
            <w:r w:rsidR="001A4BC2">
              <w:rPr>
                <w:noProof/>
                <w:webHidden/>
              </w:rPr>
              <w:fldChar w:fldCharType="separate"/>
            </w:r>
            <w:r w:rsidR="001A4BC2">
              <w:rPr>
                <w:noProof/>
                <w:webHidden/>
              </w:rPr>
              <w:t>29</w:t>
            </w:r>
            <w:r w:rsidR="001A4BC2">
              <w:rPr>
                <w:noProof/>
                <w:webHidden/>
              </w:rPr>
              <w:fldChar w:fldCharType="end"/>
            </w:r>
          </w:hyperlink>
        </w:p>
        <w:p w14:paraId="2C3FCB41" w14:textId="78BB6A2E" w:rsidR="001A4BC2" w:rsidRDefault="000228E3">
          <w:pPr>
            <w:pStyle w:val="TOC2"/>
            <w:rPr>
              <w:noProof/>
            </w:rPr>
          </w:pPr>
          <w:hyperlink w:anchor="_Toc62129169" w:history="1">
            <w:r w:rsidR="001A4BC2" w:rsidRPr="00C95943">
              <w:rPr>
                <w:rStyle w:val="Hyperlink"/>
                <w:noProof/>
              </w:rPr>
              <w:t>11.2.</w:t>
            </w:r>
            <w:r w:rsidR="001A4BC2">
              <w:rPr>
                <w:noProof/>
              </w:rPr>
              <w:tab/>
            </w:r>
            <w:r w:rsidR="001A4BC2" w:rsidRPr="00C95943">
              <w:rPr>
                <w:rStyle w:val="Hyperlink"/>
                <w:noProof/>
              </w:rPr>
              <w:t>Sample Size Determination</w:t>
            </w:r>
            <w:r w:rsidR="001A4BC2">
              <w:rPr>
                <w:noProof/>
                <w:webHidden/>
              </w:rPr>
              <w:tab/>
            </w:r>
            <w:r w:rsidR="001A4BC2">
              <w:rPr>
                <w:noProof/>
                <w:webHidden/>
              </w:rPr>
              <w:fldChar w:fldCharType="begin"/>
            </w:r>
            <w:r w:rsidR="001A4BC2">
              <w:rPr>
                <w:noProof/>
                <w:webHidden/>
              </w:rPr>
              <w:instrText xml:space="preserve"> PAGEREF _Toc62129169 \h </w:instrText>
            </w:r>
            <w:r w:rsidR="001A4BC2">
              <w:rPr>
                <w:noProof/>
                <w:webHidden/>
              </w:rPr>
            </w:r>
            <w:r w:rsidR="001A4BC2">
              <w:rPr>
                <w:noProof/>
                <w:webHidden/>
              </w:rPr>
              <w:fldChar w:fldCharType="separate"/>
            </w:r>
            <w:r w:rsidR="001A4BC2">
              <w:rPr>
                <w:noProof/>
                <w:webHidden/>
              </w:rPr>
              <w:t>31</w:t>
            </w:r>
            <w:r w:rsidR="001A4BC2">
              <w:rPr>
                <w:noProof/>
                <w:webHidden/>
              </w:rPr>
              <w:fldChar w:fldCharType="end"/>
            </w:r>
          </w:hyperlink>
        </w:p>
        <w:p w14:paraId="26654E36" w14:textId="49E7CAD4" w:rsidR="001A4BC2" w:rsidRDefault="000228E3">
          <w:pPr>
            <w:pStyle w:val="TOC3"/>
            <w:tabs>
              <w:tab w:val="right" w:leader="dot" w:pos="9402"/>
            </w:tabs>
            <w:rPr>
              <w:noProof/>
            </w:rPr>
          </w:pPr>
          <w:hyperlink w:anchor="_Toc62129170" w:history="1">
            <w:r w:rsidR="001A4BC2" w:rsidRPr="00C95943">
              <w:rPr>
                <w:rStyle w:val="Hyperlink"/>
                <w:rFonts w:cstheme="minorHAnsi"/>
                <w:noProof/>
              </w:rPr>
              <w:t>11.2.1: Group 1</w:t>
            </w:r>
            <w:r w:rsidR="001A4BC2">
              <w:rPr>
                <w:noProof/>
                <w:webHidden/>
              </w:rPr>
              <w:tab/>
            </w:r>
            <w:r w:rsidR="001A4BC2">
              <w:rPr>
                <w:noProof/>
                <w:webHidden/>
              </w:rPr>
              <w:fldChar w:fldCharType="begin"/>
            </w:r>
            <w:r w:rsidR="001A4BC2">
              <w:rPr>
                <w:noProof/>
                <w:webHidden/>
              </w:rPr>
              <w:instrText xml:space="preserve"> PAGEREF _Toc62129170 \h </w:instrText>
            </w:r>
            <w:r w:rsidR="001A4BC2">
              <w:rPr>
                <w:noProof/>
                <w:webHidden/>
              </w:rPr>
            </w:r>
            <w:r w:rsidR="001A4BC2">
              <w:rPr>
                <w:noProof/>
                <w:webHidden/>
              </w:rPr>
              <w:fldChar w:fldCharType="separate"/>
            </w:r>
            <w:r w:rsidR="001A4BC2">
              <w:rPr>
                <w:noProof/>
                <w:webHidden/>
              </w:rPr>
              <w:t>31</w:t>
            </w:r>
            <w:r w:rsidR="001A4BC2">
              <w:rPr>
                <w:noProof/>
                <w:webHidden/>
              </w:rPr>
              <w:fldChar w:fldCharType="end"/>
            </w:r>
          </w:hyperlink>
        </w:p>
        <w:p w14:paraId="1776400B" w14:textId="4A95B9DA" w:rsidR="001A4BC2" w:rsidRDefault="000228E3">
          <w:pPr>
            <w:pStyle w:val="TOC3"/>
            <w:tabs>
              <w:tab w:val="right" w:leader="dot" w:pos="9402"/>
            </w:tabs>
            <w:rPr>
              <w:noProof/>
            </w:rPr>
          </w:pPr>
          <w:hyperlink w:anchor="_Toc62129171" w:history="1">
            <w:r w:rsidR="001A4BC2" w:rsidRPr="00C95943">
              <w:rPr>
                <w:rStyle w:val="Hyperlink"/>
                <w:rFonts w:cstheme="minorHAnsi"/>
                <w:noProof/>
              </w:rPr>
              <w:t>11.2.2: Group 1 and 2 combined</w:t>
            </w:r>
            <w:r w:rsidR="001A4BC2">
              <w:rPr>
                <w:noProof/>
                <w:webHidden/>
              </w:rPr>
              <w:tab/>
            </w:r>
            <w:r w:rsidR="001A4BC2">
              <w:rPr>
                <w:noProof/>
                <w:webHidden/>
              </w:rPr>
              <w:fldChar w:fldCharType="begin"/>
            </w:r>
            <w:r w:rsidR="001A4BC2">
              <w:rPr>
                <w:noProof/>
                <w:webHidden/>
              </w:rPr>
              <w:instrText xml:space="preserve"> PAGEREF _Toc62129171 \h </w:instrText>
            </w:r>
            <w:r w:rsidR="001A4BC2">
              <w:rPr>
                <w:noProof/>
                <w:webHidden/>
              </w:rPr>
            </w:r>
            <w:r w:rsidR="001A4BC2">
              <w:rPr>
                <w:noProof/>
                <w:webHidden/>
              </w:rPr>
              <w:fldChar w:fldCharType="separate"/>
            </w:r>
            <w:r w:rsidR="001A4BC2">
              <w:rPr>
                <w:noProof/>
                <w:webHidden/>
              </w:rPr>
              <w:t>32</w:t>
            </w:r>
            <w:r w:rsidR="001A4BC2">
              <w:rPr>
                <w:noProof/>
                <w:webHidden/>
              </w:rPr>
              <w:fldChar w:fldCharType="end"/>
            </w:r>
          </w:hyperlink>
        </w:p>
        <w:p w14:paraId="2E8391FB" w14:textId="63D6926C" w:rsidR="001A4BC2" w:rsidRDefault="000228E3">
          <w:pPr>
            <w:pStyle w:val="TOC2"/>
            <w:rPr>
              <w:noProof/>
            </w:rPr>
          </w:pPr>
          <w:hyperlink w:anchor="_Toc62129172" w:history="1">
            <w:r w:rsidR="001A4BC2" w:rsidRPr="00C95943">
              <w:rPr>
                <w:rStyle w:val="Hyperlink"/>
                <w:noProof/>
              </w:rPr>
              <w:t>11.3.</w:t>
            </w:r>
            <w:r w:rsidR="001A4BC2">
              <w:rPr>
                <w:noProof/>
              </w:rPr>
              <w:tab/>
            </w:r>
            <w:r w:rsidR="001A4BC2" w:rsidRPr="00C95943">
              <w:rPr>
                <w:rStyle w:val="Hyperlink"/>
                <w:noProof/>
              </w:rPr>
              <w:t>Analysis populations</w:t>
            </w:r>
            <w:r w:rsidR="001A4BC2">
              <w:rPr>
                <w:noProof/>
                <w:webHidden/>
              </w:rPr>
              <w:tab/>
            </w:r>
            <w:r w:rsidR="001A4BC2">
              <w:rPr>
                <w:noProof/>
                <w:webHidden/>
              </w:rPr>
              <w:fldChar w:fldCharType="begin"/>
            </w:r>
            <w:r w:rsidR="001A4BC2">
              <w:rPr>
                <w:noProof/>
                <w:webHidden/>
              </w:rPr>
              <w:instrText xml:space="preserve"> PAGEREF _Toc62129172 \h </w:instrText>
            </w:r>
            <w:r w:rsidR="001A4BC2">
              <w:rPr>
                <w:noProof/>
                <w:webHidden/>
              </w:rPr>
            </w:r>
            <w:r w:rsidR="001A4BC2">
              <w:rPr>
                <w:noProof/>
                <w:webHidden/>
              </w:rPr>
              <w:fldChar w:fldCharType="separate"/>
            </w:r>
            <w:r w:rsidR="001A4BC2">
              <w:rPr>
                <w:noProof/>
                <w:webHidden/>
              </w:rPr>
              <w:t>33</w:t>
            </w:r>
            <w:r w:rsidR="001A4BC2">
              <w:rPr>
                <w:noProof/>
                <w:webHidden/>
              </w:rPr>
              <w:fldChar w:fldCharType="end"/>
            </w:r>
          </w:hyperlink>
        </w:p>
        <w:p w14:paraId="08841591" w14:textId="0B4B9A6F" w:rsidR="001A4BC2" w:rsidRDefault="000228E3">
          <w:pPr>
            <w:pStyle w:val="TOC2"/>
            <w:rPr>
              <w:noProof/>
            </w:rPr>
          </w:pPr>
          <w:hyperlink w:anchor="_Toc62129173" w:history="1">
            <w:r w:rsidR="001A4BC2" w:rsidRPr="00C95943">
              <w:rPr>
                <w:rStyle w:val="Hyperlink"/>
                <w:noProof/>
              </w:rPr>
              <w:t>11.4.</w:t>
            </w:r>
            <w:r w:rsidR="001A4BC2">
              <w:rPr>
                <w:noProof/>
              </w:rPr>
              <w:tab/>
            </w:r>
            <w:r w:rsidR="001A4BC2" w:rsidRPr="00C95943">
              <w:rPr>
                <w:rStyle w:val="Hyperlink"/>
                <w:noProof/>
              </w:rPr>
              <w:t>Group 3</w:t>
            </w:r>
            <w:r w:rsidR="001A4BC2">
              <w:rPr>
                <w:noProof/>
                <w:webHidden/>
              </w:rPr>
              <w:tab/>
            </w:r>
            <w:r w:rsidR="001A4BC2">
              <w:rPr>
                <w:noProof/>
                <w:webHidden/>
              </w:rPr>
              <w:fldChar w:fldCharType="begin"/>
            </w:r>
            <w:r w:rsidR="001A4BC2">
              <w:rPr>
                <w:noProof/>
                <w:webHidden/>
              </w:rPr>
              <w:instrText xml:space="preserve"> PAGEREF _Toc62129173 \h </w:instrText>
            </w:r>
            <w:r w:rsidR="001A4BC2">
              <w:rPr>
                <w:noProof/>
                <w:webHidden/>
              </w:rPr>
            </w:r>
            <w:r w:rsidR="001A4BC2">
              <w:rPr>
                <w:noProof/>
                <w:webHidden/>
              </w:rPr>
              <w:fldChar w:fldCharType="separate"/>
            </w:r>
            <w:r w:rsidR="001A4BC2">
              <w:rPr>
                <w:noProof/>
                <w:webHidden/>
              </w:rPr>
              <w:t>33</w:t>
            </w:r>
            <w:r w:rsidR="001A4BC2">
              <w:rPr>
                <w:noProof/>
                <w:webHidden/>
              </w:rPr>
              <w:fldChar w:fldCharType="end"/>
            </w:r>
          </w:hyperlink>
        </w:p>
        <w:p w14:paraId="4E3C04D0" w14:textId="789F12B6" w:rsidR="001A4BC2" w:rsidRDefault="000228E3">
          <w:pPr>
            <w:pStyle w:val="TOC2"/>
            <w:rPr>
              <w:noProof/>
            </w:rPr>
          </w:pPr>
          <w:hyperlink w:anchor="_Toc62129174" w:history="1">
            <w:r w:rsidR="001A4BC2" w:rsidRPr="00C95943">
              <w:rPr>
                <w:rStyle w:val="Hyperlink"/>
                <w:noProof/>
              </w:rPr>
              <w:t>11.5.</w:t>
            </w:r>
            <w:r w:rsidR="001A4BC2">
              <w:rPr>
                <w:noProof/>
              </w:rPr>
              <w:tab/>
            </w:r>
            <w:r w:rsidR="001A4BC2" w:rsidRPr="00C95943">
              <w:rPr>
                <w:rStyle w:val="Hyperlink"/>
                <w:noProof/>
              </w:rPr>
              <w:t>The Level of Statistical Significance</w:t>
            </w:r>
            <w:r w:rsidR="001A4BC2">
              <w:rPr>
                <w:noProof/>
                <w:webHidden/>
              </w:rPr>
              <w:tab/>
            </w:r>
            <w:r w:rsidR="001A4BC2">
              <w:rPr>
                <w:noProof/>
                <w:webHidden/>
              </w:rPr>
              <w:fldChar w:fldCharType="begin"/>
            </w:r>
            <w:r w:rsidR="001A4BC2">
              <w:rPr>
                <w:noProof/>
                <w:webHidden/>
              </w:rPr>
              <w:instrText xml:space="preserve"> PAGEREF _Toc62129174 \h </w:instrText>
            </w:r>
            <w:r w:rsidR="001A4BC2">
              <w:rPr>
                <w:noProof/>
                <w:webHidden/>
              </w:rPr>
            </w:r>
            <w:r w:rsidR="001A4BC2">
              <w:rPr>
                <w:noProof/>
                <w:webHidden/>
              </w:rPr>
              <w:fldChar w:fldCharType="separate"/>
            </w:r>
            <w:r w:rsidR="001A4BC2">
              <w:rPr>
                <w:noProof/>
                <w:webHidden/>
              </w:rPr>
              <w:t>33</w:t>
            </w:r>
            <w:r w:rsidR="001A4BC2">
              <w:rPr>
                <w:noProof/>
                <w:webHidden/>
              </w:rPr>
              <w:fldChar w:fldCharType="end"/>
            </w:r>
          </w:hyperlink>
        </w:p>
        <w:p w14:paraId="6F916EAF" w14:textId="12CC3D45" w:rsidR="001A4BC2" w:rsidRDefault="000228E3">
          <w:pPr>
            <w:pStyle w:val="TOC2"/>
            <w:rPr>
              <w:noProof/>
            </w:rPr>
          </w:pPr>
          <w:hyperlink w:anchor="_Toc62129175" w:history="1">
            <w:r w:rsidR="001A4BC2" w:rsidRPr="00C95943">
              <w:rPr>
                <w:rStyle w:val="Hyperlink"/>
                <w:noProof/>
              </w:rPr>
              <w:t>11.6.</w:t>
            </w:r>
            <w:r w:rsidR="001A4BC2">
              <w:rPr>
                <w:noProof/>
              </w:rPr>
              <w:tab/>
            </w:r>
            <w:r w:rsidR="001A4BC2" w:rsidRPr="00C95943">
              <w:rPr>
                <w:rStyle w:val="Hyperlink"/>
                <w:noProof/>
              </w:rPr>
              <w:t>Procedure for Accounting for Missing, Unused, and Spurious Data.</w:t>
            </w:r>
            <w:r w:rsidR="001A4BC2">
              <w:rPr>
                <w:noProof/>
                <w:webHidden/>
              </w:rPr>
              <w:tab/>
            </w:r>
            <w:r w:rsidR="001A4BC2">
              <w:rPr>
                <w:noProof/>
                <w:webHidden/>
              </w:rPr>
              <w:fldChar w:fldCharType="begin"/>
            </w:r>
            <w:r w:rsidR="001A4BC2">
              <w:rPr>
                <w:noProof/>
                <w:webHidden/>
              </w:rPr>
              <w:instrText xml:space="preserve"> PAGEREF _Toc62129175 \h </w:instrText>
            </w:r>
            <w:r w:rsidR="001A4BC2">
              <w:rPr>
                <w:noProof/>
                <w:webHidden/>
              </w:rPr>
            </w:r>
            <w:r w:rsidR="001A4BC2">
              <w:rPr>
                <w:noProof/>
                <w:webHidden/>
              </w:rPr>
              <w:fldChar w:fldCharType="separate"/>
            </w:r>
            <w:r w:rsidR="001A4BC2">
              <w:rPr>
                <w:noProof/>
                <w:webHidden/>
              </w:rPr>
              <w:t>33</w:t>
            </w:r>
            <w:r w:rsidR="001A4BC2">
              <w:rPr>
                <w:noProof/>
                <w:webHidden/>
              </w:rPr>
              <w:fldChar w:fldCharType="end"/>
            </w:r>
          </w:hyperlink>
        </w:p>
        <w:p w14:paraId="39502896" w14:textId="0759BABF" w:rsidR="001A4BC2" w:rsidRDefault="000228E3">
          <w:pPr>
            <w:pStyle w:val="TOC2"/>
            <w:rPr>
              <w:noProof/>
            </w:rPr>
          </w:pPr>
          <w:hyperlink w:anchor="_Toc62129176" w:history="1">
            <w:r w:rsidR="001A4BC2" w:rsidRPr="00C95943">
              <w:rPr>
                <w:rStyle w:val="Hyperlink"/>
                <w:noProof/>
              </w:rPr>
              <w:t>11.7.</w:t>
            </w:r>
            <w:r w:rsidR="001A4BC2">
              <w:rPr>
                <w:noProof/>
              </w:rPr>
              <w:tab/>
            </w:r>
            <w:r w:rsidR="001A4BC2" w:rsidRPr="00C95943">
              <w:rPr>
                <w:rStyle w:val="Hyperlink"/>
                <w:noProof/>
              </w:rPr>
              <w:t>Procedures for Reporting any Deviation(s) from the Original Statistical Plan</w:t>
            </w:r>
            <w:r w:rsidR="001A4BC2">
              <w:rPr>
                <w:noProof/>
                <w:webHidden/>
              </w:rPr>
              <w:tab/>
            </w:r>
            <w:r w:rsidR="001A4BC2">
              <w:rPr>
                <w:noProof/>
                <w:webHidden/>
              </w:rPr>
              <w:fldChar w:fldCharType="begin"/>
            </w:r>
            <w:r w:rsidR="001A4BC2">
              <w:rPr>
                <w:noProof/>
                <w:webHidden/>
              </w:rPr>
              <w:instrText xml:space="preserve"> PAGEREF _Toc62129176 \h </w:instrText>
            </w:r>
            <w:r w:rsidR="001A4BC2">
              <w:rPr>
                <w:noProof/>
                <w:webHidden/>
              </w:rPr>
            </w:r>
            <w:r w:rsidR="001A4BC2">
              <w:rPr>
                <w:noProof/>
                <w:webHidden/>
              </w:rPr>
              <w:fldChar w:fldCharType="separate"/>
            </w:r>
            <w:r w:rsidR="001A4BC2">
              <w:rPr>
                <w:noProof/>
                <w:webHidden/>
              </w:rPr>
              <w:t>33</w:t>
            </w:r>
            <w:r w:rsidR="001A4BC2">
              <w:rPr>
                <w:noProof/>
                <w:webHidden/>
              </w:rPr>
              <w:fldChar w:fldCharType="end"/>
            </w:r>
          </w:hyperlink>
        </w:p>
        <w:p w14:paraId="5331C374" w14:textId="67BE681D" w:rsidR="001A4BC2" w:rsidRDefault="000228E3">
          <w:pPr>
            <w:pStyle w:val="TOC1"/>
            <w:rPr>
              <w:noProof/>
            </w:rPr>
          </w:pPr>
          <w:hyperlink w:anchor="_Toc62129177" w:history="1">
            <w:r w:rsidR="001A4BC2" w:rsidRPr="00C95943">
              <w:rPr>
                <w:rStyle w:val="Hyperlink"/>
                <w:noProof/>
                <w14:scene3d>
                  <w14:camera w14:prst="orthographicFront"/>
                  <w14:lightRig w14:rig="threePt" w14:dir="t">
                    <w14:rot w14:lat="0" w14:lon="0" w14:rev="0"/>
                  </w14:lightRig>
                </w14:scene3d>
              </w:rPr>
              <w:t>12.</w:t>
            </w:r>
            <w:r w:rsidR="001A4BC2">
              <w:rPr>
                <w:noProof/>
              </w:rPr>
              <w:tab/>
            </w:r>
            <w:r w:rsidR="001A4BC2" w:rsidRPr="00C95943">
              <w:rPr>
                <w:rStyle w:val="Hyperlink"/>
                <w:noProof/>
              </w:rPr>
              <w:t>DATA MANAGEMENT</w:t>
            </w:r>
            <w:r w:rsidR="001A4BC2">
              <w:rPr>
                <w:noProof/>
                <w:webHidden/>
              </w:rPr>
              <w:tab/>
            </w:r>
            <w:r w:rsidR="001A4BC2">
              <w:rPr>
                <w:noProof/>
                <w:webHidden/>
              </w:rPr>
              <w:fldChar w:fldCharType="begin"/>
            </w:r>
            <w:r w:rsidR="001A4BC2">
              <w:rPr>
                <w:noProof/>
                <w:webHidden/>
              </w:rPr>
              <w:instrText xml:space="preserve"> PAGEREF _Toc62129177 \h </w:instrText>
            </w:r>
            <w:r w:rsidR="001A4BC2">
              <w:rPr>
                <w:noProof/>
                <w:webHidden/>
              </w:rPr>
            </w:r>
            <w:r w:rsidR="001A4BC2">
              <w:rPr>
                <w:noProof/>
                <w:webHidden/>
              </w:rPr>
              <w:fldChar w:fldCharType="separate"/>
            </w:r>
            <w:r w:rsidR="001A4BC2">
              <w:rPr>
                <w:noProof/>
                <w:webHidden/>
              </w:rPr>
              <w:t>34</w:t>
            </w:r>
            <w:r w:rsidR="001A4BC2">
              <w:rPr>
                <w:noProof/>
                <w:webHidden/>
              </w:rPr>
              <w:fldChar w:fldCharType="end"/>
            </w:r>
          </w:hyperlink>
        </w:p>
        <w:p w14:paraId="3724257D" w14:textId="0C577C75" w:rsidR="001A4BC2" w:rsidRDefault="000228E3">
          <w:pPr>
            <w:pStyle w:val="TOC2"/>
            <w:rPr>
              <w:noProof/>
            </w:rPr>
          </w:pPr>
          <w:hyperlink w:anchor="_Toc62129178" w:history="1">
            <w:r w:rsidR="001A4BC2" w:rsidRPr="00C95943">
              <w:rPr>
                <w:rStyle w:val="Hyperlink"/>
                <w:noProof/>
              </w:rPr>
              <w:t>12.1.</w:t>
            </w:r>
            <w:r w:rsidR="001A4BC2">
              <w:rPr>
                <w:noProof/>
              </w:rPr>
              <w:tab/>
            </w:r>
            <w:r w:rsidR="001A4BC2" w:rsidRPr="00C95943">
              <w:rPr>
                <w:rStyle w:val="Hyperlink"/>
                <w:noProof/>
              </w:rPr>
              <w:t>Source Data</w:t>
            </w:r>
            <w:r w:rsidR="001A4BC2">
              <w:rPr>
                <w:noProof/>
                <w:webHidden/>
              </w:rPr>
              <w:tab/>
            </w:r>
            <w:r w:rsidR="001A4BC2">
              <w:rPr>
                <w:noProof/>
                <w:webHidden/>
              </w:rPr>
              <w:fldChar w:fldCharType="begin"/>
            </w:r>
            <w:r w:rsidR="001A4BC2">
              <w:rPr>
                <w:noProof/>
                <w:webHidden/>
              </w:rPr>
              <w:instrText xml:space="preserve"> PAGEREF _Toc62129178 \h </w:instrText>
            </w:r>
            <w:r w:rsidR="001A4BC2">
              <w:rPr>
                <w:noProof/>
                <w:webHidden/>
              </w:rPr>
            </w:r>
            <w:r w:rsidR="001A4BC2">
              <w:rPr>
                <w:noProof/>
                <w:webHidden/>
              </w:rPr>
              <w:fldChar w:fldCharType="separate"/>
            </w:r>
            <w:r w:rsidR="001A4BC2">
              <w:rPr>
                <w:noProof/>
                <w:webHidden/>
              </w:rPr>
              <w:t>34</w:t>
            </w:r>
            <w:r w:rsidR="001A4BC2">
              <w:rPr>
                <w:noProof/>
                <w:webHidden/>
              </w:rPr>
              <w:fldChar w:fldCharType="end"/>
            </w:r>
          </w:hyperlink>
        </w:p>
        <w:p w14:paraId="00BEF8EB" w14:textId="7617EBF5" w:rsidR="001A4BC2" w:rsidRDefault="000228E3">
          <w:pPr>
            <w:pStyle w:val="TOC2"/>
            <w:rPr>
              <w:noProof/>
            </w:rPr>
          </w:pPr>
          <w:hyperlink w:anchor="_Toc62129179" w:history="1">
            <w:r w:rsidR="001A4BC2" w:rsidRPr="00C95943">
              <w:rPr>
                <w:rStyle w:val="Hyperlink"/>
                <w:noProof/>
              </w:rPr>
              <w:t>12.2.</w:t>
            </w:r>
            <w:r w:rsidR="001A4BC2">
              <w:rPr>
                <w:noProof/>
              </w:rPr>
              <w:tab/>
            </w:r>
            <w:r w:rsidR="001A4BC2" w:rsidRPr="00C95943">
              <w:rPr>
                <w:rStyle w:val="Hyperlink"/>
                <w:noProof/>
              </w:rPr>
              <w:t>Access to Data</w:t>
            </w:r>
            <w:r w:rsidR="001A4BC2">
              <w:rPr>
                <w:noProof/>
                <w:webHidden/>
              </w:rPr>
              <w:tab/>
            </w:r>
            <w:r w:rsidR="001A4BC2">
              <w:rPr>
                <w:noProof/>
                <w:webHidden/>
              </w:rPr>
              <w:fldChar w:fldCharType="begin"/>
            </w:r>
            <w:r w:rsidR="001A4BC2">
              <w:rPr>
                <w:noProof/>
                <w:webHidden/>
              </w:rPr>
              <w:instrText xml:space="preserve"> PAGEREF _Toc62129179 \h </w:instrText>
            </w:r>
            <w:r w:rsidR="001A4BC2">
              <w:rPr>
                <w:noProof/>
                <w:webHidden/>
              </w:rPr>
            </w:r>
            <w:r w:rsidR="001A4BC2">
              <w:rPr>
                <w:noProof/>
                <w:webHidden/>
              </w:rPr>
              <w:fldChar w:fldCharType="separate"/>
            </w:r>
            <w:r w:rsidR="001A4BC2">
              <w:rPr>
                <w:noProof/>
                <w:webHidden/>
              </w:rPr>
              <w:t>34</w:t>
            </w:r>
            <w:r w:rsidR="001A4BC2">
              <w:rPr>
                <w:noProof/>
                <w:webHidden/>
              </w:rPr>
              <w:fldChar w:fldCharType="end"/>
            </w:r>
          </w:hyperlink>
        </w:p>
        <w:p w14:paraId="395FEDF1" w14:textId="5DF3910D" w:rsidR="001A4BC2" w:rsidRDefault="000228E3">
          <w:pPr>
            <w:pStyle w:val="TOC2"/>
            <w:rPr>
              <w:noProof/>
            </w:rPr>
          </w:pPr>
          <w:hyperlink w:anchor="_Toc62129180" w:history="1">
            <w:r w:rsidR="001A4BC2" w:rsidRPr="00C95943">
              <w:rPr>
                <w:rStyle w:val="Hyperlink"/>
                <w:noProof/>
              </w:rPr>
              <w:t>12.3.</w:t>
            </w:r>
            <w:r w:rsidR="001A4BC2">
              <w:rPr>
                <w:noProof/>
              </w:rPr>
              <w:tab/>
            </w:r>
            <w:r w:rsidR="001A4BC2" w:rsidRPr="00C95943">
              <w:rPr>
                <w:rStyle w:val="Hyperlink"/>
                <w:noProof/>
              </w:rPr>
              <w:t>Data Recording and Record Keeping</w:t>
            </w:r>
            <w:r w:rsidR="001A4BC2">
              <w:rPr>
                <w:noProof/>
                <w:webHidden/>
              </w:rPr>
              <w:tab/>
            </w:r>
            <w:r w:rsidR="001A4BC2">
              <w:rPr>
                <w:noProof/>
                <w:webHidden/>
              </w:rPr>
              <w:fldChar w:fldCharType="begin"/>
            </w:r>
            <w:r w:rsidR="001A4BC2">
              <w:rPr>
                <w:noProof/>
                <w:webHidden/>
              </w:rPr>
              <w:instrText xml:space="preserve"> PAGEREF _Toc62129180 \h </w:instrText>
            </w:r>
            <w:r w:rsidR="001A4BC2">
              <w:rPr>
                <w:noProof/>
                <w:webHidden/>
              </w:rPr>
            </w:r>
            <w:r w:rsidR="001A4BC2">
              <w:rPr>
                <w:noProof/>
                <w:webHidden/>
              </w:rPr>
              <w:fldChar w:fldCharType="separate"/>
            </w:r>
            <w:r w:rsidR="001A4BC2">
              <w:rPr>
                <w:noProof/>
                <w:webHidden/>
              </w:rPr>
              <w:t>34</w:t>
            </w:r>
            <w:r w:rsidR="001A4BC2">
              <w:rPr>
                <w:noProof/>
                <w:webHidden/>
              </w:rPr>
              <w:fldChar w:fldCharType="end"/>
            </w:r>
          </w:hyperlink>
        </w:p>
        <w:p w14:paraId="30381497" w14:textId="3D8CF7E5" w:rsidR="001A4BC2" w:rsidRDefault="000228E3">
          <w:pPr>
            <w:pStyle w:val="TOC1"/>
            <w:rPr>
              <w:noProof/>
            </w:rPr>
          </w:pPr>
          <w:hyperlink w:anchor="_Toc62129181" w:history="1">
            <w:r w:rsidR="001A4BC2" w:rsidRPr="00C95943">
              <w:rPr>
                <w:rStyle w:val="Hyperlink"/>
                <w:noProof/>
                <w14:scene3d>
                  <w14:camera w14:prst="orthographicFront"/>
                  <w14:lightRig w14:rig="threePt" w14:dir="t">
                    <w14:rot w14:lat="0" w14:lon="0" w14:rev="0"/>
                  </w14:lightRig>
                </w14:scene3d>
              </w:rPr>
              <w:t>13.</w:t>
            </w:r>
            <w:r w:rsidR="001A4BC2">
              <w:rPr>
                <w:noProof/>
              </w:rPr>
              <w:tab/>
            </w:r>
            <w:r w:rsidR="001A4BC2" w:rsidRPr="00C95943">
              <w:rPr>
                <w:rStyle w:val="Hyperlink"/>
                <w:noProof/>
              </w:rPr>
              <w:t>QUALITY ASSURANCE PROCEDURES</w:t>
            </w:r>
            <w:r w:rsidR="001A4BC2">
              <w:rPr>
                <w:noProof/>
                <w:webHidden/>
              </w:rPr>
              <w:tab/>
            </w:r>
            <w:r w:rsidR="001A4BC2">
              <w:rPr>
                <w:noProof/>
                <w:webHidden/>
              </w:rPr>
              <w:fldChar w:fldCharType="begin"/>
            </w:r>
            <w:r w:rsidR="001A4BC2">
              <w:rPr>
                <w:noProof/>
                <w:webHidden/>
              </w:rPr>
              <w:instrText xml:space="preserve"> PAGEREF _Toc62129181 \h </w:instrText>
            </w:r>
            <w:r w:rsidR="001A4BC2">
              <w:rPr>
                <w:noProof/>
                <w:webHidden/>
              </w:rPr>
            </w:r>
            <w:r w:rsidR="001A4BC2">
              <w:rPr>
                <w:noProof/>
                <w:webHidden/>
              </w:rPr>
              <w:fldChar w:fldCharType="separate"/>
            </w:r>
            <w:r w:rsidR="001A4BC2">
              <w:rPr>
                <w:noProof/>
                <w:webHidden/>
              </w:rPr>
              <w:t>35</w:t>
            </w:r>
            <w:r w:rsidR="001A4BC2">
              <w:rPr>
                <w:noProof/>
                <w:webHidden/>
              </w:rPr>
              <w:fldChar w:fldCharType="end"/>
            </w:r>
          </w:hyperlink>
        </w:p>
        <w:p w14:paraId="727AA238" w14:textId="4DD5AF70" w:rsidR="001A4BC2" w:rsidRDefault="000228E3">
          <w:pPr>
            <w:pStyle w:val="TOC1"/>
            <w:rPr>
              <w:noProof/>
            </w:rPr>
          </w:pPr>
          <w:hyperlink w:anchor="_Toc62129182" w:history="1">
            <w:r w:rsidR="001A4BC2" w:rsidRPr="00C95943">
              <w:rPr>
                <w:rStyle w:val="Hyperlink"/>
                <w:noProof/>
                <w14:scene3d>
                  <w14:camera w14:prst="orthographicFront"/>
                  <w14:lightRig w14:rig="threePt" w14:dir="t">
                    <w14:rot w14:lat="0" w14:lon="0" w14:rev="0"/>
                  </w14:lightRig>
                </w14:scene3d>
              </w:rPr>
              <w:t>14.</w:t>
            </w:r>
            <w:r w:rsidR="001A4BC2">
              <w:rPr>
                <w:noProof/>
              </w:rPr>
              <w:tab/>
            </w:r>
            <w:r w:rsidR="001A4BC2" w:rsidRPr="00C95943">
              <w:rPr>
                <w:rStyle w:val="Hyperlink"/>
                <w:noProof/>
              </w:rPr>
              <w:t>PROTOCOL DEVIATIONS</w:t>
            </w:r>
            <w:r w:rsidR="001A4BC2">
              <w:rPr>
                <w:noProof/>
                <w:webHidden/>
              </w:rPr>
              <w:tab/>
            </w:r>
            <w:r w:rsidR="001A4BC2">
              <w:rPr>
                <w:noProof/>
                <w:webHidden/>
              </w:rPr>
              <w:fldChar w:fldCharType="begin"/>
            </w:r>
            <w:r w:rsidR="001A4BC2">
              <w:rPr>
                <w:noProof/>
                <w:webHidden/>
              </w:rPr>
              <w:instrText xml:space="preserve"> PAGEREF _Toc62129182 \h </w:instrText>
            </w:r>
            <w:r w:rsidR="001A4BC2">
              <w:rPr>
                <w:noProof/>
                <w:webHidden/>
              </w:rPr>
            </w:r>
            <w:r w:rsidR="001A4BC2">
              <w:rPr>
                <w:noProof/>
                <w:webHidden/>
              </w:rPr>
              <w:fldChar w:fldCharType="separate"/>
            </w:r>
            <w:r w:rsidR="001A4BC2">
              <w:rPr>
                <w:noProof/>
                <w:webHidden/>
              </w:rPr>
              <w:t>35</w:t>
            </w:r>
            <w:r w:rsidR="001A4BC2">
              <w:rPr>
                <w:noProof/>
                <w:webHidden/>
              </w:rPr>
              <w:fldChar w:fldCharType="end"/>
            </w:r>
          </w:hyperlink>
        </w:p>
        <w:p w14:paraId="65AE357A" w14:textId="38EDE98C" w:rsidR="001A4BC2" w:rsidRDefault="000228E3">
          <w:pPr>
            <w:pStyle w:val="TOC1"/>
            <w:rPr>
              <w:noProof/>
            </w:rPr>
          </w:pPr>
          <w:hyperlink w:anchor="_Toc62129183" w:history="1">
            <w:r w:rsidR="001A4BC2" w:rsidRPr="00C95943">
              <w:rPr>
                <w:rStyle w:val="Hyperlink"/>
                <w:noProof/>
                <w14:scene3d>
                  <w14:camera w14:prst="orthographicFront"/>
                  <w14:lightRig w14:rig="threePt" w14:dir="t">
                    <w14:rot w14:lat="0" w14:lon="0" w14:rev="0"/>
                  </w14:lightRig>
                </w14:scene3d>
              </w:rPr>
              <w:t>15.</w:t>
            </w:r>
            <w:r w:rsidR="001A4BC2">
              <w:rPr>
                <w:noProof/>
              </w:rPr>
              <w:tab/>
            </w:r>
            <w:r w:rsidR="001A4BC2" w:rsidRPr="00C95943">
              <w:rPr>
                <w:rStyle w:val="Hyperlink"/>
                <w:noProof/>
              </w:rPr>
              <w:t>SERIOUS BREACHES</w:t>
            </w:r>
            <w:r w:rsidR="001A4BC2">
              <w:rPr>
                <w:noProof/>
                <w:webHidden/>
              </w:rPr>
              <w:tab/>
            </w:r>
            <w:r w:rsidR="001A4BC2">
              <w:rPr>
                <w:noProof/>
                <w:webHidden/>
              </w:rPr>
              <w:fldChar w:fldCharType="begin"/>
            </w:r>
            <w:r w:rsidR="001A4BC2">
              <w:rPr>
                <w:noProof/>
                <w:webHidden/>
              </w:rPr>
              <w:instrText xml:space="preserve"> PAGEREF _Toc62129183 \h </w:instrText>
            </w:r>
            <w:r w:rsidR="001A4BC2">
              <w:rPr>
                <w:noProof/>
                <w:webHidden/>
              </w:rPr>
            </w:r>
            <w:r w:rsidR="001A4BC2">
              <w:rPr>
                <w:noProof/>
                <w:webHidden/>
              </w:rPr>
              <w:fldChar w:fldCharType="separate"/>
            </w:r>
            <w:r w:rsidR="001A4BC2">
              <w:rPr>
                <w:noProof/>
                <w:webHidden/>
              </w:rPr>
              <w:t>35</w:t>
            </w:r>
            <w:r w:rsidR="001A4BC2">
              <w:rPr>
                <w:noProof/>
                <w:webHidden/>
              </w:rPr>
              <w:fldChar w:fldCharType="end"/>
            </w:r>
          </w:hyperlink>
        </w:p>
        <w:p w14:paraId="67468254" w14:textId="52CD37B2" w:rsidR="001A4BC2" w:rsidRDefault="000228E3">
          <w:pPr>
            <w:pStyle w:val="TOC1"/>
            <w:rPr>
              <w:noProof/>
            </w:rPr>
          </w:pPr>
          <w:hyperlink w:anchor="_Toc62129184" w:history="1">
            <w:r w:rsidR="001A4BC2" w:rsidRPr="00C95943">
              <w:rPr>
                <w:rStyle w:val="Hyperlink"/>
                <w:noProof/>
                <w14:scene3d>
                  <w14:camera w14:prst="orthographicFront"/>
                  <w14:lightRig w14:rig="threePt" w14:dir="t">
                    <w14:rot w14:lat="0" w14:lon="0" w14:rev="0"/>
                  </w14:lightRig>
                </w14:scene3d>
              </w:rPr>
              <w:t>16.</w:t>
            </w:r>
            <w:r w:rsidR="001A4BC2">
              <w:rPr>
                <w:noProof/>
              </w:rPr>
              <w:tab/>
            </w:r>
            <w:r w:rsidR="001A4BC2" w:rsidRPr="00C95943">
              <w:rPr>
                <w:rStyle w:val="Hyperlink"/>
                <w:noProof/>
              </w:rPr>
              <w:t>ETHICAL AND REGULATORY CONSIDERATIONS</w:t>
            </w:r>
            <w:r w:rsidR="001A4BC2">
              <w:rPr>
                <w:noProof/>
                <w:webHidden/>
              </w:rPr>
              <w:tab/>
            </w:r>
            <w:r w:rsidR="001A4BC2">
              <w:rPr>
                <w:noProof/>
                <w:webHidden/>
              </w:rPr>
              <w:fldChar w:fldCharType="begin"/>
            </w:r>
            <w:r w:rsidR="001A4BC2">
              <w:rPr>
                <w:noProof/>
                <w:webHidden/>
              </w:rPr>
              <w:instrText xml:space="preserve"> PAGEREF _Toc62129184 \h </w:instrText>
            </w:r>
            <w:r w:rsidR="001A4BC2">
              <w:rPr>
                <w:noProof/>
                <w:webHidden/>
              </w:rPr>
            </w:r>
            <w:r w:rsidR="001A4BC2">
              <w:rPr>
                <w:noProof/>
                <w:webHidden/>
              </w:rPr>
              <w:fldChar w:fldCharType="separate"/>
            </w:r>
            <w:r w:rsidR="001A4BC2">
              <w:rPr>
                <w:noProof/>
                <w:webHidden/>
              </w:rPr>
              <w:t>35</w:t>
            </w:r>
            <w:r w:rsidR="001A4BC2">
              <w:rPr>
                <w:noProof/>
                <w:webHidden/>
              </w:rPr>
              <w:fldChar w:fldCharType="end"/>
            </w:r>
          </w:hyperlink>
        </w:p>
        <w:p w14:paraId="1702B7C5" w14:textId="316CA7B8" w:rsidR="001A4BC2" w:rsidRDefault="000228E3">
          <w:pPr>
            <w:pStyle w:val="TOC2"/>
            <w:rPr>
              <w:noProof/>
            </w:rPr>
          </w:pPr>
          <w:hyperlink w:anchor="_Toc62129185" w:history="1">
            <w:r w:rsidR="001A4BC2" w:rsidRPr="00C95943">
              <w:rPr>
                <w:rStyle w:val="Hyperlink"/>
                <w:noProof/>
              </w:rPr>
              <w:t>16.1.</w:t>
            </w:r>
            <w:r w:rsidR="001A4BC2">
              <w:rPr>
                <w:noProof/>
              </w:rPr>
              <w:tab/>
            </w:r>
            <w:r w:rsidR="001A4BC2" w:rsidRPr="00C95943">
              <w:rPr>
                <w:rStyle w:val="Hyperlink"/>
                <w:noProof/>
              </w:rPr>
              <w:t>Declaration of Helsinki</w:t>
            </w:r>
            <w:r w:rsidR="001A4BC2">
              <w:rPr>
                <w:noProof/>
                <w:webHidden/>
              </w:rPr>
              <w:tab/>
            </w:r>
            <w:r w:rsidR="001A4BC2">
              <w:rPr>
                <w:noProof/>
                <w:webHidden/>
              </w:rPr>
              <w:fldChar w:fldCharType="begin"/>
            </w:r>
            <w:r w:rsidR="001A4BC2">
              <w:rPr>
                <w:noProof/>
                <w:webHidden/>
              </w:rPr>
              <w:instrText xml:space="preserve"> PAGEREF _Toc62129185 \h </w:instrText>
            </w:r>
            <w:r w:rsidR="001A4BC2">
              <w:rPr>
                <w:noProof/>
                <w:webHidden/>
              </w:rPr>
            </w:r>
            <w:r w:rsidR="001A4BC2">
              <w:rPr>
                <w:noProof/>
                <w:webHidden/>
              </w:rPr>
              <w:fldChar w:fldCharType="separate"/>
            </w:r>
            <w:r w:rsidR="001A4BC2">
              <w:rPr>
                <w:noProof/>
                <w:webHidden/>
              </w:rPr>
              <w:t>35</w:t>
            </w:r>
            <w:r w:rsidR="001A4BC2">
              <w:rPr>
                <w:noProof/>
                <w:webHidden/>
              </w:rPr>
              <w:fldChar w:fldCharType="end"/>
            </w:r>
          </w:hyperlink>
        </w:p>
        <w:p w14:paraId="5E50BF94" w14:textId="7B0886B8" w:rsidR="001A4BC2" w:rsidRDefault="000228E3">
          <w:pPr>
            <w:pStyle w:val="TOC2"/>
            <w:rPr>
              <w:noProof/>
            </w:rPr>
          </w:pPr>
          <w:hyperlink w:anchor="_Toc62129186" w:history="1">
            <w:r w:rsidR="001A4BC2" w:rsidRPr="00C95943">
              <w:rPr>
                <w:rStyle w:val="Hyperlink"/>
                <w:noProof/>
              </w:rPr>
              <w:t>16.2.</w:t>
            </w:r>
            <w:r w:rsidR="001A4BC2">
              <w:rPr>
                <w:noProof/>
              </w:rPr>
              <w:tab/>
            </w:r>
            <w:r w:rsidR="001A4BC2" w:rsidRPr="00C95943">
              <w:rPr>
                <w:rStyle w:val="Hyperlink"/>
                <w:noProof/>
              </w:rPr>
              <w:t>Guidelines for Good Clinical Practice</w:t>
            </w:r>
            <w:r w:rsidR="001A4BC2">
              <w:rPr>
                <w:noProof/>
                <w:webHidden/>
              </w:rPr>
              <w:tab/>
            </w:r>
            <w:r w:rsidR="001A4BC2">
              <w:rPr>
                <w:noProof/>
                <w:webHidden/>
              </w:rPr>
              <w:fldChar w:fldCharType="begin"/>
            </w:r>
            <w:r w:rsidR="001A4BC2">
              <w:rPr>
                <w:noProof/>
                <w:webHidden/>
              </w:rPr>
              <w:instrText xml:space="preserve"> PAGEREF _Toc62129186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5AD287C0" w14:textId="48FD1254" w:rsidR="001A4BC2" w:rsidRDefault="000228E3">
          <w:pPr>
            <w:pStyle w:val="TOC2"/>
            <w:rPr>
              <w:noProof/>
            </w:rPr>
          </w:pPr>
          <w:hyperlink w:anchor="_Toc62129187" w:history="1">
            <w:r w:rsidR="001A4BC2" w:rsidRPr="00C95943">
              <w:rPr>
                <w:rStyle w:val="Hyperlink"/>
                <w:noProof/>
              </w:rPr>
              <w:t>16.3.</w:t>
            </w:r>
            <w:r w:rsidR="001A4BC2">
              <w:rPr>
                <w:noProof/>
              </w:rPr>
              <w:tab/>
            </w:r>
            <w:r w:rsidR="001A4BC2" w:rsidRPr="00C95943">
              <w:rPr>
                <w:rStyle w:val="Hyperlink"/>
                <w:noProof/>
              </w:rPr>
              <w:t>Approvals</w:t>
            </w:r>
            <w:r w:rsidR="001A4BC2">
              <w:rPr>
                <w:noProof/>
                <w:webHidden/>
              </w:rPr>
              <w:tab/>
            </w:r>
            <w:r w:rsidR="001A4BC2">
              <w:rPr>
                <w:noProof/>
                <w:webHidden/>
              </w:rPr>
              <w:fldChar w:fldCharType="begin"/>
            </w:r>
            <w:r w:rsidR="001A4BC2">
              <w:rPr>
                <w:noProof/>
                <w:webHidden/>
              </w:rPr>
              <w:instrText xml:space="preserve"> PAGEREF _Toc62129187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59AEBBAC" w14:textId="72AEA083" w:rsidR="001A4BC2" w:rsidRDefault="000228E3">
          <w:pPr>
            <w:pStyle w:val="TOC2"/>
            <w:rPr>
              <w:noProof/>
            </w:rPr>
          </w:pPr>
          <w:hyperlink w:anchor="_Toc62129188" w:history="1">
            <w:r w:rsidR="001A4BC2" w:rsidRPr="00C95943">
              <w:rPr>
                <w:rStyle w:val="Hyperlink"/>
                <w:noProof/>
              </w:rPr>
              <w:t>16.4.</w:t>
            </w:r>
            <w:r w:rsidR="001A4BC2">
              <w:rPr>
                <w:noProof/>
              </w:rPr>
              <w:tab/>
            </w:r>
            <w:r w:rsidR="001A4BC2" w:rsidRPr="00C95943">
              <w:rPr>
                <w:rStyle w:val="Hyperlink"/>
                <w:noProof/>
              </w:rPr>
              <w:t>Reporting</w:t>
            </w:r>
            <w:r w:rsidR="001A4BC2">
              <w:rPr>
                <w:noProof/>
                <w:webHidden/>
              </w:rPr>
              <w:tab/>
            </w:r>
            <w:r w:rsidR="001A4BC2">
              <w:rPr>
                <w:noProof/>
                <w:webHidden/>
              </w:rPr>
              <w:fldChar w:fldCharType="begin"/>
            </w:r>
            <w:r w:rsidR="001A4BC2">
              <w:rPr>
                <w:noProof/>
                <w:webHidden/>
              </w:rPr>
              <w:instrText xml:space="preserve"> PAGEREF _Toc62129188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1F62970B" w14:textId="799A5C81" w:rsidR="001A4BC2" w:rsidRDefault="000228E3">
          <w:pPr>
            <w:pStyle w:val="TOC2"/>
            <w:rPr>
              <w:noProof/>
            </w:rPr>
          </w:pPr>
          <w:hyperlink w:anchor="_Toc62129189" w:history="1">
            <w:r w:rsidR="001A4BC2" w:rsidRPr="00C95943">
              <w:rPr>
                <w:rStyle w:val="Hyperlink"/>
                <w:noProof/>
              </w:rPr>
              <w:t>16.5.</w:t>
            </w:r>
            <w:r w:rsidR="001A4BC2">
              <w:rPr>
                <w:noProof/>
              </w:rPr>
              <w:tab/>
            </w:r>
            <w:r w:rsidR="001A4BC2" w:rsidRPr="00C95943">
              <w:rPr>
                <w:rStyle w:val="Hyperlink"/>
                <w:noProof/>
              </w:rPr>
              <w:t>Participant Confidentiality</w:t>
            </w:r>
            <w:r w:rsidR="001A4BC2">
              <w:rPr>
                <w:noProof/>
                <w:webHidden/>
              </w:rPr>
              <w:tab/>
            </w:r>
            <w:r w:rsidR="001A4BC2">
              <w:rPr>
                <w:noProof/>
                <w:webHidden/>
              </w:rPr>
              <w:fldChar w:fldCharType="begin"/>
            </w:r>
            <w:r w:rsidR="001A4BC2">
              <w:rPr>
                <w:noProof/>
                <w:webHidden/>
              </w:rPr>
              <w:instrText xml:space="preserve"> PAGEREF _Toc62129189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24494781" w14:textId="3B3F6689" w:rsidR="001A4BC2" w:rsidRDefault="000228E3">
          <w:pPr>
            <w:pStyle w:val="TOC2"/>
            <w:rPr>
              <w:noProof/>
            </w:rPr>
          </w:pPr>
          <w:hyperlink w:anchor="_Toc62129190" w:history="1">
            <w:r w:rsidR="001A4BC2" w:rsidRPr="00C95943">
              <w:rPr>
                <w:rStyle w:val="Hyperlink"/>
                <w:noProof/>
              </w:rPr>
              <w:t>16.6.</w:t>
            </w:r>
            <w:r w:rsidR="001A4BC2">
              <w:rPr>
                <w:noProof/>
              </w:rPr>
              <w:tab/>
            </w:r>
            <w:r w:rsidR="001A4BC2" w:rsidRPr="00C95943">
              <w:rPr>
                <w:rStyle w:val="Hyperlink"/>
                <w:noProof/>
              </w:rPr>
              <w:t>Expenses and Benefits</w:t>
            </w:r>
            <w:r w:rsidR="001A4BC2">
              <w:rPr>
                <w:noProof/>
                <w:webHidden/>
              </w:rPr>
              <w:tab/>
            </w:r>
            <w:r w:rsidR="001A4BC2">
              <w:rPr>
                <w:noProof/>
                <w:webHidden/>
              </w:rPr>
              <w:fldChar w:fldCharType="begin"/>
            </w:r>
            <w:r w:rsidR="001A4BC2">
              <w:rPr>
                <w:noProof/>
                <w:webHidden/>
              </w:rPr>
              <w:instrText xml:space="preserve"> PAGEREF _Toc62129190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2A48F6C8" w14:textId="595CA2B9" w:rsidR="001A4BC2" w:rsidRDefault="000228E3">
          <w:pPr>
            <w:pStyle w:val="TOC1"/>
            <w:rPr>
              <w:noProof/>
            </w:rPr>
          </w:pPr>
          <w:hyperlink w:anchor="_Toc62129191" w:history="1">
            <w:r w:rsidR="001A4BC2" w:rsidRPr="00C95943">
              <w:rPr>
                <w:rStyle w:val="Hyperlink"/>
                <w:noProof/>
                <w14:scene3d>
                  <w14:camera w14:prst="orthographicFront"/>
                  <w14:lightRig w14:rig="threePt" w14:dir="t">
                    <w14:rot w14:lat="0" w14:lon="0" w14:rev="0"/>
                  </w14:lightRig>
                </w14:scene3d>
              </w:rPr>
              <w:t>17.</w:t>
            </w:r>
            <w:r w:rsidR="001A4BC2">
              <w:rPr>
                <w:noProof/>
              </w:rPr>
              <w:tab/>
            </w:r>
            <w:r w:rsidR="001A4BC2" w:rsidRPr="00C95943">
              <w:rPr>
                <w:rStyle w:val="Hyperlink"/>
                <w:noProof/>
              </w:rPr>
              <w:t>FINANCE AND INSURANCE</w:t>
            </w:r>
            <w:r w:rsidR="001A4BC2">
              <w:rPr>
                <w:noProof/>
                <w:webHidden/>
              </w:rPr>
              <w:tab/>
            </w:r>
            <w:r w:rsidR="001A4BC2">
              <w:rPr>
                <w:noProof/>
                <w:webHidden/>
              </w:rPr>
              <w:fldChar w:fldCharType="begin"/>
            </w:r>
            <w:r w:rsidR="001A4BC2">
              <w:rPr>
                <w:noProof/>
                <w:webHidden/>
              </w:rPr>
              <w:instrText xml:space="preserve"> PAGEREF _Toc62129191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4C30251B" w14:textId="077FCDC8" w:rsidR="001A4BC2" w:rsidRDefault="000228E3">
          <w:pPr>
            <w:pStyle w:val="TOC2"/>
            <w:rPr>
              <w:noProof/>
            </w:rPr>
          </w:pPr>
          <w:hyperlink w:anchor="_Toc62129192" w:history="1">
            <w:r w:rsidR="001A4BC2" w:rsidRPr="00C95943">
              <w:rPr>
                <w:rStyle w:val="Hyperlink"/>
                <w:noProof/>
              </w:rPr>
              <w:t>17.1.</w:t>
            </w:r>
            <w:r w:rsidR="001A4BC2">
              <w:rPr>
                <w:noProof/>
              </w:rPr>
              <w:tab/>
            </w:r>
            <w:r w:rsidR="001A4BC2" w:rsidRPr="00C95943">
              <w:rPr>
                <w:rStyle w:val="Hyperlink"/>
                <w:noProof/>
              </w:rPr>
              <w:t>Funding</w:t>
            </w:r>
            <w:r w:rsidR="001A4BC2">
              <w:rPr>
                <w:noProof/>
                <w:webHidden/>
              </w:rPr>
              <w:tab/>
            </w:r>
            <w:r w:rsidR="001A4BC2">
              <w:rPr>
                <w:noProof/>
                <w:webHidden/>
              </w:rPr>
              <w:fldChar w:fldCharType="begin"/>
            </w:r>
            <w:r w:rsidR="001A4BC2">
              <w:rPr>
                <w:noProof/>
                <w:webHidden/>
              </w:rPr>
              <w:instrText xml:space="preserve"> PAGEREF _Toc62129192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6E0C5D77" w14:textId="4D674901" w:rsidR="001A4BC2" w:rsidRDefault="000228E3">
          <w:pPr>
            <w:pStyle w:val="TOC2"/>
            <w:rPr>
              <w:noProof/>
            </w:rPr>
          </w:pPr>
          <w:hyperlink w:anchor="_Toc62129193" w:history="1">
            <w:r w:rsidR="001A4BC2" w:rsidRPr="00C95943">
              <w:rPr>
                <w:rStyle w:val="Hyperlink"/>
                <w:noProof/>
              </w:rPr>
              <w:t>17.2.</w:t>
            </w:r>
            <w:r w:rsidR="001A4BC2">
              <w:rPr>
                <w:noProof/>
              </w:rPr>
              <w:tab/>
            </w:r>
            <w:r w:rsidR="001A4BC2" w:rsidRPr="00C95943">
              <w:rPr>
                <w:rStyle w:val="Hyperlink"/>
                <w:noProof/>
              </w:rPr>
              <w:t>Insurance</w:t>
            </w:r>
            <w:r w:rsidR="001A4BC2">
              <w:rPr>
                <w:noProof/>
                <w:webHidden/>
              </w:rPr>
              <w:tab/>
            </w:r>
            <w:r w:rsidR="001A4BC2">
              <w:rPr>
                <w:noProof/>
                <w:webHidden/>
              </w:rPr>
              <w:fldChar w:fldCharType="begin"/>
            </w:r>
            <w:r w:rsidR="001A4BC2">
              <w:rPr>
                <w:noProof/>
                <w:webHidden/>
              </w:rPr>
              <w:instrText xml:space="preserve"> PAGEREF _Toc62129193 \h </w:instrText>
            </w:r>
            <w:r w:rsidR="001A4BC2">
              <w:rPr>
                <w:noProof/>
                <w:webHidden/>
              </w:rPr>
            </w:r>
            <w:r w:rsidR="001A4BC2">
              <w:rPr>
                <w:noProof/>
                <w:webHidden/>
              </w:rPr>
              <w:fldChar w:fldCharType="separate"/>
            </w:r>
            <w:r w:rsidR="001A4BC2">
              <w:rPr>
                <w:noProof/>
                <w:webHidden/>
              </w:rPr>
              <w:t>36</w:t>
            </w:r>
            <w:r w:rsidR="001A4BC2">
              <w:rPr>
                <w:noProof/>
                <w:webHidden/>
              </w:rPr>
              <w:fldChar w:fldCharType="end"/>
            </w:r>
          </w:hyperlink>
        </w:p>
        <w:p w14:paraId="6B6A8435" w14:textId="7AECD940" w:rsidR="001A4BC2" w:rsidRDefault="000228E3">
          <w:pPr>
            <w:pStyle w:val="TOC2"/>
            <w:rPr>
              <w:noProof/>
            </w:rPr>
          </w:pPr>
          <w:hyperlink w:anchor="_Toc62129194" w:history="1">
            <w:r w:rsidR="001A4BC2" w:rsidRPr="00C95943">
              <w:rPr>
                <w:rStyle w:val="Hyperlink"/>
                <w:noProof/>
              </w:rPr>
              <w:t>17.3.</w:t>
            </w:r>
            <w:r w:rsidR="001A4BC2">
              <w:rPr>
                <w:noProof/>
              </w:rPr>
              <w:tab/>
            </w:r>
            <w:r w:rsidR="001A4BC2" w:rsidRPr="00C95943">
              <w:rPr>
                <w:rStyle w:val="Hyperlink"/>
                <w:noProof/>
              </w:rPr>
              <w:t>Contractual arrangements</w:t>
            </w:r>
            <w:r w:rsidR="001A4BC2">
              <w:rPr>
                <w:noProof/>
                <w:webHidden/>
              </w:rPr>
              <w:tab/>
            </w:r>
            <w:r w:rsidR="001A4BC2">
              <w:rPr>
                <w:noProof/>
                <w:webHidden/>
              </w:rPr>
              <w:fldChar w:fldCharType="begin"/>
            </w:r>
            <w:r w:rsidR="001A4BC2">
              <w:rPr>
                <w:noProof/>
                <w:webHidden/>
              </w:rPr>
              <w:instrText xml:space="preserve"> PAGEREF _Toc62129194 \h </w:instrText>
            </w:r>
            <w:r w:rsidR="001A4BC2">
              <w:rPr>
                <w:noProof/>
                <w:webHidden/>
              </w:rPr>
            </w:r>
            <w:r w:rsidR="001A4BC2">
              <w:rPr>
                <w:noProof/>
                <w:webHidden/>
              </w:rPr>
              <w:fldChar w:fldCharType="separate"/>
            </w:r>
            <w:r w:rsidR="001A4BC2">
              <w:rPr>
                <w:noProof/>
                <w:webHidden/>
              </w:rPr>
              <w:t>37</w:t>
            </w:r>
            <w:r w:rsidR="001A4BC2">
              <w:rPr>
                <w:noProof/>
                <w:webHidden/>
              </w:rPr>
              <w:fldChar w:fldCharType="end"/>
            </w:r>
          </w:hyperlink>
        </w:p>
        <w:p w14:paraId="705EC755" w14:textId="6D7D69D2" w:rsidR="001A4BC2" w:rsidRDefault="000228E3">
          <w:pPr>
            <w:pStyle w:val="TOC1"/>
            <w:rPr>
              <w:noProof/>
            </w:rPr>
          </w:pPr>
          <w:hyperlink w:anchor="_Toc62129195" w:history="1">
            <w:r w:rsidR="001A4BC2" w:rsidRPr="00C95943">
              <w:rPr>
                <w:rStyle w:val="Hyperlink"/>
                <w:noProof/>
                <w14:scene3d>
                  <w14:camera w14:prst="orthographicFront"/>
                  <w14:lightRig w14:rig="threePt" w14:dir="t">
                    <w14:rot w14:lat="0" w14:lon="0" w14:rev="0"/>
                  </w14:lightRig>
                </w14:scene3d>
              </w:rPr>
              <w:t>18.</w:t>
            </w:r>
            <w:r w:rsidR="001A4BC2">
              <w:rPr>
                <w:noProof/>
              </w:rPr>
              <w:tab/>
            </w:r>
            <w:r w:rsidR="001A4BC2" w:rsidRPr="00C95943">
              <w:rPr>
                <w:rStyle w:val="Hyperlink"/>
                <w:noProof/>
              </w:rPr>
              <w:t>PUBLICATION POLICY</w:t>
            </w:r>
            <w:r w:rsidR="001A4BC2">
              <w:rPr>
                <w:noProof/>
                <w:webHidden/>
              </w:rPr>
              <w:tab/>
            </w:r>
            <w:r w:rsidR="001A4BC2">
              <w:rPr>
                <w:noProof/>
                <w:webHidden/>
              </w:rPr>
              <w:fldChar w:fldCharType="begin"/>
            </w:r>
            <w:r w:rsidR="001A4BC2">
              <w:rPr>
                <w:noProof/>
                <w:webHidden/>
              </w:rPr>
              <w:instrText xml:space="preserve"> PAGEREF _Toc62129195 \h </w:instrText>
            </w:r>
            <w:r w:rsidR="001A4BC2">
              <w:rPr>
                <w:noProof/>
                <w:webHidden/>
              </w:rPr>
            </w:r>
            <w:r w:rsidR="001A4BC2">
              <w:rPr>
                <w:noProof/>
                <w:webHidden/>
              </w:rPr>
              <w:fldChar w:fldCharType="separate"/>
            </w:r>
            <w:r w:rsidR="001A4BC2">
              <w:rPr>
                <w:noProof/>
                <w:webHidden/>
              </w:rPr>
              <w:t>37</w:t>
            </w:r>
            <w:r w:rsidR="001A4BC2">
              <w:rPr>
                <w:noProof/>
                <w:webHidden/>
              </w:rPr>
              <w:fldChar w:fldCharType="end"/>
            </w:r>
          </w:hyperlink>
        </w:p>
        <w:p w14:paraId="7F11FF3C" w14:textId="1958F14A" w:rsidR="001A4BC2" w:rsidRDefault="000228E3">
          <w:pPr>
            <w:pStyle w:val="TOC1"/>
            <w:rPr>
              <w:noProof/>
            </w:rPr>
          </w:pPr>
          <w:hyperlink w:anchor="_Toc62129196" w:history="1">
            <w:r w:rsidR="001A4BC2" w:rsidRPr="00C95943">
              <w:rPr>
                <w:rStyle w:val="Hyperlink"/>
                <w:noProof/>
                <w14:scene3d>
                  <w14:camera w14:prst="orthographicFront"/>
                  <w14:lightRig w14:rig="threePt" w14:dir="t">
                    <w14:rot w14:lat="0" w14:lon="0" w14:rev="0"/>
                  </w14:lightRig>
                </w14:scene3d>
              </w:rPr>
              <w:t>19.</w:t>
            </w:r>
            <w:r w:rsidR="001A4BC2">
              <w:rPr>
                <w:noProof/>
              </w:rPr>
              <w:tab/>
            </w:r>
            <w:r w:rsidR="001A4BC2" w:rsidRPr="00C95943">
              <w:rPr>
                <w:rStyle w:val="Hyperlink"/>
                <w:noProof/>
              </w:rPr>
              <w:t>REFERENCES</w:t>
            </w:r>
            <w:r w:rsidR="001A4BC2">
              <w:rPr>
                <w:noProof/>
                <w:webHidden/>
              </w:rPr>
              <w:tab/>
            </w:r>
            <w:r w:rsidR="001A4BC2">
              <w:rPr>
                <w:noProof/>
                <w:webHidden/>
              </w:rPr>
              <w:fldChar w:fldCharType="begin"/>
            </w:r>
            <w:r w:rsidR="001A4BC2">
              <w:rPr>
                <w:noProof/>
                <w:webHidden/>
              </w:rPr>
              <w:instrText xml:space="preserve"> PAGEREF _Toc62129196 \h </w:instrText>
            </w:r>
            <w:r w:rsidR="001A4BC2">
              <w:rPr>
                <w:noProof/>
                <w:webHidden/>
              </w:rPr>
            </w:r>
            <w:r w:rsidR="001A4BC2">
              <w:rPr>
                <w:noProof/>
                <w:webHidden/>
              </w:rPr>
              <w:fldChar w:fldCharType="separate"/>
            </w:r>
            <w:r w:rsidR="001A4BC2">
              <w:rPr>
                <w:noProof/>
                <w:webHidden/>
              </w:rPr>
              <w:t>37</w:t>
            </w:r>
            <w:r w:rsidR="001A4BC2">
              <w:rPr>
                <w:noProof/>
                <w:webHidden/>
              </w:rPr>
              <w:fldChar w:fldCharType="end"/>
            </w:r>
          </w:hyperlink>
        </w:p>
        <w:p w14:paraId="5E360347" w14:textId="3054B833" w:rsidR="008D5257" w:rsidRDefault="00BA1AC3">
          <w:pPr>
            <w:sectPr w:rsidR="008D5257" w:rsidSect="000929A7">
              <w:headerReference w:type="default" r:id="rId11"/>
              <w:footerReference w:type="default" r:id="rId12"/>
              <w:headerReference w:type="first" r:id="rId13"/>
              <w:pgSz w:w="11906" w:h="16838" w:code="9"/>
              <w:pgMar w:top="993" w:right="1247" w:bottom="1418" w:left="1247" w:header="454" w:footer="3" w:gutter="0"/>
              <w:cols w:space="708"/>
              <w:docGrid w:linePitch="360"/>
            </w:sectPr>
          </w:pPr>
          <w:r w:rsidRPr="001C2B3A">
            <w:fldChar w:fldCharType="end"/>
          </w:r>
        </w:p>
        <w:p w14:paraId="4A251D6E" w14:textId="77777777" w:rsidR="008C67A2" w:rsidRDefault="000228E3" w:rsidP="003B3348">
          <w:pPr>
            <w:pStyle w:val="Heading1"/>
            <w:numPr>
              <w:ilvl w:val="0"/>
              <w:numId w:val="0"/>
            </w:numPr>
            <w:ind w:left="360"/>
            <w:rPr>
              <w:b w:val="0"/>
              <w:bCs w:val="0"/>
            </w:rPr>
          </w:pPr>
        </w:p>
      </w:sdtContent>
    </w:sdt>
    <w:bookmarkStart w:id="1" w:name="_Toc32432099" w:displacedByCustomXml="prev"/>
    <w:bookmarkStart w:id="2" w:name="_Toc512248870" w:displacedByCustomXml="prev"/>
    <w:bookmarkStart w:id="3" w:name="_Toc512248871" w:displacedByCustomXml="prev"/>
    <w:p w14:paraId="25BA04C5" w14:textId="5F85B32B" w:rsidR="007F6D85" w:rsidRPr="003B3348" w:rsidRDefault="007F6D85" w:rsidP="002F5817">
      <w:pPr>
        <w:pStyle w:val="Heading1"/>
      </w:pPr>
      <w:bookmarkStart w:id="4" w:name="_Toc62129131"/>
      <w:r w:rsidRPr="0055094D">
        <w:t>KEY CONTACTS</w:t>
      </w:r>
      <w:bookmarkEnd w:id="4"/>
      <w:bookmarkEnd w:id="2"/>
      <w:bookmarkEnd w:id="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10"/>
      </w:tblGrid>
      <w:tr w:rsidR="007F6D85" w:rsidRPr="00743E6D" w14:paraId="72CAE059" w14:textId="77777777" w:rsidTr="007F6D85">
        <w:tc>
          <w:tcPr>
            <w:tcW w:w="2410" w:type="dxa"/>
            <w:shd w:val="clear" w:color="auto" w:fill="auto"/>
          </w:tcPr>
          <w:p w14:paraId="07E48406" w14:textId="77777777" w:rsidR="007F6D85" w:rsidRPr="00743E6D" w:rsidRDefault="007F6D85" w:rsidP="007F6D85">
            <w:pPr>
              <w:rPr>
                <w:b/>
              </w:rPr>
            </w:pPr>
            <w:r>
              <w:rPr>
                <w:b/>
              </w:rPr>
              <w:t>Chief Investigator</w:t>
            </w:r>
          </w:p>
        </w:tc>
        <w:tc>
          <w:tcPr>
            <w:tcW w:w="6610" w:type="dxa"/>
            <w:shd w:val="clear" w:color="auto" w:fill="auto"/>
          </w:tcPr>
          <w:p w14:paraId="194D9882" w14:textId="77777777" w:rsidR="00B05A1B" w:rsidRPr="00B70206" w:rsidRDefault="00B05A1B" w:rsidP="00136C63">
            <w:pPr>
              <w:spacing w:after="0"/>
              <w:rPr>
                <w:rFonts w:ascii="Calibri" w:hAnsi="Calibri"/>
                <w:bCs/>
              </w:rPr>
            </w:pPr>
            <w:r>
              <w:rPr>
                <w:rFonts w:ascii="Calibri" w:hAnsi="Calibri"/>
                <w:bCs/>
              </w:rPr>
              <w:t>Professor</w:t>
            </w:r>
            <w:r w:rsidRPr="00B70206">
              <w:rPr>
                <w:rFonts w:ascii="Calibri" w:hAnsi="Calibri"/>
                <w:bCs/>
              </w:rPr>
              <w:t xml:space="preserve"> Matthew Snape</w:t>
            </w:r>
          </w:p>
          <w:p w14:paraId="50E07251" w14:textId="77777777" w:rsidR="00B05A1B" w:rsidRPr="00B70206" w:rsidRDefault="00B05A1B" w:rsidP="00136C63">
            <w:pPr>
              <w:spacing w:after="0"/>
              <w:rPr>
                <w:rFonts w:ascii="Calibri" w:hAnsi="Calibri"/>
                <w:bCs/>
              </w:rPr>
            </w:pPr>
            <w:r>
              <w:rPr>
                <w:rFonts w:ascii="Calibri" w:hAnsi="Calibri"/>
                <w:bCs/>
              </w:rPr>
              <w:t>Associate Professor</w:t>
            </w:r>
            <w:r w:rsidRPr="00B70206">
              <w:rPr>
                <w:rFonts w:ascii="Calibri" w:hAnsi="Calibri"/>
                <w:bCs/>
              </w:rPr>
              <w:t xml:space="preserve"> in General Paediatrics and Vaccinology</w:t>
            </w:r>
          </w:p>
          <w:p w14:paraId="4D8E6504" w14:textId="77777777" w:rsidR="00B05A1B" w:rsidRPr="00B70206" w:rsidRDefault="00B05A1B" w:rsidP="00136C63">
            <w:pPr>
              <w:spacing w:after="0"/>
              <w:rPr>
                <w:rFonts w:ascii="Calibri" w:hAnsi="Calibri"/>
                <w:bCs/>
              </w:rPr>
            </w:pPr>
            <w:r w:rsidRPr="00B70206">
              <w:rPr>
                <w:rFonts w:ascii="Calibri" w:hAnsi="Calibri"/>
                <w:bCs/>
              </w:rPr>
              <w:t>Centre for Clinical Vaccinology and Tropical Medicine (CCVTM)</w:t>
            </w:r>
          </w:p>
          <w:p w14:paraId="6AC63141" w14:textId="77777777" w:rsidR="00B05A1B" w:rsidRPr="00B70206" w:rsidRDefault="00B05A1B" w:rsidP="00136C63">
            <w:pPr>
              <w:spacing w:after="0"/>
              <w:rPr>
                <w:rFonts w:ascii="Calibri" w:hAnsi="Calibri"/>
                <w:bCs/>
              </w:rPr>
            </w:pPr>
            <w:r w:rsidRPr="00B70206">
              <w:rPr>
                <w:rFonts w:ascii="Calibri" w:hAnsi="Calibri"/>
                <w:bCs/>
              </w:rPr>
              <w:t>University of Oxford</w:t>
            </w:r>
          </w:p>
          <w:p w14:paraId="505C6C8B" w14:textId="77777777" w:rsidR="00B05A1B" w:rsidRPr="00B70206" w:rsidRDefault="00B05A1B" w:rsidP="00136C63">
            <w:pPr>
              <w:spacing w:after="0"/>
              <w:rPr>
                <w:rFonts w:ascii="Calibri" w:hAnsi="Calibri"/>
                <w:bCs/>
              </w:rPr>
            </w:pPr>
            <w:r w:rsidRPr="00B70206">
              <w:rPr>
                <w:rFonts w:ascii="Calibri" w:hAnsi="Calibri"/>
                <w:bCs/>
              </w:rPr>
              <w:t>Churchill Hospital, Oxford OX37LE</w:t>
            </w:r>
          </w:p>
          <w:p w14:paraId="60CC9C03" w14:textId="77777777" w:rsidR="007F6D85" w:rsidRDefault="00B05A1B" w:rsidP="00136C63">
            <w:pPr>
              <w:spacing w:after="0"/>
              <w:rPr>
                <w:rFonts w:ascii="Calibri" w:hAnsi="Calibri"/>
                <w:bCs/>
              </w:rPr>
            </w:pPr>
            <w:r w:rsidRPr="00B70206">
              <w:rPr>
                <w:rFonts w:ascii="Calibri" w:hAnsi="Calibri"/>
                <w:bCs/>
              </w:rPr>
              <w:t>United Kingdom</w:t>
            </w:r>
          </w:p>
          <w:p w14:paraId="2D91E03F" w14:textId="51CE7EB5" w:rsidR="00B05A1B" w:rsidRDefault="00165FD8" w:rsidP="00136C63">
            <w:pPr>
              <w:spacing w:after="0"/>
              <w:rPr>
                <w:rFonts w:ascii="Calibri" w:hAnsi="Calibri"/>
              </w:rPr>
            </w:pPr>
            <w:r w:rsidRPr="008C67A2">
              <w:t>matthew.snape@paediatrics.ox.ac.uk</w:t>
            </w:r>
            <w:r w:rsidR="00B05A1B">
              <w:rPr>
                <w:rFonts w:ascii="Calibri" w:hAnsi="Calibri"/>
              </w:rPr>
              <w:t xml:space="preserve"> </w:t>
            </w:r>
          </w:p>
          <w:p w14:paraId="59DF9E5B" w14:textId="16DD2893" w:rsidR="00B05A1B" w:rsidRPr="00B05A1B" w:rsidRDefault="00A05F63" w:rsidP="00136C63">
            <w:pPr>
              <w:spacing w:after="0"/>
              <w:rPr>
                <w:rFonts w:ascii="Calibri" w:hAnsi="Calibri"/>
              </w:rPr>
            </w:pPr>
            <w:r>
              <w:rPr>
                <w:rFonts w:ascii="Calibri" w:hAnsi="Calibri"/>
              </w:rPr>
              <w:t>Tel: 0</w:t>
            </w:r>
            <w:r w:rsidR="00B05A1B" w:rsidRPr="00E044CE">
              <w:rPr>
                <w:rFonts w:ascii="Calibri" w:hAnsi="Calibri"/>
              </w:rPr>
              <w:t>1865 611400</w:t>
            </w:r>
          </w:p>
        </w:tc>
      </w:tr>
      <w:tr w:rsidR="007F6D85" w:rsidRPr="00743E6D" w14:paraId="77A85BCB" w14:textId="77777777" w:rsidTr="007F6D85">
        <w:tc>
          <w:tcPr>
            <w:tcW w:w="2410" w:type="dxa"/>
            <w:shd w:val="clear" w:color="auto" w:fill="auto"/>
          </w:tcPr>
          <w:p w14:paraId="6C0DA79F" w14:textId="77777777" w:rsidR="007F6D85" w:rsidRPr="00743E6D" w:rsidRDefault="007F6D85" w:rsidP="007F6D85">
            <w:pPr>
              <w:rPr>
                <w:b/>
              </w:rPr>
            </w:pPr>
            <w:r>
              <w:rPr>
                <w:b/>
              </w:rPr>
              <w:t>Sponsor</w:t>
            </w:r>
          </w:p>
        </w:tc>
        <w:tc>
          <w:tcPr>
            <w:tcW w:w="6610" w:type="dxa"/>
            <w:shd w:val="clear" w:color="auto" w:fill="auto"/>
          </w:tcPr>
          <w:p w14:paraId="62E4712D" w14:textId="0ED6C669" w:rsidR="00B05A1B" w:rsidRPr="003A41ED" w:rsidRDefault="007F6D85" w:rsidP="00136C63">
            <w:pPr>
              <w:spacing w:after="0"/>
              <w:rPr>
                <w:color w:val="000000" w:themeColor="text1"/>
              </w:rPr>
            </w:pPr>
            <w:r w:rsidRPr="003A41ED">
              <w:rPr>
                <w:color w:val="000000" w:themeColor="text1"/>
              </w:rPr>
              <w:t xml:space="preserve">University of Oxford  </w:t>
            </w:r>
          </w:p>
          <w:p w14:paraId="3E38E9EB" w14:textId="77777777" w:rsidR="00B05A1B" w:rsidRPr="003A41ED" w:rsidRDefault="00B05A1B" w:rsidP="00136C63">
            <w:pPr>
              <w:shd w:val="clear" w:color="auto" w:fill="FFFFFF"/>
              <w:spacing w:after="0"/>
              <w:rPr>
                <w:rFonts w:ascii="Calibri" w:eastAsia="Times New Roman" w:hAnsi="Calibri" w:cs="Times New Roman"/>
                <w:color w:val="000000" w:themeColor="text1"/>
              </w:rPr>
            </w:pPr>
            <w:r w:rsidRPr="003A41ED">
              <w:rPr>
                <w:rFonts w:ascii="Calibri" w:eastAsia="Times New Roman" w:hAnsi="Calibri" w:cs="Times New Roman"/>
                <w:color w:val="000000" w:themeColor="text1"/>
              </w:rPr>
              <w:t>Joint Research Office</w:t>
            </w:r>
            <w:r w:rsidRPr="003A41ED">
              <w:rPr>
                <w:rFonts w:ascii="Calibri" w:eastAsia="Times New Roman" w:hAnsi="Calibri" w:cs="Times New Roman"/>
                <w:color w:val="000000" w:themeColor="text1"/>
              </w:rPr>
              <w:br/>
              <w:t>1</w:t>
            </w:r>
            <w:r w:rsidRPr="003A41ED">
              <w:rPr>
                <w:rFonts w:ascii="Calibri" w:eastAsia="Times New Roman" w:hAnsi="Calibri" w:cs="Times New Roman"/>
                <w:color w:val="000000" w:themeColor="text1"/>
                <w:vertAlign w:val="superscript"/>
              </w:rPr>
              <w:t>st</w:t>
            </w:r>
            <w:r w:rsidRPr="003A41ED">
              <w:rPr>
                <w:rFonts w:ascii="Calibri" w:eastAsia="Times New Roman" w:hAnsi="Calibri" w:cs="Times New Roman"/>
                <w:color w:val="000000" w:themeColor="text1"/>
              </w:rPr>
              <w:t xml:space="preserve"> Floor, Boundary Brook House</w:t>
            </w:r>
            <w:r w:rsidRPr="003A41ED">
              <w:rPr>
                <w:rFonts w:ascii="Calibri" w:eastAsia="Times New Roman" w:hAnsi="Calibri" w:cs="Times New Roman"/>
                <w:color w:val="000000" w:themeColor="text1"/>
              </w:rPr>
              <w:br/>
              <w:t>Churchill Hospital</w:t>
            </w:r>
            <w:r w:rsidRPr="003A41ED">
              <w:rPr>
                <w:rFonts w:ascii="Calibri" w:eastAsia="Times New Roman" w:hAnsi="Calibri" w:cs="Times New Roman"/>
                <w:color w:val="000000" w:themeColor="text1"/>
              </w:rPr>
              <w:br/>
              <w:t>Old Road</w:t>
            </w:r>
            <w:r w:rsidRPr="003A41ED">
              <w:rPr>
                <w:rFonts w:ascii="Calibri" w:eastAsia="Times New Roman" w:hAnsi="Calibri" w:cs="Times New Roman"/>
                <w:color w:val="000000" w:themeColor="text1"/>
              </w:rPr>
              <w:br/>
              <w:t>Headington</w:t>
            </w:r>
            <w:r w:rsidRPr="003A41ED">
              <w:rPr>
                <w:rFonts w:ascii="Calibri" w:eastAsia="Times New Roman" w:hAnsi="Calibri" w:cs="Times New Roman"/>
                <w:color w:val="000000" w:themeColor="text1"/>
              </w:rPr>
              <w:br/>
              <w:t>Oxford OX3 7LQ</w:t>
            </w:r>
          </w:p>
          <w:p w14:paraId="70D6B345" w14:textId="2D4D43BA" w:rsidR="007F6D85" w:rsidRPr="00743E6D" w:rsidRDefault="00165FD8" w:rsidP="00136C63">
            <w:pPr>
              <w:spacing w:after="0"/>
            </w:pPr>
            <w:r w:rsidRPr="008C67A2">
              <w:t>ctrg@admin.ox.ac.uk</w:t>
            </w:r>
          </w:p>
        </w:tc>
      </w:tr>
      <w:tr w:rsidR="007F6D85" w:rsidRPr="00743E6D" w14:paraId="0BFA4F27" w14:textId="77777777" w:rsidTr="007F6D85">
        <w:tc>
          <w:tcPr>
            <w:tcW w:w="2410" w:type="dxa"/>
            <w:shd w:val="clear" w:color="auto" w:fill="auto"/>
          </w:tcPr>
          <w:p w14:paraId="10D67329" w14:textId="77777777" w:rsidR="007F6D85" w:rsidRDefault="007F6D85" w:rsidP="007F6D85">
            <w:pPr>
              <w:rPr>
                <w:b/>
              </w:rPr>
            </w:pPr>
            <w:r>
              <w:rPr>
                <w:b/>
              </w:rPr>
              <w:t>Funder(s)</w:t>
            </w:r>
          </w:p>
        </w:tc>
        <w:tc>
          <w:tcPr>
            <w:tcW w:w="6610" w:type="dxa"/>
            <w:shd w:val="clear" w:color="auto" w:fill="auto"/>
          </w:tcPr>
          <w:p w14:paraId="14B557E9" w14:textId="59930863" w:rsidR="007F6D85" w:rsidRPr="00743E6D" w:rsidRDefault="007A2747" w:rsidP="00136C63">
            <w:pPr>
              <w:spacing w:after="120"/>
              <w:rPr>
                <w:highlight w:val="yellow"/>
              </w:rPr>
            </w:pPr>
            <w:r w:rsidRPr="007A2747">
              <w:t>National Institute for Health Research (NIHR)</w:t>
            </w:r>
          </w:p>
        </w:tc>
      </w:tr>
      <w:tr w:rsidR="007F6D85" w:rsidRPr="00743E6D" w14:paraId="4CAFC07E" w14:textId="77777777" w:rsidTr="007F6D85">
        <w:tc>
          <w:tcPr>
            <w:tcW w:w="2410" w:type="dxa"/>
            <w:shd w:val="clear" w:color="auto" w:fill="auto"/>
          </w:tcPr>
          <w:p w14:paraId="1CBB45EA" w14:textId="77777777" w:rsidR="007F6D85" w:rsidRPr="00743E6D" w:rsidRDefault="007F6D85" w:rsidP="007F6D85">
            <w:pPr>
              <w:rPr>
                <w:b/>
              </w:rPr>
            </w:pPr>
            <w:r>
              <w:rPr>
                <w:b/>
              </w:rPr>
              <w:t>Clinical Trials Unit</w:t>
            </w:r>
          </w:p>
        </w:tc>
        <w:tc>
          <w:tcPr>
            <w:tcW w:w="6610" w:type="dxa"/>
            <w:shd w:val="clear" w:color="auto" w:fill="auto"/>
          </w:tcPr>
          <w:p w14:paraId="60E1ACD1" w14:textId="3A81D5F4" w:rsidR="007F6D85" w:rsidRPr="00743E6D" w:rsidRDefault="00B05A1B" w:rsidP="00136C63">
            <w:pPr>
              <w:spacing w:after="120"/>
            </w:pPr>
            <w:r w:rsidRPr="00E044CE">
              <w:rPr>
                <w:rFonts w:ascii="Calibri" w:hAnsi="Calibri" w:cs="Calibri"/>
              </w:rPr>
              <w:t xml:space="preserve">Oxford Primary Care Vaccine Collaborative Clinical Trials Unit </w:t>
            </w:r>
          </w:p>
        </w:tc>
      </w:tr>
      <w:tr w:rsidR="007F6D85" w:rsidRPr="00743E6D" w14:paraId="2E11C17C" w14:textId="77777777" w:rsidTr="007F6D85">
        <w:tc>
          <w:tcPr>
            <w:tcW w:w="2410" w:type="dxa"/>
            <w:shd w:val="clear" w:color="auto" w:fill="auto"/>
          </w:tcPr>
          <w:p w14:paraId="0D787133" w14:textId="77777777" w:rsidR="007F6D85" w:rsidRPr="00743E6D" w:rsidRDefault="007F6D85" w:rsidP="007F6D85">
            <w:pPr>
              <w:rPr>
                <w:b/>
              </w:rPr>
            </w:pPr>
            <w:r>
              <w:rPr>
                <w:b/>
              </w:rPr>
              <w:t>Statistician</w:t>
            </w:r>
          </w:p>
        </w:tc>
        <w:tc>
          <w:tcPr>
            <w:tcW w:w="6610" w:type="dxa"/>
            <w:shd w:val="clear" w:color="auto" w:fill="auto"/>
          </w:tcPr>
          <w:p w14:paraId="609B79AE" w14:textId="6DCF05F4" w:rsidR="007F6D85" w:rsidRDefault="007A2747" w:rsidP="00136C63">
            <w:pPr>
              <w:spacing w:after="0"/>
            </w:pPr>
            <w:r>
              <w:t>Nick Andrews</w:t>
            </w:r>
          </w:p>
          <w:p w14:paraId="3A24648B" w14:textId="77777777" w:rsidR="007A2747" w:rsidRDefault="007A2747" w:rsidP="00136C63">
            <w:pPr>
              <w:spacing w:after="0"/>
            </w:pPr>
            <w:r>
              <w:t>Public Health England</w:t>
            </w:r>
          </w:p>
          <w:p w14:paraId="12B39B68" w14:textId="34DB9139" w:rsidR="007A2747" w:rsidRDefault="00A05F63" w:rsidP="00136C63">
            <w:pPr>
              <w:spacing w:after="0"/>
            </w:pPr>
            <w:r>
              <w:rPr>
                <w:rFonts w:ascii="Calibri" w:hAnsi="Calibri"/>
              </w:rPr>
              <w:t xml:space="preserve">Tel: </w:t>
            </w:r>
            <w:r w:rsidR="007A2747">
              <w:t>0208 327 7419</w:t>
            </w:r>
          </w:p>
          <w:p w14:paraId="47980557" w14:textId="7B9A9122" w:rsidR="007F6D85" w:rsidRPr="00743E6D" w:rsidRDefault="00165FD8" w:rsidP="00136C63">
            <w:pPr>
              <w:spacing w:after="0"/>
            </w:pPr>
            <w:r w:rsidRPr="008C67A2">
              <w:t>Nick.andrews@phe.gov.uk</w:t>
            </w:r>
          </w:p>
        </w:tc>
      </w:tr>
    </w:tbl>
    <w:p w14:paraId="5BE021B1" w14:textId="7B88AE47" w:rsidR="003413DF" w:rsidRPr="003413DF" w:rsidRDefault="00034E86" w:rsidP="003413DF">
      <w:pPr>
        <w:pStyle w:val="Heading1"/>
        <w:jc w:val="both"/>
      </w:pPr>
      <w:bookmarkStart w:id="5" w:name="_Toc32432100"/>
      <w:bookmarkStart w:id="6" w:name="_Toc62129132"/>
      <w:r w:rsidRPr="00D76058">
        <w:t>LAY SUMMARY</w:t>
      </w:r>
      <w:bookmarkEnd w:id="5"/>
      <w:bookmarkEnd w:id="6"/>
      <w:bookmarkEnd w:id="3"/>
      <w:r w:rsidRPr="00D76058">
        <w:t xml:space="preserve"> </w:t>
      </w:r>
    </w:p>
    <w:p w14:paraId="72A08243" w14:textId="0015B3F8" w:rsidR="00B64BD5" w:rsidRDefault="00B64BD5" w:rsidP="003413DF">
      <w:pPr>
        <w:jc w:val="both"/>
      </w:pPr>
      <w:r w:rsidRPr="003413DF">
        <w:t xml:space="preserve">Public Health England has an ongoing </w:t>
      </w:r>
      <w:proofErr w:type="spellStart"/>
      <w:r w:rsidRPr="003413DF">
        <w:t>sero</w:t>
      </w:r>
      <w:proofErr w:type="spellEnd"/>
      <w:r w:rsidRPr="003413DF">
        <w:t xml:space="preserve">-prevalence programme to assess </w:t>
      </w:r>
      <w:r w:rsidR="003646DE" w:rsidRPr="003413DF">
        <w:t xml:space="preserve">how well the population is protected from vaccine preventable </w:t>
      </w:r>
      <w:r w:rsidR="00964B2F">
        <w:t xml:space="preserve">and emerging infectious </w:t>
      </w:r>
      <w:r w:rsidR="003646DE" w:rsidRPr="003413DF">
        <w:t xml:space="preserve">diseases.  </w:t>
      </w:r>
      <w:r w:rsidR="00DA0A89" w:rsidRPr="003413DF">
        <w:t xml:space="preserve">The current way to check this is by testing </w:t>
      </w:r>
      <w:r w:rsidR="003646DE" w:rsidRPr="003413DF">
        <w:t xml:space="preserve">left over </w:t>
      </w:r>
      <w:r w:rsidR="00A05F63" w:rsidRPr="003413DF">
        <w:t xml:space="preserve">blood </w:t>
      </w:r>
      <w:r w:rsidR="003646DE" w:rsidRPr="003413DF">
        <w:t xml:space="preserve">samples </w:t>
      </w:r>
      <w:r w:rsidR="00F136DC" w:rsidRPr="003413DF">
        <w:t xml:space="preserve">from </w:t>
      </w:r>
      <w:r w:rsidR="003646DE" w:rsidRPr="003413DF">
        <w:t>participating</w:t>
      </w:r>
      <w:r w:rsidR="0050400B" w:rsidRPr="003413DF">
        <w:t xml:space="preserve"> healthcare</w:t>
      </w:r>
      <w:r w:rsidR="003646DE" w:rsidRPr="003413DF">
        <w:t xml:space="preserve"> laboratories around the country</w:t>
      </w:r>
      <w:r w:rsidRPr="003413DF">
        <w:t xml:space="preserve">. </w:t>
      </w:r>
      <w:r w:rsidR="003646DE" w:rsidRPr="003413DF">
        <w:t xml:space="preserve"> </w:t>
      </w:r>
      <w:r w:rsidRPr="003413DF">
        <w:t>However</w:t>
      </w:r>
      <w:r w:rsidR="00F136DC" w:rsidRPr="003413DF">
        <w:t>,</w:t>
      </w:r>
      <w:r w:rsidRPr="003413DF">
        <w:t xml:space="preserve"> these samples may not be representative of the general population</w:t>
      </w:r>
      <w:r w:rsidR="00B414E6" w:rsidRPr="003413DF">
        <w:t>,</w:t>
      </w:r>
      <w:r w:rsidRPr="003413DF">
        <w:t xml:space="preserve"> particularly in younger age groups</w:t>
      </w:r>
      <w:r w:rsidR="0050400B" w:rsidRPr="003413DF">
        <w:t xml:space="preserve"> who are often most at risk from vaccine preventable diseases</w:t>
      </w:r>
      <w:r w:rsidRPr="003413DF">
        <w:t xml:space="preserve">. </w:t>
      </w:r>
    </w:p>
    <w:p w14:paraId="315426A2" w14:textId="5B63C6C4" w:rsidR="00165FD8" w:rsidRDefault="0003635F" w:rsidP="0003635F">
      <w:pPr>
        <w:jc w:val="both"/>
      </w:pPr>
      <w:r w:rsidRPr="003413DF">
        <w:t>In the Netherlands, they use a different system to assess how well the population is protected from vaccine preventable diseases, actively collecting blood samples from a representative cross section of society. This type of approach would address the limitations of using residual serum samples and allows the collection of additional relevant history e.g. number of family members and previous vaccines received.</w:t>
      </w:r>
    </w:p>
    <w:p w14:paraId="76E711E2" w14:textId="01FD39D2" w:rsidR="00964B2F" w:rsidRPr="003413DF" w:rsidRDefault="00964B2F" w:rsidP="003413DF">
      <w:pPr>
        <w:jc w:val="both"/>
      </w:pPr>
      <w:r>
        <w:t>Having a large number of blood samples from a range of age groups is also useful when gathering information about an emerging disease such as the current novel coronavirus (</w:t>
      </w:r>
      <w:r w:rsidR="0075536C">
        <w:t>SARS-COV-2</w:t>
      </w:r>
      <w:r>
        <w:t xml:space="preserve">).  These samples can help provide answers regarding the true number of infections in the population.  This allows us to work out the severity of the infection on a population basis.  </w:t>
      </w:r>
    </w:p>
    <w:p w14:paraId="67236614" w14:textId="027BDD47" w:rsidR="0034295C" w:rsidRPr="003413DF" w:rsidRDefault="0034295C" w:rsidP="003413DF">
      <w:pPr>
        <w:jc w:val="both"/>
      </w:pPr>
    </w:p>
    <w:p w14:paraId="37397148" w14:textId="282BCD6D" w:rsidR="0026293E" w:rsidRDefault="00B64BD5" w:rsidP="0026293E">
      <w:pPr>
        <w:jc w:val="both"/>
      </w:pPr>
      <w:r>
        <w:lastRenderedPageBreak/>
        <w:t xml:space="preserve">We are therefore </w:t>
      </w:r>
      <w:r w:rsidR="00E407DB">
        <w:t xml:space="preserve">conducting </w:t>
      </w:r>
      <w:r>
        <w:t xml:space="preserve">a pilot study to assess the feasibility of establishing a national </w:t>
      </w:r>
      <w:proofErr w:type="spellStart"/>
      <w:r>
        <w:t>sero</w:t>
      </w:r>
      <w:proofErr w:type="spellEnd"/>
      <w:r>
        <w:t>-epidemiological survey in England i</w:t>
      </w:r>
      <w:r w:rsidR="00641B4F">
        <w:t>n individuals aged 0 – 2</w:t>
      </w:r>
      <w:r w:rsidR="00F86C99">
        <w:t>4</w:t>
      </w:r>
      <w:r w:rsidR="00641B4F">
        <w:t xml:space="preserve"> years.  We will be </w:t>
      </w:r>
      <w:r>
        <w:t xml:space="preserve">focusing initially on </w:t>
      </w:r>
      <w:r w:rsidR="002B3A06">
        <w:t>d</w:t>
      </w:r>
      <w:r>
        <w:t>iphtheria</w:t>
      </w:r>
      <w:r w:rsidR="00763BCB">
        <w:t>,</w:t>
      </w:r>
      <w:r>
        <w:t xml:space="preserve"> Group C </w:t>
      </w:r>
      <w:r w:rsidR="002B3A06">
        <w:t>meningococcus</w:t>
      </w:r>
      <w:r w:rsidR="0075536C">
        <w:t xml:space="preserve"> and COVID-19.</w:t>
      </w:r>
      <w:r w:rsidR="00641B4F">
        <w:t xml:space="preserve"> </w:t>
      </w:r>
    </w:p>
    <w:p w14:paraId="31BBB9D7" w14:textId="06511B5D" w:rsidR="0026293E" w:rsidRDefault="0026293E" w:rsidP="0026293E">
      <w:pPr>
        <w:jc w:val="both"/>
      </w:pPr>
      <w:r>
        <w:t xml:space="preserve">Given the increased risk of COVID-19 disease in the BAME </w:t>
      </w:r>
      <w:proofErr w:type="spellStart"/>
      <w:r>
        <w:t>community</w:t>
      </w:r>
      <w:r w:rsidR="009D6D75">
        <w:t>t</w:t>
      </w:r>
      <w:r>
        <w:t>his</w:t>
      </w:r>
      <w:proofErr w:type="spellEnd"/>
      <w:r>
        <w:t xml:space="preserve"> data would, in turn, be invaluable in understanding whether higher rates of disease in the BAME community are a result of</w:t>
      </w:r>
    </w:p>
    <w:p w14:paraId="09D5290D" w14:textId="77777777" w:rsidR="0026293E" w:rsidRDefault="0026293E" w:rsidP="0026293E">
      <w:pPr>
        <w:pStyle w:val="ListParagraph"/>
        <w:numPr>
          <w:ilvl w:val="1"/>
          <w:numId w:val="3"/>
        </w:numPr>
        <w:jc w:val="both"/>
      </w:pPr>
      <w:r>
        <w:t>Greater exposure to COVID-19 contacts</w:t>
      </w:r>
    </w:p>
    <w:p w14:paraId="51949730" w14:textId="77777777" w:rsidR="0026293E" w:rsidRDefault="0026293E" w:rsidP="0026293E">
      <w:pPr>
        <w:pStyle w:val="ListParagraph"/>
        <w:numPr>
          <w:ilvl w:val="1"/>
          <w:numId w:val="3"/>
        </w:numPr>
        <w:jc w:val="both"/>
      </w:pPr>
      <w:r>
        <w:t>A higher likelihood of being infected once exposed</w:t>
      </w:r>
    </w:p>
    <w:p w14:paraId="466D9B19" w14:textId="04537CF1" w:rsidR="0026293E" w:rsidRDefault="0026293E" w:rsidP="0026293E">
      <w:pPr>
        <w:pStyle w:val="ListParagraph"/>
        <w:numPr>
          <w:ilvl w:val="1"/>
          <w:numId w:val="3"/>
        </w:numPr>
        <w:jc w:val="both"/>
      </w:pPr>
      <w:r>
        <w:t>Greater risk of disease once infection occurs</w:t>
      </w:r>
    </w:p>
    <w:p w14:paraId="78840507" w14:textId="1A62A602" w:rsidR="002B3A06" w:rsidRDefault="009D78EF" w:rsidP="00B414E6">
      <w:pPr>
        <w:jc w:val="both"/>
      </w:pPr>
      <w:r>
        <w:t xml:space="preserve">This will </w:t>
      </w:r>
      <w:r w:rsidR="002B3A06">
        <w:t>involve</w:t>
      </w:r>
      <w:r w:rsidR="00543DC1">
        <w:t xml:space="preserve"> </w:t>
      </w:r>
      <w:r w:rsidR="002A4FF4">
        <w:t xml:space="preserve">collecting </w:t>
      </w:r>
      <w:r w:rsidR="00B629A0">
        <w:t xml:space="preserve">at least one </w:t>
      </w:r>
      <w:r w:rsidR="002A4FF4">
        <w:t xml:space="preserve">blood sample </w:t>
      </w:r>
      <w:r w:rsidR="00C72905">
        <w:t xml:space="preserve">(+/- saliva samples) </w:t>
      </w:r>
      <w:r w:rsidR="002A4FF4">
        <w:t>from</w:t>
      </w:r>
      <w:r w:rsidR="001D7E73">
        <w:t xml:space="preserve"> participants who will allocated into</w:t>
      </w:r>
      <w:r w:rsidR="002A4FF4">
        <w:t xml:space="preserve"> </w:t>
      </w:r>
      <w:r w:rsidR="0026293E">
        <w:t xml:space="preserve">three </w:t>
      </w:r>
      <w:r w:rsidR="00543DC1">
        <w:t>groups</w:t>
      </w:r>
      <w:r w:rsidR="002A4FF4">
        <w:t>:</w:t>
      </w:r>
    </w:p>
    <w:p w14:paraId="1059A7F2" w14:textId="7F2DFD00" w:rsidR="00543DC1" w:rsidRDefault="00543DC1" w:rsidP="00543DC1">
      <w:pPr>
        <w:jc w:val="both"/>
      </w:pPr>
      <w:r>
        <w:t xml:space="preserve">Group 1: </w:t>
      </w:r>
      <w:r w:rsidR="003106F9">
        <w:t xml:space="preserve"> </w:t>
      </w:r>
      <w:r w:rsidR="009D78EF">
        <w:t xml:space="preserve">2300 participants </w:t>
      </w:r>
      <w:r>
        <w:t>aged 0 to 24 years selected to be representative of their test site region based on post code</w:t>
      </w:r>
      <w:r w:rsidR="009D78EF">
        <w:t xml:space="preserve"> </w:t>
      </w:r>
      <w:r>
        <w:t>and associated index of material deprivation</w:t>
      </w:r>
      <w:r w:rsidR="002A4FF4">
        <w:t xml:space="preserve"> (IMD)</w:t>
      </w:r>
      <w:r w:rsidR="001D7E73">
        <w:t xml:space="preserve">. </w:t>
      </w:r>
    </w:p>
    <w:p w14:paraId="12B246CB" w14:textId="301C9E36" w:rsidR="00B64BD5" w:rsidRDefault="00543DC1" w:rsidP="000A2C9B">
      <w:pPr>
        <w:spacing w:after="0"/>
        <w:jc w:val="both"/>
      </w:pPr>
      <w:r>
        <w:t xml:space="preserve">Group 2:  </w:t>
      </w:r>
      <w:r w:rsidR="00C00CF5">
        <w:t xml:space="preserve">up to </w:t>
      </w:r>
      <w:r>
        <w:t xml:space="preserve">1200 </w:t>
      </w:r>
      <w:r w:rsidR="004E5FB1">
        <w:t xml:space="preserve">individuals </w:t>
      </w:r>
      <w:r>
        <w:t>aged 0 to</w:t>
      </w:r>
      <w:r w:rsidR="004E5FB1">
        <w:t xml:space="preserve"> </w:t>
      </w:r>
      <w:r w:rsidR="003D7356">
        <w:t xml:space="preserve">19 </w:t>
      </w:r>
      <w:r w:rsidR="004E5FB1">
        <w:t>years</w:t>
      </w:r>
      <w:r w:rsidR="002A4FF4">
        <w:t xml:space="preserve">. </w:t>
      </w:r>
      <w:r w:rsidR="004E5FB1">
        <w:t xml:space="preserve">The </w:t>
      </w:r>
      <w:r w:rsidR="001D7E73">
        <w:t>selection criteria</w:t>
      </w:r>
      <w:r w:rsidR="004E5FB1">
        <w:t xml:space="preserve"> for these participants will be </w:t>
      </w:r>
      <w:r w:rsidR="002A4FF4">
        <w:t>less restrictive</w:t>
      </w:r>
      <w:r w:rsidR="001D7E73">
        <w:t xml:space="preserve"> than Group 1</w:t>
      </w:r>
      <w:r w:rsidR="002A4FF4">
        <w:t xml:space="preserve"> in terms of </w:t>
      </w:r>
      <w:r w:rsidR="001D7E73">
        <w:t xml:space="preserve">age band and </w:t>
      </w:r>
      <w:r w:rsidR="002A4FF4">
        <w:t>postcode/IMD</w:t>
      </w:r>
      <w:r w:rsidR="001A5368">
        <w:t xml:space="preserve">. </w:t>
      </w:r>
    </w:p>
    <w:p w14:paraId="54EE59EE" w14:textId="02036738" w:rsidR="000A2C9B" w:rsidRDefault="000A2C9B" w:rsidP="00543DC1">
      <w:pPr>
        <w:jc w:val="both"/>
      </w:pPr>
      <w:r w:rsidRPr="0051031D">
        <w:t>Group 2 can be enhanced by the samples received from other ethically approved research projects where participants have consented for their samples being used outside of the study</w:t>
      </w:r>
    </w:p>
    <w:p w14:paraId="6DFAB221" w14:textId="1D0CC2A6" w:rsidR="0026293E" w:rsidRDefault="0026293E" w:rsidP="00543DC1">
      <w:pPr>
        <w:jc w:val="both"/>
      </w:pPr>
      <w:r>
        <w:t xml:space="preserve">Group 3: up to 300 participants aged 0-19 from the Black, Asian and Minority ethnic population.  </w:t>
      </w:r>
    </w:p>
    <w:p w14:paraId="478B6500" w14:textId="33BA4753" w:rsidR="00C72905" w:rsidRDefault="00046787" w:rsidP="00543DC1">
      <w:pPr>
        <w:jc w:val="both"/>
      </w:pPr>
      <w:r>
        <w:t>A</w:t>
      </w:r>
      <w:r w:rsidR="001D7E73">
        <w:t xml:space="preserve">ll participants in </w:t>
      </w:r>
      <w:r w:rsidR="00AF744D">
        <w:t>g</w:t>
      </w:r>
      <w:r w:rsidR="001D7E73">
        <w:t xml:space="preserve">roup 1 must be resident at the study-specified representative post-codes, and all those in group 2 </w:t>
      </w:r>
      <w:r w:rsidR="00E915CA">
        <w:t>be aged 19 years or younger</w:t>
      </w:r>
      <w:r w:rsidR="00BA2221">
        <w:t>.</w:t>
      </w:r>
      <w:r w:rsidR="00E915CA">
        <w:t xml:space="preserve"> </w:t>
      </w:r>
      <w:r w:rsidR="00BA2221">
        <w:t>B</w:t>
      </w:r>
      <w:r w:rsidR="00E915CA">
        <w:t>eyond this</w:t>
      </w:r>
      <w:r w:rsidR="00BA2221">
        <w:t>,</w:t>
      </w:r>
      <w:r w:rsidR="00E915CA">
        <w:t xml:space="preserve"> allocation to group 1 and 2 will be managed dynamically during (and potentially, after) the study to ensure those in group 1 are representative of their region in terms of geographic distribution and IMD.</w:t>
      </w:r>
      <w:r w:rsidR="00C72905" w:rsidRPr="00C72905">
        <w:t xml:space="preserve"> </w:t>
      </w:r>
    </w:p>
    <w:p w14:paraId="14357958" w14:textId="135752DD" w:rsidR="00C72905" w:rsidRDefault="00C72905" w:rsidP="00543DC1">
      <w:pPr>
        <w:jc w:val="both"/>
      </w:pPr>
      <w:r>
        <w:t>While blood samples from participants in group 1 will be analysed for both vaccine responses and COVID-19 seroprevalence, participants in group</w:t>
      </w:r>
      <w:r w:rsidR="0026293E">
        <w:t>s</w:t>
      </w:r>
      <w:r>
        <w:t xml:space="preserve"> 2</w:t>
      </w:r>
      <w:r w:rsidR="0026293E">
        <w:t xml:space="preserve"> and 3</w:t>
      </w:r>
      <w:r>
        <w:t xml:space="preserve"> are primarily being used for COVID-19 seroprevalence testing in the first instance. Samples will be collected at a steady monthly rate to allow assessment of changes in the proportions of participants with antibodies against SARS-CoV-2 (the virus responsible for COVID-19) with time, and a sub-set of participants will provide repeat blood and saliva samples for further analysis of immune responses to SARS-CoV-2.</w:t>
      </w:r>
      <w:r w:rsidR="00E407DB">
        <w:t xml:space="preserve">  This subset who will provide repeat blood and saliva samples will comprise of both seropositive and seronegative participants.</w:t>
      </w:r>
    </w:p>
    <w:p w14:paraId="12610A28" w14:textId="77777777" w:rsidR="00C72905" w:rsidRDefault="00C72905">
      <w:r>
        <w:br w:type="page"/>
      </w:r>
    </w:p>
    <w:p w14:paraId="7B1A2F60" w14:textId="77777777" w:rsidR="00C72905" w:rsidRDefault="00C72905" w:rsidP="00543DC1">
      <w:pPr>
        <w:jc w:val="both"/>
      </w:pPr>
    </w:p>
    <w:p w14:paraId="6C42777E" w14:textId="40A62D33" w:rsidR="00EF1606" w:rsidRPr="009E1297" w:rsidRDefault="00EF1606" w:rsidP="007E3D66">
      <w:pPr>
        <w:pStyle w:val="Heading1"/>
      </w:pPr>
      <w:bookmarkStart w:id="7" w:name="_Toc32432101"/>
      <w:bookmarkStart w:id="8" w:name="_Toc36187571"/>
      <w:bookmarkStart w:id="9" w:name="_Toc36213866"/>
      <w:bookmarkStart w:id="10" w:name="_Toc36213931"/>
      <w:bookmarkStart w:id="11" w:name="_Toc36214012"/>
      <w:bookmarkStart w:id="12" w:name="_Toc37175452"/>
      <w:bookmarkStart w:id="13" w:name="_Toc32432102"/>
      <w:bookmarkStart w:id="14" w:name="_Toc62129133"/>
      <w:bookmarkEnd w:id="7"/>
      <w:bookmarkEnd w:id="8"/>
      <w:bookmarkEnd w:id="9"/>
      <w:bookmarkEnd w:id="10"/>
      <w:bookmarkEnd w:id="11"/>
      <w:bookmarkEnd w:id="12"/>
      <w:r w:rsidRPr="009E1297">
        <w:t>SYNOPSIS</w:t>
      </w:r>
      <w:bookmarkEnd w:id="13"/>
      <w:bookmarkEnd w:id="14"/>
    </w:p>
    <w:tbl>
      <w:tblPr>
        <w:tblStyle w:val="TableGrid"/>
        <w:tblW w:w="9695" w:type="dxa"/>
        <w:tblLook w:val="0000" w:firstRow="0" w:lastRow="0" w:firstColumn="0" w:lastColumn="0" w:noHBand="0" w:noVBand="0"/>
      </w:tblPr>
      <w:tblGrid>
        <w:gridCol w:w="2263"/>
        <w:gridCol w:w="3686"/>
        <w:gridCol w:w="3746"/>
      </w:tblGrid>
      <w:tr w:rsidR="0079308A" w:rsidRPr="009E1297" w14:paraId="2F970AE7" w14:textId="77777777" w:rsidTr="00631B26">
        <w:tc>
          <w:tcPr>
            <w:tcW w:w="2263" w:type="dxa"/>
          </w:tcPr>
          <w:p w14:paraId="077D4B18" w14:textId="77777777" w:rsidR="0079308A" w:rsidRPr="00034E86" w:rsidRDefault="0079308A" w:rsidP="00F13D27">
            <w:pPr>
              <w:spacing w:before="60" w:after="60"/>
            </w:pPr>
            <w:r w:rsidRPr="00034E86">
              <w:t>Study Title</w:t>
            </w:r>
          </w:p>
        </w:tc>
        <w:tc>
          <w:tcPr>
            <w:tcW w:w="7432" w:type="dxa"/>
            <w:gridSpan w:val="2"/>
          </w:tcPr>
          <w:p w14:paraId="6CB67AEF" w14:textId="458413BD" w:rsidR="0079308A" w:rsidRPr="009E1297" w:rsidRDefault="000F5258" w:rsidP="00E90882">
            <w:pPr>
              <w:rPr>
                <w:sz w:val="24"/>
              </w:rPr>
            </w:pPr>
            <w:proofErr w:type="spellStart"/>
            <w:r w:rsidRPr="002F0D14">
              <w:rPr>
                <w:b/>
              </w:rPr>
              <w:t>Sero</w:t>
            </w:r>
            <w:proofErr w:type="spellEnd"/>
            <w:r w:rsidRPr="002F0D14">
              <w:rPr>
                <w:b/>
              </w:rPr>
              <w:t xml:space="preserve">-epidemiological Study of </w:t>
            </w:r>
            <w:r>
              <w:rPr>
                <w:b/>
              </w:rPr>
              <w:t>Vaccine Preventable Diseases</w:t>
            </w:r>
            <w:r w:rsidRPr="002F0D14">
              <w:rPr>
                <w:b/>
              </w:rPr>
              <w:t xml:space="preserve"> in England</w:t>
            </w:r>
          </w:p>
        </w:tc>
      </w:tr>
      <w:tr w:rsidR="0079308A" w:rsidRPr="009E1297" w14:paraId="528CEB56" w14:textId="77777777" w:rsidTr="00631B26">
        <w:tc>
          <w:tcPr>
            <w:tcW w:w="2263" w:type="dxa"/>
          </w:tcPr>
          <w:p w14:paraId="5089FEEF" w14:textId="77777777" w:rsidR="0079308A" w:rsidRPr="00034E86" w:rsidRDefault="0079308A" w:rsidP="00F13D27">
            <w:pPr>
              <w:spacing w:before="60" w:after="60"/>
            </w:pPr>
            <w:r w:rsidRPr="00034E86">
              <w:t>Internal ref. no.</w:t>
            </w:r>
            <w:r w:rsidR="00233371" w:rsidRPr="00034E86">
              <w:t xml:space="preserve"> / short title</w:t>
            </w:r>
          </w:p>
        </w:tc>
        <w:tc>
          <w:tcPr>
            <w:tcW w:w="7432" w:type="dxa"/>
            <w:gridSpan w:val="2"/>
          </w:tcPr>
          <w:p w14:paraId="5905E772" w14:textId="3333A14A" w:rsidR="0079308A" w:rsidRPr="009E1297" w:rsidRDefault="000F5258" w:rsidP="000929A7">
            <w:pPr>
              <w:spacing w:before="60" w:after="60"/>
            </w:pPr>
            <w:r>
              <w:t>2019/</w:t>
            </w:r>
            <w:r w:rsidR="00C46789">
              <w:t>0</w:t>
            </w:r>
            <w:r w:rsidR="00B410C3">
              <w:t>1</w:t>
            </w:r>
            <w:r>
              <w:t xml:space="preserve">. </w:t>
            </w:r>
            <w:r w:rsidR="007663A4">
              <w:t xml:space="preserve">What’s the </w:t>
            </w:r>
            <w:r w:rsidR="00223BFD">
              <w:t>STORY</w:t>
            </w:r>
          </w:p>
        </w:tc>
      </w:tr>
      <w:tr w:rsidR="00034E86" w:rsidRPr="009E1297" w14:paraId="1F19544F" w14:textId="77777777" w:rsidTr="00631B26">
        <w:tc>
          <w:tcPr>
            <w:tcW w:w="2263" w:type="dxa"/>
          </w:tcPr>
          <w:p w14:paraId="1377FCC5" w14:textId="3809EC97" w:rsidR="00034E86" w:rsidRPr="00034E86" w:rsidRDefault="00034E86" w:rsidP="00034E86">
            <w:pPr>
              <w:spacing w:before="60" w:after="60"/>
            </w:pPr>
            <w:r>
              <w:t>Study registration</w:t>
            </w:r>
          </w:p>
        </w:tc>
        <w:tc>
          <w:tcPr>
            <w:tcW w:w="7432" w:type="dxa"/>
            <w:gridSpan w:val="2"/>
          </w:tcPr>
          <w:p w14:paraId="7D28BE4C" w14:textId="09DE4D76" w:rsidR="00034E86" w:rsidRPr="009E1297" w:rsidRDefault="000929A7" w:rsidP="00336C33">
            <w:pPr>
              <w:spacing w:before="60" w:after="60"/>
            </w:pPr>
            <w:r>
              <w:t>NCT04061382</w:t>
            </w:r>
          </w:p>
        </w:tc>
      </w:tr>
      <w:tr w:rsidR="00034E86" w:rsidRPr="009E1297" w14:paraId="6252A86B" w14:textId="77777777" w:rsidTr="00631B26">
        <w:tc>
          <w:tcPr>
            <w:tcW w:w="2263" w:type="dxa"/>
          </w:tcPr>
          <w:p w14:paraId="1038E279" w14:textId="1550CDF4" w:rsidR="00034E86" w:rsidRPr="00034E86" w:rsidRDefault="00034E86" w:rsidP="00034E86">
            <w:pPr>
              <w:spacing w:before="60" w:after="60"/>
            </w:pPr>
            <w:r>
              <w:t xml:space="preserve">Sponsor </w:t>
            </w:r>
          </w:p>
        </w:tc>
        <w:tc>
          <w:tcPr>
            <w:tcW w:w="7432" w:type="dxa"/>
            <w:gridSpan w:val="2"/>
          </w:tcPr>
          <w:p w14:paraId="7154EE9B" w14:textId="6E5DFCE8" w:rsidR="00034E86" w:rsidRPr="009E1297" w:rsidRDefault="00034E86" w:rsidP="000929A7">
            <w:r w:rsidRPr="00743E6D">
              <w:t xml:space="preserve">University of Oxford  </w:t>
            </w:r>
          </w:p>
        </w:tc>
      </w:tr>
      <w:tr w:rsidR="00034E86" w:rsidRPr="009E1297" w14:paraId="55102FC1" w14:textId="77777777" w:rsidTr="00631B26">
        <w:tc>
          <w:tcPr>
            <w:tcW w:w="2263" w:type="dxa"/>
          </w:tcPr>
          <w:p w14:paraId="05BE9A28" w14:textId="3F934DA7" w:rsidR="00034E86" w:rsidRPr="00034E86" w:rsidRDefault="00034E86" w:rsidP="00034E86">
            <w:pPr>
              <w:spacing w:before="60" w:after="60"/>
            </w:pPr>
            <w:r>
              <w:t xml:space="preserve">Funder </w:t>
            </w:r>
          </w:p>
        </w:tc>
        <w:tc>
          <w:tcPr>
            <w:tcW w:w="7432" w:type="dxa"/>
            <w:gridSpan w:val="2"/>
          </w:tcPr>
          <w:p w14:paraId="7C2C92FF" w14:textId="12C81ED3" w:rsidR="00034E86" w:rsidRPr="009E1297" w:rsidRDefault="007A2747" w:rsidP="00034E86">
            <w:pPr>
              <w:spacing w:before="60" w:after="60"/>
            </w:pPr>
            <w:r w:rsidRPr="007A2747">
              <w:t xml:space="preserve">National Institute for </w:t>
            </w:r>
            <w:r w:rsidR="000F5258">
              <w:t>H</w:t>
            </w:r>
            <w:r w:rsidRPr="007A2747">
              <w:t xml:space="preserve">ealth </w:t>
            </w:r>
            <w:r w:rsidR="000F5258">
              <w:t>R</w:t>
            </w:r>
            <w:r w:rsidRPr="007A2747">
              <w:t>esearch (NIHR)</w:t>
            </w:r>
            <w:r w:rsidR="00034E86">
              <w:rPr>
                <w:highlight w:val="yellow"/>
              </w:rPr>
              <w:t xml:space="preserve">  </w:t>
            </w:r>
          </w:p>
        </w:tc>
      </w:tr>
      <w:tr w:rsidR="00034E86" w:rsidRPr="009E1297" w14:paraId="5CFAB51A" w14:textId="77777777" w:rsidTr="00631B26">
        <w:tc>
          <w:tcPr>
            <w:tcW w:w="2263" w:type="dxa"/>
          </w:tcPr>
          <w:p w14:paraId="032D23CE" w14:textId="77777777" w:rsidR="00034E86" w:rsidRPr="00034E86" w:rsidRDefault="00034E86" w:rsidP="00034E86">
            <w:pPr>
              <w:spacing w:before="60" w:after="60"/>
            </w:pPr>
            <w:r w:rsidRPr="00034E86">
              <w:t>Study Design</w:t>
            </w:r>
          </w:p>
        </w:tc>
        <w:tc>
          <w:tcPr>
            <w:tcW w:w="7432" w:type="dxa"/>
            <w:gridSpan w:val="2"/>
          </w:tcPr>
          <w:p w14:paraId="75C335FA" w14:textId="25FFC4FA" w:rsidR="00034E86" w:rsidRPr="00BC3005" w:rsidRDefault="00BC3005" w:rsidP="00BC3005">
            <w:r>
              <w:t xml:space="preserve">Prospective, cross-sectional </w:t>
            </w:r>
            <w:proofErr w:type="spellStart"/>
            <w:r>
              <w:t>sero</w:t>
            </w:r>
            <w:proofErr w:type="spellEnd"/>
            <w:r>
              <w:t>-prevalence study</w:t>
            </w:r>
          </w:p>
        </w:tc>
      </w:tr>
      <w:tr w:rsidR="00034E86" w:rsidRPr="009E1297" w14:paraId="27E0B223" w14:textId="77777777" w:rsidTr="00631B26">
        <w:tc>
          <w:tcPr>
            <w:tcW w:w="2263" w:type="dxa"/>
          </w:tcPr>
          <w:p w14:paraId="19028BFA" w14:textId="77777777" w:rsidR="00034E86" w:rsidRPr="00034E86" w:rsidRDefault="00034E86" w:rsidP="00034E86">
            <w:pPr>
              <w:spacing w:before="60" w:after="60"/>
            </w:pPr>
            <w:r w:rsidRPr="00034E86">
              <w:t>Study Participants</w:t>
            </w:r>
          </w:p>
        </w:tc>
        <w:tc>
          <w:tcPr>
            <w:tcW w:w="7432" w:type="dxa"/>
            <w:gridSpan w:val="2"/>
          </w:tcPr>
          <w:p w14:paraId="11C0AE05" w14:textId="7378367C" w:rsidR="00034E86" w:rsidRPr="00F427A1" w:rsidRDefault="00F427A1" w:rsidP="005D3E7B">
            <w:pPr>
              <w:rPr>
                <w:rFonts w:ascii="Times New Roman" w:hAnsi="Times New Roman" w:cs="Times New Roman"/>
                <w:sz w:val="24"/>
                <w:szCs w:val="24"/>
              </w:rPr>
            </w:pPr>
            <w:r>
              <w:t xml:space="preserve">Individuals living in England aged </w:t>
            </w:r>
            <w:r w:rsidR="005D3E7B">
              <w:t>0</w:t>
            </w:r>
            <w:r>
              <w:t>– 2</w:t>
            </w:r>
            <w:r w:rsidR="00F86C99">
              <w:t>4</w:t>
            </w:r>
            <w:r>
              <w:t xml:space="preserve"> years</w:t>
            </w:r>
            <w:r>
              <w:rPr>
                <w:rFonts w:ascii="Times New Roman" w:hAnsi="Times New Roman" w:cs="Times New Roman"/>
                <w:sz w:val="24"/>
                <w:szCs w:val="24"/>
              </w:rPr>
              <w:t xml:space="preserve"> </w:t>
            </w:r>
          </w:p>
        </w:tc>
      </w:tr>
      <w:tr w:rsidR="00034E86" w:rsidRPr="009E1297" w14:paraId="33D11A11" w14:textId="77777777" w:rsidTr="00631B26">
        <w:tc>
          <w:tcPr>
            <w:tcW w:w="2263" w:type="dxa"/>
          </w:tcPr>
          <w:p w14:paraId="721EA4A8" w14:textId="23CA8C0F" w:rsidR="00034E86" w:rsidRPr="00034E86" w:rsidRDefault="00034E86" w:rsidP="00034E86">
            <w:pPr>
              <w:spacing w:before="60" w:after="60"/>
            </w:pPr>
            <w:r w:rsidRPr="00034E86">
              <w:t>Sample Size</w:t>
            </w:r>
          </w:p>
        </w:tc>
        <w:tc>
          <w:tcPr>
            <w:tcW w:w="7432" w:type="dxa"/>
            <w:gridSpan w:val="2"/>
          </w:tcPr>
          <w:p w14:paraId="1C9FA6DC" w14:textId="3C07317F" w:rsidR="00034E86" w:rsidRPr="00F427A1" w:rsidRDefault="00F427A1" w:rsidP="0026293E">
            <w:pPr>
              <w:rPr>
                <w:rFonts w:ascii="Times New Roman" w:hAnsi="Times New Roman" w:cs="Times New Roman"/>
                <w:sz w:val="24"/>
                <w:szCs w:val="24"/>
              </w:rPr>
            </w:pPr>
            <w:r>
              <w:t xml:space="preserve">A total sample size of </w:t>
            </w:r>
            <w:r w:rsidR="006B3F43">
              <w:t>2800 to</w:t>
            </w:r>
            <w:r w:rsidR="00C00CF5">
              <w:t xml:space="preserve"> </w:t>
            </w:r>
            <w:r w:rsidR="004E5FB1">
              <w:t>3</w:t>
            </w:r>
            <w:r w:rsidR="0026293E">
              <w:t>8</w:t>
            </w:r>
            <w:r>
              <w:t>00 across all study sites</w:t>
            </w:r>
            <w:r w:rsidR="00B10B45">
              <w:t xml:space="preserve">. </w:t>
            </w:r>
            <w:r w:rsidR="001D29DB" w:rsidRPr="0051031D">
              <w:t>Additional samples can be provided by other ethically approved research projects</w:t>
            </w:r>
          </w:p>
        </w:tc>
      </w:tr>
      <w:tr w:rsidR="00034E86" w:rsidRPr="009E1297" w14:paraId="11246314" w14:textId="77777777" w:rsidTr="00631B26">
        <w:tc>
          <w:tcPr>
            <w:tcW w:w="2263" w:type="dxa"/>
          </w:tcPr>
          <w:p w14:paraId="77E1D756" w14:textId="77777777" w:rsidR="00034E86" w:rsidRPr="00034E86" w:rsidRDefault="00034E86" w:rsidP="00034E86">
            <w:pPr>
              <w:spacing w:before="60" w:after="60"/>
            </w:pPr>
            <w:r w:rsidRPr="00034E86">
              <w:t>Planned Study Period</w:t>
            </w:r>
          </w:p>
        </w:tc>
        <w:tc>
          <w:tcPr>
            <w:tcW w:w="7432" w:type="dxa"/>
            <w:gridSpan w:val="2"/>
          </w:tcPr>
          <w:p w14:paraId="2E0F044A" w14:textId="534AC3A8" w:rsidR="00034E86" w:rsidRPr="009E1297" w:rsidRDefault="007243A5" w:rsidP="00BC2815">
            <w:pPr>
              <w:spacing w:before="60" w:after="60"/>
            </w:pPr>
            <w:r w:rsidRPr="007243A5">
              <w:t xml:space="preserve">June 2019 – </w:t>
            </w:r>
            <w:r w:rsidR="00590019">
              <w:t>Octo</w:t>
            </w:r>
            <w:r w:rsidR="00BC2815">
              <w:t>ber</w:t>
            </w:r>
            <w:r w:rsidR="00BC2815" w:rsidRPr="007243A5">
              <w:t xml:space="preserve"> </w:t>
            </w:r>
            <w:r>
              <w:t>202</w:t>
            </w:r>
            <w:r w:rsidR="00AF744D">
              <w:t>1</w:t>
            </w:r>
            <w:r w:rsidR="00237274">
              <w:t xml:space="preserve"> </w:t>
            </w:r>
          </w:p>
        </w:tc>
      </w:tr>
      <w:tr w:rsidR="00034E86" w:rsidRPr="009E1297" w14:paraId="0A272A85" w14:textId="77777777" w:rsidTr="00631B26">
        <w:tc>
          <w:tcPr>
            <w:tcW w:w="2263" w:type="dxa"/>
          </w:tcPr>
          <w:p w14:paraId="6DC01B18" w14:textId="6E3D8521" w:rsidR="00034E86" w:rsidRPr="00034E86" w:rsidRDefault="00034E86" w:rsidP="00034E86">
            <w:pPr>
              <w:spacing w:before="60" w:after="60"/>
            </w:pPr>
            <w:r>
              <w:t>Planned Recruitment period</w:t>
            </w:r>
          </w:p>
        </w:tc>
        <w:tc>
          <w:tcPr>
            <w:tcW w:w="7432" w:type="dxa"/>
            <w:gridSpan w:val="2"/>
          </w:tcPr>
          <w:p w14:paraId="7DDC5EA0" w14:textId="633D09E4" w:rsidR="00034E86" w:rsidRPr="006B3E9C" w:rsidRDefault="007243A5" w:rsidP="00FE0B36">
            <w:pPr>
              <w:spacing w:before="60" w:after="60"/>
              <w:rPr>
                <w:highlight w:val="yellow"/>
              </w:rPr>
            </w:pPr>
            <w:r w:rsidRPr="007243A5">
              <w:t xml:space="preserve">Beginning of July 2019 – </w:t>
            </w:r>
            <w:r w:rsidR="00FE0B36">
              <w:t>June</w:t>
            </w:r>
            <w:r w:rsidR="00FE0B36" w:rsidRPr="007243A5">
              <w:t xml:space="preserve"> </w:t>
            </w:r>
            <w:r w:rsidRPr="007243A5">
              <w:t>202</w:t>
            </w:r>
            <w:r w:rsidR="0034112B">
              <w:t>1</w:t>
            </w:r>
            <w:r w:rsidR="00237274">
              <w:t xml:space="preserve"> </w:t>
            </w:r>
          </w:p>
        </w:tc>
      </w:tr>
      <w:tr w:rsidR="00464749" w:rsidRPr="009E1297" w14:paraId="7D5E76C3" w14:textId="32C13132" w:rsidTr="000929A7">
        <w:trPr>
          <w:trHeight w:val="144"/>
        </w:trPr>
        <w:tc>
          <w:tcPr>
            <w:tcW w:w="2263" w:type="dxa"/>
          </w:tcPr>
          <w:p w14:paraId="3BF9A1BA" w14:textId="77777777" w:rsidR="00464749" w:rsidRPr="00034E86" w:rsidRDefault="00464749" w:rsidP="00034E86">
            <w:pPr>
              <w:spacing w:before="60" w:after="60"/>
            </w:pPr>
          </w:p>
        </w:tc>
        <w:tc>
          <w:tcPr>
            <w:tcW w:w="3686" w:type="dxa"/>
          </w:tcPr>
          <w:p w14:paraId="72BE1D88" w14:textId="77777777" w:rsidR="00464749" w:rsidRPr="00034E86" w:rsidRDefault="00464749" w:rsidP="003D4579">
            <w:pPr>
              <w:spacing w:before="60" w:after="60"/>
              <w:jc w:val="center"/>
            </w:pPr>
            <w:r w:rsidRPr="00034E86">
              <w:t>Objectives</w:t>
            </w:r>
          </w:p>
        </w:tc>
        <w:tc>
          <w:tcPr>
            <w:tcW w:w="3746" w:type="dxa"/>
          </w:tcPr>
          <w:p w14:paraId="38891A10" w14:textId="2189D469" w:rsidR="00464749" w:rsidRPr="00034E86" w:rsidRDefault="00464749" w:rsidP="003D4579">
            <w:pPr>
              <w:spacing w:before="60" w:after="60"/>
              <w:jc w:val="center"/>
            </w:pPr>
            <w:r w:rsidRPr="00034E86">
              <w:t>Outcome Measures</w:t>
            </w:r>
          </w:p>
        </w:tc>
      </w:tr>
      <w:tr w:rsidR="00464749" w:rsidRPr="009E1297" w14:paraId="2C1DCCD1" w14:textId="7722347A" w:rsidTr="000929A7">
        <w:trPr>
          <w:trHeight w:val="144"/>
        </w:trPr>
        <w:tc>
          <w:tcPr>
            <w:tcW w:w="2263" w:type="dxa"/>
          </w:tcPr>
          <w:p w14:paraId="2BFF1014" w14:textId="77777777" w:rsidR="00464749" w:rsidRPr="00034E86" w:rsidRDefault="00464749" w:rsidP="00034E86">
            <w:pPr>
              <w:spacing w:before="60" w:after="60"/>
            </w:pPr>
            <w:r w:rsidRPr="00034E86">
              <w:t>Primary</w:t>
            </w:r>
          </w:p>
          <w:p w14:paraId="731895C5" w14:textId="77777777" w:rsidR="00464749" w:rsidRPr="00034E86" w:rsidRDefault="00464749" w:rsidP="00034E86">
            <w:pPr>
              <w:spacing w:before="60" w:after="60"/>
            </w:pPr>
          </w:p>
        </w:tc>
        <w:tc>
          <w:tcPr>
            <w:tcW w:w="3686" w:type="dxa"/>
          </w:tcPr>
          <w:p w14:paraId="32EABF80" w14:textId="3BB4EB9A" w:rsidR="0049219A" w:rsidRPr="009834B6" w:rsidRDefault="0049219A" w:rsidP="00F444E5">
            <w:pPr>
              <w:pStyle w:val="ListParagraph"/>
              <w:numPr>
                <w:ilvl w:val="0"/>
                <w:numId w:val="41"/>
              </w:numPr>
              <w:rPr>
                <w:rFonts w:eastAsia="Times New Roman"/>
                <w:lang w:eastAsia="en-US"/>
              </w:rPr>
            </w:pPr>
            <w:r w:rsidRPr="009834B6">
              <w:rPr>
                <w:rFonts w:eastAsia="Times New Roman"/>
                <w:lang w:eastAsia="en-US"/>
              </w:rPr>
              <w:t>To evaluate the feasibility and</w:t>
            </w:r>
            <w:r w:rsidR="009834B6" w:rsidRPr="009834B6">
              <w:rPr>
                <w:rFonts w:eastAsia="Times New Roman"/>
                <w:lang w:eastAsia="en-US"/>
              </w:rPr>
              <w:t xml:space="preserve"> added public health benefit</w:t>
            </w:r>
            <w:r w:rsidRPr="009834B6">
              <w:rPr>
                <w:rFonts w:eastAsia="Times New Roman"/>
                <w:lang w:eastAsia="en-US"/>
              </w:rPr>
              <w:t xml:space="preserve"> of a</w:t>
            </w:r>
            <w:r w:rsidR="003B3348">
              <w:rPr>
                <w:rFonts w:eastAsia="Times New Roman"/>
                <w:lang w:eastAsia="en-US"/>
              </w:rPr>
              <w:t>n</w:t>
            </w:r>
            <w:r w:rsidRPr="009834B6">
              <w:rPr>
                <w:rFonts w:eastAsia="Times New Roman"/>
                <w:lang w:eastAsia="en-US"/>
              </w:rPr>
              <w:t xml:space="preserve"> </w:t>
            </w:r>
            <w:r w:rsidR="004255C2">
              <w:rPr>
                <w:rFonts w:eastAsia="Times New Roman"/>
                <w:lang w:eastAsia="en-US"/>
              </w:rPr>
              <w:t>England</w:t>
            </w:r>
            <w:r w:rsidRPr="009834B6">
              <w:rPr>
                <w:rFonts w:eastAsia="Times New Roman"/>
                <w:lang w:eastAsia="en-US"/>
              </w:rPr>
              <w:t xml:space="preserve">, population based </w:t>
            </w:r>
            <w:proofErr w:type="spellStart"/>
            <w:r w:rsidRPr="009834B6">
              <w:rPr>
                <w:rFonts w:eastAsia="Times New Roman"/>
                <w:lang w:eastAsia="en-US"/>
              </w:rPr>
              <w:t>sero</w:t>
            </w:r>
            <w:proofErr w:type="spellEnd"/>
            <w:r w:rsidRPr="009834B6">
              <w:rPr>
                <w:rFonts w:eastAsia="Times New Roman"/>
                <w:lang w:eastAsia="en-US"/>
              </w:rPr>
              <w:t>-epidemiological programme in 0 to 2</w:t>
            </w:r>
            <w:r w:rsidR="00F86C99" w:rsidRPr="009834B6">
              <w:rPr>
                <w:rFonts w:eastAsia="Times New Roman"/>
                <w:lang w:eastAsia="en-US"/>
              </w:rPr>
              <w:t>4</w:t>
            </w:r>
            <w:r w:rsidRPr="009834B6">
              <w:rPr>
                <w:rFonts w:eastAsia="Times New Roman"/>
                <w:lang w:eastAsia="en-US"/>
              </w:rPr>
              <w:t xml:space="preserve"> year olds</w:t>
            </w:r>
          </w:p>
          <w:p w14:paraId="1136A3DA" w14:textId="67784FF4" w:rsidR="00464749" w:rsidRPr="00233371" w:rsidRDefault="00464749" w:rsidP="009834B6">
            <w:pPr>
              <w:pStyle w:val="ListParagraph"/>
              <w:suppressAutoHyphens/>
              <w:autoSpaceDN w:val="0"/>
              <w:spacing w:after="160" w:line="249" w:lineRule="auto"/>
              <w:textAlignment w:val="baseline"/>
            </w:pPr>
          </w:p>
        </w:tc>
        <w:tc>
          <w:tcPr>
            <w:tcW w:w="3746" w:type="dxa"/>
          </w:tcPr>
          <w:p w14:paraId="1CBE08C6" w14:textId="77777777" w:rsidR="009834B6" w:rsidRPr="009834B6" w:rsidRDefault="009834B6" w:rsidP="00F444E5">
            <w:pPr>
              <w:pStyle w:val="ListParagraph"/>
              <w:numPr>
                <w:ilvl w:val="0"/>
                <w:numId w:val="14"/>
              </w:numPr>
              <w:spacing w:before="60" w:after="60"/>
            </w:pPr>
            <w:r w:rsidRPr="009834B6">
              <w:rPr>
                <w:rFonts w:eastAsia="Times New Roman"/>
              </w:rPr>
              <w:t>Representativeness of participants sampled, in terms of the local population’s ethnicity, community identity, migrant population and socioeconomic background</w:t>
            </w:r>
          </w:p>
          <w:p w14:paraId="76442EFE" w14:textId="29B90A74" w:rsidR="00136C63" w:rsidRPr="000929A7" w:rsidRDefault="009834B6" w:rsidP="00F444E5">
            <w:pPr>
              <w:pStyle w:val="ListParagraph"/>
              <w:numPr>
                <w:ilvl w:val="0"/>
                <w:numId w:val="14"/>
              </w:numPr>
              <w:spacing w:before="60" w:after="60"/>
              <w:rPr>
                <w:rFonts w:eastAsia="Times New Roman"/>
              </w:rPr>
            </w:pPr>
            <w:r w:rsidRPr="009834B6">
              <w:rPr>
                <w:rFonts w:eastAsia="Times New Roman"/>
              </w:rPr>
              <w:t>Comparison with serological markers of immunity for vaccine preventable diseases as measured in an age matched cohort in current residual sera programme</w:t>
            </w:r>
          </w:p>
        </w:tc>
      </w:tr>
      <w:tr w:rsidR="00464749" w:rsidRPr="009E1297" w14:paraId="2E40FD4E" w14:textId="0CBA852E" w:rsidTr="000929A7">
        <w:trPr>
          <w:trHeight w:val="432"/>
        </w:trPr>
        <w:tc>
          <w:tcPr>
            <w:tcW w:w="2263" w:type="dxa"/>
          </w:tcPr>
          <w:p w14:paraId="0E472DB1" w14:textId="3FBF4D4B" w:rsidR="00464749" w:rsidRPr="00034E86" w:rsidRDefault="00464749" w:rsidP="00034E86">
            <w:pPr>
              <w:spacing w:before="60" w:after="60"/>
            </w:pPr>
            <w:r w:rsidRPr="00034E86">
              <w:t>Secondary</w:t>
            </w:r>
          </w:p>
          <w:p w14:paraId="5BB0A8E1" w14:textId="77777777" w:rsidR="00464749" w:rsidRPr="00034E86" w:rsidRDefault="00464749" w:rsidP="00034E86">
            <w:pPr>
              <w:spacing w:before="60" w:after="60"/>
            </w:pPr>
          </w:p>
        </w:tc>
        <w:tc>
          <w:tcPr>
            <w:tcW w:w="3686" w:type="dxa"/>
          </w:tcPr>
          <w:p w14:paraId="7F0A8A8B" w14:textId="77777777" w:rsidR="0049219A" w:rsidRPr="009834B6" w:rsidRDefault="0049219A" w:rsidP="00F444E5">
            <w:pPr>
              <w:pStyle w:val="ListParagraph"/>
              <w:numPr>
                <w:ilvl w:val="0"/>
                <w:numId w:val="6"/>
              </w:numPr>
            </w:pPr>
            <w:r>
              <w:rPr>
                <w:rFonts w:eastAsia="Times New Roman"/>
              </w:rPr>
              <w:t>To evaluate the effectiveness of recruitment methods employed</w:t>
            </w:r>
          </w:p>
          <w:p w14:paraId="455F9DCE" w14:textId="6AC92F59" w:rsidR="0049219A" w:rsidRDefault="0049219A" w:rsidP="009834B6">
            <w:pPr>
              <w:pStyle w:val="ListParagraph"/>
            </w:pPr>
          </w:p>
          <w:p w14:paraId="432A5288" w14:textId="77777777" w:rsidR="000B0E2C" w:rsidRPr="009834B6" w:rsidRDefault="000B0E2C" w:rsidP="009834B6">
            <w:pPr>
              <w:pStyle w:val="ListParagraph"/>
            </w:pPr>
          </w:p>
          <w:p w14:paraId="19FB3D23" w14:textId="1DB06715" w:rsidR="0049219A" w:rsidRPr="009834B6" w:rsidRDefault="0049219A" w:rsidP="008969CA">
            <w:pPr>
              <w:pStyle w:val="ListParagraph"/>
              <w:numPr>
                <w:ilvl w:val="0"/>
                <w:numId w:val="6"/>
              </w:numPr>
            </w:pPr>
            <w:r>
              <w:rPr>
                <w:rFonts w:eastAsia="Times New Roman"/>
              </w:rPr>
              <w:t xml:space="preserve">To assess, in relevant age groups, </w:t>
            </w:r>
            <w:r w:rsidR="00B70409">
              <w:rPr>
                <w:rFonts w:eastAsia="Times New Roman"/>
              </w:rPr>
              <w:t xml:space="preserve">antibody concentrations </w:t>
            </w:r>
            <w:r>
              <w:rPr>
                <w:rFonts w:eastAsia="Times New Roman"/>
              </w:rPr>
              <w:t xml:space="preserve">against </w:t>
            </w:r>
            <w:r w:rsidR="00237274">
              <w:rPr>
                <w:rFonts w:eastAsia="Times New Roman"/>
              </w:rPr>
              <w:t xml:space="preserve">infections and </w:t>
            </w:r>
            <w:r>
              <w:rPr>
                <w:rFonts w:eastAsia="Times New Roman"/>
              </w:rPr>
              <w:t>vaccine preventable diseases including, but not limited to diphtheria</w:t>
            </w:r>
            <w:r w:rsidR="00457652">
              <w:rPr>
                <w:rFonts w:eastAsia="Times New Roman"/>
              </w:rPr>
              <w:t>,</w:t>
            </w:r>
            <w:r>
              <w:rPr>
                <w:rFonts w:eastAsia="Times New Roman"/>
              </w:rPr>
              <w:t xml:space="preserve"> group C meningococcus </w:t>
            </w:r>
            <w:r w:rsidR="00237274">
              <w:rPr>
                <w:rFonts w:eastAsia="Times New Roman"/>
              </w:rPr>
              <w:t>and novel coronavirus (</w:t>
            </w:r>
            <w:r w:rsidR="0075536C">
              <w:t>COVID-19</w:t>
            </w:r>
            <w:r w:rsidR="00457652">
              <w:rPr>
                <w:rFonts w:eastAsia="Times New Roman"/>
              </w:rPr>
              <w:t>)</w:t>
            </w:r>
            <w:r>
              <w:rPr>
                <w:rFonts w:eastAsia="Times New Roman"/>
              </w:rPr>
              <w:t xml:space="preserve"> </w:t>
            </w:r>
          </w:p>
          <w:p w14:paraId="29CF75F6" w14:textId="4C4FA4E8" w:rsidR="0049219A" w:rsidRDefault="0049219A" w:rsidP="009834B6">
            <w:pPr>
              <w:pStyle w:val="ListParagraph"/>
            </w:pPr>
          </w:p>
          <w:p w14:paraId="26762BC1" w14:textId="1D1AB8D3" w:rsidR="000929A7" w:rsidRDefault="000929A7" w:rsidP="009834B6">
            <w:pPr>
              <w:pStyle w:val="ListParagraph"/>
            </w:pPr>
          </w:p>
          <w:p w14:paraId="5DBCE4F3" w14:textId="02BD7377" w:rsidR="00866DD0" w:rsidRDefault="00866DD0" w:rsidP="009834B6">
            <w:pPr>
              <w:pStyle w:val="ListParagraph"/>
            </w:pPr>
          </w:p>
          <w:p w14:paraId="39033CFA" w14:textId="77777777" w:rsidR="00457652" w:rsidRPr="00866DD0" w:rsidRDefault="00457652" w:rsidP="00866DD0"/>
          <w:p w14:paraId="76F11A36" w14:textId="130A7805" w:rsidR="00457652" w:rsidRDefault="00457652" w:rsidP="009834B6">
            <w:pPr>
              <w:pStyle w:val="ListParagraph"/>
            </w:pPr>
          </w:p>
          <w:p w14:paraId="13AB1B41" w14:textId="77777777" w:rsidR="00041E93" w:rsidRDefault="00041E93" w:rsidP="009834B6">
            <w:pPr>
              <w:pStyle w:val="ListParagraph"/>
            </w:pPr>
          </w:p>
          <w:p w14:paraId="6B645F6E" w14:textId="4DC211B6" w:rsidR="000929A7" w:rsidRDefault="000929A7" w:rsidP="000929A7"/>
          <w:p w14:paraId="292E4B76" w14:textId="7011A742" w:rsidR="0011498F" w:rsidRDefault="0011498F" w:rsidP="000929A7"/>
          <w:p w14:paraId="704A946C" w14:textId="782CE067" w:rsidR="0011498F" w:rsidRDefault="0011498F" w:rsidP="000929A7"/>
          <w:p w14:paraId="6CA9C248" w14:textId="77777777" w:rsidR="0011498F" w:rsidRPr="009834B6" w:rsidRDefault="0011498F" w:rsidP="000929A7"/>
          <w:p w14:paraId="3E4722BB" w14:textId="4E209305" w:rsidR="00464749" w:rsidRPr="003A41ED" w:rsidRDefault="0049219A" w:rsidP="00F444E5">
            <w:pPr>
              <w:pStyle w:val="ListParagraph"/>
              <w:numPr>
                <w:ilvl w:val="0"/>
                <w:numId w:val="6"/>
              </w:numPr>
            </w:pPr>
            <w:r>
              <w:rPr>
                <w:rFonts w:eastAsia="Times New Roman"/>
              </w:rPr>
              <w:t>To develop a store of sera from a representative section of 0 to 2</w:t>
            </w:r>
            <w:r w:rsidR="00F86C99">
              <w:rPr>
                <w:rFonts w:eastAsia="Times New Roman"/>
              </w:rPr>
              <w:t>4</w:t>
            </w:r>
            <w:r>
              <w:rPr>
                <w:rFonts w:eastAsia="Times New Roman"/>
              </w:rPr>
              <w:t xml:space="preserve"> year olds available for future testing of immunity against other</w:t>
            </w:r>
            <w:r w:rsidR="00237274">
              <w:rPr>
                <w:rFonts w:eastAsia="Times New Roman"/>
              </w:rPr>
              <w:t xml:space="preserve"> infectious</w:t>
            </w:r>
            <w:r>
              <w:rPr>
                <w:rFonts w:eastAsia="Times New Roman"/>
              </w:rPr>
              <w:t xml:space="preserve"> diseases of relevance to UK immunisation schedule</w:t>
            </w:r>
            <w:r w:rsidR="00237274">
              <w:rPr>
                <w:rFonts w:eastAsia="Times New Roman"/>
              </w:rPr>
              <w:t xml:space="preserve"> and public health</w:t>
            </w:r>
            <w:r>
              <w:rPr>
                <w:rFonts w:eastAsia="Times New Roman"/>
              </w:rPr>
              <w:t>.</w:t>
            </w:r>
          </w:p>
          <w:p w14:paraId="52B515EF" w14:textId="77777777" w:rsidR="00C00CF5" w:rsidRPr="003A41ED" w:rsidRDefault="00C00CF5" w:rsidP="003A41ED">
            <w:pPr>
              <w:pStyle w:val="ListParagraph"/>
            </w:pPr>
          </w:p>
          <w:p w14:paraId="5F9A0DE8" w14:textId="70FF05D3" w:rsidR="00C00CF5" w:rsidRPr="003A41ED" w:rsidRDefault="00C00CF5" w:rsidP="00F444E5">
            <w:pPr>
              <w:pStyle w:val="ListParagraph"/>
              <w:numPr>
                <w:ilvl w:val="0"/>
                <w:numId w:val="6"/>
              </w:numPr>
            </w:pPr>
            <w:r>
              <w:rPr>
                <w:rFonts w:eastAsia="Times New Roman"/>
              </w:rPr>
              <w:t>To determine the prevalence of SARS-CoV-2 infections in 0 – 24 year olds, and variation in prevalence in time, age</w:t>
            </w:r>
            <w:r w:rsidR="0026293E">
              <w:rPr>
                <w:rFonts w:eastAsia="Times New Roman"/>
              </w:rPr>
              <w:t>, ethnicity</w:t>
            </w:r>
            <w:r>
              <w:rPr>
                <w:rFonts w:eastAsia="Times New Roman"/>
              </w:rPr>
              <w:t xml:space="preserve"> and geography (cross-sectional </w:t>
            </w:r>
            <w:proofErr w:type="spellStart"/>
            <w:r>
              <w:rPr>
                <w:rFonts w:eastAsia="Times New Roman"/>
              </w:rPr>
              <w:t>sero</w:t>
            </w:r>
            <w:proofErr w:type="spellEnd"/>
            <w:r>
              <w:rPr>
                <w:rFonts w:eastAsia="Times New Roman"/>
              </w:rPr>
              <w:t>-epidemiological study)</w:t>
            </w:r>
          </w:p>
          <w:p w14:paraId="63CA2F3A" w14:textId="77777777" w:rsidR="00C00CF5" w:rsidRDefault="00C00CF5" w:rsidP="003A41ED">
            <w:pPr>
              <w:pStyle w:val="ListParagraph"/>
            </w:pPr>
          </w:p>
          <w:p w14:paraId="3301E479" w14:textId="77777777" w:rsidR="00041E93" w:rsidRDefault="00041E93" w:rsidP="008854BC">
            <w:pPr>
              <w:pStyle w:val="ListParagraph"/>
            </w:pPr>
          </w:p>
          <w:p w14:paraId="6AA6C740" w14:textId="77777777" w:rsidR="00041E93" w:rsidRDefault="00041E93" w:rsidP="008854BC">
            <w:pPr>
              <w:pStyle w:val="ListParagraph"/>
            </w:pPr>
          </w:p>
          <w:p w14:paraId="49873A08" w14:textId="26415260" w:rsidR="00C00CF5" w:rsidRDefault="00C00CF5" w:rsidP="00F444E5">
            <w:pPr>
              <w:pStyle w:val="ListParagraph"/>
              <w:numPr>
                <w:ilvl w:val="0"/>
                <w:numId w:val="6"/>
              </w:numPr>
            </w:pPr>
            <w:r>
              <w:t>T</w:t>
            </w:r>
            <w:r w:rsidR="004C15C2">
              <w:t>o</w:t>
            </w:r>
            <w:r>
              <w:t xml:space="preserve"> determine </w:t>
            </w:r>
            <w:r w:rsidR="004C15C2">
              <w:t>the kinetics of antibodies specific to SARS-CoV-2 following infection in a paediatric population (serial blood sampling in population sub-group)</w:t>
            </w:r>
          </w:p>
          <w:p w14:paraId="344D2F2E" w14:textId="77777777" w:rsidR="004C15C2" w:rsidRDefault="004C15C2" w:rsidP="003A41ED">
            <w:pPr>
              <w:pStyle w:val="ListParagraph"/>
            </w:pPr>
          </w:p>
          <w:p w14:paraId="5E0D0387" w14:textId="32D37979" w:rsidR="004C15C2" w:rsidRDefault="004C15C2" w:rsidP="00F444E5">
            <w:pPr>
              <w:pStyle w:val="ListParagraph"/>
              <w:numPr>
                <w:ilvl w:val="0"/>
                <w:numId w:val="6"/>
              </w:numPr>
            </w:pPr>
            <w:r>
              <w:t>To determine relationship between serum and salivary antibodies against SARS-CoV-2</w:t>
            </w:r>
          </w:p>
          <w:p w14:paraId="5D0DBF4A" w14:textId="77777777" w:rsidR="007A4B8D" w:rsidRDefault="007A4B8D" w:rsidP="008854BC">
            <w:pPr>
              <w:pStyle w:val="ListParagraph"/>
            </w:pPr>
          </w:p>
          <w:p w14:paraId="234BA7D1" w14:textId="77554A42" w:rsidR="00136C63" w:rsidRPr="00233371" w:rsidRDefault="00136C63" w:rsidP="008854BC">
            <w:pPr>
              <w:pStyle w:val="ListParagraph"/>
            </w:pPr>
          </w:p>
        </w:tc>
        <w:tc>
          <w:tcPr>
            <w:tcW w:w="3746" w:type="dxa"/>
          </w:tcPr>
          <w:p w14:paraId="673E94C2" w14:textId="40203F82" w:rsidR="00631B26" w:rsidRDefault="00C46789" w:rsidP="00F444E5">
            <w:pPr>
              <w:pStyle w:val="ListParagraph"/>
              <w:numPr>
                <w:ilvl w:val="0"/>
                <w:numId w:val="15"/>
              </w:numPr>
              <w:spacing w:before="60" w:after="60"/>
              <w:rPr>
                <w:rFonts w:eastAsia="Times New Roman"/>
              </w:rPr>
            </w:pPr>
            <w:r>
              <w:rPr>
                <w:rFonts w:eastAsia="Times New Roman"/>
              </w:rPr>
              <w:lastRenderedPageBreak/>
              <w:t>R</w:t>
            </w:r>
            <w:r w:rsidR="0049219A" w:rsidRPr="00631B26">
              <w:rPr>
                <w:rFonts w:eastAsia="Times New Roman"/>
              </w:rPr>
              <w:t xml:space="preserve">ecruitment rate per month, recruitment rates as percentage of potential participants contacted, </w:t>
            </w:r>
          </w:p>
          <w:p w14:paraId="4DFDDE97" w14:textId="77777777" w:rsidR="001A5368" w:rsidRDefault="0049219A" w:rsidP="00F444E5">
            <w:pPr>
              <w:pStyle w:val="ListParagraph"/>
              <w:numPr>
                <w:ilvl w:val="0"/>
                <w:numId w:val="15"/>
              </w:numPr>
              <w:spacing w:before="60" w:after="60"/>
              <w:rPr>
                <w:rFonts w:eastAsia="Times New Roman"/>
              </w:rPr>
            </w:pPr>
            <w:r w:rsidRPr="00631B26">
              <w:rPr>
                <w:rFonts w:eastAsia="Times New Roman"/>
              </w:rPr>
              <w:t xml:space="preserve">cost per sample </w:t>
            </w:r>
            <w:r w:rsidR="00631B26" w:rsidRPr="00631B26">
              <w:rPr>
                <w:rFonts w:eastAsia="Times New Roman"/>
              </w:rPr>
              <w:t xml:space="preserve">obtained </w:t>
            </w:r>
          </w:p>
          <w:p w14:paraId="51C9800D" w14:textId="62B11393" w:rsidR="001A5368" w:rsidRDefault="0049219A" w:rsidP="00F444E5">
            <w:pPr>
              <w:pStyle w:val="ListParagraph"/>
              <w:numPr>
                <w:ilvl w:val="0"/>
                <w:numId w:val="15"/>
              </w:numPr>
              <w:spacing w:before="60" w:after="60"/>
              <w:rPr>
                <w:rFonts w:eastAsia="Times New Roman"/>
              </w:rPr>
            </w:pPr>
            <w:r w:rsidRPr="00631B26">
              <w:rPr>
                <w:rFonts w:eastAsia="Times New Roman"/>
              </w:rPr>
              <w:t xml:space="preserve"> disease specific correlates of protection/markers of immunity, e.g. </w:t>
            </w:r>
            <w:r w:rsidR="001A5368">
              <w:rPr>
                <w:rFonts w:eastAsia="Times New Roman"/>
              </w:rPr>
              <w:t>:</w:t>
            </w:r>
          </w:p>
          <w:p w14:paraId="1FC35974" w14:textId="3E8E2E5C" w:rsidR="001A5368" w:rsidRDefault="0049219A" w:rsidP="00F444E5">
            <w:pPr>
              <w:pStyle w:val="ListParagraph"/>
              <w:numPr>
                <w:ilvl w:val="1"/>
                <w:numId w:val="15"/>
              </w:numPr>
              <w:spacing w:before="60" w:after="60"/>
              <w:rPr>
                <w:rFonts w:eastAsia="Times New Roman"/>
              </w:rPr>
            </w:pPr>
            <w:r w:rsidRPr="00631B26">
              <w:rPr>
                <w:rFonts w:eastAsia="Times New Roman"/>
              </w:rPr>
              <w:t xml:space="preserve">Anti-Diphtheria Toxoid IgG concentrations </w:t>
            </w:r>
          </w:p>
          <w:p w14:paraId="080ACEE9" w14:textId="2FB4048D" w:rsidR="001A5368" w:rsidRDefault="00B70409" w:rsidP="00F444E5">
            <w:pPr>
              <w:pStyle w:val="ListParagraph"/>
              <w:numPr>
                <w:ilvl w:val="1"/>
                <w:numId w:val="15"/>
              </w:numPr>
              <w:spacing w:before="60" w:after="60"/>
              <w:rPr>
                <w:rFonts w:eastAsia="Times New Roman"/>
              </w:rPr>
            </w:pPr>
            <w:r>
              <w:rPr>
                <w:rFonts w:eastAsia="Times New Roman"/>
              </w:rPr>
              <w:t>C</w:t>
            </w:r>
            <w:r w:rsidR="0049219A" w:rsidRPr="00631B26">
              <w:rPr>
                <w:rFonts w:eastAsia="Times New Roman"/>
              </w:rPr>
              <w:t>apsular Group C meningococcal Serum bactericidal activity (SBA) titres</w:t>
            </w:r>
          </w:p>
          <w:p w14:paraId="0211602F" w14:textId="1EE8A4A6" w:rsidR="00237274" w:rsidRPr="001A5368" w:rsidRDefault="004C15C2" w:rsidP="00F444E5">
            <w:pPr>
              <w:pStyle w:val="ListParagraph"/>
              <w:numPr>
                <w:ilvl w:val="1"/>
                <w:numId w:val="15"/>
              </w:numPr>
              <w:spacing w:before="60" w:after="60"/>
              <w:rPr>
                <w:rFonts w:eastAsia="Times New Roman"/>
              </w:rPr>
            </w:pPr>
            <w:r>
              <w:rPr>
                <w:rFonts w:eastAsia="Times New Roman"/>
              </w:rPr>
              <w:t xml:space="preserve">Serum </w:t>
            </w:r>
            <w:r w:rsidR="00F711BD" w:rsidRPr="001A5368">
              <w:rPr>
                <w:rFonts w:eastAsia="Times New Roman"/>
              </w:rPr>
              <w:t xml:space="preserve">IgG to </w:t>
            </w:r>
            <w:r>
              <w:rPr>
                <w:rFonts w:eastAsia="Times New Roman"/>
              </w:rPr>
              <w:t>SARS-CoV-2</w:t>
            </w:r>
            <w:r w:rsidR="00F711BD" w:rsidRPr="001A5368">
              <w:rPr>
                <w:rFonts w:eastAsia="Times New Roman"/>
              </w:rPr>
              <w:t xml:space="preserve"> </w:t>
            </w:r>
            <w:r>
              <w:rPr>
                <w:rFonts w:eastAsia="Times New Roman"/>
              </w:rPr>
              <w:t xml:space="preserve">antigens, including </w:t>
            </w:r>
            <w:r w:rsidR="00F711BD" w:rsidRPr="001A5368">
              <w:rPr>
                <w:rFonts w:eastAsia="Times New Roman"/>
              </w:rPr>
              <w:t>spike protein</w:t>
            </w:r>
            <w:r w:rsidR="005A3255">
              <w:rPr>
                <w:rFonts w:eastAsia="Times New Roman"/>
              </w:rPr>
              <w:t xml:space="preserve"> and/or </w:t>
            </w:r>
            <w:r w:rsidR="005A3255">
              <w:t>nucleocapsid</w:t>
            </w:r>
            <w:r w:rsidR="001A5368">
              <w:rPr>
                <w:rFonts w:eastAsia="Times New Roman"/>
              </w:rPr>
              <w:t xml:space="preserve"> </w:t>
            </w:r>
            <w:r w:rsidR="001A5368">
              <w:rPr>
                <w:rFonts w:eastAsia="Times New Roman"/>
              </w:rPr>
              <w:lastRenderedPageBreak/>
              <w:t>(as measured by ELISA and/or neutral</w:t>
            </w:r>
            <w:r w:rsidR="00D65964">
              <w:rPr>
                <w:rFonts w:eastAsia="Times New Roman"/>
              </w:rPr>
              <w:t>i</w:t>
            </w:r>
            <w:r w:rsidR="001A5368">
              <w:rPr>
                <w:rFonts w:eastAsia="Times New Roman"/>
              </w:rPr>
              <w:t>sing assay</w:t>
            </w:r>
            <w:r w:rsidR="00D65964">
              <w:rPr>
                <w:rFonts w:eastAsia="Times New Roman"/>
              </w:rPr>
              <w:t>)</w:t>
            </w:r>
          </w:p>
          <w:p w14:paraId="1864DEE4" w14:textId="77777777" w:rsidR="003D7356" w:rsidRPr="003B3348" w:rsidRDefault="003D7356" w:rsidP="003B3348">
            <w:pPr>
              <w:spacing w:before="60" w:after="60"/>
            </w:pPr>
          </w:p>
          <w:p w14:paraId="41839F74" w14:textId="3C81D642" w:rsidR="00464749" w:rsidRPr="003A41ED" w:rsidRDefault="0049219A" w:rsidP="00F444E5">
            <w:pPr>
              <w:pStyle w:val="ListParagraph"/>
              <w:numPr>
                <w:ilvl w:val="0"/>
                <w:numId w:val="15"/>
              </w:numPr>
              <w:spacing w:before="60" w:after="60"/>
            </w:pPr>
            <w:r w:rsidRPr="00631B26">
              <w:rPr>
                <w:rFonts w:eastAsia="Times New Roman"/>
              </w:rPr>
              <w:t>A collection of anonymised sera from participants with appropriate consent and known demographic details and immunisation history’</w:t>
            </w:r>
          </w:p>
          <w:p w14:paraId="4AD81DF6" w14:textId="55CB6792" w:rsidR="00C00CF5" w:rsidRDefault="00C00CF5" w:rsidP="00C00CF5">
            <w:pPr>
              <w:spacing w:before="60" w:after="60"/>
            </w:pPr>
          </w:p>
          <w:p w14:paraId="77513EC0" w14:textId="750A5B20" w:rsidR="004C15C2" w:rsidRDefault="004C15C2" w:rsidP="00C00CF5">
            <w:pPr>
              <w:spacing w:before="60" w:after="60"/>
            </w:pPr>
          </w:p>
          <w:p w14:paraId="2956D908" w14:textId="77777777" w:rsidR="00B70409" w:rsidRDefault="00B70409" w:rsidP="00C00CF5">
            <w:pPr>
              <w:spacing w:before="60" w:after="60"/>
            </w:pPr>
          </w:p>
          <w:p w14:paraId="16B400F3" w14:textId="6DA4F239" w:rsidR="004C15C2" w:rsidRPr="001A5368" w:rsidRDefault="004C15C2" w:rsidP="00F444E5">
            <w:pPr>
              <w:pStyle w:val="ListParagraph"/>
              <w:numPr>
                <w:ilvl w:val="0"/>
                <w:numId w:val="15"/>
              </w:numPr>
              <w:spacing w:before="60" w:after="60"/>
              <w:rPr>
                <w:rFonts w:eastAsia="Times New Roman"/>
              </w:rPr>
            </w:pPr>
            <w:r>
              <w:rPr>
                <w:rFonts w:eastAsia="Times New Roman"/>
              </w:rPr>
              <w:t xml:space="preserve">Serum </w:t>
            </w:r>
            <w:r w:rsidRPr="001A5368">
              <w:rPr>
                <w:rFonts w:eastAsia="Times New Roman"/>
              </w:rPr>
              <w:t xml:space="preserve">IgG to </w:t>
            </w:r>
            <w:r>
              <w:rPr>
                <w:rFonts w:eastAsia="Times New Roman"/>
              </w:rPr>
              <w:t>SARS-CoV-2</w:t>
            </w:r>
            <w:r w:rsidRPr="001A5368">
              <w:rPr>
                <w:rFonts w:eastAsia="Times New Roman"/>
              </w:rPr>
              <w:t xml:space="preserve"> </w:t>
            </w:r>
            <w:r>
              <w:rPr>
                <w:rFonts w:eastAsia="Times New Roman"/>
              </w:rPr>
              <w:t xml:space="preserve">antigens, including </w:t>
            </w:r>
            <w:r w:rsidRPr="001A5368">
              <w:rPr>
                <w:rFonts w:eastAsia="Times New Roman"/>
              </w:rPr>
              <w:t>spike protein</w:t>
            </w:r>
            <w:r w:rsidR="005A3255">
              <w:rPr>
                <w:rFonts w:eastAsia="Times New Roman"/>
              </w:rPr>
              <w:t xml:space="preserve"> and/or </w:t>
            </w:r>
            <w:r w:rsidR="005A3255">
              <w:t>nucleocapsid</w:t>
            </w:r>
            <w:r>
              <w:rPr>
                <w:rFonts w:eastAsia="Times New Roman"/>
              </w:rPr>
              <w:t xml:space="preserve"> (as measured by ELISA and/or neutralising assay)</w:t>
            </w:r>
          </w:p>
          <w:p w14:paraId="1A71CCAC" w14:textId="706077B8" w:rsidR="004C15C2" w:rsidRDefault="004C15C2" w:rsidP="004C15C2">
            <w:pPr>
              <w:spacing w:before="60" w:after="60"/>
              <w:rPr>
                <w:rFonts w:eastAsia="Times New Roman"/>
              </w:rPr>
            </w:pPr>
          </w:p>
          <w:p w14:paraId="3FDDB8EB" w14:textId="49AD0625" w:rsidR="004C15C2" w:rsidRDefault="004C15C2" w:rsidP="004C15C2">
            <w:pPr>
              <w:spacing w:before="60" w:after="60"/>
              <w:rPr>
                <w:rFonts w:eastAsia="Times New Roman"/>
              </w:rPr>
            </w:pPr>
          </w:p>
          <w:p w14:paraId="0DD19203" w14:textId="77777777" w:rsidR="000B0E2C" w:rsidRDefault="000B0E2C" w:rsidP="004C15C2">
            <w:pPr>
              <w:spacing w:before="60" w:after="60"/>
              <w:rPr>
                <w:rFonts w:eastAsia="Times New Roman"/>
              </w:rPr>
            </w:pPr>
          </w:p>
          <w:p w14:paraId="7E531EA4" w14:textId="0C46C774" w:rsidR="004C15C2" w:rsidRPr="001A5368" w:rsidRDefault="004C15C2" w:rsidP="00F444E5">
            <w:pPr>
              <w:pStyle w:val="ListParagraph"/>
              <w:numPr>
                <w:ilvl w:val="0"/>
                <w:numId w:val="15"/>
              </w:numPr>
              <w:spacing w:before="60" w:after="60"/>
              <w:rPr>
                <w:rFonts w:eastAsia="Times New Roman"/>
              </w:rPr>
            </w:pPr>
            <w:r>
              <w:rPr>
                <w:rFonts w:eastAsia="Times New Roman"/>
              </w:rPr>
              <w:t xml:space="preserve">Serum </w:t>
            </w:r>
            <w:r w:rsidRPr="001A5368">
              <w:rPr>
                <w:rFonts w:eastAsia="Times New Roman"/>
              </w:rPr>
              <w:t xml:space="preserve">IgG to </w:t>
            </w:r>
            <w:r>
              <w:rPr>
                <w:rFonts w:eastAsia="Times New Roman"/>
              </w:rPr>
              <w:t>SARS-CoV-2</w:t>
            </w:r>
            <w:r w:rsidRPr="001A5368">
              <w:rPr>
                <w:rFonts w:eastAsia="Times New Roman"/>
              </w:rPr>
              <w:t xml:space="preserve"> </w:t>
            </w:r>
            <w:r>
              <w:rPr>
                <w:rFonts w:eastAsia="Times New Roman"/>
              </w:rPr>
              <w:t xml:space="preserve">antigens, including </w:t>
            </w:r>
            <w:r w:rsidRPr="001A5368">
              <w:rPr>
                <w:rFonts w:eastAsia="Times New Roman"/>
              </w:rPr>
              <w:t>spike protein</w:t>
            </w:r>
            <w:r w:rsidR="005A3255">
              <w:rPr>
                <w:rFonts w:eastAsia="Times New Roman"/>
              </w:rPr>
              <w:t xml:space="preserve"> and/or </w:t>
            </w:r>
            <w:r w:rsidR="005A3255">
              <w:t>nucleocapsid</w:t>
            </w:r>
            <w:r>
              <w:rPr>
                <w:rFonts w:eastAsia="Times New Roman"/>
              </w:rPr>
              <w:t xml:space="preserve"> (as measured by ELISA and/or neutralising assay)</w:t>
            </w:r>
          </w:p>
          <w:p w14:paraId="0162E15C" w14:textId="13B295B6" w:rsidR="00C00CF5" w:rsidRDefault="00C00CF5" w:rsidP="003A41ED">
            <w:pPr>
              <w:spacing w:before="60" w:after="60"/>
            </w:pPr>
          </w:p>
          <w:p w14:paraId="58187CAD" w14:textId="77777777" w:rsidR="004C15C2" w:rsidRDefault="004C15C2" w:rsidP="007E400E">
            <w:pPr>
              <w:spacing w:before="60" w:after="60"/>
            </w:pPr>
          </w:p>
          <w:p w14:paraId="6A93DDCC" w14:textId="477438AD" w:rsidR="004C15C2" w:rsidRPr="00233371" w:rsidRDefault="004C15C2" w:rsidP="00F444E5">
            <w:pPr>
              <w:pStyle w:val="ListParagraph"/>
              <w:numPr>
                <w:ilvl w:val="0"/>
                <w:numId w:val="15"/>
              </w:numPr>
              <w:spacing w:before="60" w:after="60"/>
            </w:pPr>
            <w:r>
              <w:t xml:space="preserve">Salivary IgG to </w:t>
            </w:r>
            <w:r>
              <w:rPr>
                <w:rFonts w:eastAsia="Times New Roman"/>
              </w:rPr>
              <w:t>SARS-CoV-2</w:t>
            </w:r>
            <w:r w:rsidRPr="001A5368">
              <w:rPr>
                <w:rFonts w:eastAsia="Times New Roman"/>
              </w:rPr>
              <w:t xml:space="preserve"> </w:t>
            </w:r>
            <w:r>
              <w:rPr>
                <w:rFonts w:eastAsia="Times New Roman"/>
              </w:rPr>
              <w:t xml:space="preserve">antigens, including </w:t>
            </w:r>
            <w:r w:rsidRPr="001A5368">
              <w:rPr>
                <w:rFonts w:eastAsia="Times New Roman"/>
              </w:rPr>
              <w:t>spike protein</w:t>
            </w:r>
            <w:r w:rsidR="005A3255">
              <w:rPr>
                <w:rFonts w:eastAsia="Times New Roman"/>
              </w:rPr>
              <w:t xml:space="preserve"> and/or </w:t>
            </w:r>
            <w:r w:rsidR="005A3255">
              <w:t>nucleocapsid</w:t>
            </w:r>
            <w:r>
              <w:rPr>
                <w:rFonts w:eastAsia="Times New Roman"/>
              </w:rPr>
              <w:t xml:space="preserve"> (as measured by ELISA)</w:t>
            </w:r>
          </w:p>
        </w:tc>
      </w:tr>
      <w:tr w:rsidR="00EE1322" w:rsidRPr="009E1297" w14:paraId="6A190CEA" w14:textId="77777777" w:rsidTr="000929A7">
        <w:trPr>
          <w:trHeight w:val="432"/>
        </w:trPr>
        <w:tc>
          <w:tcPr>
            <w:tcW w:w="2263" w:type="dxa"/>
          </w:tcPr>
          <w:p w14:paraId="4A45277E" w14:textId="0991086E" w:rsidR="00EE1322" w:rsidRPr="00034E86" w:rsidRDefault="00EE1322" w:rsidP="00034E86">
            <w:pPr>
              <w:spacing w:before="60" w:after="60"/>
            </w:pPr>
            <w:r>
              <w:lastRenderedPageBreak/>
              <w:t>Exploratory</w:t>
            </w:r>
          </w:p>
        </w:tc>
        <w:tc>
          <w:tcPr>
            <w:tcW w:w="3686" w:type="dxa"/>
          </w:tcPr>
          <w:p w14:paraId="1136E358" w14:textId="00D0388A" w:rsidR="00EE1322" w:rsidRDefault="00EE1322" w:rsidP="00F444E5">
            <w:pPr>
              <w:pStyle w:val="ListParagraph"/>
              <w:numPr>
                <w:ilvl w:val="0"/>
                <w:numId w:val="6"/>
              </w:numPr>
              <w:rPr>
                <w:rFonts w:eastAsia="Times New Roman"/>
              </w:rPr>
            </w:pPr>
            <w:r>
              <w:rPr>
                <w:rFonts w:eastAsia="Times New Roman"/>
              </w:rPr>
              <w:t xml:space="preserve">Comparison between recruitment strategies </w:t>
            </w:r>
            <w:r w:rsidR="00BB6A09">
              <w:rPr>
                <w:rFonts w:eastAsia="Times New Roman"/>
              </w:rPr>
              <w:t>between groups</w:t>
            </w:r>
          </w:p>
          <w:p w14:paraId="5F40A8DC" w14:textId="4E9ADC15" w:rsidR="00F0584A" w:rsidRDefault="00F0584A" w:rsidP="18F94920">
            <w:pPr>
              <w:rPr>
                <w:rFonts w:eastAsia="Times New Roman"/>
              </w:rPr>
            </w:pPr>
          </w:p>
          <w:p w14:paraId="5F4A8AB1" w14:textId="21084C97" w:rsidR="00F0584A" w:rsidRDefault="00F0584A" w:rsidP="18F94920">
            <w:pPr>
              <w:rPr>
                <w:rFonts w:eastAsia="Times New Roman"/>
              </w:rPr>
            </w:pPr>
          </w:p>
          <w:p w14:paraId="566F0DC7" w14:textId="77777777" w:rsidR="00F0584A" w:rsidRDefault="00F0584A" w:rsidP="18F94920">
            <w:pPr>
              <w:rPr>
                <w:rFonts w:eastAsia="Times New Roman"/>
              </w:rPr>
            </w:pPr>
          </w:p>
          <w:p w14:paraId="5CC8FDFE" w14:textId="77E50F62" w:rsidR="00AA21CD" w:rsidRPr="008854BC" w:rsidRDefault="00660530" w:rsidP="00F444E5">
            <w:pPr>
              <w:pStyle w:val="ListParagraph"/>
              <w:numPr>
                <w:ilvl w:val="0"/>
                <w:numId w:val="6"/>
              </w:numPr>
              <w:rPr>
                <w:rFonts w:eastAsia="Times New Roman"/>
              </w:rPr>
            </w:pPr>
            <w:r>
              <w:rPr>
                <w:rFonts w:eastAsia="Times New Roman"/>
              </w:rPr>
              <w:t>The presence of SARS-CoV-2 virus in saliva in a sub-set of study participants</w:t>
            </w:r>
          </w:p>
          <w:p w14:paraId="3863F29E" w14:textId="77777777" w:rsidR="006238D2" w:rsidRDefault="006238D2" w:rsidP="00AA21CD">
            <w:pPr>
              <w:rPr>
                <w:rFonts w:eastAsia="Times New Roman"/>
              </w:rPr>
            </w:pPr>
          </w:p>
          <w:p w14:paraId="70331A9B" w14:textId="20F508E2" w:rsidR="002214E3" w:rsidRDefault="002F17C4" w:rsidP="00F444E5">
            <w:pPr>
              <w:pStyle w:val="ListParagraph"/>
              <w:numPr>
                <w:ilvl w:val="0"/>
                <w:numId w:val="6"/>
              </w:numPr>
            </w:pPr>
            <w:r w:rsidRPr="5E3615F6">
              <w:rPr>
                <w:rFonts w:eastAsia="Times New Roman"/>
              </w:rPr>
              <w:t>T</w:t>
            </w:r>
            <w:r w:rsidR="564B351F" w:rsidRPr="5E3615F6">
              <w:rPr>
                <w:rFonts w:eastAsia="Times New Roman"/>
              </w:rPr>
              <w:t xml:space="preserve">o </w:t>
            </w:r>
            <w:r w:rsidR="51EDA3F7" w:rsidRPr="5E3615F6">
              <w:rPr>
                <w:rFonts w:eastAsia="Times New Roman"/>
              </w:rPr>
              <w:t>characterise</w:t>
            </w:r>
            <w:r>
              <w:rPr>
                <w:rFonts w:eastAsia="Times New Roman"/>
              </w:rPr>
              <w:t xml:space="preserve"> T cell responses against SARS-CoV-2 </w:t>
            </w:r>
            <w:r w:rsidR="00AA21CD">
              <w:rPr>
                <w:rFonts w:eastAsia="Times New Roman"/>
              </w:rPr>
              <w:t xml:space="preserve">in </w:t>
            </w:r>
            <w:r w:rsidR="006628CE">
              <w:rPr>
                <w:rFonts w:eastAsia="Times New Roman"/>
              </w:rPr>
              <w:t>antibody seropositive and seronegative participants</w:t>
            </w:r>
            <w:r w:rsidR="004F73FF">
              <w:rPr>
                <w:rFonts w:eastAsia="Times New Roman"/>
              </w:rPr>
              <w:t>.</w:t>
            </w:r>
          </w:p>
          <w:p w14:paraId="0D8ACE1F" w14:textId="7E87589F" w:rsidR="002214E3" w:rsidRDefault="002214E3">
            <w:pPr>
              <w:pStyle w:val="ListParagraph"/>
            </w:pPr>
          </w:p>
          <w:p w14:paraId="295FD8EE" w14:textId="5D11DE07" w:rsidR="00F0584A" w:rsidRDefault="00F0584A">
            <w:pPr>
              <w:pStyle w:val="ListParagraph"/>
            </w:pPr>
          </w:p>
          <w:p w14:paraId="117F9BE5" w14:textId="678C6280" w:rsidR="00F0584A" w:rsidRDefault="00F0584A">
            <w:pPr>
              <w:pStyle w:val="ListParagraph"/>
            </w:pPr>
          </w:p>
          <w:p w14:paraId="0FABBF31" w14:textId="4AD2637D" w:rsidR="00F0584A" w:rsidRDefault="00F0584A">
            <w:pPr>
              <w:pStyle w:val="ListParagraph"/>
            </w:pPr>
          </w:p>
          <w:p w14:paraId="043F7E17" w14:textId="5B4B0B59" w:rsidR="00F0584A" w:rsidRDefault="00F0584A">
            <w:pPr>
              <w:pStyle w:val="ListParagraph"/>
            </w:pPr>
          </w:p>
          <w:p w14:paraId="68FF2E32" w14:textId="77777777" w:rsidR="00F0584A" w:rsidRDefault="00F0584A" w:rsidP="008854BC">
            <w:pPr>
              <w:pStyle w:val="ListParagraph"/>
            </w:pPr>
          </w:p>
          <w:p w14:paraId="6E6B9C58" w14:textId="44ADC9A3" w:rsidR="00072EFD" w:rsidRDefault="36937EDF" w:rsidP="00F444E5">
            <w:pPr>
              <w:pStyle w:val="ListParagraph"/>
              <w:numPr>
                <w:ilvl w:val="0"/>
                <w:numId w:val="6"/>
              </w:numPr>
            </w:pPr>
            <w:r>
              <w:t>Humoral and cellular immunity against non SARS-CoV-2 coronaviruses</w:t>
            </w:r>
          </w:p>
          <w:p w14:paraId="5A1D4B9A" w14:textId="0F4454B0" w:rsidR="00BA0487" w:rsidRDefault="00BA0487" w:rsidP="00BA0487"/>
          <w:p w14:paraId="4B71AF04" w14:textId="63540671" w:rsidR="00BA0487" w:rsidRDefault="00BA0487" w:rsidP="00BA0487"/>
          <w:p w14:paraId="2987FCA9" w14:textId="60F4B08A" w:rsidR="00BA0487" w:rsidRDefault="00BA0487" w:rsidP="00BA0487"/>
          <w:p w14:paraId="26259379" w14:textId="0A974DAB" w:rsidR="00BA0487" w:rsidRDefault="00BA0487" w:rsidP="00BA0487"/>
          <w:p w14:paraId="698B6240" w14:textId="234515E1" w:rsidR="00BA0487" w:rsidRDefault="00BA0487" w:rsidP="00BA0487"/>
          <w:p w14:paraId="2C653068" w14:textId="40FECD30" w:rsidR="00BA0487" w:rsidRDefault="00BA0487" w:rsidP="00BA0487"/>
          <w:p w14:paraId="0A128840" w14:textId="0401C29D" w:rsidR="00BA0487" w:rsidRDefault="00BA0487" w:rsidP="00BA0487"/>
          <w:p w14:paraId="5293BFD3" w14:textId="0932E3BD" w:rsidR="00BA0487" w:rsidRDefault="00BA0487" w:rsidP="00BA0487"/>
          <w:p w14:paraId="04FAEA65" w14:textId="77777777" w:rsidR="00436236" w:rsidRDefault="00436236" w:rsidP="000B04C7"/>
          <w:p w14:paraId="53B7BB4B" w14:textId="77777777" w:rsidR="00436236" w:rsidRDefault="00436236" w:rsidP="008854BC">
            <w:pPr>
              <w:pStyle w:val="ListParagraph"/>
            </w:pPr>
          </w:p>
          <w:p w14:paraId="5A08F479" w14:textId="335A130C" w:rsidR="006E0793" w:rsidRPr="003B3348" w:rsidRDefault="006E0793" w:rsidP="00956EA1">
            <w:pPr>
              <w:pStyle w:val="ListParagraph"/>
            </w:pPr>
          </w:p>
        </w:tc>
        <w:tc>
          <w:tcPr>
            <w:tcW w:w="3746" w:type="dxa"/>
          </w:tcPr>
          <w:p w14:paraId="4BCCE6DF" w14:textId="1F2037C2" w:rsidR="00EE1322" w:rsidRPr="00D65964" w:rsidRDefault="00EE1322" w:rsidP="00F444E5">
            <w:pPr>
              <w:pStyle w:val="ListParagraph"/>
              <w:numPr>
                <w:ilvl w:val="0"/>
                <w:numId w:val="6"/>
              </w:numPr>
              <w:spacing w:before="60" w:after="60"/>
              <w:rPr>
                <w:rFonts w:eastAsia="Times New Roman"/>
              </w:rPr>
            </w:pPr>
            <w:r w:rsidRPr="009834B6">
              <w:rPr>
                <w:rFonts w:eastAsia="Times New Roman"/>
              </w:rPr>
              <w:lastRenderedPageBreak/>
              <w:t>Representativeness of participants sampled, in terms of the local population’s ethnicity, community identity, migrant population and socioeconomic background</w:t>
            </w:r>
          </w:p>
          <w:p w14:paraId="56585401" w14:textId="77777777" w:rsidR="00D65964" w:rsidRDefault="00D65964" w:rsidP="00F444E5">
            <w:pPr>
              <w:pStyle w:val="ListParagraph"/>
              <w:numPr>
                <w:ilvl w:val="0"/>
                <w:numId w:val="6"/>
              </w:numPr>
              <w:spacing w:before="60" w:after="60"/>
              <w:rPr>
                <w:rFonts w:eastAsia="Times New Roman"/>
              </w:rPr>
            </w:pPr>
            <w:r>
              <w:rPr>
                <w:rFonts w:eastAsia="Times New Roman"/>
              </w:rPr>
              <w:t>Differences in immunological read outs</w:t>
            </w:r>
          </w:p>
          <w:p w14:paraId="5AEDEC89" w14:textId="24393319" w:rsidR="00660530" w:rsidRDefault="00660530" w:rsidP="00660530">
            <w:pPr>
              <w:spacing w:before="60" w:after="60"/>
              <w:rPr>
                <w:rFonts w:eastAsia="Times New Roman"/>
              </w:rPr>
            </w:pPr>
          </w:p>
          <w:p w14:paraId="416A12A9" w14:textId="77777777" w:rsidR="00BB6A09" w:rsidRDefault="00BB6A09" w:rsidP="00660530">
            <w:pPr>
              <w:spacing w:before="60" w:after="60"/>
              <w:rPr>
                <w:rFonts w:eastAsia="Times New Roman"/>
              </w:rPr>
            </w:pPr>
          </w:p>
          <w:p w14:paraId="0ED2A6DF" w14:textId="246190D2" w:rsidR="00660530" w:rsidRDefault="00660530" w:rsidP="00F444E5">
            <w:pPr>
              <w:pStyle w:val="ListParagraph"/>
              <w:numPr>
                <w:ilvl w:val="0"/>
                <w:numId w:val="6"/>
              </w:numPr>
              <w:spacing w:before="60" w:after="60"/>
              <w:rPr>
                <w:rFonts w:eastAsia="Times New Roman"/>
              </w:rPr>
            </w:pPr>
            <w:r>
              <w:rPr>
                <w:rFonts w:eastAsia="Times New Roman"/>
              </w:rPr>
              <w:t>PCR for SARS-CoV-2 on saliva samples</w:t>
            </w:r>
            <w:r w:rsidR="00E407DB">
              <w:rPr>
                <w:rFonts w:eastAsia="Times New Roman"/>
              </w:rPr>
              <w:t xml:space="preserve"> stored and processed at the end of the study.</w:t>
            </w:r>
          </w:p>
          <w:p w14:paraId="425876FA" w14:textId="77777777" w:rsidR="00182FCC" w:rsidRPr="00182FCC" w:rsidRDefault="00182FCC" w:rsidP="008854BC">
            <w:pPr>
              <w:pStyle w:val="ListParagraph"/>
              <w:rPr>
                <w:rFonts w:eastAsia="Times New Roman"/>
              </w:rPr>
            </w:pPr>
          </w:p>
          <w:p w14:paraId="5B1331B7" w14:textId="298C0AFA" w:rsidR="008016D8" w:rsidRDefault="008016D8" w:rsidP="008854BC"/>
          <w:p w14:paraId="61EA59AD" w14:textId="77777777" w:rsidR="00F0584A" w:rsidRDefault="00F0584A" w:rsidP="00F444E5">
            <w:pPr>
              <w:pStyle w:val="ListParagraph"/>
              <w:numPr>
                <w:ilvl w:val="0"/>
                <w:numId w:val="6"/>
              </w:numPr>
            </w:pPr>
            <w:r>
              <w:lastRenderedPageBreak/>
              <w:t>T cell responses to SARS-CoV-2 antigens including, but not limited to S, M and N proteins, as measured by techniques including, but not limited to</w:t>
            </w:r>
          </w:p>
          <w:p w14:paraId="588D0EBF" w14:textId="58CA4AF3" w:rsidR="00DA2B76" w:rsidRDefault="00DA2B76" w:rsidP="00F444E5">
            <w:pPr>
              <w:pStyle w:val="ListParagraph"/>
              <w:numPr>
                <w:ilvl w:val="1"/>
                <w:numId w:val="6"/>
              </w:numPr>
            </w:pPr>
            <w:r>
              <w:t>ELI</w:t>
            </w:r>
            <w:r w:rsidR="006D48B8">
              <w:t>Spot</w:t>
            </w:r>
          </w:p>
          <w:p w14:paraId="65241CE7" w14:textId="48366BA6" w:rsidR="0044654F" w:rsidRDefault="0044654F" w:rsidP="00F444E5">
            <w:pPr>
              <w:pStyle w:val="ListParagraph"/>
              <w:numPr>
                <w:ilvl w:val="1"/>
                <w:numId w:val="6"/>
              </w:numPr>
            </w:pPr>
            <w:r>
              <w:t>ICS</w:t>
            </w:r>
          </w:p>
          <w:p w14:paraId="44AC02AB" w14:textId="4EE81D8C" w:rsidR="0044654F" w:rsidRDefault="0044654F" w:rsidP="00F444E5">
            <w:pPr>
              <w:pStyle w:val="ListParagraph"/>
              <w:numPr>
                <w:ilvl w:val="1"/>
                <w:numId w:val="6"/>
              </w:numPr>
            </w:pPr>
            <w:r>
              <w:t>Proliferation assay</w:t>
            </w:r>
          </w:p>
          <w:p w14:paraId="71BFBF0E" w14:textId="77777777" w:rsidR="004419C6" w:rsidRDefault="004419C6">
            <w:pPr>
              <w:pStyle w:val="ListParagraph"/>
              <w:rPr>
                <w:rFonts w:eastAsia="Times New Roman"/>
              </w:rPr>
            </w:pPr>
          </w:p>
          <w:p w14:paraId="0DA35704" w14:textId="77777777" w:rsidR="004F73FF" w:rsidRDefault="004F73FF">
            <w:pPr>
              <w:pStyle w:val="ListParagraph"/>
              <w:rPr>
                <w:rFonts w:eastAsia="Times New Roman"/>
              </w:rPr>
            </w:pPr>
          </w:p>
          <w:p w14:paraId="26C45C98" w14:textId="77777777" w:rsidR="004F73FF" w:rsidRPr="000B04C7" w:rsidRDefault="00F0584A" w:rsidP="00F444E5">
            <w:pPr>
              <w:pStyle w:val="ListParagraph"/>
              <w:numPr>
                <w:ilvl w:val="0"/>
                <w:numId w:val="6"/>
              </w:numPr>
              <w:rPr>
                <w:rFonts w:eastAsia="Times New Roman"/>
              </w:rPr>
            </w:pPr>
            <w:r>
              <w:t>Antigen specific IgG and T cells against non-</w:t>
            </w:r>
            <w:r w:rsidR="002B088F">
              <w:t xml:space="preserve">SARS-CoV-2 coronaviruses (e.g. NL62 and 229E) </w:t>
            </w:r>
          </w:p>
          <w:p w14:paraId="7606345C" w14:textId="77777777" w:rsidR="00BA0487" w:rsidRDefault="00BA0487" w:rsidP="00BA0487">
            <w:pPr>
              <w:rPr>
                <w:rFonts w:eastAsia="Times New Roman"/>
              </w:rPr>
            </w:pPr>
          </w:p>
          <w:p w14:paraId="2497AEC9" w14:textId="6865FEF3" w:rsidR="00BA0487" w:rsidRPr="000B04C7" w:rsidRDefault="00BA0487" w:rsidP="000B04C7">
            <w:pPr>
              <w:rPr>
                <w:rFonts w:eastAsia="Times New Roman"/>
              </w:rPr>
            </w:pPr>
          </w:p>
        </w:tc>
      </w:tr>
    </w:tbl>
    <w:p w14:paraId="6F8488A3" w14:textId="518E1F11" w:rsidR="00B70409" w:rsidRDefault="00B70409">
      <w:pPr>
        <w:rPr>
          <w:rFonts w:eastAsiaTheme="majorEastAsia" w:cstheme="majorBidi"/>
          <w:b/>
          <w:bCs/>
          <w:sz w:val="24"/>
          <w:szCs w:val="28"/>
        </w:rPr>
      </w:pPr>
      <w:bookmarkStart w:id="15" w:name="_Toc32432103"/>
    </w:p>
    <w:p w14:paraId="544AA857" w14:textId="77777777" w:rsidR="00B70409" w:rsidRDefault="00B70409">
      <w:pPr>
        <w:rPr>
          <w:rFonts w:eastAsiaTheme="majorEastAsia" w:cstheme="majorBidi"/>
          <w:b/>
          <w:bCs/>
          <w:sz w:val="24"/>
          <w:szCs w:val="28"/>
        </w:rPr>
      </w:pPr>
      <w:r>
        <w:rPr>
          <w:rFonts w:eastAsiaTheme="majorEastAsia" w:cstheme="majorBidi"/>
          <w:b/>
          <w:bCs/>
          <w:sz w:val="24"/>
          <w:szCs w:val="28"/>
        </w:rPr>
        <w:br w:type="page"/>
      </w:r>
    </w:p>
    <w:p w14:paraId="24D66FDC" w14:textId="77777777" w:rsidR="00C72905" w:rsidRDefault="00C72905">
      <w:pPr>
        <w:rPr>
          <w:rFonts w:eastAsiaTheme="majorEastAsia" w:cstheme="majorBidi"/>
          <w:b/>
          <w:bCs/>
          <w:sz w:val="24"/>
          <w:szCs w:val="28"/>
        </w:rPr>
      </w:pPr>
    </w:p>
    <w:p w14:paraId="23B714A3" w14:textId="609FDA3F" w:rsidR="00EF1606" w:rsidRPr="009E1297" w:rsidRDefault="00EF1606" w:rsidP="007E3D66">
      <w:pPr>
        <w:pStyle w:val="Heading1"/>
      </w:pPr>
      <w:bookmarkStart w:id="16" w:name="_Toc62129134"/>
      <w:r w:rsidRPr="009E1297">
        <w:t>ABBREVIATIONS</w:t>
      </w:r>
      <w:bookmarkEnd w:id="15"/>
      <w:bookmarkEnd w:id="1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200"/>
      </w:tblGrid>
      <w:tr w:rsidR="00BB6A09" w:rsidRPr="00311D4B" w14:paraId="6FD2477C" w14:textId="77777777" w:rsidTr="04B4EC75">
        <w:trPr>
          <w:trHeight w:val="397"/>
        </w:trPr>
        <w:tc>
          <w:tcPr>
            <w:tcW w:w="2014" w:type="dxa"/>
            <w:vAlign w:val="center"/>
          </w:tcPr>
          <w:p w14:paraId="3EA5E067" w14:textId="67670BA2" w:rsidR="00BB6A09" w:rsidRPr="000F4540" w:rsidRDefault="00BB6A09" w:rsidP="0051697B">
            <w:pPr>
              <w:pStyle w:val="ListParagraph"/>
              <w:rPr>
                <w:sz w:val="20"/>
                <w:szCs w:val="20"/>
              </w:rPr>
            </w:pPr>
            <w:r>
              <w:rPr>
                <w:sz w:val="20"/>
                <w:szCs w:val="20"/>
              </w:rPr>
              <w:t>BAME</w:t>
            </w:r>
          </w:p>
        </w:tc>
        <w:tc>
          <w:tcPr>
            <w:tcW w:w="7200" w:type="dxa"/>
            <w:vAlign w:val="center"/>
          </w:tcPr>
          <w:p w14:paraId="7C9EB6A8" w14:textId="51D46C71" w:rsidR="00BB6A09" w:rsidRPr="000F4540" w:rsidRDefault="00BB6A09" w:rsidP="000F4540">
            <w:pPr>
              <w:pStyle w:val="ListParagraph"/>
              <w:rPr>
                <w:sz w:val="20"/>
                <w:szCs w:val="20"/>
              </w:rPr>
            </w:pPr>
            <w:r w:rsidRPr="0051697B">
              <w:rPr>
                <w:sz w:val="20"/>
                <w:szCs w:val="20"/>
              </w:rPr>
              <w:t>Black, Asian and Minority ethnic</w:t>
            </w:r>
          </w:p>
        </w:tc>
      </w:tr>
      <w:tr w:rsidR="0079308A" w:rsidRPr="00311D4B" w14:paraId="4F91C817" w14:textId="77777777" w:rsidTr="04B4EC75">
        <w:trPr>
          <w:trHeight w:val="397"/>
        </w:trPr>
        <w:tc>
          <w:tcPr>
            <w:tcW w:w="2014" w:type="dxa"/>
            <w:vAlign w:val="center"/>
          </w:tcPr>
          <w:p w14:paraId="1E47E50C" w14:textId="77777777" w:rsidR="0079308A" w:rsidRPr="000F4540" w:rsidRDefault="0079308A" w:rsidP="003B3348">
            <w:pPr>
              <w:pStyle w:val="ListParagraph"/>
              <w:ind w:left="484" w:firstLine="206"/>
              <w:rPr>
                <w:sz w:val="20"/>
                <w:szCs w:val="20"/>
              </w:rPr>
            </w:pPr>
            <w:r w:rsidRPr="000F4540">
              <w:rPr>
                <w:sz w:val="20"/>
                <w:szCs w:val="20"/>
              </w:rPr>
              <w:t>CI</w:t>
            </w:r>
          </w:p>
        </w:tc>
        <w:tc>
          <w:tcPr>
            <w:tcW w:w="7200" w:type="dxa"/>
            <w:vAlign w:val="center"/>
          </w:tcPr>
          <w:p w14:paraId="472AC9F0" w14:textId="77777777" w:rsidR="0079308A" w:rsidRPr="000F4540" w:rsidRDefault="0079308A" w:rsidP="000F4540">
            <w:pPr>
              <w:pStyle w:val="ListParagraph"/>
              <w:rPr>
                <w:sz w:val="20"/>
                <w:szCs w:val="20"/>
              </w:rPr>
            </w:pPr>
            <w:r w:rsidRPr="000F4540">
              <w:rPr>
                <w:sz w:val="20"/>
                <w:szCs w:val="20"/>
              </w:rPr>
              <w:t>Chief Investigator</w:t>
            </w:r>
          </w:p>
        </w:tc>
      </w:tr>
      <w:tr w:rsidR="00311D4B" w:rsidRPr="00311D4B" w14:paraId="630636F3" w14:textId="77777777" w:rsidTr="04B4EC75">
        <w:trPr>
          <w:trHeight w:val="397"/>
        </w:trPr>
        <w:tc>
          <w:tcPr>
            <w:tcW w:w="2014" w:type="dxa"/>
            <w:vAlign w:val="center"/>
          </w:tcPr>
          <w:p w14:paraId="0C4C8561" w14:textId="45599C77" w:rsidR="00311D4B" w:rsidRPr="000F4540" w:rsidRDefault="00311D4B" w:rsidP="000F4540">
            <w:pPr>
              <w:pStyle w:val="ListParagraph"/>
              <w:rPr>
                <w:sz w:val="20"/>
                <w:szCs w:val="20"/>
              </w:rPr>
            </w:pPr>
            <w:r w:rsidRPr="000F4540">
              <w:rPr>
                <w:rFonts w:ascii="Calibri" w:hAnsi="Calibri"/>
                <w:bCs/>
                <w:sz w:val="20"/>
                <w:szCs w:val="20"/>
              </w:rPr>
              <w:t>CCVTM</w:t>
            </w:r>
          </w:p>
        </w:tc>
        <w:tc>
          <w:tcPr>
            <w:tcW w:w="7200" w:type="dxa"/>
            <w:vAlign w:val="center"/>
          </w:tcPr>
          <w:p w14:paraId="6EA5A05E" w14:textId="156AC904" w:rsidR="00311D4B" w:rsidRPr="000F4540" w:rsidRDefault="00311D4B" w:rsidP="000F4540">
            <w:pPr>
              <w:pStyle w:val="ListParagraph"/>
              <w:rPr>
                <w:rFonts w:ascii="Calibri" w:hAnsi="Calibri"/>
                <w:bCs/>
                <w:sz w:val="20"/>
                <w:szCs w:val="20"/>
              </w:rPr>
            </w:pPr>
            <w:r w:rsidRPr="000F4540">
              <w:rPr>
                <w:rFonts w:ascii="Calibri" w:hAnsi="Calibri"/>
                <w:bCs/>
                <w:sz w:val="20"/>
                <w:szCs w:val="20"/>
              </w:rPr>
              <w:t>Centre for Clinical Vaccinology and Tropical Medicine (CCVTM)</w:t>
            </w:r>
          </w:p>
        </w:tc>
      </w:tr>
      <w:tr w:rsidR="00311D4B" w:rsidRPr="00311D4B" w14:paraId="4139DF5F" w14:textId="77777777" w:rsidTr="04B4EC75">
        <w:trPr>
          <w:trHeight w:val="397"/>
        </w:trPr>
        <w:tc>
          <w:tcPr>
            <w:tcW w:w="2014" w:type="dxa"/>
            <w:vAlign w:val="center"/>
          </w:tcPr>
          <w:p w14:paraId="278F82C5" w14:textId="643B190D" w:rsidR="00311D4B" w:rsidRPr="000F4540" w:rsidRDefault="00311D4B" w:rsidP="000F4540">
            <w:pPr>
              <w:pStyle w:val="ListParagraph"/>
              <w:rPr>
                <w:sz w:val="20"/>
                <w:szCs w:val="20"/>
              </w:rPr>
            </w:pPr>
            <w:r w:rsidRPr="000F4540">
              <w:rPr>
                <w:sz w:val="20"/>
                <w:szCs w:val="20"/>
              </w:rPr>
              <w:t>CDM</w:t>
            </w:r>
          </w:p>
        </w:tc>
        <w:tc>
          <w:tcPr>
            <w:tcW w:w="7200" w:type="dxa"/>
            <w:vAlign w:val="center"/>
          </w:tcPr>
          <w:p w14:paraId="4798852D" w14:textId="4A3CE3E2" w:rsidR="00311D4B" w:rsidRPr="000F4540" w:rsidRDefault="00311D4B" w:rsidP="000F4540">
            <w:pPr>
              <w:pStyle w:val="ListParagraph"/>
              <w:rPr>
                <w:sz w:val="20"/>
                <w:szCs w:val="20"/>
              </w:rPr>
            </w:pPr>
            <w:r w:rsidRPr="000F4540">
              <w:rPr>
                <w:sz w:val="20"/>
                <w:szCs w:val="20"/>
              </w:rPr>
              <w:t>Clinical Data Management</w:t>
            </w:r>
          </w:p>
        </w:tc>
      </w:tr>
      <w:tr w:rsidR="00311D4B" w:rsidRPr="00311D4B" w14:paraId="298E9C06" w14:textId="77777777" w:rsidTr="04B4EC75">
        <w:trPr>
          <w:trHeight w:val="397"/>
        </w:trPr>
        <w:tc>
          <w:tcPr>
            <w:tcW w:w="2014" w:type="dxa"/>
            <w:vAlign w:val="center"/>
          </w:tcPr>
          <w:p w14:paraId="26B5F445" w14:textId="77777777" w:rsidR="00311D4B" w:rsidRPr="000F4540" w:rsidRDefault="00311D4B" w:rsidP="000F4540">
            <w:pPr>
              <w:pStyle w:val="ListParagraph"/>
              <w:rPr>
                <w:sz w:val="20"/>
                <w:szCs w:val="20"/>
              </w:rPr>
            </w:pPr>
            <w:r w:rsidRPr="000F4540">
              <w:rPr>
                <w:sz w:val="20"/>
                <w:szCs w:val="20"/>
              </w:rPr>
              <w:t>CRF</w:t>
            </w:r>
          </w:p>
        </w:tc>
        <w:tc>
          <w:tcPr>
            <w:tcW w:w="7200" w:type="dxa"/>
            <w:vAlign w:val="center"/>
          </w:tcPr>
          <w:p w14:paraId="2D68D3B5" w14:textId="77777777" w:rsidR="00311D4B" w:rsidRPr="000F4540" w:rsidRDefault="00311D4B" w:rsidP="000F4540">
            <w:pPr>
              <w:pStyle w:val="ListParagraph"/>
              <w:rPr>
                <w:sz w:val="20"/>
                <w:szCs w:val="20"/>
              </w:rPr>
            </w:pPr>
            <w:r w:rsidRPr="000F4540">
              <w:rPr>
                <w:sz w:val="20"/>
                <w:szCs w:val="20"/>
              </w:rPr>
              <w:t>Case Report Form</w:t>
            </w:r>
          </w:p>
        </w:tc>
      </w:tr>
      <w:tr w:rsidR="00311D4B" w:rsidRPr="00311D4B" w14:paraId="12CFA4CB" w14:textId="77777777" w:rsidTr="04B4EC75">
        <w:trPr>
          <w:trHeight w:val="397"/>
        </w:trPr>
        <w:tc>
          <w:tcPr>
            <w:tcW w:w="2014" w:type="dxa"/>
            <w:vAlign w:val="center"/>
          </w:tcPr>
          <w:p w14:paraId="148C26EC" w14:textId="43EE6A92" w:rsidR="00311D4B" w:rsidRPr="000F4540" w:rsidRDefault="00311D4B" w:rsidP="000F4540">
            <w:pPr>
              <w:pStyle w:val="ListParagraph"/>
              <w:rPr>
                <w:sz w:val="20"/>
                <w:szCs w:val="20"/>
              </w:rPr>
            </w:pPr>
            <w:r w:rsidRPr="000F4540">
              <w:rPr>
                <w:sz w:val="20"/>
                <w:szCs w:val="20"/>
              </w:rPr>
              <w:t>CHIS</w:t>
            </w:r>
          </w:p>
        </w:tc>
        <w:tc>
          <w:tcPr>
            <w:tcW w:w="7200" w:type="dxa"/>
            <w:vAlign w:val="center"/>
          </w:tcPr>
          <w:p w14:paraId="5FBDE38E" w14:textId="0EF25461" w:rsidR="00311D4B" w:rsidRPr="000F4540" w:rsidRDefault="00311D4B" w:rsidP="000F4540">
            <w:pPr>
              <w:pStyle w:val="ListParagraph"/>
              <w:rPr>
                <w:sz w:val="20"/>
                <w:szCs w:val="20"/>
              </w:rPr>
            </w:pPr>
            <w:r w:rsidRPr="000F4540">
              <w:rPr>
                <w:sz w:val="20"/>
                <w:szCs w:val="20"/>
              </w:rPr>
              <w:t>Child Health Immunisation Service</w:t>
            </w:r>
          </w:p>
        </w:tc>
      </w:tr>
      <w:tr w:rsidR="00D232AB" w:rsidRPr="00311D4B" w14:paraId="47101CAC" w14:textId="77777777" w:rsidTr="04B4EC75">
        <w:trPr>
          <w:trHeight w:val="397"/>
        </w:trPr>
        <w:tc>
          <w:tcPr>
            <w:tcW w:w="2014" w:type="dxa"/>
            <w:vAlign w:val="center"/>
          </w:tcPr>
          <w:p w14:paraId="56987504" w14:textId="59618AC8" w:rsidR="00D232AB" w:rsidRPr="000F4540" w:rsidRDefault="0075536C" w:rsidP="000F4540">
            <w:pPr>
              <w:pStyle w:val="ListParagraph"/>
              <w:rPr>
                <w:sz w:val="20"/>
                <w:szCs w:val="20"/>
              </w:rPr>
            </w:pPr>
            <w:r>
              <w:rPr>
                <w:sz w:val="20"/>
                <w:szCs w:val="20"/>
              </w:rPr>
              <w:t>COVID-19</w:t>
            </w:r>
          </w:p>
        </w:tc>
        <w:tc>
          <w:tcPr>
            <w:tcW w:w="7200" w:type="dxa"/>
            <w:vAlign w:val="center"/>
          </w:tcPr>
          <w:p w14:paraId="31CE012E" w14:textId="3A37A8DE" w:rsidR="00D232AB" w:rsidRPr="000F4540" w:rsidRDefault="00D232AB" w:rsidP="000F4540">
            <w:pPr>
              <w:pStyle w:val="ListParagraph"/>
              <w:rPr>
                <w:sz w:val="20"/>
                <w:szCs w:val="20"/>
              </w:rPr>
            </w:pPr>
            <w:r>
              <w:rPr>
                <w:sz w:val="20"/>
                <w:szCs w:val="20"/>
              </w:rPr>
              <w:t>Coronavirus Disease 2019 (also known as 2019-nCoV)</w:t>
            </w:r>
          </w:p>
        </w:tc>
      </w:tr>
      <w:tr w:rsidR="00F532E0" w:rsidRPr="00311D4B" w14:paraId="6F31EF5F" w14:textId="77777777" w:rsidTr="04B4EC75">
        <w:trPr>
          <w:trHeight w:val="397"/>
        </w:trPr>
        <w:tc>
          <w:tcPr>
            <w:tcW w:w="2014" w:type="dxa"/>
            <w:vAlign w:val="center"/>
          </w:tcPr>
          <w:p w14:paraId="1AAA95CB" w14:textId="0D2E3E1C" w:rsidR="00F532E0" w:rsidRPr="00F532E0" w:rsidRDefault="00F532E0" w:rsidP="00311D4B">
            <w:pPr>
              <w:pStyle w:val="ListParagraph"/>
              <w:rPr>
                <w:sz w:val="20"/>
                <w:szCs w:val="20"/>
              </w:rPr>
            </w:pPr>
            <w:r>
              <w:rPr>
                <w:sz w:val="20"/>
                <w:szCs w:val="20"/>
              </w:rPr>
              <w:t>DNA</w:t>
            </w:r>
          </w:p>
        </w:tc>
        <w:tc>
          <w:tcPr>
            <w:tcW w:w="7200" w:type="dxa"/>
            <w:vAlign w:val="center"/>
          </w:tcPr>
          <w:p w14:paraId="1D415A4D" w14:textId="3E750321" w:rsidR="00F532E0" w:rsidRPr="00F532E0" w:rsidRDefault="00F532E0" w:rsidP="00311D4B">
            <w:pPr>
              <w:pStyle w:val="ListParagraph"/>
              <w:rPr>
                <w:sz w:val="20"/>
                <w:szCs w:val="20"/>
              </w:rPr>
            </w:pPr>
            <w:r>
              <w:rPr>
                <w:sz w:val="20"/>
                <w:szCs w:val="20"/>
              </w:rPr>
              <w:t>Deoxyribonucleic Acid</w:t>
            </w:r>
          </w:p>
        </w:tc>
      </w:tr>
      <w:tr w:rsidR="00311D4B" w:rsidRPr="00311D4B" w14:paraId="47860233" w14:textId="77777777" w:rsidTr="04B4EC75">
        <w:trPr>
          <w:trHeight w:val="397"/>
        </w:trPr>
        <w:tc>
          <w:tcPr>
            <w:tcW w:w="2014" w:type="dxa"/>
            <w:vAlign w:val="center"/>
          </w:tcPr>
          <w:p w14:paraId="5F0460C7" w14:textId="77777777" w:rsidR="00311D4B" w:rsidRPr="000F4540" w:rsidRDefault="00311D4B" w:rsidP="000F4540">
            <w:pPr>
              <w:pStyle w:val="ListParagraph"/>
              <w:rPr>
                <w:sz w:val="20"/>
                <w:szCs w:val="20"/>
              </w:rPr>
            </w:pPr>
            <w:r w:rsidRPr="000F4540">
              <w:rPr>
                <w:sz w:val="20"/>
                <w:szCs w:val="20"/>
              </w:rPr>
              <w:t>CTRG</w:t>
            </w:r>
          </w:p>
        </w:tc>
        <w:tc>
          <w:tcPr>
            <w:tcW w:w="7200" w:type="dxa"/>
            <w:vAlign w:val="center"/>
          </w:tcPr>
          <w:p w14:paraId="4601A0E3" w14:textId="77777777" w:rsidR="00311D4B" w:rsidRPr="000F4540" w:rsidRDefault="00311D4B" w:rsidP="000F4540">
            <w:pPr>
              <w:pStyle w:val="ListParagraph"/>
              <w:rPr>
                <w:sz w:val="20"/>
                <w:szCs w:val="20"/>
              </w:rPr>
            </w:pPr>
            <w:r w:rsidRPr="000F4540">
              <w:rPr>
                <w:sz w:val="20"/>
                <w:szCs w:val="20"/>
              </w:rPr>
              <w:t>Clinical Trials &amp; Research Governance, University of Oxford</w:t>
            </w:r>
          </w:p>
        </w:tc>
      </w:tr>
      <w:tr w:rsidR="00311D4B" w:rsidRPr="00311D4B" w14:paraId="3463E0C0" w14:textId="77777777" w:rsidTr="04B4EC75">
        <w:trPr>
          <w:trHeight w:val="397"/>
        </w:trPr>
        <w:tc>
          <w:tcPr>
            <w:tcW w:w="2014" w:type="dxa"/>
            <w:vAlign w:val="center"/>
          </w:tcPr>
          <w:p w14:paraId="03433377" w14:textId="76B203EF" w:rsidR="00311D4B" w:rsidRPr="000F4540" w:rsidRDefault="00311D4B" w:rsidP="000F4540">
            <w:pPr>
              <w:pStyle w:val="ListParagraph"/>
              <w:rPr>
                <w:sz w:val="20"/>
                <w:szCs w:val="20"/>
              </w:rPr>
            </w:pPr>
            <w:r w:rsidRPr="000F4540">
              <w:rPr>
                <w:sz w:val="20"/>
                <w:szCs w:val="20"/>
              </w:rPr>
              <w:t>EDC</w:t>
            </w:r>
          </w:p>
        </w:tc>
        <w:tc>
          <w:tcPr>
            <w:tcW w:w="7200" w:type="dxa"/>
            <w:vAlign w:val="center"/>
          </w:tcPr>
          <w:p w14:paraId="4419FF4C" w14:textId="264DCE07" w:rsidR="00311D4B" w:rsidRPr="000F4540" w:rsidRDefault="00311D4B" w:rsidP="000F4540">
            <w:pPr>
              <w:pStyle w:val="ListParagraph"/>
              <w:rPr>
                <w:sz w:val="20"/>
                <w:szCs w:val="20"/>
              </w:rPr>
            </w:pPr>
            <w:r w:rsidRPr="000F4540">
              <w:rPr>
                <w:sz w:val="20"/>
                <w:szCs w:val="20"/>
              </w:rPr>
              <w:t>Electronic Data Capture</w:t>
            </w:r>
          </w:p>
        </w:tc>
      </w:tr>
      <w:tr w:rsidR="00956EA1" w:rsidRPr="00311D4B" w14:paraId="1790449E" w14:textId="77777777" w:rsidTr="04B4EC75">
        <w:trPr>
          <w:trHeight w:val="397"/>
        </w:trPr>
        <w:tc>
          <w:tcPr>
            <w:tcW w:w="2014" w:type="dxa"/>
            <w:vAlign w:val="center"/>
          </w:tcPr>
          <w:p w14:paraId="22CD6941" w14:textId="4469F5E5" w:rsidR="00956EA1" w:rsidRPr="000F4540" w:rsidRDefault="00956EA1" w:rsidP="000F4540">
            <w:pPr>
              <w:pStyle w:val="ListParagraph"/>
              <w:rPr>
                <w:sz w:val="20"/>
                <w:szCs w:val="20"/>
              </w:rPr>
            </w:pPr>
            <w:r w:rsidRPr="008854BC">
              <w:rPr>
                <w:sz w:val="20"/>
                <w:szCs w:val="20"/>
              </w:rPr>
              <w:t>ELISpot</w:t>
            </w:r>
          </w:p>
        </w:tc>
        <w:tc>
          <w:tcPr>
            <w:tcW w:w="7200" w:type="dxa"/>
            <w:vAlign w:val="center"/>
          </w:tcPr>
          <w:p w14:paraId="3D4B9497" w14:textId="4CFE105C" w:rsidR="00956EA1" w:rsidRPr="000F4540" w:rsidRDefault="00956EA1" w:rsidP="000F4540">
            <w:pPr>
              <w:pStyle w:val="ListParagraph"/>
              <w:rPr>
                <w:sz w:val="20"/>
                <w:szCs w:val="20"/>
              </w:rPr>
            </w:pPr>
            <w:r>
              <w:rPr>
                <w:sz w:val="20"/>
                <w:szCs w:val="20"/>
              </w:rPr>
              <w:t>E</w:t>
            </w:r>
            <w:r w:rsidRPr="00956EA1">
              <w:rPr>
                <w:sz w:val="20"/>
                <w:szCs w:val="20"/>
              </w:rPr>
              <w:t>nzyme-linked immunosorbent spot</w:t>
            </w:r>
          </w:p>
        </w:tc>
      </w:tr>
      <w:tr w:rsidR="00311D4B" w:rsidRPr="00311D4B" w14:paraId="1A170F28" w14:textId="77777777" w:rsidTr="04B4EC75">
        <w:trPr>
          <w:trHeight w:val="397"/>
        </w:trPr>
        <w:tc>
          <w:tcPr>
            <w:tcW w:w="2014" w:type="dxa"/>
            <w:vAlign w:val="center"/>
          </w:tcPr>
          <w:p w14:paraId="71E947FA" w14:textId="4693CE69" w:rsidR="00311D4B" w:rsidRPr="000F4540" w:rsidRDefault="00311D4B" w:rsidP="000F4540">
            <w:pPr>
              <w:pStyle w:val="ListParagraph"/>
              <w:rPr>
                <w:sz w:val="20"/>
                <w:szCs w:val="20"/>
              </w:rPr>
            </w:pPr>
            <w:r w:rsidRPr="000F4540">
              <w:rPr>
                <w:sz w:val="20"/>
                <w:szCs w:val="20"/>
              </w:rPr>
              <w:t>ESEN</w:t>
            </w:r>
          </w:p>
        </w:tc>
        <w:tc>
          <w:tcPr>
            <w:tcW w:w="7200" w:type="dxa"/>
            <w:vAlign w:val="center"/>
          </w:tcPr>
          <w:p w14:paraId="1D7B3117" w14:textId="2B61EFC2" w:rsidR="00311D4B" w:rsidRPr="000F4540" w:rsidRDefault="00311D4B" w:rsidP="000F4540">
            <w:pPr>
              <w:pStyle w:val="ListParagraph"/>
              <w:rPr>
                <w:sz w:val="20"/>
                <w:szCs w:val="20"/>
              </w:rPr>
            </w:pPr>
            <w:r w:rsidRPr="000F4540">
              <w:rPr>
                <w:sz w:val="20"/>
                <w:szCs w:val="20"/>
              </w:rPr>
              <w:t xml:space="preserve">European </w:t>
            </w:r>
            <w:proofErr w:type="spellStart"/>
            <w:r w:rsidRPr="000F4540">
              <w:rPr>
                <w:sz w:val="20"/>
                <w:szCs w:val="20"/>
              </w:rPr>
              <w:t>Sero</w:t>
            </w:r>
            <w:proofErr w:type="spellEnd"/>
            <w:r w:rsidRPr="000F4540">
              <w:rPr>
                <w:sz w:val="20"/>
                <w:szCs w:val="20"/>
              </w:rPr>
              <w:t>-epidemiology Network</w:t>
            </w:r>
          </w:p>
        </w:tc>
      </w:tr>
      <w:tr w:rsidR="00311D4B" w:rsidRPr="00311D4B" w14:paraId="07A6036A" w14:textId="77777777" w:rsidTr="04B4EC75">
        <w:trPr>
          <w:trHeight w:val="397"/>
        </w:trPr>
        <w:tc>
          <w:tcPr>
            <w:tcW w:w="2014" w:type="dxa"/>
            <w:vAlign w:val="center"/>
          </w:tcPr>
          <w:p w14:paraId="6C9597AA" w14:textId="06DDA1AC" w:rsidR="00311D4B" w:rsidRPr="000F4540" w:rsidRDefault="00311D4B" w:rsidP="000F4540">
            <w:pPr>
              <w:pStyle w:val="ListParagraph"/>
              <w:rPr>
                <w:sz w:val="20"/>
                <w:szCs w:val="20"/>
              </w:rPr>
            </w:pPr>
            <w:r w:rsidRPr="000F4540">
              <w:rPr>
                <w:sz w:val="20"/>
                <w:szCs w:val="20"/>
              </w:rPr>
              <w:t>ESPGHAN</w:t>
            </w:r>
          </w:p>
        </w:tc>
        <w:tc>
          <w:tcPr>
            <w:tcW w:w="7200" w:type="dxa"/>
            <w:vAlign w:val="center"/>
          </w:tcPr>
          <w:p w14:paraId="41E84B85" w14:textId="19572E0F" w:rsidR="00311D4B" w:rsidRPr="000F4540" w:rsidRDefault="00311D4B" w:rsidP="000F4540">
            <w:pPr>
              <w:pStyle w:val="ListParagraph"/>
              <w:rPr>
                <w:sz w:val="20"/>
                <w:szCs w:val="20"/>
              </w:rPr>
            </w:pPr>
            <w:r w:rsidRPr="000F4540">
              <w:rPr>
                <w:sz w:val="20"/>
                <w:szCs w:val="20"/>
              </w:rPr>
              <w:t>European Society for Paediatric Gastroenterology Hepatology and Nutrition</w:t>
            </w:r>
          </w:p>
        </w:tc>
      </w:tr>
      <w:tr w:rsidR="00311D4B" w:rsidRPr="00311D4B" w14:paraId="58426DBE" w14:textId="77777777" w:rsidTr="04B4EC75">
        <w:trPr>
          <w:trHeight w:val="397"/>
        </w:trPr>
        <w:tc>
          <w:tcPr>
            <w:tcW w:w="2014" w:type="dxa"/>
            <w:vAlign w:val="center"/>
          </w:tcPr>
          <w:p w14:paraId="7B0F4148" w14:textId="77777777" w:rsidR="00311D4B" w:rsidRPr="000F4540" w:rsidRDefault="00311D4B" w:rsidP="000F4540">
            <w:pPr>
              <w:pStyle w:val="ListParagraph"/>
              <w:rPr>
                <w:sz w:val="20"/>
                <w:szCs w:val="20"/>
              </w:rPr>
            </w:pPr>
            <w:r w:rsidRPr="000F4540">
              <w:rPr>
                <w:sz w:val="20"/>
                <w:szCs w:val="20"/>
              </w:rPr>
              <w:t>GCP</w:t>
            </w:r>
          </w:p>
        </w:tc>
        <w:tc>
          <w:tcPr>
            <w:tcW w:w="7200" w:type="dxa"/>
            <w:vAlign w:val="center"/>
          </w:tcPr>
          <w:p w14:paraId="1348506F" w14:textId="77777777" w:rsidR="00311D4B" w:rsidRPr="000F4540" w:rsidRDefault="00311D4B" w:rsidP="000F4540">
            <w:pPr>
              <w:pStyle w:val="ListParagraph"/>
              <w:rPr>
                <w:sz w:val="20"/>
                <w:szCs w:val="20"/>
              </w:rPr>
            </w:pPr>
            <w:r w:rsidRPr="000F4540">
              <w:rPr>
                <w:sz w:val="20"/>
                <w:szCs w:val="20"/>
              </w:rPr>
              <w:t>Good Clinical Practice</w:t>
            </w:r>
          </w:p>
        </w:tc>
      </w:tr>
      <w:tr w:rsidR="00311D4B" w:rsidRPr="00311D4B" w14:paraId="6167CF33" w14:textId="77777777" w:rsidTr="04B4EC75">
        <w:trPr>
          <w:trHeight w:val="397"/>
        </w:trPr>
        <w:tc>
          <w:tcPr>
            <w:tcW w:w="2014" w:type="dxa"/>
            <w:vAlign w:val="center"/>
          </w:tcPr>
          <w:p w14:paraId="53F2AFAD" w14:textId="6684C645" w:rsidR="00311D4B" w:rsidRPr="000F4540" w:rsidRDefault="00311D4B" w:rsidP="000F4540">
            <w:pPr>
              <w:pStyle w:val="ListParagraph"/>
              <w:rPr>
                <w:sz w:val="20"/>
                <w:szCs w:val="20"/>
              </w:rPr>
            </w:pPr>
            <w:r w:rsidRPr="000F4540">
              <w:rPr>
                <w:sz w:val="20"/>
                <w:szCs w:val="20"/>
              </w:rPr>
              <w:t>GDPR</w:t>
            </w:r>
          </w:p>
        </w:tc>
        <w:tc>
          <w:tcPr>
            <w:tcW w:w="7200" w:type="dxa"/>
            <w:vAlign w:val="center"/>
          </w:tcPr>
          <w:p w14:paraId="204A6740" w14:textId="0EB730BE" w:rsidR="00311D4B" w:rsidRPr="000F4540" w:rsidRDefault="00311D4B" w:rsidP="000F4540">
            <w:pPr>
              <w:pStyle w:val="ListParagraph"/>
              <w:rPr>
                <w:sz w:val="20"/>
                <w:szCs w:val="20"/>
              </w:rPr>
            </w:pPr>
            <w:r w:rsidRPr="000F4540">
              <w:rPr>
                <w:sz w:val="20"/>
                <w:szCs w:val="20"/>
              </w:rPr>
              <w:t>General Data Protection Regulation</w:t>
            </w:r>
          </w:p>
        </w:tc>
      </w:tr>
      <w:tr w:rsidR="00311D4B" w:rsidRPr="00311D4B" w14:paraId="0197F8AD" w14:textId="77777777" w:rsidTr="04B4EC75">
        <w:trPr>
          <w:trHeight w:val="397"/>
        </w:trPr>
        <w:tc>
          <w:tcPr>
            <w:tcW w:w="2014" w:type="dxa"/>
            <w:vAlign w:val="center"/>
          </w:tcPr>
          <w:p w14:paraId="5CA0FDED" w14:textId="3E2BA4D8" w:rsidR="00311D4B" w:rsidRPr="000F4540" w:rsidRDefault="00311D4B" w:rsidP="000F4540">
            <w:pPr>
              <w:pStyle w:val="ListParagraph"/>
              <w:rPr>
                <w:sz w:val="20"/>
                <w:szCs w:val="20"/>
              </w:rPr>
            </w:pPr>
            <w:r w:rsidRPr="000F4540">
              <w:rPr>
                <w:sz w:val="20"/>
                <w:szCs w:val="20"/>
              </w:rPr>
              <w:t>GMT</w:t>
            </w:r>
          </w:p>
        </w:tc>
        <w:tc>
          <w:tcPr>
            <w:tcW w:w="7200" w:type="dxa"/>
            <w:vAlign w:val="center"/>
          </w:tcPr>
          <w:p w14:paraId="273A45E4" w14:textId="4AB81913" w:rsidR="00311D4B" w:rsidRPr="000F4540" w:rsidRDefault="00311D4B" w:rsidP="000F4540">
            <w:pPr>
              <w:pStyle w:val="ListParagraph"/>
              <w:rPr>
                <w:sz w:val="20"/>
                <w:szCs w:val="20"/>
              </w:rPr>
            </w:pPr>
            <w:r w:rsidRPr="000F4540">
              <w:rPr>
                <w:sz w:val="20"/>
                <w:szCs w:val="20"/>
              </w:rPr>
              <w:t>Geometric mean titre</w:t>
            </w:r>
          </w:p>
        </w:tc>
      </w:tr>
      <w:tr w:rsidR="00311D4B" w:rsidRPr="00311D4B" w14:paraId="50919619" w14:textId="77777777" w:rsidTr="04B4EC75">
        <w:trPr>
          <w:trHeight w:val="397"/>
        </w:trPr>
        <w:tc>
          <w:tcPr>
            <w:tcW w:w="2014" w:type="dxa"/>
            <w:vAlign w:val="center"/>
          </w:tcPr>
          <w:p w14:paraId="0778ED71" w14:textId="77777777" w:rsidR="00311D4B" w:rsidRPr="000F4540" w:rsidRDefault="00311D4B" w:rsidP="000F4540">
            <w:pPr>
              <w:pStyle w:val="ListParagraph"/>
              <w:rPr>
                <w:sz w:val="20"/>
                <w:szCs w:val="20"/>
              </w:rPr>
            </w:pPr>
            <w:r w:rsidRPr="000F4540">
              <w:rPr>
                <w:sz w:val="20"/>
                <w:szCs w:val="20"/>
              </w:rPr>
              <w:t>GP</w:t>
            </w:r>
          </w:p>
        </w:tc>
        <w:tc>
          <w:tcPr>
            <w:tcW w:w="7200" w:type="dxa"/>
            <w:vAlign w:val="center"/>
          </w:tcPr>
          <w:p w14:paraId="4539AC3E" w14:textId="77777777" w:rsidR="00311D4B" w:rsidRPr="000F4540" w:rsidRDefault="00311D4B" w:rsidP="000F4540">
            <w:pPr>
              <w:pStyle w:val="ListParagraph"/>
              <w:rPr>
                <w:sz w:val="20"/>
                <w:szCs w:val="20"/>
              </w:rPr>
            </w:pPr>
            <w:r w:rsidRPr="000F4540">
              <w:rPr>
                <w:sz w:val="20"/>
                <w:szCs w:val="20"/>
              </w:rPr>
              <w:t>General Practitioner</w:t>
            </w:r>
          </w:p>
        </w:tc>
      </w:tr>
      <w:tr w:rsidR="00311D4B" w:rsidRPr="00311D4B" w14:paraId="731E19A2" w14:textId="77777777" w:rsidTr="04B4EC75">
        <w:trPr>
          <w:trHeight w:val="397"/>
        </w:trPr>
        <w:tc>
          <w:tcPr>
            <w:tcW w:w="2014" w:type="dxa"/>
            <w:vAlign w:val="center"/>
          </w:tcPr>
          <w:p w14:paraId="7C38132C" w14:textId="77777777" w:rsidR="00311D4B" w:rsidRPr="000F4540" w:rsidRDefault="00311D4B" w:rsidP="000F4540">
            <w:pPr>
              <w:pStyle w:val="ListParagraph"/>
              <w:rPr>
                <w:sz w:val="20"/>
                <w:szCs w:val="20"/>
              </w:rPr>
            </w:pPr>
            <w:r w:rsidRPr="000F4540">
              <w:rPr>
                <w:sz w:val="20"/>
                <w:szCs w:val="20"/>
              </w:rPr>
              <w:t>HRA</w:t>
            </w:r>
          </w:p>
        </w:tc>
        <w:tc>
          <w:tcPr>
            <w:tcW w:w="7200" w:type="dxa"/>
            <w:vAlign w:val="center"/>
          </w:tcPr>
          <w:p w14:paraId="0E4473E0" w14:textId="77777777" w:rsidR="00311D4B" w:rsidRPr="000F4540" w:rsidRDefault="00311D4B" w:rsidP="000F4540">
            <w:pPr>
              <w:pStyle w:val="ListParagraph"/>
              <w:rPr>
                <w:sz w:val="20"/>
                <w:szCs w:val="20"/>
              </w:rPr>
            </w:pPr>
            <w:r w:rsidRPr="000F4540">
              <w:rPr>
                <w:sz w:val="20"/>
                <w:szCs w:val="20"/>
              </w:rPr>
              <w:t>Health Research Authority</w:t>
            </w:r>
          </w:p>
        </w:tc>
      </w:tr>
      <w:tr w:rsidR="00311D4B" w:rsidRPr="00311D4B" w14:paraId="6A932BE8" w14:textId="77777777" w:rsidTr="04B4EC75">
        <w:trPr>
          <w:trHeight w:val="397"/>
        </w:trPr>
        <w:tc>
          <w:tcPr>
            <w:tcW w:w="2014" w:type="dxa"/>
            <w:vAlign w:val="center"/>
          </w:tcPr>
          <w:p w14:paraId="64CA6412" w14:textId="77777777" w:rsidR="00311D4B" w:rsidRPr="000F4540" w:rsidRDefault="00311D4B" w:rsidP="000F4540">
            <w:pPr>
              <w:pStyle w:val="ListParagraph"/>
              <w:rPr>
                <w:sz w:val="20"/>
                <w:szCs w:val="20"/>
              </w:rPr>
            </w:pPr>
            <w:r w:rsidRPr="000F4540">
              <w:rPr>
                <w:sz w:val="20"/>
                <w:szCs w:val="20"/>
              </w:rPr>
              <w:t>ICF</w:t>
            </w:r>
          </w:p>
        </w:tc>
        <w:tc>
          <w:tcPr>
            <w:tcW w:w="7200" w:type="dxa"/>
            <w:vAlign w:val="center"/>
          </w:tcPr>
          <w:p w14:paraId="436DE912" w14:textId="77777777" w:rsidR="00311D4B" w:rsidRPr="000F4540" w:rsidRDefault="00311D4B" w:rsidP="000F4540">
            <w:pPr>
              <w:pStyle w:val="ListParagraph"/>
              <w:rPr>
                <w:sz w:val="20"/>
                <w:szCs w:val="20"/>
              </w:rPr>
            </w:pPr>
            <w:r w:rsidRPr="000F4540">
              <w:rPr>
                <w:sz w:val="20"/>
                <w:szCs w:val="20"/>
              </w:rPr>
              <w:t>Informed Consent Form</w:t>
            </w:r>
          </w:p>
        </w:tc>
      </w:tr>
      <w:tr w:rsidR="04B4EC75" w14:paraId="2E2AE93B" w14:textId="77777777" w:rsidTr="04B4EC75">
        <w:trPr>
          <w:trHeight w:val="397"/>
        </w:trPr>
        <w:tc>
          <w:tcPr>
            <w:tcW w:w="2014" w:type="dxa"/>
            <w:vAlign w:val="center"/>
          </w:tcPr>
          <w:p w14:paraId="58D4E29D" w14:textId="5DA0116C" w:rsidR="0E7E22B5" w:rsidRPr="00956EA1" w:rsidRDefault="0E7E22B5" w:rsidP="04B4EC75">
            <w:pPr>
              <w:pStyle w:val="ListParagraph"/>
              <w:rPr>
                <w:sz w:val="20"/>
                <w:szCs w:val="20"/>
              </w:rPr>
            </w:pPr>
            <w:r w:rsidRPr="00956EA1">
              <w:rPr>
                <w:sz w:val="20"/>
                <w:szCs w:val="20"/>
              </w:rPr>
              <w:t>ICS</w:t>
            </w:r>
          </w:p>
        </w:tc>
        <w:tc>
          <w:tcPr>
            <w:tcW w:w="7200" w:type="dxa"/>
            <w:vAlign w:val="center"/>
          </w:tcPr>
          <w:p w14:paraId="165A37E2" w14:textId="6CF90BA2" w:rsidR="0E7E22B5" w:rsidRPr="00956EA1" w:rsidRDefault="0E7E22B5" w:rsidP="00956EA1">
            <w:pPr>
              <w:pStyle w:val="ListParagraph"/>
              <w:rPr>
                <w:sz w:val="20"/>
                <w:szCs w:val="20"/>
              </w:rPr>
            </w:pPr>
            <w:r w:rsidRPr="00956EA1">
              <w:rPr>
                <w:sz w:val="20"/>
                <w:szCs w:val="20"/>
              </w:rPr>
              <w:t xml:space="preserve">Intracellular cytokine staining </w:t>
            </w:r>
          </w:p>
        </w:tc>
      </w:tr>
      <w:tr w:rsidR="00311D4B" w:rsidRPr="00311D4B" w14:paraId="23062940" w14:textId="77777777" w:rsidTr="04B4EC75">
        <w:trPr>
          <w:trHeight w:val="397"/>
        </w:trPr>
        <w:tc>
          <w:tcPr>
            <w:tcW w:w="2014" w:type="dxa"/>
            <w:vAlign w:val="center"/>
          </w:tcPr>
          <w:p w14:paraId="104CF5F1" w14:textId="3E695065" w:rsidR="00311D4B" w:rsidRPr="000F4540" w:rsidRDefault="00311D4B" w:rsidP="000F4540">
            <w:pPr>
              <w:pStyle w:val="ListParagraph"/>
              <w:rPr>
                <w:sz w:val="20"/>
                <w:szCs w:val="20"/>
              </w:rPr>
            </w:pPr>
            <w:r w:rsidRPr="000F4540">
              <w:rPr>
                <w:sz w:val="20"/>
                <w:szCs w:val="20"/>
              </w:rPr>
              <w:t>IMD</w:t>
            </w:r>
          </w:p>
        </w:tc>
        <w:tc>
          <w:tcPr>
            <w:tcW w:w="7200" w:type="dxa"/>
            <w:vAlign w:val="center"/>
          </w:tcPr>
          <w:p w14:paraId="7383D16D" w14:textId="67CB12A3" w:rsidR="00311D4B" w:rsidRPr="000F4540" w:rsidRDefault="00311D4B" w:rsidP="000F4540">
            <w:pPr>
              <w:pStyle w:val="ListParagraph"/>
              <w:rPr>
                <w:sz w:val="20"/>
                <w:szCs w:val="20"/>
              </w:rPr>
            </w:pPr>
            <w:r w:rsidRPr="000F4540">
              <w:rPr>
                <w:sz w:val="20"/>
                <w:szCs w:val="20"/>
              </w:rPr>
              <w:t>Index of Multiple Deprivation</w:t>
            </w:r>
          </w:p>
        </w:tc>
      </w:tr>
      <w:tr w:rsidR="00311D4B" w:rsidRPr="00311D4B" w14:paraId="5905E4F6" w14:textId="77777777" w:rsidTr="04B4EC75">
        <w:trPr>
          <w:trHeight w:val="397"/>
        </w:trPr>
        <w:tc>
          <w:tcPr>
            <w:tcW w:w="2014" w:type="dxa"/>
            <w:vAlign w:val="center"/>
          </w:tcPr>
          <w:p w14:paraId="0E973049" w14:textId="17778C2D" w:rsidR="00311D4B" w:rsidRPr="000F4540" w:rsidRDefault="00311D4B" w:rsidP="000F4540">
            <w:pPr>
              <w:pStyle w:val="ListParagraph"/>
              <w:rPr>
                <w:sz w:val="20"/>
                <w:szCs w:val="20"/>
              </w:rPr>
            </w:pPr>
            <w:r w:rsidRPr="000F4540">
              <w:rPr>
                <w:sz w:val="20"/>
                <w:szCs w:val="20"/>
              </w:rPr>
              <w:t>IRAS</w:t>
            </w:r>
          </w:p>
        </w:tc>
        <w:tc>
          <w:tcPr>
            <w:tcW w:w="7200" w:type="dxa"/>
            <w:vAlign w:val="center"/>
          </w:tcPr>
          <w:p w14:paraId="592419FD" w14:textId="60494F9F" w:rsidR="00311D4B" w:rsidRPr="000F4540" w:rsidRDefault="00311D4B" w:rsidP="000F4540">
            <w:pPr>
              <w:pStyle w:val="ListParagraph"/>
              <w:rPr>
                <w:sz w:val="20"/>
                <w:szCs w:val="20"/>
              </w:rPr>
            </w:pPr>
            <w:r w:rsidRPr="000F4540">
              <w:rPr>
                <w:sz w:val="20"/>
                <w:szCs w:val="20"/>
              </w:rPr>
              <w:t>Integrated Research Application</w:t>
            </w:r>
          </w:p>
        </w:tc>
      </w:tr>
      <w:tr w:rsidR="00311D4B" w:rsidRPr="00311D4B" w14:paraId="681187D4" w14:textId="77777777" w:rsidTr="04B4EC75">
        <w:trPr>
          <w:trHeight w:val="397"/>
        </w:trPr>
        <w:tc>
          <w:tcPr>
            <w:tcW w:w="2014" w:type="dxa"/>
            <w:vAlign w:val="center"/>
          </w:tcPr>
          <w:p w14:paraId="78822058" w14:textId="4A2C83CE" w:rsidR="00311D4B" w:rsidRPr="000F4540" w:rsidRDefault="00311D4B" w:rsidP="000F4540">
            <w:pPr>
              <w:pStyle w:val="ListParagraph"/>
              <w:rPr>
                <w:sz w:val="20"/>
                <w:szCs w:val="20"/>
              </w:rPr>
            </w:pPr>
            <w:r w:rsidRPr="000F4540">
              <w:rPr>
                <w:sz w:val="20"/>
                <w:szCs w:val="20"/>
              </w:rPr>
              <w:t>NIHR</w:t>
            </w:r>
          </w:p>
        </w:tc>
        <w:tc>
          <w:tcPr>
            <w:tcW w:w="7200" w:type="dxa"/>
            <w:vAlign w:val="center"/>
          </w:tcPr>
          <w:p w14:paraId="331FDA96" w14:textId="645132F1" w:rsidR="00311D4B" w:rsidRPr="000F4540" w:rsidRDefault="00311D4B" w:rsidP="000F4540">
            <w:pPr>
              <w:pStyle w:val="ListParagraph"/>
              <w:rPr>
                <w:sz w:val="20"/>
                <w:szCs w:val="20"/>
              </w:rPr>
            </w:pPr>
            <w:r w:rsidRPr="000F4540">
              <w:rPr>
                <w:sz w:val="20"/>
                <w:szCs w:val="20"/>
              </w:rPr>
              <w:t>National Institute for Health Research</w:t>
            </w:r>
          </w:p>
        </w:tc>
      </w:tr>
      <w:tr w:rsidR="00311D4B" w:rsidRPr="00311D4B" w14:paraId="37D11BB2" w14:textId="77777777" w:rsidTr="04B4EC75">
        <w:trPr>
          <w:trHeight w:val="397"/>
        </w:trPr>
        <w:tc>
          <w:tcPr>
            <w:tcW w:w="2014" w:type="dxa"/>
            <w:vAlign w:val="center"/>
          </w:tcPr>
          <w:p w14:paraId="2B08515A" w14:textId="77777777" w:rsidR="00311D4B" w:rsidRPr="000F4540" w:rsidRDefault="00311D4B" w:rsidP="000F4540">
            <w:pPr>
              <w:pStyle w:val="ListParagraph"/>
              <w:rPr>
                <w:sz w:val="20"/>
                <w:szCs w:val="20"/>
              </w:rPr>
            </w:pPr>
            <w:r w:rsidRPr="000F4540">
              <w:rPr>
                <w:sz w:val="20"/>
                <w:szCs w:val="20"/>
              </w:rPr>
              <w:t>NHS</w:t>
            </w:r>
          </w:p>
        </w:tc>
        <w:tc>
          <w:tcPr>
            <w:tcW w:w="7200" w:type="dxa"/>
            <w:vAlign w:val="center"/>
          </w:tcPr>
          <w:p w14:paraId="7925BD03" w14:textId="77777777" w:rsidR="00311D4B" w:rsidRPr="000F4540" w:rsidRDefault="00311D4B" w:rsidP="000F4540">
            <w:pPr>
              <w:pStyle w:val="ListParagraph"/>
              <w:rPr>
                <w:sz w:val="20"/>
                <w:szCs w:val="20"/>
              </w:rPr>
            </w:pPr>
            <w:r w:rsidRPr="000F4540">
              <w:rPr>
                <w:sz w:val="20"/>
                <w:szCs w:val="20"/>
              </w:rPr>
              <w:t>National Health Service</w:t>
            </w:r>
          </w:p>
        </w:tc>
      </w:tr>
      <w:tr w:rsidR="00311D4B" w:rsidRPr="00311D4B" w14:paraId="4560AC42" w14:textId="77777777" w:rsidTr="04B4EC75">
        <w:trPr>
          <w:trHeight w:val="397"/>
        </w:trPr>
        <w:tc>
          <w:tcPr>
            <w:tcW w:w="2014" w:type="dxa"/>
            <w:vAlign w:val="center"/>
          </w:tcPr>
          <w:p w14:paraId="31C7DC8D" w14:textId="28BD2DC1" w:rsidR="00311D4B" w:rsidRPr="000F4540" w:rsidRDefault="00311D4B" w:rsidP="000F4540">
            <w:pPr>
              <w:pStyle w:val="ListParagraph"/>
              <w:rPr>
                <w:sz w:val="20"/>
                <w:szCs w:val="20"/>
              </w:rPr>
            </w:pPr>
            <w:r w:rsidRPr="000F4540">
              <w:rPr>
                <w:sz w:val="20"/>
                <w:szCs w:val="20"/>
              </w:rPr>
              <w:t>PHE</w:t>
            </w:r>
          </w:p>
        </w:tc>
        <w:tc>
          <w:tcPr>
            <w:tcW w:w="7200" w:type="dxa"/>
            <w:vAlign w:val="center"/>
          </w:tcPr>
          <w:p w14:paraId="5B64CEDC" w14:textId="7C910D6A" w:rsidR="00311D4B" w:rsidRPr="000F4540" w:rsidRDefault="00311D4B" w:rsidP="000F4540">
            <w:pPr>
              <w:pStyle w:val="ListParagraph"/>
              <w:rPr>
                <w:sz w:val="20"/>
                <w:szCs w:val="20"/>
              </w:rPr>
            </w:pPr>
            <w:r w:rsidRPr="000F4540">
              <w:rPr>
                <w:sz w:val="20"/>
                <w:szCs w:val="20"/>
              </w:rPr>
              <w:t>Public Health England</w:t>
            </w:r>
          </w:p>
        </w:tc>
      </w:tr>
      <w:tr w:rsidR="00311D4B" w:rsidRPr="00311D4B" w14:paraId="7512497B" w14:textId="77777777" w:rsidTr="04B4EC75">
        <w:trPr>
          <w:trHeight w:val="397"/>
        </w:trPr>
        <w:tc>
          <w:tcPr>
            <w:tcW w:w="2014" w:type="dxa"/>
            <w:vAlign w:val="center"/>
          </w:tcPr>
          <w:p w14:paraId="6C203C06" w14:textId="2C6BE661" w:rsidR="00311D4B" w:rsidRPr="000F4540" w:rsidRDefault="00311D4B" w:rsidP="000F4540">
            <w:pPr>
              <w:pStyle w:val="ListParagraph"/>
              <w:rPr>
                <w:sz w:val="20"/>
                <w:szCs w:val="20"/>
              </w:rPr>
            </w:pPr>
            <w:r w:rsidRPr="000F4540">
              <w:rPr>
                <w:sz w:val="20"/>
                <w:szCs w:val="20"/>
              </w:rPr>
              <w:t>RES</w:t>
            </w:r>
          </w:p>
        </w:tc>
        <w:tc>
          <w:tcPr>
            <w:tcW w:w="7200" w:type="dxa"/>
            <w:vAlign w:val="center"/>
          </w:tcPr>
          <w:p w14:paraId="2BABB382" w14:textId="4271E34A" w:rsidR="00311D4B" w:rsidRPr="000F4540" w:rsidRDefault="00311D4B" w:rsidP="000F4540">
            <w:pPr>
              <w:pStyle w:val="ListParagraph"/>
              <w:rPr>
                <w:sz w:val="20"/>
                <w:szCs w:val="20"/>
              </w:rPr>
            </w:pPr>
            <w:r w:rsidRPr="000F4540">
              <w:rPr>
                <w:sz w:val="20"/>
                <w:szCs w:val="20"/>
              </w:rPr>
              <w:t>Research Ethics Service</w:t>
            </w:r>
          </w:p>
        </w:tc>
      </w:tr>
      <w:tr w:rsidR="00216436" w:rsidRPr="00311D4B" w14:paraId="4EA308E5" w14:textId="77777777" w:rsidTr="04B4EC75">
        <w:trPr>
          <w:trHeight w:val="397"/>
        </w:trPr>
        <w:tc>
          <w:tcPr>
            <w:tcW w:w="2014" w:type="dxa"/>
            <w:vAlign w:val="center"/>
          </w:tcPr>
          <w:p w14:paraId="74993659" w14:textId="76B8CB70" w:rsidR="00216436" w:rsidRPr="000F4540" w:rsidRDefault="00216436" w:rsidP="000F4540">
            <w:pPr>
              <w:pStyle w:val="ListParagraph"/>
              <w:rPr>
                <w:sz w:val="20"/>
                <w:szCs w:val="20"/>
              </w:rPr>
            </w:pPr>
            <w:r>
              <w:rPr>
                <w:sz w:val="20"/>
                <w:szCs w:val="20"/>
              </w:rPr>
              <w:t>PBMC</w:t>
            </w:r>
          </w:p>
        </w:tc>
        <w:tc>
          <w:tcPr>
            <w:tcW w:w="7200" w:type="dxa"/>
            <w:vAlign w:val="center"/>
          </w:tcPr>
          <w:p w14:paraId="34C6EDF1" w14:textId="5429555C" w:rsidR="00216436" w:rsidRPr="000F4540" w:rsidRDefault="00216436" w:rsidP="000F4540">
            <w:pPr>
              <w:pStyle w:val="ListParagraph"/>
              <w:rPr>
                <w:sz w:val="20"/>
                <w:szCs w:val="20"/>
              </w:rPr>
            </w:pPr>
            <w:r>
              <w:rPr>
                <w:sz w:val="20"/>
                <w:szCs w:val="20"/>
              </w:rPr>
              <w:t>Peripheral blood mono</w:t>
            </w:r>
            <w:r w:rsidR="00FD0EE4">
              <w:rPr>
                <w:sz w:val="20"/>
                <w:szCs w:val="20"/>
              </w:rPr>
              <w:t>nuclear cell</w:t>
            </w:r>
          </w:p>
        </w:tc>
      </w:tr>
      <w:tr w:rsidR="00311D4B" w:rsidRPr="00311D4B" w14:paraId="3925EA4B" w14:textId="77777777" w:rsidTr="04B4EC75">
        <w:trPr>
          <w:trHeight w:val="397"/>
        </w:trPr>
        <w:tc>
          <w:tcPr>
            <w:tcW w:w="2014" w:type="dxa"/>
            <w:vAlign w:val="center"/>
          </w:tcPr>
          <w:p w14:paraId="2AB87FDA" w14:textId="77777777" w:rsidR="00311D4B" w:rsidRPr="000F4540" w:rsidRDefault="00311D4B" w:rsidP="000F4540">
            <w:pPr>
              <w:pStyle w:val="ListParagraph"/>
              <w:rPr>
                <w:sz w:val="20"/>
                <w:szCs w:val="20"/>
              </w:rPr>
            </w:pPr>
            <w:r w:rsidRPr="000F4540">
              <w:rPr>
                <w:sz w:val="20"/>
                <w:szCs w:val="20"/>
              </w:rPr>
              <w:lastRenderedPageBreak/>
              <w:t>PI</w:t>
            </w:r>
          </w:p>
        </w:tc>
        <w:tc>
          <w:tcPr>
            <w:tcW w:w="7200" w:type="dxa"/>
            <w:vAlign w:val="center"/>
          </w:tcPr>
          <w:p w14:paraId="030D87F8" w14:textId="77777777" w:rsidR="00311D4B" w:rsidRPr="000F4540" w:rsidRDefault="00311D4B" w:rsidP="000F4540">
            <w:pPr>
              <w:pStyle w:val="ListParagraph"/>
              <w:rPr>
                <w:sz w:val="20"/>
                <w:szCs w:val="20"/>
              </w:rPr>
            </w:pPr>
            <w:r w:rsidRPr="000F4540">
              <w:rPr>
                <w:sz w:val="20"/>
                <w:szCs w:val="20"/>
              </w:rPr>
              <w:t>Principal Investigator</w:t>
            </w:r>
          </w:p>
        </w:tc>
      </w:tr>
      <w:tr w:rsidR="00311D4B" w:rsidRPr="00311D4B" w14:paraId="6940837C" w14:textId="77777777" w:rsidTr="04B4EC75">
        <w:trPr>
          <w:trHeight w:val="397"/>
        </w:trPr>
        <w:tc>
          <w:tcPr>
            <w:tcW w:w="2014" w:type="dxa"/>
            <w:vAlign w:val="center"/>
          </w:tcPr>
          <w:p w14:paraId="7E9A17BC" w14:textId="77777777" w:rsidR="00311D4B" w:rsidRPr="000F4540" w:rsidRDefault="00311D4B" w:rsidP="000F4540">
            <w:pPr>
              <w:pStyle w:val="ListParagraph"/>
              <w:rPr>
                <w:sz w:val="20"/>
                <w:szCs w:val="20"/>
              </w:rPr>
            </w:pPr>
            <w:r w:rsidRPr="000F4540">
              <w:rPr>
                <w:sz w:val="20"/>
                <w:szCs w:val="20"/>
              </w:rPr>
              <w:t>PIL</w:t>
            </w:r>
          </w:p>
        </w:tc>
        <w:tc>
          <w:tcPr>
            <w:tcW w:w="7200" w:type="dxa"/>
            <w:vAlign w:val="center"/>
          </w:tcPr>
          <w:p w14:paraId="788D8BFE" w14:textId="77777777" w:rsidR="00311D4B" w:rsidRPr="000F4540" w:rsidRDefault="00311D4B" w:rsidP="000F4540">
            <w:pPr>
              <w:pStyle w:val="ListParagraph"/>
              <w:rPr>
                <w:sz w:val="20"/>
                <w:szCs w:val="20"/>
              </w:rPr>
            </w:pPr>
            <w:r w:rsidRPr="000F4540">
              <w:rPr>
                <w:sz w:val="20"/>
                <w:szCs w:val="20"/>
              </w:rPr>
              <w:t>Participant/ Patient Information Leaflet</w:t>
            </w:r>
          </w:p>
        </w:tc>
      </w:tr>
      <w:tr w:rsidR="00F532E0" w:rsidRPr="00311D4B" w14:paraId="287F23C4" w14:textId="77777777" w:rsidTr="04B4EC75">
        <w:trPr>
          <w:trHeight w:val="397"/>
        </w:trPr>
        <w:tc>
          <w:tcPr>
            <w:tcW w:w="2014" w:type="dxa"/>
            <w:vAlign w:val="center"/>
          </w:tcPr>
          <w:p w14:paraId="41B85084" w14:textId="308BF1B1" w:rsidR="00F532E0" w:rsidRPr="00F532E0" w:rsidRDefault="00F532E0" w:rsidP="00311D4B">
            <w:pPr>
              <w:pStyle w:val="ListParagraph"/>
              <w:rPr>
                <w:sz w:val="20"/>
                <w:szCs w:val="20"/>
              </w:rPr>
            </w:pPr>
            <w:r>
              <w:rPr>
                <w:sz w:val="20"/>
                <w:szCs w:val="20"/>
              </w:rPr>
              <w:t>RNA</w:t>
            </w:r>
          </w:p>
        </w:tc>
        <w:tc>
          <w:tcPr>
            <w:tcW w:w="7200" w:type="dxa"/>
            <w:vAlign w:val="center"/>
          </w:tcPr>
          <w:p w14:paraId="56F5A31B" w14:textId="03C3E4D4" w:rsidR="00F532E0" w:rsidRPr="00F532E0" w:rsidRDefault="00F532E0" w:rsidP="00311D4B">
            <w:pPr>
              <w:pStyle w:val="ListParagraph"/>
              <w:rPr>
                <w:sz w:val="20"/>
                <w:szCs w:val="20"/>
              </w:rPr>
            </w:pPr>
            <w:r>
              <w:rPr>
                <w:sz w:val="20"/>
                <w:szCs w:val="20"/>
              </w:rPr>
              <w:t>Ribonucleic acid</w:t>
            </w:r>
          </w:p>
        </w:tc>
      </w:tr>
      <w:tr w:rsidR="00311D4B" w:rsidRPr="00311D4B" w14:paraId="2CA9A295" w14:textId="77777777" w:rsidTr="04B4EC75">
        <w:trPr>
          <w:trHeight w:val="397"/>
        </w:trPr>
        <w:tc>
          <w:tcPr>
            <w:tcW w:w="2014" w:type="dxa"/>
            <w:vAlign w:val="center"/>
          </w:tcPr>
          <w:p w14:paraId="6B0121C2" w14:textId="77777777" w:rsidR="00311D4B" w:rsidRPr="000F4540" w:rsidRDefault="00311D4B" w:rsidP="000F4540">
            <w:pPr>
              <w:pStyle w:val="ListParagraph"/>
              <w:rPr>
                <w:sz w:val="20"/>
                <w:szCs w:val="20"/>
              </w:rPr>
            </w:pPr>
            <w:r w:rsidRPr="000F4540">
              <w:rPr>
                <w:sz w:val="20"/>
                <w:szCs w:val="20"/>
              </w:rPr>
              <w:t>R&amp;D</w:t>
            </w:r>
          </w:p>
        </w:tc>
        <w:tc>
          <w:tcPr>
            <w:tcW w:w="7200" w:type="dxa"/>
            <w:vAlign w:val="center"/>
          </w:tcPr>
          <w:p w14:paraId="2578F708" w14:textId="77777777" w:rsidR="00311D4B" w:rsidRPr="000F4540" w:rsidRDefault="00311D4B" w:rsidP="000F4540">
            <w:pPr>
              <w:pStyle w:val="ListParagraph"/>
              <w:rPr>
                <w:sz w:val="20"/>
                <w:szCs w:val="20"/>
              </w:rPr>
            </w:pPr>
            <w:r w:rsidRPr="000F4540">
              <w:rPr>
                <w:sz w:val="20"/>
                <w:szCs w:val="20"/>
              </w:rPr>
              <w:t>NHS Trust R&amp;D Department</w:t>
            </w:r>
          </w:p>
        </w:tc>
      </w:tr>
      <w:tr w:rsidR="00311D4B" w:rsidRPr="00311D4B" w14:paraId="0C1CF5C4" w14:textId="77777777" w:rsidTr="04B4EC75">
        <w:trPr>
          <w:trHeight w:val="397"/>
        </w:trPr>
        <w:tc>
          <w:tcPr>
            <w:tcW w:w="2014" w:type="dxa"/>
            <w:vAlign w:val="center"/>
          </w:tcPr>
          <w:p w14:paraId="02CEFC35" w14:textId="77777777" w:rsidR="00311D4B" w:rsidRPr="000F4540" w:rsidRDefault="00311D4B" w:rsidP="000F4540">
            <w:pPr>
              <w:pStyle w:val="ListParagraph"/>
              <w:rPr>
                <w:sz w:val="20"/>
                <w:szCs w:val="20"/>
              </w:rPr>
            </w:pPr>
            <w:r w:rsidRPr="000F4540">
              <w:rPr>
                <w:sz w:val="20"/>
                <w:szCs w:val="20"/>
              </w:rPr>
              <w:t>REC</w:t>
            </w:r>
          </w:p>
        </w:tc>
        <w:tc>
          <w:tcPr>
            <w:tcW w:w="7200" w:type="dxa"/>
            <w:vAlign w:val="center"/>
          </w:tcPr>
          <w:p w14:paraId="59AE3B12" w14:textId="77777777" w:rsidR="00311D4B" w:rsidRPr="000F4540" w:rsidRDefault="00311D4B" w:rsidP="000F4540">
            <w:pPr>
              <w:pStyle w:val="ListParagraph"/>
              <w:rPr>
                <w:sz w:val="20"/>
                <w:szCs w:val="20"/>
              </w:rPr>
            </w:pPr>
            <w:r w:rsidRPr="000F4540">
              <w:rPr>
                <w:sz w:val="20"/>
                <w:szCs w:val="20"/>
              </w:rPr>
              <w:t>Research Ethics Committee</w:t>
            </w:r>
          </w:p>
        </w:tc>
      </w:tr>
      <w:tr w:rsidR="0075536C" w:rsidRPr="00311D4B" w14:paraId="1E1F1C0F" w14:textId="77777777" w:rsidTr="04B4EC75">
        <w:trPr>
          <w:trHeight w:val="397"/>
        </w:trPr>
        <w:tc>
          <w:tcPr>
            <w:tcW w:w="2014" w:type="dxa"/>
            <w:vAlign w:val="center"/>
          </w:tcPr>
          <w:p w14:paraId="4EF54D63" w14:textId="51EAF1B3" w:rsidR="0075536C" w:rsidRPr="000F4540" w:rsidRDefault="0075536C" w:rsidP="000F4540">
            <w:pPr>
              <w:pStyle w:val="ListParagraph"/>
              <w:rPr>
                <w:sz w:val="20"/>
                <w:szCs w:val="20"/>
              </w:rPr>
            </w:pPr>
            <w:r w:rsidRPr="003B3348">
              <w:rPr>
                <w:sz w:val="20"/>
                <w:szCs w:val="20"/>
              </w:rPr>
              <w:t>SARS</w:t>
            </w:r>
            <w:r>
              <w:t>-</w:t>
            </w:r>
            <w:r w:rsidRPr="003B3348">
              <w:rPr>
                <w:sz w:val="20"/>
                <w:szCs w:val="20"/>
              </w:rPr>
              <w:t>COV</w:t>
            </w:r>
            <w:r>
              <w:t>-2</w:t>
            </w:r>
          </w:p>
        </w:tc>
        <w:tc>
          <w:tcPr>
            <w:tcW w:w="7200" w:type="dxa"/>
            <w:vAlign w:val="center"/>
          </w:tcPr>
          <w:p w14:paraId="33A6B94A" w14:textId="068713FC" w:rsidR="0075536C" w:rsidRPr="003B3348" w:rsidRDefault="00B2490A" w:rsidP="00B2490A">
            <w:pPr>
              <w:pStyle w:val="ListParagraph"/>
              <w:rPr>
                <w:sz w:val="20"/>
                <w:szCs w:val="20"/>
              </w:rPr>
            </w:pPr>
            <w:r w:rsidRPr="00B2490A">
              <w:rPr>
                <w:sz w:val="20"/>
                <w:szCs w:val="20"/>
              </w:rPr>
              <w:t>Severe acute respiratory syndrome coronavirus 2</w:t>
            </w:r>
            <w:r>
              <w:rPr>
                <w:sz w:val="20"/>
                <w:szCs w:val="20"/>
              </w:rPr>
              <w:t xml:space="preserve"> which causes COVID-19 disease</w:t>
            </w:r>
          </w:p>
        </w:tc>
      </w:tr>
      <w:tr w:rsidR="00311D4B" w:rsidRPr="00311D4B" w14:paraId="04788FA1" w14:textId="77777777" w:rsidTr="04B4EC75">
        <w:trPr>
          <w:trHeight w:val="397"/>
        </w:trPr>
        <w:tc>
          <w:tcPr>
            <w:tcW w:w="2014" w:type="dxa"/>
            <w:vAlign w:val="center"/>
          </w:tcPr>
          <w:p w14:paraId="5F1C151A" w14:textId="072C9734" w:rsidR="00311D4B" w:rsidRPr="000F4540" w:rsidRDefault="00311D4B" w:rsidP="000F4540">
            <w:pPr>
              <w:pStyle w:val="ListParagraph"/>
              <w:rPr>
                <w:sz w:val="20"/>
                <w:szCs w:val="20"/>
              </w:rPr>
            </w:pPr>
            <w:r w:rsidRPr="000F4540">
              <w:rPr>
                <w:sz w:val="20"/>
                <w:szCs w:val="20"/>
              </w:rPr>
              <w:t>SBA</w:t>
            </w:r>
          </w:p>
        </w:tc>
        <w:tc>
          <w:tcPr>
            <w:tcW w:w="7200" w:type="dxa"/>
            <w:vAlign w:val="center"/>
          </w:tcPr>
          <w:p w14:paraId="53627D95" w14:textId="7F95C676" w:rsidR="00311D4B" w:rsidRPr="000F4540" w:rsidRDefault="00311D4B" w:rsidP="003B3348">
            <w:pPr>
              <w:pStyle w:val="ListParagraph"/>
              <w:rPr>
                <w:sz w:val="20"/>
                <w:szCs w:val="20"/>
              </w:rPr>
            </w:pPr>
            <w:r w:rsidRPr="00D232AB">
              <w:rPr>
                <w:sz w:val="20"/>
                <w:szCs w:val="20"/>
              </w:rPr>
              <w:t>Serum bactericidal activity</w:t>
            </w:r>
            <w:r w:rsidRPr="000F4540">
              <w:rPr>
                <w:rFonts w:eastAsia="Times New Roman"/>
                <w:sz w:val="20"/>
                <w:szCs w:val="20"/>
              </w:rPr>
              <w:t xml:space="preserve"> </w:t>
            </w:r>
          </w:p>
        </w:tc>
      </w:tr>
      <w:tr w:rsidR="00311D4B" w:rsidRPr="00311D4B" w14:paraId="3B2A69B9" w14:textId="77777777" w:rsidTr="04B4EC75">
        <w:trPr>
          <w:trHeight w:val="397"/>
        </w:trPr>
        <w:tc>
          <w:tcPr>
            <w:tcW w:w="2014" w:type="dxa"/>
            <w:vAlign w:val="center"/>
          </w:tcPr>
          <w:p w14:paraId="4E0D0A9D" w14:textId="77777777" w:rsidR="00311D4B" w:rsidRPr="000F4540" w:rsidRDefault="00311D4B" w:rsidP="000F4540">
            <w:pPr>
              <w:pStyle w:val="ListParagraph"/>
              <w:rPr>
                <w:sz w:val="20"/>
                <w:szCs w:val="20"/>
              </w:rPr>
            </w:pPr>
            <w:r w:rsidRPr="000F4540">
              <w:rPr>
                <w:sz w:val="20"/>
                <w:szCs w:val="20"/>
              </w:rPr>
              <w:t>SOP</w:t>
            </w:r>
          </w:p>
        </w:tc>
        <w:tc>
          <w:tcPr>
            <w:tcW w:w="7200" w:type="dxa"/>
            <w:vAlign w:val="center"/>
          </w:tcPr>
          <w:p w14:paraId="655CFB87" w14:textId="77777777" w:rsidR="00311D4B" w:rsidRPr="000F4540" w:rsidRDefault="00311D4B" w:rsidP="000F4540">
            <w:pPr>
              <w:pStyle w:val="ListParagraph"/>
              <w:rPr>
                <w:sz w:val="20"/>
                <w:szCs w:val="20"/>
              </w:rPr>
            </w:pPr>
            <w:r w:rsidRPr="000F4540">
              <w:rPr>
                <w:sz w:val="20"/>
                <w:szCs w:val="20"/>
              </w:rPr>
              <w:t>Standard Operating Procedure</w:t>
            </w:r>
          </w:p>
        </w:tc>
      </w:tr>
      <w:tr w:rsidR="00311D4B" w:rsidRPr="00311D4B" w14:paraId="66E4EC09" w14:textId="77777777" w:rsidTr="04B4EC75">
        <w:trPr>
          <w:trHeight w:val="397"/>
        </w:trPr>
        <w:tc>
          <w:tcPr>
            <w:tcW w:w="2014" w:type="dxa"/>
            <w:vAlign w:val="center"/>
          </w:tcPr>
          <w:p w14:paraId="5DD914E7" w14:textId="773FF241" w:rsidR="00311D4B" w:rsidRPr="000F4540" w:rsidRDefault="00311D4B" w:rsidP="000F4540">
            <w:pPr>
              <w:pStyle w:val="ListParagraph"/>
              <w:rPr>
                <w:sz w:val="20"/>
                <w:szCs w:val="20"/>
              </w:rPr>
            </w:pPr>
            <w:r w:rsidRPr="000F4540">
              <w:rPr>
                <w:sz w:val="20"/>
                <w:szCs w:val="20"/>
              </w:rPr>
              <w:t>WHO</w:t>
            </w:r>
          </w:p>
        </w:tc>
        <w:tc>
          <w:tcPr>
            <w:tcW w:w="7200" w:type="dxa"/>
            <w:vAlign w:val="center"/>
          </w:tcPr>
          <w:p w14:paraId="6C03BFE0" w14:textId="6B3D9169" w:rsidR="00311D4B" w:rsidRPr="000F4540" w:rsidRDefault="00311D4B" w:rsidP="000F4540">
            <w:pPr>
              <w:pStyle w:val="ListParagraph"/>
              <w:rPr>
                <w:sz w:val="20"/>
                <w:szCs w:val="20"/>
              </w:rPr>
            </w:pPr>
            <w:r w:rsidRPr="000F4540">
              <w:rPr>
                <w:sz w:val="20"/>
                <w:szCs w:val="20"/>
              </w:rPr>
              <w:t>World Health Organisation</w:t>
            </w:r>
          </w:p>
        </w:tc>
      </w:tr>
      <w:tr w:rsidR="00311D4B" w:rsidRPr="00311D4B" w14:paraId="2EE30F24" w14:textId="77777777" w:rsidTr="04B4EC75">
        <w:trPr>
          <w:trHeight w:val="397"/>
        </w:trPr>
        <w:tc>
          <w:tcPr>
            <w:tcW w:w="2014" w:type="dxa"/>
            <w:vAlign w:val="center"/>
          </w:tcPr>
          <w:p w14:paraId="1F305286" w14:textId="57C893DF" w:rsidR="00311D4B" w:rsidRPr="000F4540" w:rsidRDefault="00311D4B" w:rsidP="000F4540">
            <w:pPr>
              <w:pStyle w:val="ListParagraph"/>
              <w:rPr>
                <w:sz w:val="20"/>
                <w:szCs w:val="20"/>
              </w:rPr>
            </w:pPr>
            <w:r w:rsidRPr="000F4540">
              <w:rPr>
                <w:sz w:val="20"/>
                <w:szCs w:val="20"/>
              </w:rPr>
              <w:t>VEU</w:t>
            </w:r>
          </w:p>
        </w:tc>
        <w:tc>
          <w:tcPr>
            <w:tcW w:w="7200" w:type="dxa"/>
            <w:vAlign w:val="center"/>
          </w:tcPr>
          <w:p w14:paraId="1BDAAB1C" w14:textId="44DDA9E7" w:rsidR="00311D4B" w:rsidRPr="000F4540" w:rsidRDefault="00311D4B" w:rsidP="000F4540">
            <w:pPr>
              <w:pStyle w:val="ListParagraph"/>
              <w:rPr>
                <w:sz w:val="20"/>
                <w:szCs w:val="20"/>
              </w:rPr>
            </w:pPr>
            <w:r w:rsidRPr="000F4540">
              <w:rPr>
                <w:sz w:val="20"/>
                <w:szCs w:val="20"/>
              </w:rPr>
              <w:t>Vaccine Evaluation Unit</w:t>
            </w:r>
          </w:p>
        </w:tc>
      </w:tr>
    </w:tbl>
    <w:p w14:paraId="3F19E2EC" w14:textId="16EBAB59" w:rsidR="00C72905" w:rsidRDefault="00C72905" w:rsidP="00136C63">
      <w:pPr>
        <w:pStyle w:val="Heading1"/>
        <w:numPr>
          <w:ilvl w:val="0"/>
          <w:numId w:val="0"/>
        </w:numPr>
        <w:ind w:left="360" w:hanging="360"/>
      </w:pPr>
    </w:p>
    <w:p w14:paraId="6A19261C" w14:textId="77777777" w:rsidR="00C72905" w:rsidRDefault="00C72905">
      <w:pPr>
        <w:rPr>
          <w:rFonts w:eastAsiaTheme="majorEastAsia" w:cstheme="majorBidi"/>
          <w:b/>
          <w:bCs/>
          <w:sz w:val="24"/>
          <w:szCs w:val="28"/>
        </w:rPr>
      </w:pPr>
      <w:r>
        <w:br w:type="page"/>
      </w:r>
    </w:p>
    <w:p w14:paraId="16A6961B" w14:textId="04E77902" w:rsidR="00EF1606" w:rsidRDefault="007E3D66" w:rsidP="007E3D66">
      <w:pPr>
        <w:pStyle w:val="Heading1"/>
      </w:pPr>
      <w:bookmarkStart w:id="17" w:name="_Toc32432104"/>
      <w:bookmarkStart w:id="18" w:name="_Toc62129135"/>
      <w:r w:rsidRPr="009E1297">
        <w:lastRenderedPageBreak/>
        <w:t>BACKGROUND AND RA</w:t>
      </w:r>
      <w:r w:rsidR="00EF1606" w:rsidRPr="009E1297">
        <w:t>TIONALE</w:t>
      </w:r>
      <w:bookmarkEnd w:id="17"/>
      <w:bookmarkEnd w:id="18"/>
    </w:p>
    <w:p w14:paraId="798FC9F1" w14:textId="7C8DF3B4" w:rsidR="00DF65BB" w:rsidRDefault="00DF65BB" w:rsidP="00B410C3">
      <w:pPr>
        <w:jc w:val="both"/>
      </w:pPr>
      <w:r>
        <w:t xml:space="preserve">Public Health England has an ongoing </w:t>
      </w:r>
      <w:proofErr w:type="spellStart"/>
      <w:r>
        <w:t>sero</w:t>
      </w:r>
      <w:proofErr w:type="spellEnd"/>
      <w:r>
        <w:t xml:space="preserve">-prevalence programme to assess population level immunity using residual serum samples from participating laboratories. </w:t>
      </w:r>
      <w:r w:rsidR="001E54FA">
        <w:t>However,</w:t>
      </w:r>
      <w:r>
        <w:t xml:space="preserve"> these samples may not be representative of the general population particularly in younger age groups. National </w:t>
      </w:r>
      <w:proofErr w:type="spellStart"/>
      <w:r>
        <w:t>sero</w:t>
      </w:r>
      <w:proofErr w:type="spellEnd"/>
      <w:r>
        <w:t xml:space="preserve">-epidemiological surveys have successfully taken place in the Netherlands, which consist of a prospective collection of serum samples from a representative cross section of society to assess population level immunity. This type of approach would address the limitations of using residual serum samples, and would potentially allow assessment of a number of diseases.  </w:t>
      </w:r>
    </w:p>
    <w:p w14:paraId="420CDCED" w14:textId="7A69BCDC" w:rsidR="00A536B1" w:rsidRDefault="00DF65BB" w:rsidP="00136C63">
      <w:pPr>
        <w:jc w:val="both"/>
      </w:pPr>
      <w:r>
        <w:t xml:space="preserve">We are therefore </w:t>
      </w:r>
      <w:r w:rsidR="00E847CA">
        <w:t xml:space="preserve">conducting </w:t>
      </w:r>
      <w:r>
        <w:t xml:space="preserve">a pilot study to assess the feasibility of establishing a national </w:t>
      </w:r>
      <w:proofErr w:type="spellStart"/>
      <w:r>
        <w:t>sero</w:t>
      </w:r>
      <w:proofErr w:type="spellEnd"/>
      <w:r>
        <w:t>-epidemiological survey in England in individuals aged 0 – 2</w:t>
      </w:r>
      <w:r w:rsidR="00F86C99">
        <w:t>4</w:t>
      </w:r>
      <w:r w:rsidR="00EC6BD7">
        <w:t xml:space="preserve"> years</w:t>
      </w:r>
      <w:r>
        <w:t xml:space="preserve">, focussing initially on </w:t>
      </w:r>
      <w:r w:rsidR="00D232AB">
        <w:t xml:space="preserve">COVID-19, diphtheria </w:t>
      </w:r>
      <w:r>
        <w:t>and Group C invasive meningococcal disease.</w:t>
      </w:r>
      <w:r w:rsidR="00AD5EDE">
        <w:t xml:space="preserve">  </w:t>
      </w:r>
      <w:r>
        <w:t>Specifically, we wish to assess the population level immunity to diphtheria following the pre-school booster vaccine in children aged between 3 and 14 years, and the immunity to Men C in individuals aged 12 – 2</w:t>
      </w:r>
      <w:r w:rsidR="00F86C99">
        <w:t>4</w:t>
      </w:r>
      <w:r>
        <w:t xml:space="preserve"> </w:t>
      </w:r>
      <w:r w:rsidRPr="00FC5164">
        <w:t xml:space="preserve">years who may have received either the adolescent Men C or Men ACWY vaccine, or </w:t>
      </w:r>
      <w:r>
        <w:t>did not receive either of these vaccines</w:t>
      </w:r>
      <w:r w:rsidRPr="00FC5164">
        <w:t xml:space="preserve">. </w:t>
      </w:r>
      <w:r>
        <w:t xml:space="preserve"> </w:t>
      </w:r>
    </w:p>
    <w:p w14:paraId="1D768220" w14:textId="46B44F54" w:rsidR="00E847CA" w:rsidRDefault="00D232AB" w:rsidP="007E400E">
      <w:pPr>
        <w:jc w:val="both"/>
      </w:pPr>
      <w:r>
        <w:t>Furthermor</w:t>
      </w:r>
      <w:r w:rsidR="00660530">
        <w:t>e, i</w:t>
      </w:r>
      <w:r>
        <w:t xml:space="preserve">n response to the outbreak of </w:t>
      </w:r>
      <w:r w:rsidR="00660530">
        <w:t>COVID-19</w:t>
      </w:r>
      <w:r>
        <w:t xml:space="preserve"> these samples will be used to look for </w:t>
      </w:r>
      <w:r w:rsidR="00A536B1">
        <w:t>changes</w:t>
      </w:r>
      <w:r>
        <w:t xml:space="preserve"> in seropositivity to </w:t>
      </w:r>
      <w:r w:rsidR="0075536C">
        <w:t>SARS-C</w:t>
      </w:r>
      <w:r w:rsidR="00E5625F">
        <w:t>o</w:t>
      </w:r>
      <w:r w:rsidR="0075536C">
        <w:t>V-2</w:t>
      </w:r>
      <w:r>
        <w:t xml:space="preserve"> in </w:t>
      </w:r>
      <w:r w:rsidR="00EE1322">
        <w:t>England</w:t>
      </w:r>
      <w:r>
        <w:t xml:space="preserve"> children </w:t>
      </w:r>
      <w:r w:rsidR="00F711BD">
        <w:t xml:space="preserve">+/- young adults </w:t>
      </w:r>
      <w:r>
        <w:t>through 2020</w:t>
      </w:r>
      <w:r w:rsidR="00C63DDA">
        <w:t>/2021</w:t>
      </w:r>
      <w:r>
        <w:t xml:space="preserve"> (and beyond if necessary) as a marker of infection with this novel coronavirus</w:t>
      </w:r>
      <w:r w:rsidR="00A536B1">
        <w:t xml:space="preserve">. This is to support Public Health England in its SARS-CoV-2 seroprevalence work, with a goal of providing </w:t>
      </w:r>
      <w:r w:rsidR="00E847CA">
        <w:t xml:space="preserve">blood samples from </w:t>
      </w:r>
      <w:r w:rsidR="00A536B1">
        <w:t xml:space="preserve">400 </w:t>
      </w:r>
      <w:r w:rsidR="00E847CA">
        <w:t xml:space="preserve">participants </w:t>
      </w:r>
      <w:r w:rsidR="00A536B1">
        <w:t>per month through 2020 as a repeat cross-sectional seroprevalence study</w:t>
      </w:r>
      <w:r w:rsidR="00660530">
        <w:t xml:space="preserve">. </w:t>
      </w:r>
      <w:r w:rsidR="00212CED">
        <w:t xml:space="preserve">While the majority of participants will provide a single blood sample, </w:t>
      </w:r>
      <w:r w:rsidR="00660530">
        <w:t xml:space="preserve">a subset of participants will be enrolled into a longitudinal sampling cohort, providing </w:t>
      </w:r>
      <w:r w:rsidR="00E847CA">
        <w:t xml:space="preserve">up to a total of 4 blood samples </w:t>
      </w:r>
      <w:r w:rsidR="00660530">
        <w:t xml:space="preserve">(and 3 saliva samples) </w:t>
      </w:r>
      <w:r w:rsidR="00E847CA">
        <w:t>allowing analysis of the kinetics of rise and fall of SARS-C</w:t>
      </w:r>
      <w:r w:rsidR="00E5625F">
        <w:t>o</w:t>
      </w:r>
      <w:r w:rsidR="00E847CA">
        <w:t>V</w:t>
      </w:r>
      <w:r w:rsidR="00660530">
        <w:t>-</w:t>
      </w:r>
      <w:r w:rsidR="00E847CA">
        <w:t>2 specific antibody concentrations following SARS-CoV-2 infection</w:t>
      </w:r>
      <w:r w:rsidR="00660530">
        <w:t>, and the relationship between serum and saliva antibodies</w:t>
      </w:r>
      <w:r w:rsidR="00E847CA">
        <w:t xml:space="preserve">. This will in turn inform the interpretation of data from the repeat cross-sectional seroprevalence study. The ‘repeat’ blood samples collected as part of this study will be counted towards the </w:t>
      </w:r>
      <w:r w:rsidR="00212CED">
        <w:t xml:space="preserve">study target of blood samples from </w:t>
      </w:r>
      <w:r w:rsidR="009D6D75">
        <w:t>a sub-set of</w:t>
      </w:r>
      <w:r w:rsidR="00E847CA">
        <w:t xml:space="preserve"> </w:t>
      </w:r>
      <w:r w:rsidR="00212CED">
        <w:t>participants</w:t>
      </w:r>
      <w:r w:rsidR="00E407DB">
        <w:t xml:space="preserve">.  The longitudinal sampling cohort will comprise of both seropositive and seronegative participants. </w:t>
      </w:r>
    </w:p>
    <w:p w14:paraId="140A9B9B" w14:textId="41007B40" w:rsidR="00F729CA" w:rsidRPr="00BE0BAB" w:rsidRDefault="00EB7C7E" w:rsidP="008854BC">
      <w:pPr>
        <w:pStyle w:val="CommentText"/>
        <w:jc w:val="both"/>
      </w:pPr>
      <w:r w:rsidRPr="08C04433">
        <w:rPr>
          <w:sz w:val="22"/>
          <w:szCs w:val="22"/>
        </w:rPr>
        <w:t>The longitudinal cohort</w:t>
      </w:r>
      <w:r w:rsidR="00B842EB" w:rsidRPr="08C04433">
        <w:rPr>
          <w:sz w:val="22"/>
          <w:szCs w:val="22"/>
        </w:rPr>
        <w:t xml:space="preserve"> also provide</w:t>
      </w:r>
      <w:r w:rsidR="240D32F7" w:rsidRPr="08C04433">
        <w:rPr>
          <w:sz w:val="22"/>
          <w:szCs w:val="22"/>
        </w:rPr>
        <w:t>s</w:t>
      </w:r>
      <w:r w:rsidR="00B842EB" w:rsidRPr="08C04433">
        <w:rPr>
          <w:sz w:val="22"/>
          <w:szCs w:val="22"/>
        </w:rPr>
        <w:t xml:space="preserve"> an opportunity to </w:t>
      </w:r>
      <w:r w:rsidR="00721BE3" w:rsidRPr="08C04433">
        <w:rPr>
          <w:sz w:val="22"/>
          <w:szCs w:val="22"/>
        </w:rPr>
        <w:t xml:space="preserve">address the knowledge gap </w:t>
      </w:r>
      <w:r w:rsidR="00E41965" w:rsidRPr="08C04433">
        <w:rPr>
          <w:sz w:val="22"/>
          <w:szCs w:val="22"/>
        </w:rPr>
        <w:t>regarding</w:t>
      </w:r>
      <w:r w:rsidR="004E65EA" w:rsidRPr="08C04433">
        <w:rPr>
          <w:sz w:val="22"/>
          <w:szCs w:val="22"/>
        </w:rPr>
        <w:t xml:space="preserve"> </w:t>
      </w:r>
      <w:r w:rsidR="00E41965" w:rsidRPr="08C04433">
        <w:rPr>
          <w:sz w:val="22"/>
          <w:szCs w:val="22"/>
        </w:rPr>
        <w:t>T cell responses</w:t>
      </w:r>
      <w:r w:rsidR="575EC7C7" w:rsidRPr="08C04433">
        <w:rPr>
          <w:sz w:val="22"/>
          <w:szCs w:val="22"/>
        </w:rPr>
        <w:t xml:space="preserve"> to SARS-CoV-2 infections</w:t>
      </w:r>
      <w:r w:rsidR="00690A72" w:rsidRPr="08C04433">
        <w:rPr>
          <w:sz w:val="22"/>
          <w:szCs w:val="22"/>
        </w:rPr>
        <w:t xml:space="preserve">.  </w:t>
      </w:r>
      <w:r w:rsidR="0015355B" w:rsidRPr="08C04433">
        <w:rPr>
          <w:sz w:val="22"/>
          <w:szCs w:val="22"/>
        </w:rPr>
        <w:t>At present</w:t>
      </w:r>
      <w:r w:rsidR="00E61C65">
        <w:rPr>
          <w:sz w:val="22"/>
          <w:szCs w:val="22"/>
        </w:rPr>
        <w:t>,</w:t>
      </w:r>
      <w:r w:rsidR="0015355B" w:rsidRPr="08C04433">
        <w:rPr>
          <w:sz w:val="22"/>
          <w:szCs w:val="22"/>
        </w:rPr>
        <w:t xml:space="preserve"> it is not clear</w:t>
      </w:r>
      <w:r w:rsidR="00B1315B" w:rsidRPr="08C04433">
        <w:rPr>
          <w:sz w:val="22"/>
          <w:szCs w:val="22"/>
        </w:rPr>
        <w:t xml:space="preserve"> </w:t>
      </w:r>
      <w:r w:rsidR="005A392D" w:rsidRPr="08C04433">
        <w:rPr>
          <w:sz w:val="22"/>
          <w:szCs w:val="22"/>
        </w:rPr>
        <w:t>how many people who are infected do</w:t>
      </w:r>
      <w:r w:rsidR="00BE0BAB" w:rsidRPr="08C04433">
        <w:rPr>
          <w:sz w:val="22"/>
          <w:szCs w:val="22"/>
        </w:rPr>
        <w:t xml:space="preserve"> </w:t>
      </w:r>
      <w:r w:rsidR="00B1315B" w:rsidRPr="08C04433">
        <w:rPr>
          <w:sz w:val="22"/>
          <w:szCs w:val="22"/>
        </w:rPr>
        <w:t>not mount</w:t>
      </w:r>
      <w:r w:rsidR="005A392D" w:rsidRPr="08C04433">
        <w:rPr>
          <w:sz w:val="22"/>
          <w:szCs w:val="22"/>
        </w:rPr>
        <w:t xml:space="preserve"> an antibody response</w:t>
      </w:r>
      <w:r w:rsidR="00FB070F" w:rsidRPr="08C04433">
        <w:rPr>
          <w:sz w:val="22"/>
          <w:szCs w:val="22"/>
        </w:rPr>
        <w:t xml:space="preserve"> and whether they</w:t>
      </w:r>
      <w:r w:rsidR="000854DD" w:rsidRPr="08C04433">
        <w:rPr>
          <w:sz w:val="22"/>
          <w:szCs w:val="22"/>
        </w:rPr>
        <w:t xml:space="preserve"> have</w:t>
      </w:r>
      <w:r w:rsidR="005A392D" w:rsidRPr="08C04433">
        <w:rPr>
          <w:sz w:val="22"/>
          <w:szCs w:val="22"/>
        </w:rPr>
        <w:t xml:space="preserve"> a </w:t>
      </w:r>
      <w:r w:rsidR="00FB070F" w:rsidRPr="08C04433">
        <w:rPr>
          <w:sz w:val="22"/>
          <w:szCs w:val="22"/>
        </w:rPr>
        <w:t xml:space="preserve">detectable T cell </w:t>
      </w:r>
      <w:r w:rsidR="005A392D" w:rsidRPr="08C04433">
        <w:rPr>
          <w:sz w:val="22"/>
          <w:szCs w:val="22"/>
        </w:rPr>
        <w:t xml:space="preserve">response </w:t>
      </w:r>
      <w:r w:rsidR="00FB070F" w:rsidRPr="08C04433">
        <w:rPr>
          <w:sz w:val="22"/>
          <w:szCs w:val="22"/>
        </w:rPr>
        <w:t>only</w:t>
      </w:r>
      <w:r w:rsidR="00BE0BAB" w:rsidRPr="08C04433">
        <w:rPr>
          <w:rStyle w:val="CommentReference"/>
        </w:rPr>
        <w:t>.</w:t>
      </w:r>
      <w:r w:rsidR="006A2E79" w:rsidRPr="08C04433">
        <w:rPr>
          <w:rStyle w:val="CommentReference"/>
        </w:rPr>
        <w:t xml:space="preserve"> </w:t>
      </w:r>
      <w:r w:rsidR="00BE0BAB" w:rsidRPr="08C04433">
        <w:rPr>
          <w:rStyle w:val="CommentReference"/>
        </w:rPr>
        <w:t xml:space="preserve"> </w:t>
      </w:r>
      <w:r w:rsidR="00105207" w:rsidRPr="08C04433">
        <w:rPr>
          <w:rStyle w:val="CommentReference"/>
          <w:sz w:val="22"/>
          <w:szCs w:val="22"/>
        </w:rPr>
        <w:t>C</w:t>
      </w:r>
      <w:r w:rsidR="009F0D3B" w:rsidRPr="08C04433">
        <w:rPr>
          <w:sz w:val="22"/>
          <w:szCs w:val="22"/>
        </w:rPr>
        <w:t>omment</w:t>
      </w:r>
      <w:r w:rsidR="7644591D" w:rsidRPr="08C04433">
        <w:rPr>
          <w:sz w:val="22"/>
          <w:szCs w:val="22"/>
        </w:rPr>
        <w:t xml:space="preserve">ary  </w:t>
      </w:r>
      <w:r w:rsidR="009F0D3B" w:rsidRPr="08C04433">
        <w:rPr>
          <w:sz w:val="22"/>
          <w:szCs w:val="22"/>
        </w:rPr>
        <w:t xml:space="preserve"> in the literature </w:t>
      </w:r>
      <w:r w:rsidR="27803878" w:rsidRPr="08C04433">
        <w:rPr>
          <w:sz w:val="22"/>
          <w:szCs w:val="22"/>
        </w:rPr>
        <w:t xml:space="preserve">suggests </w:t>
      </w:r>
      <w:r w:rsidR="009F0D3B" w:rsidRPr="08C04433">
        <w:rPr>
          <w:sz w:val="22"/>
          <w:szCs w:val="22"/>
        </w:rPr>
        <w:t xml:space="preserve">that </w:t>
      </w:r>
      <w:r w:rsidR="56C41C72" w:rsidRPr="08C04433">
        <w:rPr>
          <w:sz w:val="22"/>
          <w:szCs w:val="22"/>
        </w:rPr>
        <w:t>measuring</w:t>
      </w:r>
      <w:r w:rsidR="009F0D3B" w:rsidRPr="08C04433">
        <w:rPr>
          <w:sz w:val="22"/>
          <w:szCs w:val="22"/>
        </w:rPr>
        <w:t xml:space="preserve"> antibody levels alone may </w:t>
      </w:r>
      <w:r w:rsidR="00D10ADE" w:rsidRPr="08C04433">
        <w:rPr>
          <w:sz w:val="22"/>
          <w:szCs w:val="22"/>
        </w:rPr>
        <w:t>underestimat</w:t>
      </w:r>
      <w:r w:rsidR="1CED9192" w:rsidRPr="08C04433">
        <w:rPr>
          <w:sz w:val="22"/>
          <w:szCs w:val="22"/>
        </w:rPr>
        <w:t>e</w:t>
      </w:r>
      <w:r w:rsidR="009F0D3B" w:rsidRPr="08C04433">
        <w:rPr>
          <w:sz w:val="22"/>
          <w:szCs w:val="22"/>
        </w:rPr>
        <w:t xml:space="preserve"> population level immunity against COVID-19 </w:t>
      </w:r>
      <w:r w:rsidRPr="08C04433">
        <w:rPr>
          <w:sz w:val="22"/>
          <w:szCs w:val="22"/>
        </w:rPr>
        <w:fldChar w:fldCharType="begin"/>
      </w:r>
      <w:r w:rsidRPr="08C04433">
        <w:rPr>
          <w:sz w:val="22"/>
          <w:szCs w:val="22"/>
        </w:rPr>
        <w:instrText xml:space="preserve"> ADDIN EN.CITE &lt;EndNote&gt;&lt;Cite&gt;&lt;Author&gt;Sekine&lt;/Author&gt;&lt;Year&gt;2020&lt;/Year&gt;&lt;IDText&gt;Robust T cell immunity in convalescent individuals with asymptomatic or mild COVID-19&lt;/IDText&gt;&lt;DisplayText&gt;(Sekine et al., 2020)&lt;/DisplayText&gt;&lt;record&gt;&lt;urls&gt;&lt;related-urls&gt;&lt;url&gt;https://www.biorxiv.org/content/biorxiv/early/2020/06/29/2020.06.29.174888.full.pdf&lt;/url&gt;&lt;/related-urls&gt;&lt;/urls&gt;&lt;titles&gt;&lt;title&gt;Robust T cell immunity in convalescent individuals with asymptomatic or mild COVID-19&lt;/title&gt;&lt;secondary-title&gt;bioRxiv&lt;/secondary-title&gt;&lt;/titles&gt;&lt;pages&gt;2020.06.29.174888&lt;/pages&gt;&lt;contributors&gt;&lt;authors&gt;&lt;author&gt;Sekine, Takuya&lt;/author&gt;&lt;author&gt;Perez-Potti, André&lt;/author&gt;&lt;author&gt;Rivera-Ballesteros, Olga&lt;/author&gt;&lt;author&gt;Strålin, Kristoffer&lt;/author&gt;&lt;author&gt;Gorin, Jean-Baptiste&lt;/author&gt;&lt;author&gt;Olsson, Annika&lt;/author&gt;&lt;author&gt;Llewellyn-Lacey, Sian&lt;/author&gt;&lt;author&gt;Kamal, Habiba&lt;/author&gt;&lt;author&gt;Bogdanovic, Gordana&lt;/author&gt;&lt;author&gt;Muschiol, Sandra&lt;/author&gt;&lt;author&gt;Wullimann, David J.&lt;/author&gt;&lt;author&gt;Kammann, Tobias&lt;/author&gt;&lt;author&gt;Emgård, Johanna&lt;/author&gt;&lt;author&gt;Parrot, Tiphaine&lt;/author&gt;&lt;author&gt;Folkesson, Elin&lt;/author&gt;&lt;author&gt;Rooyackers, Olav&lt;/author&gt;&lt;author&gt;Eriksson, Lars I.&lt;/author&gt;&lt;author&gt;Sönnerborg, Anders&lt;/author&gt;&lt;author&gt;Allander, Tobias&lt;/author&gt;&lt;author&gt;Albert, Jan&lt;/author&gt;&lt;author&gt;Nielsen, Morten&lt;/author&gt;&lt;author&gt;Klingström, Jonas&lt;/author&gt;&lt;author&gt;Gredmark-Russ, Sara&lt;/author&gt;&lt;author&gt;Björkström, Niklas K.&lt;/author&gt;&lt;author&gt;Sandberg, Johan K.&lt;/author&gt;&lt;author&gt;Price, David A.&lt;/author&gt;&lt;author&gt;Ljunggren, Hans-Gustaf&lt;/author&gt;&lt;author&gt;Aleman, Soo&lt;/author&gt;&lt;author&gt;Buggert, Marcus&lt;/author&gt;&lt;/authors&gt;&lt;/contributors&gt;&lt;added-date format="utc"&gt;1594194930&lt;/added-date&gt;&lt;ref-type name="Journal Article"&gt;17&lt;/ref-type&gt;&lt;dates&gt;&lt;year&gt;2020&lt;/year&gt;&lt;/dates&gt;&lt;rec-number&gt;104&lt;/rec-number&gt;&lt;last-updated-date format="utc"&gt;1594194930&lt;/last-updated-date&gt;&lt;electronic-resource-num&gt;10.1101/2020.06.29.174888&lt;/electronic-resource-num&gt;&lt;/record&gt;&lt;/Cite&gt;&lt;/EndNote&gt;</w:instrText>
      </w:r>
      <w:r w:rsidRPr="08C04433">
        <w:rPr>
          <w:sz w:val="22"/>
          <w:szCs w:val="22"/>
        </w:rPr>
        <w:fldChar w:fldCharType="separate"/>
      </w:r>
      <w:r w:rsidR="009F0D3B" w:rsidRPr="08C04433">
        <w:rPr>
          <w:noProof/>
          <w:sz w:val="22"/>
          <w:szCs w:val="22"/>
        </w:rPr>
        <w:t>(Sekine et al., 2020)</w:t>
      </w:r>
      <w:r w:rsidRPr="08C04433">
        <w:rPr>
          <w:sz w:val="22"/>
          <w:szCs w:val="22"/>
        </w:rPr>
        <w:fldChar w:fldCharType="end"/>
      </w:r>
      <w:r w:rsidR="009F0D3B" w:rsidRPr="08C04433">
        <w:rPr>
          <w:sz w:val="22"/>
          <w:szCs w:val="22"/>
        </w:rPr>
        <w:t xml:space="preserve">.  </w:t>
      </w:r>
      <w:r w:rsidR="009E5E60" w:rsidRPr="08C04433">
        <w:rPr>
          <w:sz w:val="22"/>
          <w:szCs w:val="22"/>
        </w:rPr>
        <w:t xml:space="preserve">The longitudinal cohort </w:t>
      </w:r>
      <w:r w:rsidR="09D1B864" w:rsidRPr="08C04433">
        <w:rPr>
          <w:sz w:val="22"/>
          <w:szCs w:val="22"/>
        </w:rPr>
        <w:t>provides</w:t>
      </w:r>
      <w:r w:rsidR="009E5E60" w:rsidRPr="08C04433">
        <w:rPr>
          <w:sz w:val="22"/>
          <w:szCs w:val="22"/>
        </w:rPr>
        <w:t xml:space="preserve"> an opportunity to </w:t>
      </w:r>
      <w:r w:rsidR="16DC09FE" w:rsidRPr="08C04433">
        <w:rPr>
          <w:sz w:val="22"/>
          <w:szCs w:val="22"/>
        </w:rPr>
        <w:t>examine</w:t>
      </w:r>
      <w:r w:rsidR="009E5E60" w:rsidRPr="08C04433">
        <w:rPr>
          <w:sz w:val="22"/>
          <w:szCs w:val="22"/>
        </w:rPr>
        <w:t xml:space="preserve"> both </w:t>
      </w:r>
      <w:r w:rsidR="00940D1E" w:rsidRPr="08C04433">
        <w:rPr>
          <w:sz w:val="22"/>
          <w:szCs w:val="22"/>
        </w:rPr>
        <w:t>T cell response</w:t>
      </w:r>
      <w:r w:rsidR="607441A0" w:rsidRPr="08C04433">
        <w:rPr>
          <w:sz w:val="22"/>
          <w:szCs w:val="22"/>
        </w:rPr>
        <w:t>s</w:t>
      </w:r>
      <w:r w:rsidR="00940D1E" w:rsidRPr="08C04433">
        <w:rPr>
          <w:sz w:val="22"/>
          <w:szCs w:val="22"/>
        </w:rPr>
        <w:t xml:space="preserve"> and the kinetics of th</w:t>
      </w:r>
      <w:r w:rsidR="002B088F">
        <w:rPr>
          <w:sz w:val="22"/>
          <w:szCs w:val="22"/>
        </w:rPr>
        <w:t>is</w:t>
      </w:r>
      <w:r w:rsidR="00940D1E" w:rsidRPr="08C04433">
        <w:rPr>
          <w:sz w:val="22"/>
          <w:szCs w:val="22"/>
        </w:rPr>
        <w:t xml:space="preserve"> response. </w:t>
      </w:r>
      <w:r w:rsidR="00D64ECD" w:rsidRPr="08C04433">
        <w:rPr>
          <w:sz w:val="22"/>
          <w:szCs w:val="22"/>
        </w:rPr>
        <w:t xml:space="preserve"> </w:t>
      </w:r>
    </w:p>
    <w:p w14:paraId="178255A4" w14:textId="77777777" w:rsidR="00BB6A09" w:rsidRPr="00F82BE7" w:rsidRDefault="00BB6A09" w:rsidP="00BB6A09">
      <w:r>
        <w:t xml:space="preserve">There will be enhanced recruitment in Black, Asian and Minority ethnic (BAME) populations to develop an understanding on whether </w:t>
      </w:r>
      <w:r w:rsidRPr="00F82BE7">
        <w:t>higher rates of disease in the BAME community are a result of</w:t>
      </w:r>
    </w:p>
    <w:p w14:paraId="7E1C2D12" w14:textId="77777777" w:rsidR="00BB6A09" w:rsidRPr="00F82BE7" w:rsidRDefault="00BB6A09" w:rsidP="00BB6A09">
      <w:pPr>
        <w:numPr>
          <w:ilvl w:val="1"/>
          <w:numId w:val="3"/>
        </w:numPr>
        <w:spacing w:after="120"/>
        <w:ind w:left="1077" w:hanging="357"/>
        <w:jc w:val="both"/>
      </w:pPr>
      <w:r w:rsidRPr="00F82BE7">
        <w:t>Greater exposure to COVID-19 contacts</w:t>
      </w:r>
    </w:p>
    <w:p w14:paraId="19FA0A18" w14:textId="77777777" w:rsidR="00BB6A09" w:rsidRPr="00F82BE7" w:rsidRDefault="00BB6A09" w:rsidP="00BB6A09">
      <w:pPr>
        <w:numPr>
          <w:ilvl w:val="1"/>
          <w:numId w:val="3"/>
        </w:numPr>
        <w:spacing w:after="120"/>
        <w:ind w:left="1077" w:hanging="357"/>
        <w:jc w:val="both"/>
      </w:pPr>
      <w:r w:rsidRPr="00F82BE7">
        <w:t>A higher likelihood of being infected once exposed</w:t>
      </w:r>
    </w:p>
    <w:p w14:paraId="015F26FD" w14:textId="300AA44F" w:rsidR="00136C63" w:rsidRPr="00BB6A09" w:rsidRDefault="00BB6A09" w:rsidP="00BB6A09">
      <w:pPr>
        <w:pStyle w:val="ListParagraph"/>
        <w:numPr>
          <w:ilvl w:val="1"/>
          <w:numId w:val="3"/>
        </w:numPr>
        <w:spacing w:after="120"/>
        <w:ind w:left="1077" w:hanging="357"/>
        <w:jc w:val="both"/>
      </w:pPr>
      <w:r w:rsidRPr="00F82BE7">
        <w:t>Greater risk of disease once infection occurs</w:t>
      </w:r>
      <w:r>
        <w:t xml:space="preserve">  </w:t>
      </w:r>
    </w:p>
    <w:p w14:paraId="20E2B611" w14:textId="77777777" w:rsidR="00BB6A09" w:rsidRDefault="00BB6A09" w:rsidP="00136C63">
      <w:pPr>
        <w:spacing w:after="0"/>
        <w:rPr>
          <w:b/>
          <w:sz w:val="24"/>
        </w:rPr>
      </w:pPr>
    </w:p>
    <w:p w14:paraId="1525A3D2" w14:textId="6CCB4D41" w:rsidR="00136C63" w:rsidRPr="00136C63" w:rsidRDefault="00DF65BB" w:rsidP="00136C63">
      <w:pPr>
        <w:spacing w:after="0"/>
        <w:rPr>
          <w:b/>
          <w:sz w:val="24"/>
          <w:szCs w:val="24"/>
        </w:rPr>
      </w:pPr>
      <w:r w:rsidRPr="5E3615F6">
        <w:rPr>
          <w:b/>
          <w:sz w:val="24"/>
          <w:szCs w:val="24"/>
        </w:rPr>
        <w:t>Previous seroprevalence studies</w:t>
      </w:r>
    </w:p>
    <w:p w14:paraId="5C206778" w14:textId="77777777" w:rsidR="00DF65BB" w:rsidRPr="00516C75" w:rsidRDefault="00DF65BB" w:rsidP="00136C63">
      <w:pPr>
        <w:spacing w:after="0"/>
        <w:rPr>
          <w:b/>
        </w:rPr>
      </w:pPr>
      <w:r w:rsidRPr="00516C75">
        <w:rPr>
          <w:b/>
        </w:rPr>
        <w:t>Seroprevalence studies using residual sera</w:t>
      </w:r>
    </w:p>
    <w:p w14:paraId="28D6D5C8" w14:textId="3F8EDD2B" w:rsidR="00DF65BB" w:rsidRDefault="00DF65BB" w:rsidP="003413DF">
      <w:pPr>
        <w:jc w:val="both"/>
      </w:pPr>
      <w:r w:rsidRPr="00255D71">
        <w:t xml:space="preserve">PHE </w:t>
      </w:r>
      <w:r>
        <w:t xml:space="preserve">has been utilising residual serum samples from participating laboratories across the country as part of its ongoing seroprevalence programme for many years. These samples are used </w:t>
      </w:r>
      <w:r w:rsidRPr="00255D71">
        <w:t>as a serum bank for</w:t>
      </w:r>
      <w:r w:rsidR="00D65964">
        <w:t xml:space="preserve"> </w:t>
      </w:r>
      <w:r w:rsidRPr="00255D71">
        <w:lastRenderedPageBreak/>
        <w:t>investigating</w:t>
      </w:r>
      <w:r>
        <w:t xml:space="preserve"> population</w:t>
      </w:r>
      <w:r w:rsidRPr="00255D71">
        <w:t xml:space="preserve"> immunity to a range of </w:t>
      </w:r>
      <w:r>
        <w:t xml:space="preserve">infections including </w:t>
      </w:r>
      <w:r w:rsidRPr="00255D71">
        <w:t>vaccine preventable infections</w:t>
      </w:r>
      <w:r>
        <w:t>.</w:t>
      </w:r>
      <w:r w:rsidR="00D65964">
        <w:t xml:space="preserve"> </w:t>
      </w:r>
      <w:r>
        <w:t>These samples have been previously used to assess the population immunity for diphtheria with the last study undertaken using samples collected in 2009 (</w:t>
      </w:r>
      <w:r>
        <w:fldChar w:fldCharType="begin">
          <w:fldData xml:space="preserve">PEVuZE5vdGU+PENpdGU+PEF1dGhvcj5XYWduZXI8L0F1dGhvcj48UmVjTnVtPjkzNTwvUmVjTnVt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</w:fldData>
        </w:fldChar>
      </w:r>
      <w:r w:rsidR="00D36E5F">
        <w:instrText xml:space="preserve"> ADDIN EN.CITE </w:instrText>
      </w:r>
      <w:r w:rsidR="00D36E5F">
        <w:fldChar w:fldCharType="begin">
          <w:fldData xml:space="preserve">PEVuZE5vdGU+PENpdGU+PEF1dGhvcj5XYWduZXI8L0F1dGhvcj48UmVjTnVtPjkzNTwvUmVjTnVt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</w:fldData>
        </w:fldChar>
      </w:r>
      <w:r w:rsidR="00D36E5F">
        <w:instrText xml:space="preserve"> ADDIN EN.CITE.DATA </w:instrText>
      </w:r>
      <w:r w:rsidR="00D36E5F">
        <w:fldChar w:fldCharType="end"/>
      </w:r>
      <w:r>
        <w:fldChar w:fldCharType="separate"/>
      </w:r>
      <w:r w:rsidR="00D36E5F">
        <w:rPr>
          <w:noProof/>
        </w:rPr>
        <w:t>(Wagner et al.; Wagner et al., 2012)</w:t>
      </w:r>
      <w:r>
        <w:fldChar w:fldCharType="end"/>
      </w:r>
      <w:r>
        <w:t>, Box 1), whilst a number of seroprevalence studies have been undertaken at different times to study Men C population immunity. The most recent sampling was undertaken in 2014 (Box 2) when the teenage MCC vaccination programme was newly introduced.</w:t>
      </w:r>
    </w:p>
    <w:p w14:paraId="7B86D632" w14:textId="102B7D24" w:rsidR="00DF65BB" w:rsidRDefault="00D921AE" w:rsidP="00DF65BB">
      <w:r>
        <w:rPr>
          <w:noProof/>
        </w:rPr>
        <mc:AlternateContent>
          <mc:Choice Requires="wps">
            <w:drawing>
              <wp:anchor distT="0" distB="0" distL="114300" distR="114300" simplePos="0" relativeHeight="251658241" behindDoc="0" locked="0" layoutInCell="1" allowOverlap="1" wp14:anchorId="49F62E0A" wp14:editId="516A9833">
                <wp:simplePos x="0" y="0"/>
                <wp:positionH relativeFrom="margin">
                  <wp:posOffset>-4445</wp:posOffset>
                </wp:positionH>
                <wp:positionV relativeFrom="paragraph">
                  <wp:posOffset>207197</wp:posOffset>
                </wp:positionV>
                <wp:extent cx="5559425" cy="6322695"/>
                <wp:effectExtent l="0" t="0" r="15875" b="146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6322695"/>
                        </a:xfrm>
                        <a:prstGeom prst="rect">
                          <a:avLst/>
                        </a:prstGeom>
                        <a:solidFill>
                          <a:srgbClr val="FFFFFF"/>
                        </a:solidFill>
                        <a:ln w="9525">
                          <a:solidFill>
                            <a:schemeClr val="tx1"/>
                          </a:solidFill>
                          <a:miter lim="800000"/>
                          <a:headEnd/>
                          <a:tailEnd/>
                        </a:ln>
                      </wps:spPr>
                      <wps:txbx>
                        <w:txbxContent>
                          <w:p w14:paraId="5A23C768" w14:textId="02D8E862" w:rsidR="00877CC3" w:rsidRDefault="00877CC3" w:rsidP="00DF65BB">
                            <w:r>
                              <w:t xml:space="preserve">Box 1. Wagner et al (2012) </w:t>
                            </w:r>
                            <w:r w:rsidRPr="00BF6D1D">
                              <w:rPr>
                                <w:rFonts w:cs="GulliverRM"/>
                              </w:rPr>
                              <w:t>Immunity to tetanus and diphtheria in the UK in 2009</w:t>
                            </w:r>
                            <w:r>
                              <w:rPr>
                                <w:rFonts w:cs="GulliverRM"/>
                              </w:rPr>
                              <w:t xml:space="preserve"> </w:t>
                            </w:r>
                          </w:p>
                          <w:p w14:paraId="29A5BAC6" w14:textId="77777777" w:rsidR="00877CC3" w:rsidRDefault="00877CC3" w:rsidP="00DF65BB">
                            <w:r>
                              <w:t xml:space="preserve">In this study, 150 residual sera were tested in each age group, in order to estimate the proportion of the population protected to within ± 8% with 95% confidence. It found that: </w:t>
                            </w:r>
                          </w:p>
                          <w:p w14:paraId="55FAF72D" w14:textId="77777777" w:rsidR="00877CC3" w:rsidRDefault="00877CC3" w:rsidP="007663A4">
                            <w:pPr>
                              <w:pStyle w:val="ListParagraph"/>
                              <w:numPr>
                                <w:ilvl w:val="0"/>
                                <w:numId w:val="4"/>
                              </w:numPr>
                            </w:pPr>
                            <w:r>
                              <w:t xml:space="preserve">75% of the UK population had antitoxin levels ≥0.01IU/mL correlating to basic diphtheria protection </w:t>
                            </w:r>
                          </w:p>
                          <w:p w14:paraId="17E94A7F" w14:textId="77777777" w:rsidR="00877CC3" w:rsidRDefault="00877CC3" w:rsidP="007663A4">
                            <w:pPr>
                              <w:pStyle w:val="ListParagraph"/>
                              <w:numPr>
                                <w:ilvl w:val="0"/>
                                <w:numId w:val="4"/>
                              </w:numPr>
                            </w:pPr>
                            <w:r>
                              <w:t>41% had antitoxin levels ≥0. 1IU/mL correlating to full diphtheria protection</w:t>
                            </w:r>
                          </w:p>
                          <w:p w14:paraId="6BDBB91C" w14:textId="77777777" w:rsidR="00877CC3" w:rsidRDefault="00877CC3" w:rsidP="007663A4">
                            <w:pPr>
                              <w:pStyle w:val="ListParagraph"/>
                              <w:numPr>
                                <w:ilvl w:val="0"/>
                                <w:numId w:val="4"/>
                              </w:numPr>
                            </w:pPr>
                            <w:r>
                              <w:t>Between ages 1 and 9 years, the proportion with antitoxin levels correlating to full protection remained stable (65%-71%)</w:t>
                            </w:r>
                          </w:p>
                          <w:p w14:paraId="6759523E" w14:textId="77777777" w:rsidR="00877CC3" w:rsidRDefault="00877CC3" w:rsidP="007663A4">
                            <w:pPr>
                              <w:pStyle w:val="ListParagraph"/>
                              <w:numPr>
                                <w:ilvl w:val="0"/>
                                <w:numId w:val="4"/>
                              </w:numPr>
                            </w:pPr>
                            <w:r>
                              <w:t xml:space="preserve">Thereafter, the proportion with antitoxin levels correlating to full protection declined to a low of 44% amongst those aged 10-11 years.  </w:t>
                            </w:r>
                          </w:p>
                          <w:p w14:paraId="68B50417" w14:textId="77777777" w:rsidR="00877CC3" w:rsidRDefault="00877CC3" w:rsidP="007663A4">
                            <w:pPr>
                              <w:pStyle w:val="ListParagraph"/>
                              <w:numPr>
                                <w:ilvl w:val="0"/>
                                <w:numId w:val="4"/>
                              </w:numPr>
                            </w:pPr>
                            <w:r>
                              <w:t xml:space="preserve">The proportion with antitoxin levels ≥0.01IY/mL increased again for teenagers and young adults, before declining in older adults.  </w:t>
                            </w:r>
                          </w:p>
                          <w:p w14:paraId="036AD1F5" w14:textId="77777777" w:rsidR="00877CC3" w:rsidRDefault="00877CC3" w:rsidP="007663A4">
                            <w:pPr>
                              <w:pStyle w:val="ListParagraph"/>
                              <w:numPr>
                                <w:ilvl w:val="0"/>
                                <w:numId w:val="4"/>
                              </w:numPr>
                            </w:pPr>
                            <w:r>
                              <w:t xml:space="preserve">The highest number of susceptibles with antitoxin levels &lt; 0.01IU/mL were observed in the age groups &lt;1 year (37%), 35-44 years (27%), 45-69 years (41%) and 70+ years (33%).  </w:t>
                            </w:r>
                          </w:p>
                          <w:p w14:paraId="34055130" w14:textId="2399982C" w:rsidR="00877CC3" w:rsidRDefault="00877CC3" w:rsidP="00DF65BB">
                            <w:r>
                              <w:rPr>
                                <w:noProof/>
                              </w:rPr>
                              <w:drawing>
                                <wp:inline distT="0" distB="0" distL="0" distR="0" wp14:anchorId="7D687EBE" wp14:editId="77111335">
                                  <wp:extent cx="5367655" cy="2044911"/>
                                  <wp:effectExtent l="0" t="0" r="444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b="9061"/>
                                          <a:stretch/>
                                        </pic:blipFill>
                                        <pic:spPr bwMode="auto">
                                          <a:xfrm>
                                            <a:off x="0" y="0"/>
                                            <a:ext cx="5367655" cy="2044911"/>
                                          </a:xfrm>
                                          <a:prstGeom prst="rect">
                                            <a:avLst/>
                                          </a:prstGeom>
                                          <a:ln>
                                            <a:noFill/>
                                          </a:ln>
                                          <a:extLst>
                                            <a:ext uri="{53640926-AAD7-44D8-BBD7-CCE9431645EC}">
                                              <a14:shadowObscured xmlns:a14="http://schemas.microsoft.com/office/drawing/2010/main"/>
                                            </a:ext>
                                          </a:extLst>
                                        </pic:spPr>
                                      </pic:pic>
                                    </a:graphicData>
                                  </a:graphic>
                                </wp:inline>
                              </w:drawing>
                            </w:r>
                          </w:p>
                          <w:p w14:paraId="4B086638" w14:textId="77777777" w:rsidR="00877CC3" w:rsidRDefault="00877CC3" w:rsidP="00136C63">
                            <w:pPr>
                              <w:pStyle w:val="ListParagraph"/>
                              <w:ind w:left="284"/>
                            </w:pPr>
                            <w:r>
                              <w:t>Figure 1: Diphtheria antitoxin distribution by age group in England, 2009.  Error bars indicate 95% confidence intervals for full protection (Fig 5 from Wagner et al. (2012))</w:t>
                            </w:r>
                          </w:p>
                          <w:p w14:paraId="1C464CA3" w14:textId="77777777" w:rsidR="00877CC3" w:rsidRDefault="00877CC3" w:rsidP="00DF65BB">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62E0A" id="_x0000_t202" coordsize="21600,21600" o:spt="202" path="m,l,21600r21600,l21600,xe">
                <v:stroke joinstyle="miter"/>
                <v:path gradientshapeok="t" o:connecttype="rect"/>
              </v:shapetype>
              <v:shape id="Text Box 2" o:spid="_x0000_s1026" type="#_x0000_t202" style="position:absolute;margin-left:-.35pt;margin-top:16.3pt;width:437.75pt;height:49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" strokecolor="black [3213]">
                <v:textbox>
                  <w:txbxContent>
                    <w:p w14:paraId="5A23C768" w14:textId="02D8E862" w:rsidR="00877CC3" w:rsidRDefault="00877CC3" w:rsidP="00DF65BB">
                      <w:r>
                        <w:t xml:space="preserve">Box 1. Wagner et al (2012) </w:t>
                      </w:r>
                      <w:r w:rsidRPr="00BF6D1D">
                        <w:rPr>
                          <w:rFonts w:cs="GulliverRM"/>
                        </w:rPr>
                        <w:t>Immunity to tetanus and diphtheria in the UK in 2009</w:t>
                      </w:r>
                      <w:r>
                        <w:rPr>
                          <w:rFonts w:cs="GulliverRM"/>
                        </w:rPr>
                        <w:t xml:space="preserve"> </w:t>
                      </w:r>
                    </w:p>
                    <w:p w14:paraId="29A5BAC6" w14:textId="77777777" w:rsidR="00877CC3" w:rsidRDefault="00877CC3" w:rsidP="00DF65BB">
                      <w:r>
                        <w:t xml:space="preserve">In this study, 150 residual sera were tested in each age group, in order to estimate the proportion of the population protected to within ± 8% with 95% confidence. It found that: </w:t>
                      </w:r>
                    </w:p>
                    <w:p w14:paraId="55FAF72D" w14:textId="77777777" w:rsidR="00877CC3" w:rsidRDefault="00877CC3" w:rsidP="007663A4">
                      <w:pPr>
                        <w:pStyle w:val="ListParagraph"/>
                        <w:numPr>
                          <w:ilvl w:val="0"/>
                          <w:numId w:val="4"/>
                        </w:numPr>
                      </w:pPr>
                      <w:r>
                        <w:t xml:space="preserve">75% of the UK population had antitoxin levels ≥0.01IU/mL correlating to basic diphtheria protection </w:t>
                      </w:r>
                    </w:p>
                    <w:p w14:paraId="17E94A7F" w14:textId="77777777" w:rsidR="00877CC3" w:rsidRDefault="00877CC3" w:rsidP="007663A4">
                      <w:pPr>
                        <w:pStyle w:val="ListParagraph"/>
                        <w:numPr>
                          <w:ilvl w:val="0"/>
                          <w:numId w:val="4"/>
                        </w:numPr>
                      </w:pPr>
                      <w:r>
                        <w:t>41% had antitoxin levels ≥0. 1IU/mL correlating to full diphtheria protection</w:t>
                      </w:r>
                    </w:p>
                    <w:p w14:paraId="6BDBB91C" w14:textId="77777777" w:rsidR="00877CC3" w:rsidRDefault="00877CC3" w:rsidP="007663A4">
                      <w:pPr>
                        <w:pStyle w:val="ListParagraph"/>
                        <w:numPr>
                          <w:ilvl w:val="0"/>
                          <w:numId w:val="4"/>
                        </w:numPr>
                      </w:pPr>
                      <w:r>
                        <w:t>Between ages 1 and 9 years, the proportion with antitoxin levels correlating to full protection remained stable (65%-71%)</w:t>
                      </w:r>
                    </w:p>
                    <w:p w14:paraId="6759523E" w14:textId="77777777" w:rsidR="00877CC3" w:rsidRDefault="00877CC3" w:rsidP="007663A4">
                      <w:pPr>
                        <w:pStyle w:val="ListParagraph"/>
                        <w:numPr>
                          <w:ilvl w:val="0"/>
                          <w:numId w:val="4"/>
                        </w:numPr>
                      </w:pPr>
                      <w:r>
                        <w:t xml:space="preserve">Thereafter, the proportion with antitoxin levels correlating to full protection declined to a low of 44% amongst those aged 10-11 years.  </w:t>
                      </w:r>
                    </w:p>
                    <w:p w14:paraId="68B50417" w14:textId="77777777" w:rsidR="00877CC3" w:rsidRDefault="00877CC3" w:rsidP="007663A4">
                      <w:pPr>
                        <w:pStyle w:val="ListParagraph"/>
                        <w:numPr>
                          <w:ilvl w:val="0"/>
                          <w:numId w:val="4"/>
                        </w:numPr>
                      </w:pPr>
                      <w:r>
                        <w:t xml:space="preserve">The proportion with antitoxin levels ≥0.01IY/mL increased again for teenagers and young adults, before declining in older adults.  </w:t>
                      </w:r>
                    </w:p>
                    <w:p w14:paraId="036AD1F5" w14:textId="77777777" w:rsidR="00877CC3" w:rsidRDefault="00877CC3" w:rsidP="007663A4">
                      <w:pPr>
                        <w:pStyle w:val="ListParagraph"/>
                        <w:numPr>
                          <w:ilvl w:val="0"/>
                          <w:numId w:val="4"/>
                        </w:numPr>
                      </w:pPr>
                      <w:r>
                        <w:t xml:space="preserve">The highest number of susceptibles with antitoxin levels &lt; 0.01IU/mL were observed in the age groups &lt;1 year (37%), 35-44 years (27%), 45-69 years (41%) and 70+ years (33%).  </w:t>
                      </w:r>
                    </w:p>
                    <w:p w14:paraId="34055130" w14:textId="2399982C" w:rsidR="00877CC3" w:rsidRDefault="00877CC3" w:rsidP="00DF65BB">
                      <w:r>
                        <w:rPr>
                          <w:noProof/>
                        </w:rPr>
                        <w:drawing>
                          <wp:inline distT="0" distB="0" distL="0" distR="0" wp14:anchorId="7D687EBE" wp14:editId="77111335">
                            <wp:extent cx="5367655" cy="2044911"/>
                            <wp:effectExtent l="0" t="0" r="444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b="9061"/>
                                    <a:stretch/>
                                  </pic:blipFill>
                                  <pic:spPr bwMode="auto">
                                    <a:xfrm>
                                      <a:off x="0" y="0"/>
                                      <a:ext cx="5367655" cy="2044911"/>
                                    </a:xfrm>
                                    <a:prstGeom prst="rect">
                                      <a:avLst/>
                                    </a:prstGeom>
                                    <a:ln>
                                      <a:noFill/>
                                    </a:ln>
                                    <a:extLst>
                                      <a:ext uri="{53640926-AAD7-44D8-BBD7-CCE9431645EC}">
                                        <a14:shadowObscured xmlns:a14="http://schemas.microsoft.com/office/drawing/2010/main"/>
                                      </a:ext>
                                    </a:extLst>
                                  </pic:spPr>
                                </pic:pic>
                              </a:graphicData>
                            </a:graphic>
                          </wp:inline>
                        </w:drawing>
                      </w:r>
                    </w:p>
                    <w:p w14:paraId="4B086638" w14:textId="77777777" w:rsidR="00877CC3" w:rsidRDefault="00877CC3" w:rsidP="00136C63">
                      <w:pPr>
                        <w:pStyle w:val="ListParagraph"/>
                        <w:ind w:left="284"/>
                      </w:pPr>
                      <w:r>
                        <w:t>Figure 1: Diphtheria antitoxin distribution by age group in England, 2009.  Error bars indicate 95% confidence intervals for full protection (Fig 5 from Wagner et al. (2012))</w:t>
                      </w:r>
                    </w:p>
                    <w:p w14:paraId="1C464CA3" w14:textId="77777777" w:rsidR="00877CC3" w:rsidRDefault="00877CC3" w:rsidP="00DF65BB">
                      <w:pPr>
                        <w:pStyle w:val="ListParagraph"/>
                      </w:pPr>
                    </w:p>
                  </w:txbxContent>
                </v:textbox>
                <w10:wrap type="topAndBottom" anchorx="margin"/>
              </v:shape>
            </w:pict>
          </mc:Fallback>
        </mc:AlternateContent>
      </w:r>
    </w:p>
    <w:p w14:paraId="7ED43997" w14:textId="20EE8256" w:rsidR="00DF65BB" w:rsidRDefault="00DF65BB" w:rsidP="00DF65BB"/>
    <w:p w14:paraId="2EB258C2" w14:textId="14E19D8E" w:rsidR="00DF65BB" w:rsidRDefault="00DF65BB" w:rsidP="00DF65BB"/>
    <w:p w14:paraId="0B03CA8B" w14:textId="5207756F" w:rsidR="00DF65BB" w:rsidRDefault="00DF65BB" w:rsidP="00DF65BB"/>
    <w:p w14:paraId="2B7DF596" w14:textId="40D49A60" w:rsidR="00DF65BB" w:rsidRDefault="00DF65BB" w:rsidP="00DF65BB"/>
    <w:p w14:paraId="11DCE4E5" w14:textId="6085D2DE" w:rsidR="00DF65BB" w:rsidRDefault="00DF65BB" w:rsidP="00DF65BB"/>
    <w:p w14:paraId="6245E82D" w14:textId="00901532" w:rsidR="00DF65BB" w:rsidRDefault="00DF65BB" w:rsidP="00DF65BB"/>
    <w:p w14:paraId="652BA5BD" w14:textId="2C1ADBD9" w:rsidR="00DF65BB" w:rsidRDefault="00DF65BB" w:rsidP="00DF65BB"/>
    <w:p w14:paraId="15DFE4E2" w14:textId="566F993A" w:rsidR="00BC3005" w:rsidRDefault="0055094D" w:rsidP="00136C63">
      <w:pPr>
        <w:jc w:val="center"/>
      </w:pPr>
      <w:r>
        <w:rPr>
          <w:noProof/>
        </w:rPr>
        <w:drawing>
          <wp:inline distT="0" distB="0" distL="0" distR="0" wp14:anchorId="06A1388C" wp14:editId="71D425C8">
            <wp:extent cx="4724398" cy="3016252"/>
            <wp:effectExtent l="0" t="0" r="0" b="0"/>
            <wp:docPr id="2084020105" name="Picture 1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4724398" cy="3016252"/>
                    </a:xfrm>
                    <a:prstGeom prst="rect">
                      <a:avLst/>
                    </a:prstGeom>
                  </pic:spPr>
                </pic:pic>
              </a:graphicData>
            </a:graphic>
          </wp:inline>
        </w:drawing>
      </w:r>
    </w:p>
    <w:p w14:paraId="04A5C4EF" w14:textId="58CE111B" w:rsidR="00BC3005" w:rsidRPr="00C00CF5" w:rsidRDefault="00C00CF5" w:rsidP="00BC3005">
      <w:pPr>
        <w:rPr>
          <w:sz w:val="18"/>
          <w:szCs w:val="18"/>
        </w:rPr>
      </w:pPr>
      <w:r>
        <w:rPr>
          <w:sz w:val="18"/>
          <w:szCs w:val="18"/>
        </w:rPr>
        <w:t>Figure</w:t>
      </w:r>
      <w:r w:rsidR="00BC3005" w:rsidRPr="00C00CF5">
        <w:rPr>
          <w:sz w:val="18"/>
          <w:szCs w:val="18"/>
        </w:rPr>
        <w:t xml:space="preserve"> 2. </w:t>
      </w:r>
      <w:proofErr w:type="spellStart"/>
      <w:r w:rsidR="00BC3005" w:rsidRPr="00C00CF5">
        <w:rPr>
          <w:sz w:val="18"/>
          <w:szCs w:val="18"/>
        </w:rPr>
        <w:t>Seroprotection</w:t>
      </w:r>
      <w:proofErr w:type="spellEnd"/>
      <w:r w:rsidR="00BC3005" w:rsidRPr="00C00CF5">
        <w:rPr>
          <w:sz w:val="18"/>
          <w:szCs w:val="18"/>
        </w:rPr>
        <w:t xml:space="preserve"> against serogroup C meningococci measured by proportions with serum bactericidal antibody (SBA) titres of ≥8. Comparison of levels in 2014 with the previous surveys conducted prior to MCC vaccine introduction in 1996-1999 and following introduction in 2000-2004 and 2009</w:t>
      </w:r>
      <w:r w:rsidR="001C2B3A" w:rsidRPr="00C00CF5">
        <w:rPr>
          <w:sz w:val="18"/>
          <w:szCs w:val="18"/>
        </w:rPr>
        <w:t xml:space="preserve"> </w:t>
      </w:r>
      <w:r w:rsidR="00B312D6" w:rsidRPr="00C00CF5">
        <w:rPr>
          <w:sz w:val="18"/>
          <w:szCs w:val="18"/>
        </w:rPr>
        <w:fldChar w:fldCharType="begin"/>
      </w:r>
      <w:r w:rsidR="00B312D6" w:rsidRPr="00C00CF5">
        <w:rPr>
          <w:sz w:val="18"/>
          <w:szCs w:val="18"/>
        </w:rPr>
        <w:instrText xml:space="preserve"> ADDIN EN.CITE &lt;EndNote&gt;&lt;Cite&gt;&lt;Author&gt;Findlow&lt;/Author&gt;&lt;Year&gt;2019&lt;/Year&gt;&lt;IDText&gt;Serogroup C Neisseria meningitidis disease epidemiology, seroprevalence, vaccine effectiveness and waning immunity, England, 1998/99 to 2015/16&lt;/IDText&gt;&lt;DisplayText&gt;(Findlow et al., 2019)&lt;/DisplayText&gt;&lt;record&gt;&lt;keywords&gt;&lt;keyword&gt;epidemiology&lt;/keyword&gt;&lt;keyword&gt;bacterial meningitis&lt;/keyword&gt;&lt;keyword&gt;Neisseria meningitidis&lt;/keyword&gt;&lt;keyword&gt;vaccines&lt;/keyword&gt;&lt;keyword&gt;surveillance&lt;/keyword&gt;&lt;keyword&gt;immunisation&lt;/keyword&gt;&lt;/keywords&gt;&lt;urls&gt;&lt;related-urls&gt;&lt;url&gt;https://www.eurosurveillance.org/content/10.2807/1560-7917.ES.2019.24.1.1700818&lt;/url&gt;&lt;/related-urls&gt;&lt;/urls&gt;&lt;titles&gt;&lt;title&gt;Serogroup C Neisseria meningitidis disease epidemiology, seroprevalence, vaccine effectiveness and waning immunity, England, 1998/99 to 2015/16&lt;/title&gt;&lt;secondary-title&gt;Eurosurveillance&lt;/secondary-title&gt;&lt;/titles&gt;&lt;pages&gt;1700818&lt;/pages&gt;&lt;number&gt;1&lt;/number&gt;&lt;contributors&gt;&lt;authors&gt;&lt;author&gt;Findlow, Helen&lt;/author&gt;&lt;author&gt;Campbell, Helen&lt;/author&gt;&lt;author&gt;Lucidarme, Jay&lt;/author&gt;&lt;author&gt;Andrews, Nick&lt;/author&gt;&lt;author&gt;Linley, Ezra&lt;/author&gt;&lt;author&gt;Ladhani, Shamez&lt;/author&gt;&lt;author&gt;Borrow, Ray&lt;/author&gt;&lt;/authors&gt;&lt;/contributors&gt;&lt;added-date format="utc"&gt;1585326108&lt;/added-date&gt;&lt;ref-type name="Journal Article"&gt;17&lt;/ref-type&gt;&lt;dates&gt;&lt;year&gt;2019&lt;/year&gt;&lt;/dates&gt;&lt;rec-number&gt;100&lt;/rec-number&gt;&lt;last-updated-date format="utc"&gt;1585326108&lt;/last-updated-date&gt;&lt;electronic-resource-num&gt;doi:https://doi.org/10.2807/1560-7917.ES.2019.24.1.1700818&lt;/electronic-resource-num&gt;&lt;volume&gt;24&lt;/volume&gt;&lt;/record&gt;&lt;/Cite&gt;&lt;/EndNote&gt;</w:instrText>
      </w:r>
      <w:r w:rsidR="00B312D6" w:rsidRPr="00C00CF5">
        <w:rPr>
          <w:sz w:val="18"/>
          <w:szCs w:val="18"/>
        </w:rPr>
        <w:fldChar w:fldCharType="separate"/>
      </w:r>
      <w:r w:rsidR="00B312D6" w:rsidRPr="00C00CF5">
        <w:rPr>
          <w:noProof/>
          <w:sz w:val="18"/>
          <w:szCs w:val="18"/>
        </w:rPr>
        <w:t>(Findlow et al., 2019)</w:t>
      </w:r>
      <w:r w:rsidR="00B312D6" w:rsidRPr="00C00CF5">
        <w:rPr>
          <w:sz w:val="18"/>
          <w:szCs w:val="18"/>
        </w:rPr>
        <w:fldChar w:fldCharType="end"/>
      </w:r>
    </w:p>
    <w:p w14:paraId="755DCA24" w14:textId="6CF53DCF" w:rsidR="00DF65BB" w:rsidRPr="003413DF" w:rsidRDefault="00BC3005" w:rsidP="00DF65BB">
      <w:r w:rsidRPr="003413DF">
        <w:rPr>
          <w:noProof/>
        </w:rPr>
        <mc:AlternateContent>
          <mc:Choice Requires="wps">
            <w:drawing>
              <wp:anchor distT="0" distB="0" distL="114300" distR="114300" simplePos="0" relativeHeight="251658240" behindDoc="0" locked="0" layoutInCell="1" allowOverlap="1" wp14:anchorId="1DF727AD" wp14:editId="1A7477C6">
                <wp:simplePos x="0" y="0"/>
                <wp:positionH relativeFrom="column">
                  <wp:posOffset>17780</wp:posOffset>
                </wp:positionH>
                <wp:positionV relativeFrom="paragraph">
                  <wp:posOffset>8470265</wp:posOffset>
                </wp:positionV>
                <wp:extent cx="5915025" cy="41529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152900"/>
                        </a:xfrm>
                        <a:prstGeom prst="rect">
                          <a:avLst/>
                        </a:prstGeom>
                        <a:solidFill>
                          <a:srgbClr val="FFFFFF"/>
                        </a:solidFill>
                        <a:ln w="9525">
                          <a:solidFill>
                            <a:srgbClr val="000000"/>
                          </a:solidFill>
                          <a:miter lim="800000"/>
                          <a:headEnd/>
                          <a:tailEnd/>
                        </a:ln>
                      </wps:spPr>
                      <wps:txbx>
                        <w:txbxContent>
                          <w:p w14:paraId="7AD1E5E9" w14:textId="77777777" w:rsidR="00877CC3" w:rsidRDefault="00877CC3" w:rsidP="00DF65BB">
                            <w:r>
                              <w:t xml:space="preserve">Box 2. </w:t>
                            </w:r>
                            <w:r w:rsidRPr="006B6E6F">
                              <w:t>Seroprotection against serogroup C meningococci measured by proportions with serum bactericidal antibody (SBA) titres of ≥8. Comparison of levels in 2014 with the previous surveys conducted prior to MCC vaccine introduction in 1996-1999 and following introduction in 2000-2004 and 2009. Source: Findlow, H et al. accepted for publication, Eurosurveillance</w:t>
                            </w:r>
                          </w:p>
                          <w:p w14:paraId="616E1374" w14:textId="77777777" w:rsidR="00877CC3" w:rsidRDefault="00877CC3" w:rsidP="00DF65BB">
                            <w:pPr>
                              <w:jc w:val="center"/>
                            </w:pPr>
                            <w:r>
                              <w:rPr>
                                <w:noProof/>
                              </w:rPr>
                              <w:drawing>
                                <wp:inline distT="0" distB="0" distL="0" distR="0" wp14:anchorId="64F32B5E" wp14:editId="5FD3A205">
                                  <wp:extent cx="4724400" cy="30162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8230" cy="3018697"/>
                                          </a:xfrm>
                                          <a:prstGeom prst="rect">
                                            <a:avLst/>
                                          </a:prstGeom>
                                          <a:noFill/>
                                        </pic:spPr>
                                      </pic:pic>
                                    </a:graphicData>
                                  </a:graphic>
                                </wp:inline>
                              </w:drawing>
                            </w:r>
                          </w:p>
                          <w:p w14:paraId="56ED3410" w14:textId="77777777" w:rsidR="00877CC3" w:rsidRDefault="00877CC3" w:rsidP="00DF6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27AD" id="_x0000_s1027" type="#_x0000_t202" style="position:absolute;margin-left:1.4pt;margin-top:666.95pt;width:465.7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">
                <v:textbox>
                  <w:txbxContent>
                    <w:p w14:paraId="7AD1E5E9" w14:textId="77777777" w:rsidR="00877CC3" w:rsidRDefault="00877CC3" w:rsidP="00DF65BB">
                      <w:r>
                        <w:t xml:space="preserve">Box 2. </w:t>
                      </w:r>
                      <w:r w:rsidRPr="006B6E6F">
                        <w:t>Seroprotection against serogroup C meningococci measured by proportions with serum bactericidal antibody (SBA) titres of ≥8. Comparison of levels in 2014 with the previous surveys conducted prior to MCC vaccine introduction in 1996-1999 and following introduction in 2000-2004 and 2009. Source: Findlow, H et al. accepted for publication, Eurosurveillance</w:t>
                      </w:r>
                    </w:p>
                    <w:p w14:paraId="616E1374" w14:textId="77777777" w:rsidR="00877CC3" w:rsidRDefault="00877CC3" w:rsidP="00DF65BB">
                      <w:pPr>
                        <w:jc w:val="center"/>
                      </w:pPr>
                      <w:r>
                        <w:rPr>
                          <w:noProof/>
                        </w:rPr>
                        <w:drawing>
                          <wp:inline distT="0" distB="0" distL="0" distR="0" wp14:anchorId="64F32B5E" wp14:editId="5FD3A205">
                            <wp:extent cx="4724400" cy="30162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8230" cy="3018697"/>
                                    </a:xfrm>
                                    <a:prstGeom prst="rect">
                                      <a:avLst/>
                                    </a:prstGeom>
                                    <a:noFill/>
                                  </pic:spPr>
                                </pic:pic>
                              </a:graphicData>
                            </a:graphic>
                          </wp:inline>
                        </w:drawing>
                      </w:r>
                    </w:p>
                    <w:p w14:paraId="56ED3410" w14:textId="77777777" w:rsidR="00877CC3" w:rsidRDefault="00877CC3" w:rsidP="00DF65BB"/>
                  </w:txbxContent>
                </v:textbox>
              </v:shape>
            </w:pict>
          </mc:Fallback>
        </mc:AlternateContent>
      </w:r>
      <w:r w:rsidR="00DF65BB" w:rsidRPr="003413DF">
        <w:t>Disadvantages of residual seroprevalence studies</w:t>
      </w:r>
    </w:p>
    <w:p w14:paraId="2A20C1F6" w14:textId="3FC64C1F" w:rsidR="00DF65BB" w:rsidRPr="00255D71" w:rsidRDefault="00DF65BB" w:rsidP="00191C9D">
      <w:pPr>
        <w:pStyle w:val="ListParagraph"/>
        <w:numPr>
          <w:ilvl w:val="0"/>
          <w:numId w:val="5"/>
        </w:numPr>
        <w:spacing w:after="240"/>
      </w:pPr>
      <w:r>
        <w:t>S</w:t>
      </w:r>
      <w:r w:rsidRPr="00255D71">
        <w:t>amples may not be representative of the whole population.</w:t>
      </w:r>
      <w:r>
        <w:t xml:space="preserve"> Previous review of the source of these samples have shown considerable variation by age e.g. paediatric samples from immunocompromised children and samples for adults sourced from those attending </w:t>
      </w:r>
      <w:r w:rsidR="00851D55">
        <w:t xml:space="preserve">Genito-Urinary Medicine </w:t>
      </w:r>
      <w:r>
        <w:t>clinics.</w:t>
      </w:r>
    </w:p>
    <w:p w14:paraId="45BDD003" w14:textId="77777777" w:rsidR="00DF65BB" w:rsidRPr="00255D71" w:rsidRDefault="00DF65BB" w:rsidP="00DF65BB">
      <w:pPr>
        <w:pStyle w:val="ListParagraph"/>
        <w:spacing w:after="240"/>
        <w:ind w:left="1545"/>
      </w:pPr>
    </w:p>
    <w:p w14:paraId="1DE1CE2C" w14:textId="77777777" w:rsidR="00DF65BB" w:rsidRDefault="00DF65BB" w:rsidP="00191C9D">
      <w:pPr>
        <w:pStyle w:val="ListParagraph"/>
        <w:numPr>
          <w:ilvl w:val="0"/>
          <w:numId w:val="5"/>
        </w:numPr>
        <w:spacing w:after="240"/>
      </w:pPr>
      <w:r>
        <w:t>Generally, t</w:t>
      </w:r>
      <w:r w:rsidRPr="00255D71">
        <w:t xml:space="preserve">he number of samples obtained from children </w:t>
      </w:r>
      <w:r>
        <w:t>is</w:t>
      </w:r>
      <w:r w:rsidRPr="00255D71">
        <w:t xml:space="preserve"> low </w:t>
      </w:r>
      <w:r>
        <w:t xml:space="preserve">and thus unlikely to be </w:t>
      </w:r>
      <w:r w:rsidRPr="00255D71">
        <w:t xml:space="preserve">sufficient for </w:t>
      </w:r>
      <w:r>
        <w:t xml:space="preserve">stratification by individual age bands and </w:t>
      </w:r>
      <w:r w:rsidRPr="00255D71">
        <w:t>region</w:t>
      </w:r>
      <w:r>
        <w:t>, which are particularly relevant to evaluate childhood vaccine programme for specific antigens.</w:t>
      </w:r>
      <w:r w:rsidRPr="00255D71">
        <w:t xml:space="preserve"> </w:t>
      </w:r>
    </w:p>
    <w:p w14:paraId="7AAF219B" w14:textId="77777777" w:rsidR="00DF65BB" w:rsidRDefault="00DF65BB" w:rsidP="00DF65BB">
      <w:pPr>
        <w:pStyle w:val="ListParagraph"/>
      </w:pPr>
    </w:p>
    <w:p w14:paraId="0C1B13D2" w14:textId="6D595264" w:rsidR="00136C63" w:rsidRPr="00255D71" w:rsidRDefault="00DF65BB" w:rsidP="003413DF">
      <w:pPr>
        <w:pStyle w:val="ListParagraph"/>
        <w:numPr>
          <w:ilvl w:val="0"/>
          <w:numId w:val="5"/>
        </w:numPr>
        <w:spacing w:after="240"/>
      </w:pPr>
      <w:r>
        <w:t>Individual vaccination histories are not available but are derived from vaccination programmes and known coverage at a population level.</w:t>
      </w:r>
    </w:p>
    <w:p w14:paraId="0C276C05" w14:textId="77777777" w:rsidR="00136C63" w:rsidRDefault="00DF65BB" w:rsidP="00136C63">
      <w:pPr>
        <w:spacing w:after="0"/>
        <w:rPr>
          <w:b/>
          <w:szCs w:val="24"/>
        </w:rPr>
      </w:pPr>
      <w:r w:rsidRPr="00136C63">
        <w:rPr>
          <w:b/>
          <w:szCs w:val="24"/>
        </w:rPr>
        <w:t>National seroprev</w:t>
      </w:r>
      <w:r w:rsidR="00136C63">
        <w:rPr>
          <w:b/>
          <w:szCs w:val="24"/>
        </w:rPr>
        <w:t>alence study in the Netherlands</w:t>
      </w:r>
    </w:p>
    <w:p w14:paraId="46C6C8C6" w14:textId="68C5171F" w:rsidR="00DF65BB" w:rsidRPr="003413DF" w:rsidRDefault="00DF65BB" w:rsidP="003413DF">
      <w:pPr>
        <w:jc w:val="both"/>
      </w:pPr>
      <w:r>
        <w:t xml:space="preserve">In 2006 / 2007, a large serum bank was established in the Netherlands by means of a cross-sectional population based study </w:t>
      </w:r>
      <w:r>
        <w:fldChar w:fldCharType="begin"/>
      </w:r>
      <w:r w:rsidR="00457652">
        <w:instrText xml:space="preserve"> ADDIN EN.CITE &lt;EndNote&gt;&lt;Cite&gt;&lt;Author&gt;Klis&lt;/Author&gt;&lt;Year&gt;2009&lt;/Year&gt;&lt;RecNum&gt;932&lt;/RecNum&gt;&lt;DisplayText&gt;(Klis et al., 2009)&lt;/DisplayText&gt;&lt;record&gt;&lt;rec-number&gt;932&lt;/rec-number&gt;&lt;foreign-keys&gt;&lt;key app="EN" db-id="025z9xvfyvprs8efd245rwzcr50r0d2t9ra5" timestamp="1542565362"&gt;932&lt;/key&gt;&lt;/foreign-keys&gt;&lt;ref-type name="Journal Article"&gt;17&lt;/ref-type&gt;&lt;contributors&gt;&lt;authors&gt;&lt;author&gt;FR van der Klis&lt;/author&gt;&lt;author&gt;L Mollema&lt;/author&gt;&lt;author&gt;GA Berbers &lt;/author&gt;&lt;author&gt;HE de Melker&lt;/author&gt;&lt;author&gt;RA Coutinho&lt;/author&gt;&lt;/authors&gt;&lt;/contributors&gt;&lt;titles&gt;&lt;title&gt;Second national serum bank for population-based seroprevalence studies in the Netherlands&lt;/title&gt;&lt;secondary-title&gt;The Netherlands Journal of Medicine&lt;/secondary-title&gt;&lt;/titles&gt;&lt;periodical&gt;&lt;full-title&gt;The Netherlands Journal of Medicine&lt;/full-title&gt;&lt;/periodical&gt;&lt;pages&gt;301-8&lt;/pages&gt;&lt;number&gt;67&lt;/number&gt;&lt;dates&gt;&lt;year&gt;2009&lt;/year&gt;&lt;/dates&gt;&lt;urls&gt;&lt;/urls&gt;&lt;/record&gt;&lt;/Cite&gt;&lt;Cite&gt;&lt;Author&gt;FR&lt;/Author&gt;&lt;Year&gt;2009&lt;/Year&gt;&lt;IDText&gt;Second national serum bank for population-based seroprevalence studies in the Netherlands&lt;/IDText&gt;&lt;record&gt;&lt;rec-number&gt;932&lt;/rec-number&gt;&lt;foreign-keys&gt;&lt;key app="EN" db-id="025z9xvfyvprs8efd245rwzcr50r0d2t9ra5" timestamp="1542565362"&gt;932&lt;/key&gt;&lt;/foreign-keys&gt;&lt;ref-type name="Journal Article"&gt;17&lt;/ref-type&gt;&lt;contributors&gt;&lt;authors&gt;&lt;author&gt;FR van der Klis&lt;/author&gt;&lt;author&gt;L Mollema&lt;/author&gt;&lt;author&gt;GA Berbers &lt;/author&gt;&lt;author&gt;HE de Melker&lt;/author&gt;&lt;author&gt;RA Coutinho&lt;/author&gt;&lt;/authors&gt;&lt;/contributors&gt;&lt;titles&gt;&lt;title&gt;Second national serum bank for population-based seroprevalence studies in the Netherlands&lt;/title&gt;&lt;secondary-title&gt;The Netherlands Journal of Medicine&lt;/secondary-title&gt;&lt;/titles&gt;&lt;periodical&gt;&lt;full-title&gt;The Netherlands Journal of Medicine&lt;/full-title&gt;&lt;/periodical&gt;&lt;pages&gt;301-8&lt;/pages&gt;&lt;number&gt;67&lt;/number&gt;&lt;dates&gt;&lt;year&gt;2009&lt;/year&gt;&lt;/dates&gt;&lt;urls&gt;&lt;/urls&gt;&lt;/record&gt;&lt;/Cite&gt;&lt;/EndNote&gt;</w:instrText>
      </w:r>
      <w:r>
        <w:fldChar w:fldCharType="separate"/>
      </w:r>
      <w:r w:rsidR="00457652">
        <w:rPr>
          <w:noProof/>
        </w:rPr>
        <w:t>(Klis et al., 2009)</w:t>
      </w:r>
      <w:r>
        <w:fldChar w:fldCharType="end"/>
      </w:r>
      <w:r>
        <w:t xml:space="preserve"> . A similar serum bank was collected in 1995 / 1996 </w:t>
      </w:r>
      <w:r>
        <w:fldChar w:fldCharType="begin"/>
      </w:r>
      <w:r w:rsidR="00D36E5F">
        <w:instrText xml:space="preserve"> ADDIN EN.CITE &lt;EndNote&gt;&lt;Cite&gt;&lt;Author&gt;Melker&lt;/Author&gt;&lt;Year&gt;1998&lt;/Year&gt;&lt;RecNum&gt;933&lt;/RecNum&gt;&lt;DisplayText&gt;(De Melker and Conyn-Van Spaendonck, 1998; Melker and Spaendonck, 1998)&lt;/DisplayText&gt;&lt;record&gt;&lt;rec-number&gt;933&lt;/rec-number&gt;&lt;foreign-keys&gt;&lt;key app="EN" db-id="025z9xvfyvprs8efd245rwzcr50r0d2t9ra5" timestamp="1542565731"&gt;933&lt;/key&gt;&lt;/foreign-keys&gt;&lt;ref-type name="Journal Article"&gt;17&lt;/ref-type&gt;&lt;contributors&gt;&lt;authors&gt;&lt;author&gt;HE De Melker&lt;/author&gt;&lt;author&gt;MA Conyn-van Spaendonck&lt;/author&gt;&lt;/authors&gt;&lt;/contributors&gt;&lt;titles&gt;&lt;title&gt;Immunosurveillance and the evaluation of national immunization programmes: a population-based approach&lt;/title&gt;&lt;secondary-title&gt;Epidemiology and infection&lt;/secondary-title&gt;&lt;/titles&gt;&lt;periodical&gt;&lt;full-title&gt;Epidemiology and infection&lt;/full-title&gt;&lt;/periodical&gt;&lt;pages&gt;637-43&lt;/pages&gt;&lt;number&gt;121&lt;/number&gt;&lt;dates&gt;&lt;year&gt;1998&lt;/year&gt;&lt;/dates&gt;&lt;urls&gt;&lt;/urls&gt;&lt;/record&gt;&lt;/Cite&gt;&lt;Cite&gt;&lt;Author&gt;De Melker&lt;/Author&gt;&lt;Year&gt;1998&lt;/Year&gt;&lt;IDText&gt;Immunosurveillance and the evaluation of national immunization programmes: a population-based approach&lt;/IDText&gt;&lt;record&gt;&lt;titles&gt;&lt;title&gt;Immunosurveillance and the evaluation of national immunization programmes: a population-based approach&lt;/title&gt;&lt;/titles&gt;&lt;contributors&gt;&lt;authors&gt;&lt;author&gt;De Melker, H E &lt;/author&gt;&lt;author&gt;Conyn-Van Spaendonck, M A E&lt;/author&gt;&lt;/authors&gt;&lt;/contributors&gt;&lt;added-date format="utc"&gt;1580134040&lt;/added-date&gt;&lt;ref-type name="Journal Article"&gt;17&lt;/ref-type&gt;&lt;dates&gt;&lt;year&gt;1998&lt;/year&gt;&lt;/dates&gt;&lt;rec-number&gt;6&lt;/rec-number&gt;&lt;last-updated-date format="utc"&gt;1580231357&lt;/last-updated-date&gt;&lt;/record&gt;&lt;/Cite&gt;&lt;/EndNote&gt;</w:instrText>
      </w:r>
      <w:r>
        <w:fldChar w:fldCharType="separate"/>
      </w:r>
      <w:r w:rsidR="00D36E5F">
        <w:rPr>
          <w:noProof/>
        </w:rPr>
        <w:t>(De Melker and Conyn-Van Spaendonck, 1998; Melker and Spaendonck, 1998)</w:t>
      </w:r>
      <w:r>
        <w:fldChar w:fldCharType="end"/>
      </w:r>
      <w:r>
        <w:t xml:space="preserve">.  </w:t>
      </w:r>
    </w:p>
    <w:p w14:paraId="53111D0F" w14:textId="77777777" w:rsidR="00DF65BB" w:rsidRDefault="00DF65BB" w:rsidP="003413DF">
      <w:pPr>
        <w:jc w:val="both"/>
      </w:pPr>
      <w:r>
        <w:t xml:space="preserve">Dutch inhabitants (aged 0 – 79 years), identified from the national population register, were invited to participate from 40 municipalities throughout the country. Oversampling took place in areas with low vaccine coverage and migrant populations. </w:t>
      </w:r>
    </w:p>
    <w:p w14:paraId="5294AD14" w14:textId="77777777" w:rsidR="00DF65BB" w:rsidRDefault="00DF65BB" w:rsidP="003413DF">
      <w:pPr>
        <w:jc w:val="both"/>
      </w:pPr>
      <w:r>
        <w:lastRenderedPageBreak/>
        <w:t xml:space="preserve">Over 17 000 individuals were invited to participate. Individuals received a letter of invitation together with a brochure containing information on the study, a questionnaire, an informed consent form, and a prescheduled appointment form for blood donation at a local clinic. Participants were offered a gift voucher.  </w:t>
      </w:r>
    </w:p>
    <w:p w14:paraId="2CC0AFEF" w14:textId="77777777" w:rsidR="00DF65BB" w:rsidRDefault="00DF65BB" w:rsidP="003413DF">
      <w:pPr>
        <w:jc w:val="both"/>
      </w:pPr>
      <w:r>
        <w:t>Overall, a 32% response rate was achieved (6386 serum samples).   The highest response rate was in women aged 10–49 and aged 50–79 with a response rate of 38%. A response rate of 27% and 26% was seen in male and female children aged 0-9 respectively.</w:t>
      </w:r>
    </w:p>
    <w:p w14:paraId="51A1CEF5" w14:textId="613C9B08" w:rsidR="003413DF" w:rsidRDefault="00DF65BB" w:rsidP="003413DF">
      <w:pPr>
        <w:jc w:val="both"/>
      </w:pPr>
      <w:r>
        <w:t>In the first study in 1995 / 1996 – an overall response rate of 50% was achieved. It was suggested that the response rate fell in the second study because the distance to travel to the clinic was much further compared to the first study.</w:t>
      </w:r>
    </w:p>
    <w:p w14:paraId="38349E6B" w14:textId="77777777" w:rsidR="00D232AB" w:rsidRPr="00D232AB" w:rsidRDefault="00D232AB" w:rsidP="00D232AB">
      <w:pPr>
        <w:pStyle w:val="Heading3"/>
        <w:rPr>
          <w:rFonts w:asciiTheme="minorHAnsi" w:eastAsiaTheme="minorEastAsia" w:hAnsiTheme="minorHAnsi" w:cstheme="minorBidi"/>
          <w:bCs w:val="0"/>
          <w:szCs w:val="24"/>
        </w:rPr>
      </w:pPr>
      <w:bookmarkStart w:id="19" w:name="_Toc32432105"/>
      <w:bookmarkStart w:id="20" w:name="_Toc62129136"/>
      <w:r w:rsidRPr="008C67A2">
        <w:rPr>
          <w:rFonts w:asciiTheme="minorHAnsi" w:hAnsiTheme="minorHAnsi"/>
        </w:rPr>
        <w:t>Use of seroprevalence studies in pandemics</w:t>
      </w:r>
      <w:bookmarkEnd w:id="19"/>
      <w:bookmarkEnd w:id="20"/>
    </w:p>
    <w:p w14:paraId="6AAB2253" w14:textId="4564C820" w:rsidR="00660530" w:rsidRDefault="00D232AB" w:rsidP="008C67A2">
      <w:pPr>
        <w:jc w:val="both"/>
      </w:pPr>
      <w:r>
        <w:t xml:space="preserve">In a worldwide pandemic, such as the current </w:t>
      </w:r>
      <w:r w:rsidR="0075536C">
        <w:t>SARS-COV-2</w:t>
      </w:r>
      <w:r>
        <w:t xml:space="preserve"> outbreak, residual samples are used to help determine the true number of infections by detecting asymptomatic and mild infections.  This will enable us to more accurately describe the severity of infection across the population.  The timing of this study allows us to use the serological library alongside the residual sample method which is already being used in the </w:t>
      </w:r>
      <w:r w:rsidR="0075536C">
        <w:t>SARS-C</w:t>
      </w:r>
      <w:r w:rsidR="00F94D64">
        <w:t>o</w:t>
      </w:r>
      <w:r w:rsidR="0075536C">
        <w:t>V-2</w:t>
      </w:r>
      <w:r>
        <w:t xml:space="preserve"> response.  This is important as the study will gather samples from healthy children who are not well represented in the residual sample model and this information will be used to evaluate the public health benefit of running a </w:t>
      </w:r>
      <w:proofErr w:type="spellStart"/>
      <w:r>
        <w:t>sero</w:t>
      </w:r>
      <w:proofErr w:type="spellEnd"/>
      <w:r>
        <w:t>-epidemiological programme.</w:t>
      </w:r>
      <w:r w:rsidR="00212CED">
        <w:t xml:space="preserve"> This study design is being conducted in accordance with the World Health Organisation ‘Populations-based age stratified </w:t>
      </w:r>
      <w:proofErr w:type="spellStart"/>
      <w:r w:rsidR="00212CED">
        <w:t>seroepidemiological</w:t>
      </w:r>
      <w:proofErr w:type="spellEnd"/>
      <w:r w:rsidR="00212CED">
        <w:t xml:space="preserve"> investigation protocol for COVID-19 virus infection</w:t>
      </w:r>
      <w:r w:rsidR="00561CAA">
        <w:t>’</w:t>
      </w:r>
      <w:r w:rsidR="00212CED">
        <w:t xml:space="preserve">, available at: </w:t>
      </w:r>
      <w:hyperlink r:id="rId17">
        <w:r w:rsidR="00660530" w:rsidRPr="6217F8DA">
          <w:rPr>
            <w:rStyle w:val="Hyperlink"/>
          </w:rPr>
          <w:t>https://www.who.int/publications-detail/population-based-age-stratified-seroepidemiological-investigation-protocol-for-covid-19-virus-infection</w:t>
        </w:r>
      </w:hyperlink>
    </w:p>
    <w:p w14:paraId="2DC97541" w14:textId="77777777" w:rsidR="00660530" w:rsidRDefault="00660530">
      <w:r>
        <w:br w:type="page"/>
      </w:r>
    </w:p>
    <w:p w14:paraId="7CDDB13F" w14:textId="024174B2" w:rsidR="003413DF" w:rsidRDefault="00EF1606" w:rsidP="003413DF">
      <w:pPr>
        <w:pStyle w:val="Heading1"/>
      </w:pPr>
      <w:bookmarkStart w:id="21" w:name="_Toc39235425"/>
      <w:bookmarkStart w:id="22" w:name="_Toc39235499"/>
      <w:bookmarkStart w:id="23" w:name="_Toc32432106"/>
      <w:bookmarkStart w:id="24" w:name="_Toc62129137"/>
      <w:bookmarkEnd w:id="21"/>
      <w:bookmarkEnd w:id="22"/>
      <w:r w:rsidRPr="009E1297">
        <w:lastRenderedPageBreak/>
        <w:t xml:space="preserve">OBJECTIVES AND </w:t>
      </w:r>
      <w:r w:rsidR="0097121F">
        <w:t>OUTCOME MEASURES</w:t>
      </w:r>
      <w:bookmarkEnd w:id="23"/>
      <w:bookmarkEnd w:id="24"/>
    </w:p>
    <w:p w14:paraId="4376B1C4" w14:textId="77777777" w:rsidR="003413DF" w:rsidRPr="003413DF" w:rsidRDefault="003413DF" w:rsidP="003413DF">
      <w:pPr>
        <w:rPr>
          <w:sz w:val="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969"/>
        <w:gridCol w:w="4395"/>
      </w:tblGrid>
      <w:tr w:rsidR="00440498" w14:paraId="472EAF48" w14:textId="77777777" w:rsidTr="00C75EF1">
        <w:tc>
          <w:tcPr>
            <w:tcW w:w="1701" w:type="dxa"/>
            <w:tcBorders>
              <w:top w:val="single" w:sz="4" w:space="0" w:color="auto"/>
              <w:left w:val="single" w:sz="4" w:space="0" w:color="auto"/>
              <w:bottom w:val="single" w:sz="4" w:space="0" w:color="auto"/>
              <w:right w:val="single" w:sz="4" w:space="0" w:color="auto"/>
            </w:tcBorders>
          </w:tcPr>
          <w:p w14:paraId="62D77C12" w14:textId="77777777" w:rsidR="00440498" w:rsidRDefault="00440498" w:rsidP="00440498">
            <w:pPr>
              <w:jc w:val="both"/>
              <w:rPr>
                <w:b/>
              </w:rPr>
            </w:pPr>
          </w:p>
        </w:tc>
        <w:tc>
          <w:tcPr>
            <w:tcW w:w="3969" w:type="dxa"/>
            <w:tcBorders>
              <w:top w:val="single" w:sz="4" w:space="0" w:color="auto"/>
              <w:left w:val="single" w:sz="4" w:space="0" w:color="auto"/>
              <w:bottom w:val="single" w:sz="4" w:space="0" w:color="auto"/>
              <w:right w:val="single" w:sz="4" w:space="0" w:color="auto"/>
            </w:tcBorders>
            <w:hideMark/>
          </w:tcPr>
          <w:p w14:paraId="7D909B11" w14:textId="772D11E4" w:rsidR="00440498" w:rsidRDefault="00440498" w:rsidP="00440498">
            <w:pPr>
              <w:jc w:val="both"/>
              <w:rPr>
                <w:b/>
              </w:rPr>
            </w:pPr>
            <w:r w:rsidRPr="00034E86">
              <w:t>Objectives</w:t>
            </w:r>
          </w:p>
        </w:tc>
        <w:tc>
          <w:tcPr>
            <w:tcW w:w="4395" w:type="dxa"/>
            <w:tcBorders>
              <w:top w:val="single" w:sz="4" w:space="0" w:color="auto"/>
              <w:left w:val="single" w:sz="4" w:space="0" w:color="auto"/>
              <w:bottom w:val="single" w:sz="4" w:space="0" w:color="auto"/>
              <w:right w:val="single" w:sz="4" w:space="0" w:color="auto"/>
            </w:tcBorders>
            <w:hideMark/>
          </w:tcPr>
          <w:p w14:paraId="2F99E1F9" w14:textId="1714581C" w:rsidR="00440498" w:rsidRDefault="00440498" w:rsidP="00440498">
            <w:pPr>
              <w:jc w:val="both"/>
              <w:rPr>
                <w:b/>
              </w:rPr>
            </w:pPr>
            <w:r w:rsidRPr="00034E86">
              <w:t>Outcome Measures</w:t>
            </w:r>
          </w:p>
        </w:tc>
      </w:tr>
      <w:tr w:rsidR="00440498" w14:paraId="41563AAC" w14:textId="77777777" w:rsidTr="00C75EF1">
        <w:tc>
          <w:tcPr>
            <w:tcW w:w="1701" w:type="dxa"/>
            <w:tcBorders>
              <w:top w:val="single" w:sz="4" w:space="0" w:color="auto"/>
              <w:left w:val="single" w:sz="4" w:space="0" w:color="auto"/>
              <w:bottom w:val="single" w:sz="4" w:space="0" w:color="auto"/>
              <w:right w:val="single" w:sz="4" w:space="0" w:color="auto"/>
            </w:tcBorders>
          </w:tcPr>
          <w:p w14:paraId="2EDA436E" w14:textId="77777777" w:rsidR="00440498" w:rsidRPr="00034E86" w:rsidRDefault="00440498" w:rsidP="00440498">
            <w:pPr>
              <w:spacing w:before="60" w:after="60"/>
            </w:pPr>
            <w:r w:rsidRPr="00034E86">
              <w:t>Primary</w:t>
            </w:r>
          </w:p>
          <w:p w14:paraId="76A9D75C" w14:textId="77777777" w:rsidR="00440498" w:rsidRPr="00366E09" w:rsidRDefault="00440498" w:rsidP="007E400E">
            <w:pPr>
              <w:pStyle w:val="ListParagraph"/>
              <w:spacing w:after="0" w:line="240" w:lineRule="auto"/>
              <w:rPr>
                <w:b/>
              </w:rPr>
            </w:pPr>
          </w:p>
        </w:tc>
        <w:tc>
          <w:tcPr>
            <w:tcW w:w="3969" w:type="dxa"/>
            <w:tcBorders>
              <w:top w:val="single" w:sz="4" w:space="0" w:color="auto"/>
              <w:left w:val="single" w:sz="4" w:space="0" w:color="auto"/>
              <w:bottom w:val="single" w:sz="4" w:space="0" w:color="auto"/>
              <w:right w:val="single" w:sz="4" w:space="0" w:color="auto"/>
            </w:tcBorders>
            <w:hideMark/>
          </w:tcPr>
          <w:p w14:paraId="61FBE6E9" w14:textId="46B74AC9" w:rsidR="00440498" w:rsidRPr="00E5625F" w:rsidRDefault="00440498" w:rsidP="00F444E5">
            <w:pPr>
              <w:pStyle w:val="ListParagraph"/>
              <w:numPr>
                <w:ilvl w:val="0"/>
                <w:numId w:val="29"/>
              </w:numPr>
              <w:rPr>
                <w:rFonts w:eastAsia="Times New Roman"/>
                <w:lang w:eastAsia="en-US"/>
              </w:rPr>
            </w:pPr>
            <w:r w:rsidRPr="00E5625F">
              <w:rPr>
                <w:rFonts w:eastAsia="Times New Roman"/>
                <w:lang w:eastAsia="en-US"/>
              </w:rPr>
              <w:t>To evaluate the feasibility and added public health benefit of a</w:t>
            </w:r>
            <w:r w:rsidRPr="008F6257">
              <w:rPr>
                <w:rFonts w:eastAsia="Times New Roman"/>
                <w:lang w:eastAsia="en-US"/>
              </w:rPr>
              <w:t>n</w:t>
            </w:r>
            <w:r w:rsidRPr="00E5625F">
              <w:rPr>
                <w:rFonts w:eastAsia="Times New Roman"/>
                <w:lang w:eastAsia="en-US"/>
              </w:rPr>
              <w:t xml:space="preserve"> England, population based </w:t>
            </w:r>
            <w:proofErr w:type="spellStart"/>
            <w:r w:rsidRPr="00E5625F">
              <w:rPr>
                <w:rFonts w:eastAsia="Times New Roman"/>
                <w:lang w:eastAsia="en-US"/>
              </w:rPr>
              <w:t>sero</w:t>
            </w:r>
            <w:proofErr w:type="spellEnd"/>
            <w:r w:rsidR="00B70409" w:rsidRPr="00E5625F">
              <w:rPr>
                <w:rFonts w:eastAsia="Times New Roman"/>
                <w:lang w:eastAsia="en-US"/>
              </w:rPr>
              <w:t xml:space="preserve"> -</w:t>
            </w:r>
            <w:r w:rsidRPr="00E5625F">
              <w:rPr>
                <w:rFonts w:eastAsia="Times New Roman"/>
                <w:lang w:eastAsia="en-US"/>
              </w:rPr>
              <w:t>epidemiological programme in 0 to 24 year olds</w:t>
            </w:r>
          </w:p>
          <w:p w14:paraId="6507483A" w14:textId="16B0E152" w:rsidR="00440498" w:rsidRDefault="00440498" w:rsidP="00440498"/>
        </w:tc>
        <w:tc>
          <w:tcPr>
            <w:tcW w:w="4395" w:type="dxa"/>
            <w:tcBorders>
              <w:top w:val="single" w:sz="4" w:space="0" w:color="auto"/>
              <w:left w:val="single" w:sz="4" w:space="0" w:color="auto"/>
              <w:bottom w:val="single" w:sz="4" w:space="0" w:color="auto"/>
              <w:right w:val="single" w:sz="4" w:space="0" w:color="auto"/>
            </w:tcBorders>
            <w:hideMark/>
          </w:tcPr>
          <w:p w14:paraId="6CF9C5D8" w14:textId="7F555D6B" w:rsidR="00440498" w:rsidRDefault="00440498" w:rsidP="00F444E5">
            <w:pPr>
              <w:pStyle w:val="ListParagraph"/>
              <w:numPr>
                <w:ilvl w:val="0"/>
                <w:numId w:val="28"/>
              </w:numPr>
              <w:ind w:left="360"/>
              <w:rPr>
                <w:rFonts w:eastAsia="Times New Roman"/>
              </w:rPr>
            </w:pPr>
            <w:r w:rsidRPr="009834B6">
              <w:rPr>
                <w:rFonts w:eastAsia="Times New Roman"/>
              </w:rPr>
              <w:t>Representativeness of participants sampled, in terms of the local population’s ethnicity, community identity, migrant population and socioeconomic background</w:t>
            </w:r>
          </w:p>
          <w:p w14:paraId="08EDDBF8" w14:textId="1B0A9AB1" w:rsidR="00440498" w:rsidRDefault="00440498" w:rsidP="00F444E5">
            <w:pPr>
              <w:pStyle w:val="ListParagraph"/>
              <w:numPr>
                <w:ilvl w:val="0"/>
                <w:numId w:val="28"/>
              </w:numPr>
              <w:ind w:left="360"/>
              <w:rPr>
                <w:rFonts w:eastAsia="Times New Roman"/>
              </w:rPr>
            </w:pPr>
            <w:r w:rsidRPr="00AD218A">
              <w:rPr>
                <w:rFonts w:eastAsia="Times New Roman"/>
              </w:rPr>
              <w:t>Comparison with serological markers of immunity for vaccine preventable diseases as measured in an age matched cohort in current residual sera programme</w:t>
            </w:r>
          </w:p>
          <w:p w14:paraId="3E3A4CC0" w14:textId="5033A055" w:rsidR="00440498" w:rsidRPr="00A56DCE" w:rsidRDefault="00440498" w:rsidP="007E400E">
            <w:pPr>
              <w:pStyle w:val="ListParagraph"/>
              <w:ind w:left="0"/>
              <w:rPr>
                <w:highlight w:val="yellow"/>
              </w:rPr>
            </w:pPr>
          </w:p>
        </w:tc>
      </w:tr>
      <w:tr w:rsidR="00440498" w14:paraId="4E56DDD7" w14:textId="77777777" w:rsidTr="00C75EF1">
        <w:tc>
          <w:tcPr>
            <w:tcW w:w="1701" w:type="dxa"/>
            <w:tcBorders>
              <w:top w:val="single" w:sz="4" w:space="0" w:color="auto"/>
              <w:left w:val="single" w:sz="4" w:space="0" w:color="auto"/>
              <w:bottom w:val="single" w:sz="4" w:space="0" w:color="auto"/>
              <w:right w:val="single" w:sz="4" w:space="0" w:color="auto"/>
            </w:tcBorders>
          </w:tcPr>
          <w:p w14:paraId="6E61C0F2" w14:textId="77777777" w:rsidR="00440498" w:rsidRPr="00034E86" w:rsidRDefault="00440498" w:rsidP="00440498">
            <w:pPr>
              <w:spacing w:before="60" w:after="60"/>
            </w:pPr>
            <w:r w:rsidRPr="00034E86">
              <w:t>Secondary</w:t>
            </w:r>
          </w:p>
          <w:p w14:paraId="666B98A1" w14:textId="77777777" w:rsidR="00440498" w:rsidRPr="001818EC" w:rsidRDefault="00440498" w:rsidP="00440498">
            <w:pPr>
              <w:rPr>
                <w:b/>
              </w:rPr>
            </w:pPr>
          </w:p>
        </w:tc>
        <w:tc>
          <w:tcPr>
            <w:tcW w:w="3969" w:type="dxa"/>
            <w:tcBorders>
              <w:top w:val="single" w:sz="4" w:space="0" w:color="auto"/>
              <w:left w:val="single" w:sz="4" w:space="0" w:color="auto"/>
              <w:bottom w:val="single" w:sz="4" w:space="0" w:color="auto"/>
              <w:right w:val="single" w:sz="4" w:space="0" w:color="auto"/>
            </w:tcBorders>
            <w:hideMark/>
          </w:tcPr>
          <w:p w14:paraId="2358183E" w14:textId="77777777" w:rsidR="00440498" w:rsidRPr="009834B6" w:rsidRDefault="00440498" w:rsidP="00F444E5">
            <w:pPr>
              <w:pStyle w:val="ListParagraph"/>
              <w:numPr>
                <w:ilvl w:val="0"/>
                <w:numId w:val="6"/>
              </w:numPr>
              <w:ind w:left="360"/>
            </w:pPr>
            <w:r>
              <w:rPr>
                <w:rFonts w:eastAsia="Times New Roman"/>
              </w:rPr>
              <w:t>To evaluate the effectiveness of recruitment methods employed</w:t>
            </w:r>
          </w:p>
          <w:p w14:paraId="05A6CE0E" w14:textId="77777777" w:rsidR="00440498" w:rsidRPr="009834B6" w:rsidRDefault="00440498" w:rsidP="00C75EF1">
            <w:pPr>
              <w:pStyle w:val="ListParagraph"/>
              <w:ind w:left="360"/>
            </w:pPr>
          </w:p>
          <w:p w14:paraId="6B3BA628" w14:textId="69EC01F4" w:rsidR="00440498" w:rsidRPr="009834B6" w:rsidRDefault="00440498" w:rsidP="00F444E5">
            <w:pPr>
              <w:pStyle w:val="ListParagraph"/>
              <w:numPr>
                <w:ilvl w:val="0"/>
                <w:numId w:val="6"/>
              </w:numPr>
              <w:ind w:left="360"/>
            </w:pPr>
            <w:r>
              <w:rPr>
                <w:rFonts w:eastAsia="Times New Roman"/>
              </w:rPr>
              <w:t xml:space="preserve">To assess, in relevant age groups, </w:t>
            </w:r>
            <w:r w:rsidR="00B70409">
              <w:rPr>
                <w:rFonts w:eastAsia="Times New Roman"/>
              </w:rPr>
              <w:t>antibody concentrations</w:t>
            </w:r>
            <w:r>
              <w:rPr>
                <w:rFonts w:eastAsia="Times New Roman"/>
              </w:rPr>
              <w:t xml:space="preserve"> against infections and vaccine preventable diseases including, but not limited to diphtheria, group C meningococcus and novel coronavirus (</w:t>
            </w:r>
            <w:r>
              <w:t>COVID-19</w:t>
            </w:r>
            <w:r>
              <w:rPr>
                <w:rFonts w:eastAsia="Times New Roman"/>
              </w:rPr>
              <w:t xml:space="preserve">) </w:t>
            </w:r>
          </w:p>
          <w:p w14:paraId="6A6239C6" w14:textId="77777777" w:rsidR="00440498" w:rsidRDefault="00440498" w:rsidP="00C75EF1">
            <w:pPr>
              <w:pStyle w:val="ListParagraph"/>
              <w:ind w:left="360"/>
            </w:pPr>
          </w:p>
          <w:p w14:paraId="554F5AD6" w14:textId="77777777" w:rsidR="00440498" w:rsidRDefault="00440498" w:rsidP="00C75EF1">
            <w:pPr>
              <w:pStyle w:val="ListParagraph"/>
              <w:ind w:left="360"/>
            </w:pPr>
          </w:p>
          <w:p w14:paraId="0A6E6312" w14:textId="7E00039F" w:rsidR="00C75EF1" w:rsidRDefault="00C75EF1" w:rsidP="00866DD0"/>
          <w:p w14:paraId="2B5A17BE" w14:textId="04BEB36C" w:rsidR="00440498" w:rsidRDefault="00440498" w:rsidP="00866DD0"/>
          <w:p w14:paraId="3B5ACC02" w14:textId="77777777" w:rsidR="00C75EF1" w:rsidRPr="009834B6" w:rsidRDefault="00C75EF1" w:rsidP="00866DD0"/>
          <w:p w14:paraId="3A4DA565" w14:textId="77777777" w:rsidR="00440498" w:rsidRPr="003A41ED" w:rsidRDefault="00440498" w:rsidP="00F444E5">
            <w:pPr>
              <w:pStyle w:val="ListParagraph"/>
              <w:numPr>
                <w:ilvl w:val="0"/>
                <w:numId w:val="6"/>
              </w:numPr>
              <w:ind w:left="360"/>
            </w:pPr>
            <w:r>
              <w:rPr>
                <w:rFonts w:eastAsia="Times New Roman"/>
              </w:rPr>
              <w:t>To develop a store of sera from a representative section of 0 to 24 year olds available for future testing of immunity against other infectious diseases of relevance to UK immunisation schedule and public health.</w:t>
            </w:r>
          </w:p>
          <w:p w14:paraId="4FCEF792" w14:textId="77777777" w:rsidR="00440498" w:rsidRPr="003A41ED" w:rsidRDefault="00440498" w:rsidP="00C75EF1">
            <w:pPr>
              <w:pStyle w:val="ListParagraph"/>
              <w:ind w:left="360"/>
            </w:pPr>
          </w:p>
          <w:p w14:paraId="51FC7ABF" w14:textId="6256E550" w:rsidR="00440498" w:rsidRPr="003A41ED" w:rsidRDefault="00440498" w:rsidP="00F444E5">
            <w:pPr>
              <w:pStyle w:val="ListParagraph"/>
              <w:numPr>
                <w:ilvl w:val="0"/>
                <w:numId w:val="6"/>
              </w:numPr>
              <w:ind w:left="360"/>
            </w:pPr>
            <w:r>
              <w:rPr>
                <w:rFonts w:eastAsia="Times New Roman"/>
              </w:rPr>
              <w:t>To determine the prevalence of SARS-CoV-2 infections in 0 – 24 year olds, and variation in prevalence in time, age</w:t>
            </w:r>
            <w:r w:rsidR="00BB6A09">
              <w:rPr>
                <w:rFonts w:eastAsia="Times New Roman"/>
              </w:rPr>
              <w:t>, ethnicity</w:t>
            </w:r>
            <w:r>
              <w:rPr>
                <w:rFonts w:eastAsia="Times New Roman"/>
              </w:rPr>
              <w:t xml:space="preserve"> and geography (cross-sectional </w:t>
            </w:r>
            <w:proofErr w:type="spellStart"/>
            <w:r>
              <w:rPr>
                <w:rFonts w:eastAsia="Times New Roman"/>
              </w:rPr>
              <w:t>sero</w:t>
            </w:r>
            <w:proofErr w:type="spellEnd"/>
            <w:r>
              <w:rPr>
                <w:rFonts w:eastAsia="Times New Roman"/>
              </w:rPr>
              <w:t>-epidemiological study)</w:t>
            </w:r>
          </w:p>
          <w:p w14:paraId="5DFDE201" w14:textId="77777777" w:rsidR="00440498" w:rsidRDefault="00440498" w:rsidP="00440498">
            <w:pPr>
              <w:pStyle w:val="ListParagraph"/>
            </w:pPr>
          </w:p>
          <w:p w14:paraId="6FD41A6D" w14:textId="77777777" w:rsidR="00440498" w:rsidRDefault="00440498" w:rsidP="00F444E5">
            <w:pPr>
              <w:pStyle w:val="ListParagraph"/>
              <w:numPr>
                <w:ilvl w:val="0"/>
                <w:numId w:val="6"/>
              </w:numPr>
              <w:ind w:left="360"/>
            </w:pPr>
            <w:r>
              <w:t xml:space="preserve">To determine the kinetics of antibodies specific to SARS-CoV-2 following infection in a paediatric </w:t>
            </w:r>
            <w:r>
              <w:lastRenderedPageBreak/>
              <w:t>population (serial blood sampling in population sub-group)</w:t>
            </w:r>
          </w:p>
          <w:p w14:paraId="3706AE2D" w14:textId="77777777" w:rsidR="00440498" w:rsidRDefault="00440498" w:rsidP="00C75EF1">
            <w:pPr>
              <w:pStyle w:val="ListParagraph"/>
              <w:ind w:left="360"/>
            </w:pPr>
          </w:p>
          <w:p w14:paraId="1654C174" w14:textId="77777777" w:rsidR="00440498" w:rsidRPr="00136C63" w:rsidRDefault="00440498" w:rsidP="00F444E5">
            <w:pPr>
              <w:pStyle w:val="ListParagraph"/>
              <w:numPr>
                <w:ilvl w:val="0"/>
                <w:numId w:val="6"/>
              </w:numPr>
              <w:ind w:left="360"/>
            </w:pPr>
            <w:r>
              <w:t>To determine relationship between serum and salivary antibodies against SARS-CoV-2</w:t>
            </w:r>
          </w:p>
          <w:p w14:paraId="2415BDA4" w14:textId="7FE770BA" w:rsidR="00440498" w:rsidRDefault="00440498" w:rsidP="007E400E">
            <w:pPr>
              <w:pStyle w:val="ListParagraph"/>
              <w:ind w:left="1080"/>
            </w:pPr>
          </w:p>
        </w:tc>
        <w:tc>
          <w:tcPr>
            <w:tcW w:w="4395" w:type="dxa"/>
            <w:tcBorders>
              <w:top w:val="single" w:sz="4" w:space="0" w:color="auto"/>
              <w:left w:val="single" w:sz="4" w:space="0" w:color="auto"/>
              <w:bottom w:val="single" w:sz="4" w:space="0" w:color="auto"/>
              <w:right w:val="single" w:sz="4" w:space="0" w:color="auto"/>
            </w:tcBorders>
            <w:hideMark/>
          </w:tcPr>
          <w:p w14:paraId="578542C4" w14:textId="77777777" w:rsidR="00440498" w:rsidRDefault="00440498" w:rsidP="00F444E5">
            <w:pPr>
              <w:pStyle w:val="ListParagraph"/>
              <w:numPr>
                <w:ilvl w:val="0"/>
                <w:numId w:val="15"/>
              </w:numPr>
              <w:spacing w:before="60" w:after="60"/>
              <w:ind w:left="360"/>
              <w:rPr>
                <w:rFonts w:eastAsia="Times New Roman"/>
              </w:rPr>
            </w:pPr>
            <w:r>
              <w:rPr>
                <w:rFonts w:eastAsia="Times New Roman"/>
              </w:rPr>
              <w:lastRenderedPageBreak/>
              <w:t>R</w:t>
            </w:r>
            <w:r w:rsidRPr="00631B26">
              <w:rPr>
                <w:rFonts w:eastAsia="Times New Roman"/>
              </w:rPr>
              <w:t xml:space="preserve">ecruitment rate per month, recruitment rates as percentage of potential participants contacted, </w:t>
            </w:r>
          </w:p>
          <w:p w14:paraId="2E5F3045" w14:textId="77777777" w:rsidR="00440498" w:rsidRDefault="00440498" w:rsidP="00F444E5">
            <w:pPr>
              <w:pStyle w:val="ListParagraph"/>
              <w:numPr>
                <w:ilvl w:val="0"/>
                <w:numId w:val="15"/>
              </w:numPr>
              <w:spacing w:before="60" w:after="60"/>
              <w:ind w:left="360"/>
              <w:rPr>
                <w:rFonts w:eastAsia="Times New Roman"/>
              </w:rPr>
            </w:pPr>
            <w:r w:rsidRPr="00631B26">
              <w:rPr>
                <w:rFonts w:eastAsia="Times New Roman"/>
              </w:rPr>
              <w:t xml:space="preserve">cost per sample obtained </w:t>
            </w:r>
          </w:p>
          <w:p w14:paraId="14CBA375" w14:textId="77777777" w:rsidR="00440498" w:rsidRDefault="00440498" w:rsidP="00F444E5">
            <w:pPr>
              <w:pStyle w:val="ListParagraph"/>
              <w:numPr>
                <w:ilvl w:val="0"/>
                <w:numId w:val="15"/>
              </w:numPr>
              <w:spacing w:before="60" w:after="60"/>
              <w:ind w:left="360"/>
              <w:rPr>
                <w:rFonts w:eastAsia="Times New Roman"/>
              </w:rPr>
            </w:pPr>
            <w:r w:rsidRPr="00631B26">
              <w:rPr>
                <w:rFonts w:eastAsia="Times New Roman"/>
              </w:rPr>
              <w:t xml:space="preserve"> disease specific correlates of protection/markers of immunity, e.g. </w:t>
            </w:r>
            <w:r>
              <w:rPr>
                <w:rFonts w:eastAsia="Times New Roman"/>
              </w:rPr>
              <w:t>:</w:t>
            </w:r>
          </w:p>
          <w:p w14:paraId="634A718E" w14:textId="77777777" w:rsidR="00440498" w:rsidRDefault="00440498" w:rsidP="00F444E5">
            <w:pPr>
              <w:pStyle w:val="ListParagraph"/>
              <w:numPr>
                <w:ilvl w:val="1"/>
                <w:numId w:val="15"/>
              </w:numPr>
              <w:spacing w:before="60" w:after="60"/>
              <w:ind w:left="1080"/>
              <w:rPr>
                <w:rFonts w:eastAsia="Times New Roman"/>
              </w:rPr>
            </w:pPr>
            <w:r w:rsidRPr="00631B26">
              <w:rPr>
                <w:rFonts w:eastAsia="Times New Roman"/>
              </w:rPr>
              <w:t xml:space="preserve">Anti-Diphtheria Toxoid IgG concentrations </w:t>
            </w:r>
          </w:p>
          <w:p w14:paraId="39F33B50" w14:textId="5047DD10" w:rsidR="00440498" w:rsidRDefault="00B70409" w:rsidP="00F444E5">
            <w:pPr>
              <w:pStyle w:val="ListParagraph"/>
              <w:numPr>
                <w:ilvl w:val="1"/>
                <w:numId w:val="15"/>
              </w:numPr>
              <w:spacing w:before="60" w:after="60"/>
              <w:ind w:left="1080"/>
              <w:rPr>
                <w:rFonts w:eastAsia="Times New Roman"/>
              </w:rPr>
            </w:pPr>
            <w:r>
              <w:rPr>
                <w:rFonts w:eastAsia="Times New Roman"/>
              </w:rPr>
              <w:t>C</w:t>
            </w:r>
            <w:r w:rsidR="00440498" w:rsidRPr="00631B26">
              <w:rPr>
                <w:rFonts w:eastAsia="Times New Roman"/>
              </w:rPr>
              <w:t>apsular Group C meningococcal Serum bactericidal activity (SBA) titres</w:t>
            </w:r>
          </w:p>
          <w:p w14:paraId="3AAC9EA7" w14:textId="5A88EC4F" w:rsidR="00440498" w:rsidRPr="00C75EF1" w:rsidRDefault="00440498" w:rsidP="00F444E5">
            <w:pPr>
              <w:pStyle w:val="ListParagraph"/>
              <w:numPr>
                <w:ilvl w:val="1"/>
                <w:numId w:val="15"/>
              </w:numPr>
              <w:spacing w:before="60" w:after="60"/>
              <w:ind w:left="1080"/>
              <w:rPr>
                <w:rFonts w:eastAsia="Times New Roman"/>
              </w:rPr>
            </w:pPr>
            <w:r>
              <w:rPr>
                <w:rFonts w:eastAsia="Times New Roman"/>
              </w:rPr>
              <w:t xml:space="preserve">Serum </w:t>
            </w:r>
            <w:r w:rsidRPr="001A5368">
              <w:rPr>
                <w:rFonts w:eastAsia="Times New Roman"/>
              </w:rPr>
              <w:t xml:space="preserve">IgG to </w:t>
            </w:r>
            <w:r>
              <w:rPr>
                <w:rFonts w:eastAsia="Times New Roman"/>
              </w:rPr>
              <w:t>SARS-CoV-2</w:t>
            </w:r>
            <w:r w:rsidRPr="001A5368">
              <w:rPr>
                <w:rFonts w:eastAsia="Times New Roman"/>
              </w:rPr>
              <w:t xml:space="preserve"> </w:t>
            </w:r>
            <w:r>
              <w:rPr>
                <w:rFonts w:eastAsia="Times New Roman"/>
              </w:rPr>
              <w:t xml:space="preserve">antigens, including </w:t>
            </w:r>
            <w:r w:rsidRPr="001A5368">
              <w:rPr>
                <w:rFonts w:eastAsia="Times New Roman"/>
              </w:rPr>
              <w:t>spike protein</w:t>
            </w:r>
            <w:r>
              <w:rPr>
                <w:rFonts w:eastAsia="Times New Roman"/>
              </w:rPr>
              <w:t xml:space="preserve"> </w:t>
            </w:r>
            <w:r w:rsidR="007D6508">
              <w:rPr>
                <w:rFonts w:eastAsia="Times New Roman"/>
              </w:rPr>
              <w:t xml:space="preserve">and/or </w:t>
            </w:r>
            <w:r w:rsidR="0043349C">
              <w:t>nucleocapsid</w:t>
            </w:r>
            <w:r w:rsidR="007D6508">
              <w:rPr>
                <w:rFonts w:eastAsia="Times New Roman"/>
              </w:rPr>
              <w:t xml:space="preserve"> </w:t>
            </w:r>
            <w:r>
              <w:rPr>
                <w:rFonts w:eastAsia="Times New Roman"/>
              </w:rPr>
              <w:t>(as measured by ELISA and/or neutralising assay)</w:t>
            </w:r>
          </w:p>
          <w:p w14:paraId="2C20C608" w14:textId="77777777" w:rsidR="00B70409" w:rsidRPr="003B3348" w:rsidRDefault="00B70409" w:rsidP="00C75EF1">
            <w:pPr>
              <w:spacing w:before="60" w:after="60"/>
            </w:pPr>
          </w:p>
          <w:p w14:paraId="0B4F2E9C" w14:textId="64459E4B" w:rsidR="00440498" w:rsidRPr="003A41ED" w:rsidRDefault="00440498" w:rsidP="00F444E5">
            <w:pPr>
              <w:pStyle w:val="ListParagraph"/>
              <w:numPr>
                <w:ilvl w:val="0"/>
                <w:numId w:val="15"/>
              </w:numPr>
              <w:spacing w:before="60" w:after="60"/>
              <w:ind w:left="360"/>
            </w:pPr>
            <w:r w:rsidRPr="00631B26">
              <w:rPr>
                <w:rFonts w:eastAsia="Times New Roman"/>
              </w:rPr>
              <w:t>A collection of anonymised sera from participants with appropriate consent and known demographic details and immunisation history’</w:t>
            </w:r>
          </w:p>
          <w:p w14:paraId="77BBC426" w14:textId="77777777" w:rsidR="00440498" w:rsidRDefault="00440498" w:rsidP="00C75EF1">
            <w:pPr>
              <w:spacing w:before="60" w:after="60"/>
            </w:pPr>
          </w:p>
          <w:p w14:paraId="7960EFD2" w14:textId="3096C211" w:rsidR="00440498" w:rsidRDefault="00440498" w:rsidP="00C75EF1">
            <w:pPr>
              <w:spacing w:before="60" w:after="60"/>
            </w:pPr>
          </w:p>
          <w:p w14:paraId="333F081F" w14:textId="77777777" w:rsidR="00440498" w:rsidRDefault="00440498" w:rsidP="00C75EF1">
            <w:pPr>
              <w:spacing w:before="60" w:after="60"/>
            </w:pPr>
          </w:p>
          <w:p w14:paraId="005834A6" w14:textId="1DAF053A" w:rsidR="00440498" w:rsidRDefault="00440498" w:rsidP="00F444E5">
            <w:pPr>
              <w:pStyle w:val="ListParagraph"/>
              <w:numPr>
                <w:ilvl w:val="0"/>
                <w:numId w:val="15"/>
              </w:numPr>
              <w:spacing w:before="60" w:after="60"/>
              <w:ind w:left="360"/>
              <w:rPr>
                <w:rFonts w:eastAsia="Times New Roman"/>
              </w:rPr>
            </w:pPr>
            <w:r>
              <w:rPr>
                <w:rFonts w:eastAsia="Times New Roman"/>
              </w:rPr>
              <w:t xml:space="preserve">Serum </w:t>
            </w:r>
            <w:r w:rsidRPr="001A5368">
              <w:rPr>
                <w:rFonts w:eastAsia="Times New Roman"/>
              </w:rPr>
              <w:t xml:space="preserve">IgG to </w:t>
            </w:r>
            <w:r>
              <w:rPr>
                <w:rFonts w:eastAsia="Times New Roman"/>
              </w:rPr>
              <w:t>SARS-CoV-2</w:t>
            </w:r>
            <w:r w:rsidRPr="001A5368">
              <w:rPr>
                <w:rFonts w:eastAsia="Times New Roman"/>
              </w:rPr>
              <w:t xml:space="preserve"> </w:t>
            </w:r>
            <w:r>
              <w:rPr>
                <w:rFonts w:eastAsia="Times New Roman"/>
              </w:rPr>
              <w:t xml:space="preserve">antigens, including </w:t>
            </w:r>
            <w:r w:rsidRPr="001A5368">
              <w:rPr>
                <w:rFonts w:eastAsia="Times New Roman"/>
              </w:rPr>
              <w:t>spike protein</w:t>
            </w:r>
            <w:r w:rsidR="00365497">
              <w:rPr>
                <w:rFonts w:eastAsia="Times New Roman"/>
              </w:rPr>
              <w:t xml:space="preserve"> and/ or </w:t>
            </w:r>
            <w:r w:rsidR="0043349C">
              <w:t>nucleocapsid</w:t>
            </w:r>
            <w:r>
              <w:rPr>
                <w:rFonts w:eastAsia="Times New Roman"/>
              </w:rPr>
              <w:t xml:space="preserve"> (as measured by ELISA and/or neutralising assay)</w:t>
            </w:r>
          </w:p>
          <w:p w14:paraId="2D4343B1" w14:textId="77777777" w:rsidR="00440498" w:rsidRPr="00B70409" w:rsidRDefault="00440498" w:rsidP="007E400E">
            <w:pPr>
              <w:spacing w:before="60" w:after="60"/>
              <w:rPr>
                <w:rFonts w:eastAsia="Times New Roman"/>
              </w:rPr>
            </w:pPr>
          </w:p>
          <w:p w14:paraId="29A24506" w14:textId="1DAFA618" w:rsidR="00440498" w:rsidRDefault="00440498" w:rsidP="00F444E5">
            <w:pPr>
              <w:pStyle w:val="ListParagraph"/>
              <w:numPr>
                <w:ilvl w:val="0"/>
                <w:numId w:val="15"/>
              </w:numPr>
              <w:spacing w:before="60" w:after="60"/>
              <w:ind w:left="360"/>
              <w:rPr>
                <w:rFonts w:eastAsia="Times New Roman"/>
              </w:rPr>
            </w:pPr>
            <w:r w:rsidRPr="004C0DEC">
              <w:rPr>
                <w:rFonts w:eastAsia="Times New Roman"/>
              </w:rPr>
              <w:t>Serum IgG to SARS-CoV-2 antigens, including spike protein</w:t>
            </w:r>
            <w:r w:rsidR="0043349C">
              <w:rPr>
                <w:rFonts w:eastAsia="Times New Roman"/>
              </w:rPr>
              <w:t xml:space="preserve"> and/or </w:t>
            </w:r>
            <w:r w:rsidR="0043349C">
              <w:lastRenderedPageBreak/>
              <w:t>nucleocapsid</w:t>
            </w:r>
            <w:r w:rsidRPr="004C0DEC">
              <w:rPr>
                <w:rFonts w:eastAsia="Times New Roman"/>
              </w:rPr>
              <w:t xml:space="preserve"> (as measured by ELISA and/or neutralising assay)</w:t>
            </w:r>
          </w:p>
          <w:p w14:paraId="3CD2585E" w14:textId="77777777" w:rsidR="00440498" w:rsidRPr="00B70409" w:rsidRDefault="00440498" w:rsidP="00866DD0">
            <w:pPr>
              <w:spacing w:before="60" w:after="60"/>
              <w:rPr>
                <w:rFonts w:eastAsia="Times New Roman"/>
              </w:rPr>
            </w:pPr>
          </w:p>
          <w:p w14:paraId="63D77691" w14:textId="32FE537B" w:rsidR="00440498" w:rsidRPr="00B70409" w:rsidRDefault="00440498" w:rsidP="00F444E5">
            <w:pPr>
              <w:pStyle w:val="ListParagraph"/>
              <w:numPr>
                <w:ilvl w:val="0"/>
                <w:numId w:val="15"/>
              </w:numPr>
              <w:spacing w:before="60" w:after="60"/>
              <w:ind w:left="360"/>
              <w:rPr>
                <w:rFonts w:eastAsia="Times New Roman"/>
              </w:rPr>
            </w:pPr>
            <w:r>
              <w:t xml:space="preserve">Salivary IgG to </w:t>
            </w:r>
            <w:r w:rsidRPr="00AD218A">
              <w:rPr>
                <w:rFonts w:eastAsia="Times New Roman"/>
              </w:rPr>
              <w:t>SARS-CoV-2 antigens, including spike protein</w:t>
            </w:r>
            <w:r w:rsidR="0043349C">
              <w:rPr>
                <w:rFonts w:eastAsia="Times New Roman"/>
              </w:rPr>
              <w:t xml:space="preserve"> and/or </w:t>
            </w:r>
            <w:r w:rsidR="0043349C">
              <w:t>nucleocapsid</w:t>
            </w:r>
            <w:r w:rsidRPr="00AD218A">
              <w:rPr>
                <w:rFonts w:eastAsia="Times New Roman"/>
              </w:rPr>
              <w:t xml:space="preserve"> (as measured by ELISA)</w:t>
            </w:r>
          </w:p>
          <w:p w14:paraId="7118F84B" w14:textId="61C58D74" w:rsidR="00440498" w:rsidRDefault="00440498" w:rsidP="007E400E"/>
        </w:tc>
      </w:tr>
      <w:tr w:rsidR="00A3175A" w14:paraId="3C814A79" w14:textId="77777777" w:rsidTr="00C75EF1">
        <w:tc>
          <w:tcPr>
            <w:tcW w:w="1701" w:type="dxa"/>
            <w:tcBorders>
              <w:top w:val="single" w:sz="4" w:space="0" w:color="auto"/>
              <w:left w:val="single" w:sz="4" w:space="0" w:color="auto"/>
              <w:bottom w:val="single" w:sz="4" w:space="0" w:color="auto"/>
              <w:right w:val="single" w:sz="4" w:space="0" w:color="auto"/>
            </w:tcBorders>
          </w:tcPr>
          <w:p w14:paraId="373C87D8" w14:textId="12D3E663" w:rsidR="00A3175A" w:rsidRPr="00C75EF1" w:rsidRDefault="00A3175A" w:rsidP="00C75EF1">
            <w:pPr>
              <w:rPr>
                <w:rFonts w:eastAsia="Times New Roman"/>
              </w:rPr>
            </w:pPr>
            <w:r>
              <w:lastRenderedPageBreak/>
              <w:t>Exploratory</w:t>
            </w:r>
          </w:p>
        </w:tc>
        <w:tc>
          <w:tcPr>
            <w:tcW w:w="3969" w:type="dxa"/>
            <w:tcBorders>
              <w:top w:val="single" w:sz="4" w:space="0" w:color="auto"/>
              <w:left w:val="single" w:sz="4" w:space="0" w:color="auto"/>
              <w:bottom w:val="single" w:sz="4" w:space="0" w:color="auto"/>
              <w:right w:val="single" w:sz="4" w:space="0" w:color="auto"/>
            </w:tcBorders>
            <w:hideMark/>
          </w:tcPr>
          <w:p w14:paraId="61F2FCC4" w14:textId="77777777" w:rsidR="00A3175A" w:rsidRDefault="00A3175A" w:rsidP="00F444E5">
            <w:pPr>
              <w:pStyle w:val="ListParagraph"/>
              <w:numPr>
                <w:ilvl w:val="0"/>
                <w:numId w:val="6"/>
              </w:numPr>
              <w:ind w:left="360"/>
              <w:rPr>
                <w:rFonts w:eastAsia="Times New Roman"/>
              </w:rPr>
            </w:pPr>
            <w:r>
              <w:rPr>
                <w:rFonts w:eastAsia="Times New Roman"/>
              </w:rPr>
              <w:t>Comparison between recruitment strategies in group 1 and group 2.</w:t>
            </w:r>
          </w:p>
          <w:p w14:paraId="0F52B5CA" w14:textId="576CAA43" w:rsidR="00A3175A" w:rsidRDefault="00A3175A" w:rsidP="00C75EF1">
            <w:pPr>
              <w:rPr>
                <w:rFonts w:eastAsia="Times New Roman"/>
              </w:rPr>
            </w:pPr>
          </w:p>
          <w:p w14:paraId="4039BDA1" w14:textId="022CABCC" w:rsidR="00A3175A" w:rsidRDefault="00A3175A" w:rsidP="00C75EF1">
            <w:pPr>
              <w:rPr>
                <w:rFonts w:eastAsia="Times New Roman"/>
              </w:rPr>
            </w:pPr>
          </w:p>
          <w:p w14:paraId="0135716F" w14:textId="77777777" w:rsidR="00A3175A" w:rsidRDefault="00A3175A" w:rsidP="00F444E5">
            <w:pPr>
              <w:pStyle w:val="ListParagraph"/>
              <w:numPr>
                <w:ilvl w:val="0"/>
                <w:numId w:val="6"/>
              </w:numPr>
              <w:ind w:left="360"/>
              <w:rPr>
                <w:rFonts w:eastAsia="Times New Roman"/>
              </w:rPr>
            </w:pPr>
            <w:r>
              <w:rPr>
                <w:rFonts w:eastAsia="Times New Roman"/>
              </w:rPr>
              <w:t>The presence of SARS-CoV-2 virus in saliva in a sub-set of study participants</w:t>
            </w:r>
          </w:p>
          <w:p w14:paraId="7314C58B" w14:textId="4BE6DABA" w:rsidR="00A3175A" w:rsidRDefault="00A3175A" w:rsidP="00C75EF1">
            <w:pPr>
              <w:rPr>
                <w:rFonts w:eastAsia="Times New Roman"/>
              </w:rPr>
            </w:pPr>
          </w:p>
          <w:p w14:paraId="7587FAF7" w14:textId="77777777" w:rsidR="00C75EF1" w:rsidRPr="00C75EF1" w:rsidRDefault="002B088F" w:rsidP="00F444E5">
            <w:pPr>
              <w:pStyle w:val="ListParagraph"/>
              <w:numPr>
                <w:ilvl w:val="0"/>
                <w:numId w:val="6"/>
              </w:numPr>
              <w:ind w:left="360"/>
            </w:pPr>
            <w:r w:rsidRPr="5E3615F6">
              <w:rPr>
                <w:rFonts w:eastAsia="Times New Roman"/>
              </w:rPr>
              <w:t xml:space="preserve">To characterise </w:t>
            </w:r>
            <w:r>
              <w:rPr>
                <w:rFonts w:eastAsia="Times New Roman"/>
              </w:rPr>
              <w:t>T cell responses against SARS-CoV-2 in antibody seropositive and seronegative participants.</w:t>
            </w:r>
          </w:p>
          <w:p w14:paraId="1AA65803" w14:textId="08AF54CE" w:rsidR="00C75EF1" w:rsidRDefault="00C75EF1" w:rsidP="00C75EF1">
            <w:pPr>
              <w:pStyle w:val="ListParagraph"/>
            </w:pPr>
          </w:p>
          <w:p w14:paraId="49551809" w14:textId="60C2792D" w:rsidR="00C75EF1" w:rsidRDefault="00C75EF1" w:rsidP="00C75EF1">
            <w:pPr>
              <w:pStyle w:val="ListParagraph"/>
            </w:pPr>
          </w:p>
          <w:p w14:paraId="1FAFA9F6" w14:textId="18252785" w:rsidR="00C75EF1" w:rsidRDefault="00C75EF1" w:rsidP="00C75EF1">
            <w:pPr>
              <w:pStyle w:val="ListParagraph"/>
            </w:pPr>
          </w:p>
          <w:p w14:paraId="6469E85D" w14:textId="22DC417D" w:rsidR="00C75EF1" w:rsidRDefault="00C75EF1" w:rsidP="00C75EF1">
            <w:pPr>
              <w:pStyle w:val="ListParagraph"/>
            </w:pPr>
          </w:p>
          <w:p w14:paraId="76C9298E" w14:textId="77777777" w:rsidR="00C75EF1" w:rsidRDefault="00C75EF1" w:rsidP="00C75EF1">
            <w:pPr>
              <w:pStyle w:val="ListParagraph"/>
            </w:pPr>
          </w:p>
          <w:p w14:paraId="166E01D9" w14:textId="47F74E69" w:rsidR="002B088F" w:rsidRDefault="002B088F" w:rsidP="00F444E5">
            <w:pPr>
              <w:pStyle w:val="ListParagraph"/>
              <w:numPr>
                <w:ilvl w:val="0"/>
                <w:numId w:val="6"/>
              </w:numPr>
              <w:ind w:left="360"/>
            </w:pPr>
            <w:r>
              <w:t>Humoral and cellular immunity against non SARS-CoV-2 coronaviruses</w:t>
            </w:r>
          </w:p>
          <w:p w14:paraId="7589522D" w14:textId="3F702C9F" w:rsidR="00A3175A" w:rsidRDefault="00A3175A" w:rsidP="00A3175A"/>
        </w:tc>
        <w:tc>
          <w:tcPr>
            <w:tcW w:w="4395" w:type="dxa"/>
            <w:tcBorders>
              <w:top w:val="single" w:sz="4" w:space="0" w:color="auto"/>
              <w:left w:val="single" w:sz="4" w:space="0" w:color="auto"/>
              <w:bottom w:val="single" w:sz="4" w:space="0" w:color="auto"/>
              <w:right w:val="single" w:sz="4" w:space="0" w:color="auto"/>
            </w:tcBorders>
            <w:hideMark/>
          </w:tcPr>
          <w:p w14:paraId="10978DAD" w14:textId="77777777" w:rsidR="00A3175A" w:rsidRPr="00D65964" w:rsidRDefault="00A3175A" w:rsidP="00F444E5">
            <w:pPr>
              <w:pStyle w:val="ListParagraph"/>
              <w:numPr>
                <w:ilvl w:val="0"/>
                <w:numId w:val="6"/>
              </w:numPr>
              <w:spacing w:before="60" w:after="60"/>
              <w:ind w:left="360"/>
              <w:rPr>
                <w:rFonts w:eastAsia="Times New Roman"/>
              </w:rPr>
            </w:pPr>
            <w:r w:rsidRPr="009834B6">
              <w:rPr>
                <w:rFonts w:eastAsia="Times New Roman"/>
              </w:rPr>
              <w:t>Representativeness of participants sampled, in terms of the local population’s ethnicity, community identity, migrant population and socioeconomic background</w:t>
            </w:r>
          </w:p>
          <w:p w14:paraId="5059FDF0" w14:textId="2BED8E63" w:rsidR="00A3175A" w:rsidRPr="008854BC" w:rsidRDefault="00A3175A" w:rsidP="00F444E5">
            <w:pPr>
              <w:pStyle w:val="ListParagraph"/>
              <w:numPr>
                <w:ilvl w:val="0"/>
                <w:numId w:val="6"/>
              </w:numPr>
              <w:spacing w:before="60" w:after="60"/>
              <w:ind w:left="360"/>
              <w:rPr>
                <w:rFonts w:eastAsia="Times New Roman"/>
              </w:rPr>
            </w:pPr>
            <w:r>
              <w:rPr>
                <w:rFonts w:eastAsia="Times New Roman"/>
              </w:rPr>
              <w:t>Differences in immunological read outs</w:t>
            </w:r>
          </w:p>
          <w:p w14:paraId="426CC0D7" w14:textId="70C8AE2A" w:rsidR="00A3175A" w:rsidRDefault="00A3175A" w:rsidP="00F444E5">
            <w:pPr>
              <w:pStyle w:val="ListParagraph"/>
              <w:numPr>
                <w:ilvl w:val="0"/>
                <w:numId w:val="6"/>
              </w:numPr>
              <w:spacing w:before="60" w:after="60"/>
              <w:ind w:left="360"/>
              <w:rPr>
                <w:rFonts w:eastAsia="Times New Roman"/>
              </w:rPr>
            </w:pPr>
            <w:r>
              <w:rPr>
                <w:rFonts w:eastAsia="Times New Roman"/>
              </w:rPr>
              <w:t>PCR for SARS-CoV-2 on saliva samples stored and processed at the end of the study.</w:t>
            </w:r>
          </w:p>
          <w:p w14:paraId="5DCE7A1E" w14:textId="77777777" w:rsidR="00C75EF1" w:rsidRPr="00C75EF1" w:rsidRDefault="00C75EF1" w:rsidP="00C75EF1">
            <w:pPr>
              <w:pStyle w:val="ListParagraph"/>
              <w:spacing w:before="60" w:after="60"/>
              <w:ind w:left="360"/>
              <w:rPr>
                <w:rFonts w:eastAsia="Times New Roman"/>
              </w:rPr>
            </w:pPr>
          </w:p>
          <w:p w14:paraId="32F68FF7" w14:textId="77777777" w:rsidR="002B088F" w:rsidRDefault="002B088F" w:rsidP="00C75EF1">
            <w:pPr>
              <w:pStyle w:val="ListParagraph"/>
              <w:ind w:left="360"/>
              <w:rPr>
                <w:rFonts w:eastAsia="Times New Roman"/>
              </w:rPr>
            </w:pPr>
          </w:p>
          <w:p w14:paraId="1D83E125" w14:textId="77777777" w:rsidR="002B088F" w:rsidRDefault="002B088F" w:rsidP="00F444E5">
            <w:pPr>
              <w:pStyle w:val="ListParagraph"/>
              <w:numPr>
                <w:ilvl w:val="0"/>
                <w:numId w:val="6"/>
              </w:numPr>
              <w:ind w:left="360"/>
            </w:pPr>
            <w:r>
              <w:t>T cell responses to SARS-CoV-2 antigens including, but not limited to S, M and N proteins, as measured by techniques including, but not limited to</w:t>
            </w:r>
          </w:p>
          <w:p w14:paraId="6760FDCA" w14:textId="77777777" w:rsidR="002B088F" w:rsidRDefault="002B088F" w:rsidP="00F444E5">
            <w:pPr>
              <w:pStyle w:val="ListParagraph"/>
              <w:numPr>
                <w:ilvl w:val="1"/>
                <w:numId w:val="6"/>
              </w:numPr>
              <w:ind w:left="1080"/>
            </w:pPr>
            <w:r>
              <w:t>ELISpot</w:t>
            </w:r>
          </w:p>
          <w:p w14:paraId="0EF514D0" w14:textId="77777777" w:rsidR="002B088F" w:rsidRDefault="002B088F" w:rsidP="00F444E5">
            <w:pPr>
              <w:pStyle w:val="ListParagraph"/>
              <w:numPr>
                <w:ilvl w:val="1"/>
                <w:numId w:val="6"/>
              </w:numPr>
              <w:ind w:left="1080"/>
            </w:pPr>
            <w:r>
              <w:t>ICS</w:t>
            </w:r>
          </w:p>
          <w:p w14:paraId="6B2C2EA6" w14:textId="77777777" w:rsidR="002B088F" w:rsidRDefault="002B088F" w:rsidP="00F444E5">
            <w:pPr>
              <w:pStyle w:val="ListParagraph"/>
              <w:numPr>
                <w:ilvl w:val="1"/>
                <w:numId w:val="6"/>
              </w:numPr>
              <w:ind w:left="1080"/>
            </w:pPr>
            <w:r>
              <w:t>Proliferation assay</w:t>
            </w:r>
          </w:p>
          <w:p w14:paraId="2221D277" w14:textId="27CBAB1A" w:rsidR="00C75EF1" w:rsidRPr="00E61C65" w:rsidRDefault="00C75EF1" w:rsidP="00E61C65">
            <w:pPr>
              <w:rPr>
                <w:rFonts w:eastAsia="Times New Roman"/>
              </w:rPr>
            </w:pPr>
          </w:p>
          <w:p w14:paraId="302276B8" w14:textId="0EF3C724" w:rsidR="00A3175A" w:rsidRDefault="002B088F" w:rsidP="00A3175A">
            <w:pPr>
              <w:jc w:val="both"/>
            </w:pPr>
            <w:r>
              <w:t xml:space="preserve">Antigen specific IgG and T cells against non-SARS-CoV-2 coronaviruses (e.g. NL62 and 229E) </w:t>
            </w:r>
          </w:p>
        </w:tc>
      </w:tr>
    </w:tbl>
    <w:p w14:paraId="091D1F8F" w14:textId="7D5C3EA9" w:rsidR="003413DF" w:rsidRDefault="003413DF" w:rsidP="003413DF">
      <w:pPr>
        <w:pStyle w:val="Heading1"/>
        <w:numPr>
          <w:ilvl w:val="0"/>
          <w:numId w:val="0"/>
        </w:numPr>
        <w:ind w:left="360"/>
      </w:pPr>
    </w:p>
    <w:p w14:paraId="56DCE369" w14:textId="77777777" w:rsidR="00C75EF1" w:rsidRPr="00C75EF1" w:rsidRDefault="00C75EF1" w:rsidP="00C75EF1"/>
    <w:p w14:paraId="4CF58419" w14:textId="0EC945F3" w:rsidR="00C75EF1" w:rsidRDefault="00C75EF1" w:rsidP="00C75EF1"/>
    <w:p w14:paraId="5A8D29CE" w14:textId="2D861AFA" w:rsidR="00C75EF1" w:rsidRDefault="00C75EF1" w:rsidP="00C75EF1"/>
    <w:p w14:paraId="0CC5A91D" w14:textId="77777777" w:rsidR="00C75EF1" w:rsidRPr="00C75EF1" w:rsidRDefault="00C75EF1" w:rsidP="00C75EF1"/>
    <w:p w14:paraId="2FE8E02E" w14:textId="77777777" w:rsidR="003413DF" w:rsidRDefault="00DA14BC" w:rsidP="003413DF">
      <w:pPr>
        <w:pStyle w:val="Heading1"/>
      </w:pPr>
      <w:bookmarkStart w:id="25" w:name="_Toc32432107"/>
      <w:bookmarkStart w:id="26" w:name="_Toc62129138"/>
      <w:r w:rsidRPr="009E1297">
        <w:t>STUDY</w:t>
      </w:r>
      <w:r w:rsidR="00EF1606" w:rsidRPr="009E1297">
        <w:t xml:space="preserve"> DESIGN</w:t>
      </w:r>
      <w:bookmarkEnd w:id="25"/>
      <w:bookmarkEnd w:id="26"/>
    </w:p>
    <w:p w14:paraId="7589ECE7" w14:textId="1106FD50" w:rsidR="00BC3005" w:rsidRPr="003413DF" w:rsidRDefault="00BC3005" w:rsidP="003413DF">
      <w:pPr>
        <w:pStyle w:val="Heading2"/>
        <w:spacing w:before="0"/>
      </w:pPr>
      <w:bookmarkStart w:id="27" w:name="_Toc32408292"/>
      <w:bookmarkStart w:id="28" w:name="_Toc32432108"/>
      <w:bookmarkStart w:id="29" w:name="_Toc36187578"/>
      <w:bookmarkStart w:id="30" w:name="_Toc32432109"/>
      <w:bookmarkStart w:id="31" w:name="_Toc62129139"/>
      <w:bookmarkEnd w:id="27"/>
      <w:bookmarkEnd w:id="28"/>
      <w:bookmarkEnd w:id="29"/>
      <w:r w:rsidRPr="003413DF">
        <w:t>Study design</w:t>
      </w:r>
      <w:bookmarkEnd w:id="30"/>
      <w:bookmarkEnd w:id="31"/>
    </w:p>
    <w:p w14:paraId="353DA9EC" w14:textId="77777777" w:rsidR="00843C7F" w:rsidRDefault="00843C7F" w:rsidP="00660530">
      <w:pPr>
        <w:spacing w:after="0" w:line="240" w:lineRule="auto"/>
        <w:rPr>
          <w:rFonts w:eastAsia="Times New Roman" w:cstheme="minorHAnsi"/>
          <w:color w:val="000000"/>
        </w:rPr>
      </w:pPr>
    </w:p>
    <w:p w14:paraId="387ADD88" w14:textId="1473CB30" w:rsidR="00660530" w:rsidRDefault="00843C7F" w:rsidP="004C0DEC">
      <w:pPr>
        <w:spacing w:after="0"/>
        <w:rPr>
          <w:rFonts w:eastAsia="Times New Roman" w:cstheme="minorHAnsi"/>
          <w:color w:val="000000"/>
        </w:rPr>
      </w:pPr>
      <w:r>
        <w:rPr>
          <w:rFonts w:eastAsia="Times New Roman" w:cstheme="minorHAnsi"/>
          <w:color w:val="000000"/>
        </w:rPr>
        <w:t xml:space="preserve">The study will be a repeat cross sectional </w:t>
      </w:r>
      <w:proofErr w:type="spellStart"/>
      <w:r>
        <w:rPr>
          <w:rFonts w:eastAsia="Times New Roman" w:cstheme="minorHAnsi"/>
          <w:color w:val="000000"/>
        </w:rPr>
        <w:t>sero-epidmiology</w:t>
      </w:r>
      <w:proofErr w:type="spellEnd"/>
      <w:r>
        <w:rPr>
          <w:rFonts w:eastAsia="Times New Roman" w:cstheme="minorHAnsi"/>
          <w:color w:val="000000"/>
        </w:rPr>
        <w:t xml:space="preserve"> study, with an embedded longitudinal study cohort.</w:t>
      </w:r>
    </w:p>
    <w:p w14:paraId="733D59C2" w14:textId="13A951CE" w:rsidR="00843C7F" w:rsidRDefault="00843C7F" w:rsidP="004C0DEC">
      <w:pPr>
        <w:spacing w:after="0"/>
        <w:rPr>
          <w:rFonts w:eastAsia="Times New Roman" w:cstheme="minorHAnsi"/>
          <w:color w:val="000000"/>
        </w:rPr>
      </w:pPr>
    </w:p>
    <w:p w14:paraId="61B3F5B8" w14:textId="40445137" w:rsidR="00843C7F" w:rsidRDefault="00843C7F" w:rsidP="004C0DEC">
      <w:pPr>
        <w:spacing w:after="0"/>
        <w:rPr>
          <w:rFonts w:eastAsia="Times New Roman" w:cstheme="minorHAnsi"/>
          <w:color w:val="000000"/>
        </w:rPr>
      </w:pPr>
      <w:r>
        <w:rPr>
          <w:rFonts w:eastAsia="Times New Roman" w:cstheme="minorHAnsi"/>
          <w:color w:val="000000"/>
        </w:rPr>
        <w:t xml:space="preserve">The goals of this study are to: </w:t>
      </w:r>
    </w:p>
    <w:p w14:paraId="5371AEBE" w14:textId="77777777" w:rsidR="00660530" w:rsidRDefault="00660530" w:rsidP="004C0DEC">
      <w:pPr>
        <w:spacing w:after="0"/>
        <w:rPr>
          <w:rFonts w:eastAsia="Times New Roman" w:cstheme="minorHAnsi"/>
          <w:color w:val="000000"/>
        </w:rPr>
      </w:pPr>
    </w:p>
    <w:p w14:paraId="6A64D761" w14:textId="1717BF45" w:rsidR="00660530" w:rsidRPr="004C0DEC" w:rsidRDefault="00843C7F" w:rsidP="00F444E5">
      <w:pPr>
        <w:numPr>
          <w:ilvl w:val="0"/>
          <w:numId w:val="26"/>
        </w:numPr>
        <w:spacing w:after="0"/>
        <w:jc w:val="both"/>
        <w:rPr>
          <w:rFonts w:eastAsia="Times New Roman" w:cstheme="minorHAnsi"/>
          <w:color w:val="000000"/>
          <w:sz w:val="24"/>
          <w:szCs w:val="24"/>
        </w:rPr>
      </w:pPr>
      <w:r>
        <w:rPr>
          <w:rFonts w:eastAsia="Times New Roman" w:cstheme="minorHAnsi"/>
          <w:color w:val="000000"/>
        </w:rPr>
        <w:t>Provide blood</w:t>
      </w:r>
      <w:r w:rsidR="005C393D">
        <w:rPr>
          <w:rFonts w:eastAsia="Times New Roman" w:cstheme="minorHAnsi"/>
          <w:color w:val="000000"/>
        </w:rPr>
        <w:t xml:space="preserve"> +/- saliva</w:t>
      </w:r>
      <w:r>
        <w:rPr>
          <w:rFonts w:eastAsia="Times New Roman" w:cstheme="minorHAnsi"/>
          <w:color w:val="000000"/>
        </w:rPr>
        <w:t xml:space="preserve"> samples from </w:t>
      </w:r>
      <w:r w:rsidR="00660530" w:rsidRPr="004C0DEC">
        <w:rPr>
          <w:rFonts w:eastAsia="Times New Roman" w:cstheme="minorHAnsi"/>
          <w:color w:val="000000"/>
        </w:rPr>
        <w:t xml:space="preserve">2300 </w:t>
      </w:r>
      <w:r>
        <w:rPr>
          <w:rFonts w:eastAsia="Times New Roman" w:cstheme="minorHAnsi"/>
          <w:color w:val="000000"/>
        </w:rPr>
        <w:t>children and young adults</w:t>
      </w:r>
      <w:r w:rsidR="009E5714">
        <w:rPr>
          <w:rFonts w:eastAsia="Times New Roman" w:cstheme="minorHAnsi"/>
          <w:color w:val="000000"/>
        </w:rPr>
        <w:t>,</w:t>
      </w:r>
      <w:r>
        <w:rPr>
          <w:rFonts w:eastAsia="Times New Roman" w:cstheme="minorHAnsi"/>
          <w:color w:val="000000"/>
        </w:rPr>
        <w:t xml:space="preserve"> representative of </w:t>
      </w:r>
      <w:r w:rsidR="00BB6A09">
        <w:rPr>
          <w:rFonts w:eastAsia="Times New Roman" w:cstheme="minorHAnsi"/>
          <w:color w:val="000000"/>
        </w:rPr>
        <w:t xml:space="preserve">multiple </w:t>
      </w:r>
      <w:r>
        <w:rPr>
          <w:rFonts w:eastAsia="Times New Roman" w:cstheme="minorHAnsi"/>
          <w:color w:val="000000"/>
        </w:rPr>
        <w:t>geographic regions across England to evaluate the concentrations of antibodies against vaccine preventable diseases (</w:t>
      </w:r>
      <w:r w:rsidR="00AD04E0">
        <w:rPr>
          <w:rFonts w:eastAsia="Times New Roman" w:cstheme="minorHAnsi"/>
          <w:color w:val="000000"/>
        </w:rPr>
        <w:t>‘G</w:t>
      </w:r>
      <w:r>
        <w:rPr>
          <w:rFonts w:eastAsia="Times New Roman" w:cstheme="minorHAnsi"/>
          <w:color w:val="000000"/>
        </w:rPr>
        <w:t>roup 1</w:t>
      </w:r>
      <w:r w:rsidR="00AD04E0">
        <w:rPr>
          <w:rFonts w:eastAsia="Times New Roman" w:cstheme="minorHAnsi"/>
          <w:color w:val="000000"/>
        </w:rPr>
        <w:t>’</w:t>
      </w:r>
      <w:r>
        <w:rPr>
          <w:rFonts w:eastAsia="Times New Roman" w:cstheme="minorHAnsi"/>
          <w:color w:val="000000"/>
        </w:rPr>
        <w:t>).</w:t>
      </w:r>
      <w:r w:rsidR="009E5714">
        <w:rPr>
          <w:rFonts w:eastAsia="Times New Roman" w:cstheme="minorHAnsi"/>
          <w:color w:val="000000"/>
        </w:rPr>
        <w:t xml:space="preserve"> </w:t>
      </w:r>
      <w:r w:rsidR="00B9360F">
        <w:rPr>
          <w:rFonts w:eastAsia="Times New Roman" w:cstheme="minorHAnsi"/>
          <w:color w:val="000000"/>
        </w:rPr>
        <w:t>These need to be equally distributed such that there will be 100 in each of 2</w:t>
      </w:r>
      <w:r w:rsidR="00BB6A09">
        <w:rPr>
          <w:rFonts w:eastAsia="Times New Roman" w:cstheme="minorHAnsi"/>
          <w:color w:val="000000"/>
        </w:rPr>
        <w:t>2</w:t>
      </w:r>
      <w:r w:rsidR="00B9360F">
        <w:rPr>
          <w:rFonts w:eastAsia="Times New Roman" w:cstheme="minorHAnsi"/>
          <w:color w:val="000000"/>
        </w:rPr>
        <w:t xml:space="preserve"> age groups (1 year cohorts from 0 to </w:t>
      </w:r>
      <w:r w:rsidR="00AF744D">
        <w:rPr>
          <w:rFonts w:eastAsia="Times New Roman" w:cstheme="minorHAnsi"/>
          <w:color w:val="000000"/>
        </w:rPr>
        <w:t>2</w:t>
      </w:r>
      <w:r w:rsidR="00BB6A09">
        <w:rPr>
          <w:rFonts w:eastAsia="Times New Roman" w:cstheme="minorHAnsi"/>
          <w:color w:val="000000"/>
        </w:rPr>
        <w:t>0</w:t>
      </w:r>
      <w:r w:rsidR="00B9360F">
        <w:rPr>
          <w:rFonts w:eastAsia="Times New Roman" w:cstheme="minorHAnsi"/>
          <w:color w:val="000000"/>
        </w:rPr>
        <w:t xml:space="preserve"> years</w:t>
      </w:r>
      <w:r w:rsidR="00BB6A09">
        <w:rPr>
          <w:rFonts w:eastAsia="Times New Roman" w:cstheme="minorHAnsi"/>
          <w:color w:val="000000"/>
        </w:rPr>
        <w:t>)</w:t>
      </w:r>
      <w:r w:rsidR="00B9360F">
        <w:rPr>
          <w:rFonts w:eastAsia="Times New Roman" w:cstheme="minorHAnsi"/>
          <w:color w:val="000000"/>
        </w:rPr>
        <w:t xml:space="preserve"> and </w:t>
      </w:r>
      <w:r w:rsidR="00BB6A09">
        <w:rPr>
          <w:rFonts w:eastAsia="Times New Roman" w:cstheme="minorHAnsi"/>
          <w:color w:val="000000"/>
        </w:rPr>
        <w:t>200 participants in the</w:t>
      </w:r>
      <w:r w:rsidR="00B9360F">
        <w:rPr>
          <w:rFonts w:eastAsia="Times New Roman" w:cstheme="minorHAnsi"/>
          <w:color w:val="000000"/>
        </w:rPr>
        <w:t xml:space="preserve"> young adult cohort from 2</w:t>
      </w:r>
      <w:r w:rsidR="00BB6A09">
        <w:rPr>
          <w:rFonts w:eastAsia="Times New Roman" w:cstheme="minorHAnsi"/>
          <w:color w:val="000000"/>
        </w:rPr>
        <w:t>1</w:t>
      </w:r>
      <w:r w:rsidR="00B9360F">
        <w:rPr>
          <w:rFonts w:eastAsia="Times New Roman" w:cstheme="minorHAnsi"/>
          <w:color w:val="000000"/>
        </w:rPr>
        <w:t xml:space="preserve"> to 24 years)</w:t>
      </w:r>
      <w:r w:rsidR="000D3A16">
        <w:rPr>
          <w:rFonts w:eastAsia="Times New Roman" w:cstheme="minorHAnsi"/>
          <w:color w:val="000000"/>
        </w:rPr>
        <w:t>. To help ensure these are representative of the study region recruitment will be from postcodes designated by PHE.</w:t>
      </w:r>
    </w:p>
    <w:p w14:paraId="39A7959B" w14:textId="62EE1B56" w:rsidR="00660530" w:rsidRPr="004C0DEC" w:rsidRDefault="00843C7F" w:rsidP="00F444E5">
      <w:pPr>
        <w:numPr>
          <w:ilvl w:val="0"/>
          <w:numId w:val="26"/>
        </w:numPr>
        <w:spacing w:after="0"/>
        <w:jc w:val="both"/>
        <w:rPr>
          <w:rFonts w:eastAsia="Times New Roman"/>
          <w:color w:val="000000"/>
          <w:sz w:val="24"/>
          <w:szCs w:val="24"/>
        </w:rPr>
      </w:pPr>
      <w:r w:rsidRPr="04B4EC75">
        <w:rPr>
          <w:rFonts w:eastAsia="Times New Roman"/>
          <w:color w:val="000000" w:themeColor="text1"/>
        </w:rPr>
        <w:t>To provide additional blood</w:t>
      </w:r>
      <w:r w:rsidR="005C393D" w:rsidRPr="04B4EC75">
        <w:rPr>
          <w:rFonts w:eastAsia="Times New Roman"/>
          <w:color w:val="000000" w:themeColor="text1"/>
        </w:rPr>
        <w:t xml:space="preserve"> +/- saliva</w:t>
      </w:r>
      <w:r w:rsidRPr="04B4EC75">
        <w:rPr>
          <w:rFonts w:eastAsia="Times New Roman"/>
          <w:color w:val="000000" w:themeColor="text1"/>
        </w:rPr>
        <w:t xml:space="preserve"> samples </w:t>
      </w:r>
      <w:r w:rsidR="00AD04E0" w:rsidRPr="04B4EC75">
        <w:rPr>
          <w:rFonts w:eastAsia="Times New Roman"/>
          <w:color w:val="000000" w:themeColor="text1"/>
        </w:rPr>
        <w:t>to assess</w:t>
      </w:r>
      <w:r w:rsidRPr="04B4EC75">
        <w:rPr>
          <w:rFonts w:eastAsia="Times New Roman"/>
          <w:color w:val="000000" w:themeColor="text1"/>
        </w:rPr>
        <w:t xml:space="preserve"> </w:t>
      </w:r>
      <w:r w:rsidR="00AD04E0" w:rsidRPr="04B4EC75">
        <w:rPr>
          <w:rFonts w:eastAsia="Times New Roman"/>
          <w:color w:val="000000" w:themeColor="text1"/>
        </w:rPr>
        <w:t>changes in the</w:t>
      </w:r>
      <w:r w:rsidRPr="04B4EC75">
        <w:rPr>
          <w:rFonts w:eastAsia="Times New Roman"/>
          <w:color w:val="000000" w:themeColor="text1"/>
        </w:rPr>
        <w:t xml:space="preserve"> </w:t>
      </w:r>
      <w:r w:rsidR="00AD04E0" w:rsidRPr="04B4EC75">
        <w:rPr>
          <w:rFonts w:eastAsia="Times New Roman"/>
          <w:color w:val="000000" w:themeColor="text1"/>
        </w:rPr>
        <w:t xml:space="preserve">proportion of children/adolescents with </w:t>
      </w:r>
      <w:r w:rsidRPr="04B4EC75">
        <w:rPr>
          <w:rFonts w:eastAsia="Times New Roman"/>
          <w:color w:val="000000" w:themeColor="text1"/>
        </w:rPr>
        <w:t>antibodies against SARS-CoV-2 during the COVID-19 pandemic. This will be achieved</w:t>
      </w:r>
      <w:r w:rsidR="00660530" w:rsidRPr="04B4EC75">
        <w:rPr>
          <w:rFonts w:eastAsia="Times New Roman"/>
          <w:color w:val="000000" w:themeColor="text1"/>
        </w:rPr>
        <w:t xml:space="preserve"> by:</w:t>
      </w:r>
    </w:p>
    <w:p w14:paraId="256B84AA" w14:textId="77777777" w:rsidR="003E72FC" w:rsidRPr="003E72FC" w:rsidRDefault="00660530" w:rsidP="00F444E5">
      <w:pPr>
        <w:numPr>
          <w:ilvl w:val="1"/>
          <w:numId w:val="26"/>
        </w:numPr>
        <w:spacing w:after="0"/>
        <w:jc w:val="both"/>
        <w:rPr>
          <w:rFonts w:eastAsia="Times New Roman" w:cstheme="minorHAnsi"/>
          <w:color w:val="000000"/>
          <w:sz w:val="24"/>
          <w:szCs w:val="24"/>
        </w:rPr>
      </w:pPr>
      <w:r w:rsidRPr="004C0DEC">
        <w:rPr>
          <w:rFonts w:eastAsia="Times New Roman" w:cstheme="minorHAnsi"/>
          <w:color w:val="000000"/>
        </w:rPr>
        <w:t xml:space="preserve">Recruitment of </w:t>
      </w:r>
      <w:r w:rsidR="00843C7F">
        <w:rPr>
          <w:rFonts w:eastAsia="Times New Roman" w:cstheme="minorHAnsi"/>
          <w:color w:val="000000"/>
        </w:rPr>
        <w:t xml:space="preserve">additional </w:t>
      </w:r>
      <w:r w:rsidRPr="004C0DEC">
        <w:rPr>
          <w:rFonts w:eastAsia="Times New Roman" w:cstheme="minorHAnsi"/>
          <w:color w:val="000000"/>
        </w:rPr>
        <w:t xml:space="preserve">participants </w:t>
      </w:r>
      <w:r w:rsidR="00AD04E0">
        <w:rPr>
          <w:rFonts w:eastAsia="Times New Roman" w:cstheme="minorHAnsi"/>
          <w:color w:val="000000"/>
        </w:rPr>
        <w:t>(Group 2</w:t>
      </w:r>
      <w:r w:rsidR="003E72FC">
        <w:rPr>
          <w:rFonts w:eastAsia="Times New Roman" w:cstheme="minorHAnsi"/>
          <w:color w:val="000000"/>
        </w:rPr>
        <w:t xml:space="preserve"> and 3</w:t>
      </w:r>
      <w:r w:rsidR="00AD04E0">
        <w:rPr>
          <w:rFonts w:eastAsia="Times New Roman" w:cstheme="minorHAnsi"/>
          <w:color w:val="000000"/>
        </w:rPr>
        <w:t xml:space="preserve">) </w:t>
      </w:r>
      <w:r w:rsidRPr="004C0DEC">
        <w:rPr>
          <w:rFonts w:eastAsia="Times New Roman" w:cstheme="minorHAnsi"/>
          <w:color w:val="000000"/>
        </w:rPr>
        <w:t xml:space="preserve">that will not be included in </w:t>
      </w:r>
      <w:r w:rsidR="00AF2297">
        <w:rPr>
          <w:rFonts w:eastAsia="Times New Roman" w:cstheme="minorHAnsi"/>
          <w:color w:val="000000"/>
        </w:rPr>
        <w:t xml:space="preserve">the final </w:t>
      </w:r>
      <w:r w:rsidRPr="004C0DEC">
        <w:rPr>
          <w:rFonts w:eastAsia="Times New Roman" w:cstheme="minorHAnsi"/>
          <w:color w:val="000000"/>
        </w:rPr>
        <w:t xml:space="preserve">vaccine </w:t>
      </w:r>
      <w:proofErr w:type="spellStart"/>
      <w:r w:rsidRPr="004C0DEC">
        <w:rPr>
          <w:rFonts w:eastAsia="Times New Roman" w:cstheme="minorHAnsi"/>
          <w:color w:val="000000"/>
        </w:rPr>
        <w:t>sero</w:t>
      </w:r>
      <w:proofErr w:type="spellEnd"/>
      <w:r w:rsidRPr="004C0DEC">
        <w:rPr>
          <w:rFonts w:eastAsia="Times New Roman" w:cstheme="minorHAnsi"/>
          <w:color w:val="000000"/>
        </w:rPr>
        <w:t>-epid</w:t>
      </w:r>
      <w:r w:rsidR="009E5714">
        <w:rPr>
          <w:rFonts w:eastAsia="Times New Roman" w:cstheme="minorHAnsi"/>
          <w:color w:val="000000"/>
        </w:rPr>
        <w:t>e</w:t>
      </w:r>
      <w:r w:rsidRPr="004C0DEC">
        <w:rPr>
          <w:rFonts w:eastAsia="Times New Roman" w:cstheme="minorHAnsi"/>
          <w:color w:val="000000"/>
        </w:rPr>
        <w:t xml:space="preserve">miology </w:t>
      </w:r>
      <w:r w:rsidR="00AF2297">
        <w:rPr>
          <w:rFonts w:eastAsia="Times New Roman" w:cstheme="minorHAnsi"/>
          <w:color w:val="000000"/>
        </w:rPr>
        <w:t>analysis</w:t>
      </w:r>
      <w:r w:rsidR="009E5714">
        <w:rPr>
          <w:rFonts w:eastAsia="Times New Roman" w:cstheme="minorHAnsi"/>
          <w:color w:val="000000"/>
        </w:rPr>
        <w:t xml:space="preserve">. </w:t>
      </w:r>
    </w:p>
    <w:p w14:paraId="6D232E54" w14:textId="639B9119" w:rsidR="00660530" w:rsidRPr="003E72FC" w:rsidRDefault="003E72FC" w:rsidP="00F444E5">
      <w:pPr>
        <w:numPr>
          <w:ilvl w:val="1"/>
          <w:numId w:val="26"/>
        </w:numPr>
        <w:spacing w:after="0"/>
        <w:jc w:val="both"/>
        <w:rPr>
          <w:rFonts w:eastAsia="Times New Roman" w:cstheme="minorHAnsi"/>
          <w:color w:val="000000"/>
          <w:sz w:val="24"/>
          <w:szCs w:val="24"/>
        </w:rPr>
      </w:pPr>
      <w:r>
        <w:rPr>
          <w:rFonts w:eastAsia="Times New Roman" w:cstheme="minorHAnsi"/>
          <w:color w:val="000000"/>
        </w:rPr>
        <w:t xml:space="preserve">Group 2 </w:t>
      </w:r>
      <w:r w:rsidR="009E5714">
        <w:rPr>
          <w:rFonts w:eastAsia="Times New Roman" w:cstheme="minorHAnsi"/>
          <w:color w:val="000000"/>
        </w:rPr>
        <w:t xml:space="preserve">participants will be recruited at </w:t>
      </w:r>
      <w:r w:rsidR="00443509">
        <w:rPr>
          <w:rFonts w:eastAsia="Times New Roman" w:cstheme="minorHAnsi"/>
          <w:color w:val="000000"/>
        </w:rPr>
        <w:t>all</w:t>
      </w:r>
      <w:r w:rsidR="00B9360F">
        <w:rPr>
          <w:rFonts w:eastAsia="Times New Roman" w:cstheme="minorHAnsi"/>
          <w:color w:val="000000"/>
        </w:rPr>
        <w:t xml:space="preserve"> ‘Group 1’ sites, and </w:t>
      </w:r>
      <w:r w:rsidR="00F94D64">
        <w:rPr>
          <w:rFonts w:eastAsia="Times New Roman" w:cstheme="minorHAnsi"/>
          <w:color w:val="000000"/>
        </w:rPr>
        <w:t xml:space="preserve">at </w:t>
      </w:r>
      <w:r w:rsidR="009E5714">
        <w:rPr>
          <w:rFonts w:eastAsia="Times New Roman" w:cstheme="minorHAnsi"/>
          <w:color w:val="000000"/>
        </w:rPr>
        <w:t>least 2 additional sites</w:t>
      </w:r>
      <w:r w:rsidR="00AD04E0">
        <w:rPr>
          <w:rFonts w:eastAsia="Times New Roman" w:cstheme="minorHAnsi"/>
          <w:color w:val="000000"/>
        </w:rPr>
        <w:t>, and will</w:t>
      </w:r>
      <w:r w:rsidR="00B9360F">
        <w:rPr>
          <w:rFonts w:eastAsia="Times New Roman" w:cstheme="minorHAnsi"/>
          <w:color w:val="000000"/>
        </w:rPr>
        <w:t xml:space="preserve"> be equally dis</w:t>
      </w:r>
      <w:r w:rsidR="00AD04E0">
        <w:rPr>
          <w:rFonts w:eastAsia="Times New Roman" w:cstheme="minorHAnsi"/>
          <w:color w:val="000000"/>
        </w:rPr>
        <w:t xml:space="preserve">tributed across </w:t>
      </w:r>
      <w:r w:rsidR="00443509">
        <w:rPr>
          <w:rFonts w:eastAsia="Times New Roman" w:cstheme="minorHAnsi"/>
          <w:color w:val="000000"/>
        </w:rPr>
        <w:t>4</w:t>
      </w:r>
      <w:r w:rsidR="00AD04E0">
        <w:rPr>
          <w:rFonts w:eastAsia="Times New Roman" w:cstheme="minorHAnsi"/>
          <w:color w:val="000000"/>
        </w:rPr>
        <w:t xml:space="preserve"> age bands (0 – 4, 5 to 9, 10 to 14 and 15 to 19 years)</w:t>
      </w:r>
    </w:p>
    <w:p w14:paraId="279EF3CE" w14:textId="59C22CD8" w:rsidR="003E72FC" w:rsidRPr="003E72FC" w:rsidRDefault="003E72FC" w:rsidP="00F444E5">
      <w:pPr>
        <w:numPr>
          <w:ilvl w:val="1"/>
          <w:numId w:val="26"/>
        </w:numPr>
        <w:spacing w:after="0"/>
        <w:jc w:val="both"/>
        <w:rPr>
          <w:color w:val="000000"/>
          <w:sz w:val="24"/>
          <w:szCs w:val="24"/>
        </w:rPr>
      </w:pPr>
      <w:r w:rsidRPr="32063CF4">
        <w:rPr>
          <w:rFonts w:eastAsia="Times New Roman"/>
          <w:color w:val="000000" w:themeColor="text1"/>
        </w:rPr>
        <w:t>Group 3 participants, recruited at a sub-set of sites depending on capacity and the demographic profile of the local population</w:t>
      </w:r>
    </w:p>
    <w:p w14:paraId="79B5303E" w14:textId="4D45932D" w:rsidR="00660530" w:rsidRPr="004C0DEC" w:rsidRDefault="009E5714" w:rsidP="00F444E5">
      <w:pPr>
        <w:numPr>
          <w:ilvl w:val="1"/>
          <w:numId w:val="26"/>
        </w:numPr>
        <w:spacing w:after="0"/>
        <w:jc w:val="both"/>
        <w:rPr>
          <w:rFonts w:eastAsia="Times New Roman"/>
          <w:color w:val="000000"/>
          <w:sz w:val="24"/>
          <w:szCs w:val="24"/>
        </w:rPr>
      </w:pPr>
      <w:r w:rsidRPr="6217F8DA">
        <w:rPr>
          <w:rFonts w:eastAsia="Times New Roman"/>
          <w:color w:val="000000" w:themeColor="text1"/>
        </w:rPr>
        <w:t xml:space="preserve">Taking </w:t>
      </w:r>
      <w:r w:rsidR="000D3A16" w:rsidRPr="6217F8DA">
        <w:rPr>
          <w:rFonts w:eastAsia="Times New Roman"/>
          <w:color w:val="000000" w:themeColor="text1"/>
        </w:rPr>
        <w:t xml:space="preserve">up to 3 </w:t>
      </w:r>
      <w:r w:rsidRPr="6217F8DA">
        <w:rPr>
          <w:rFonts w:eastAsia="Times New Roman"/>
          <w:color w:val="000000" w:themeColor="text1"/>
        </w:rPr>
        <w:t>repeat blood s</w:t>
      </w:r>
      <w:r w:rsidR="00660530" w:rsidRPr="6217F8DA">
        <w:rPr>
          <w:rFonts w:eastAsia="Times New Roman"/>
          <w:color w:val="000000" w:themeColor="text1"/>
        </w:rPr>
        <w:t xml:space="preserve">amples </w:t>
      </w:r>
      <w:r w:rsidR="000D3A16" w:rsidRPr="6217F8DA">
        <w:rPr>
          <w:rFonts w:eastAsia="Times New Roman"/>
          <w:color w:val="000000" w:themeColor="text1"/>
        </w:rPr>
        <w:t xml:space="preserve">(i.e. a total of 4 blood samples) at </w:t>
      </w:r>
      <w:r w:rsidR="003E72FC">
        <w:rPr>
          <w:rFonts w:eastAsia="Times New Roman"/>
          <w:color w:val="000000" w:themeColor="text1"/>
        </w:rPr>
        <w:t xml:space="preserve">a minimal interval of </w:t>
      </w:r>
      <w:r w:rsidR="000D3A16" w:rsidRPr="6217F8DA">
        <w:rPr>
          <w:rFonts w:eastAsia="Times New Roman"/>
          <w:color w:val="000000" w:themeColor="text1"/>
        </w:rPr>
        <w:t>2 month</w:t>
      </w:r>
      <w:r w:rsidR="003E72FC">
        <w:rPr>
          <w:rFonts w:eastAsia="Times New Roman"/>
          <w:color w:val="000000" w:themeColor="text1"/>
        </w:rPr>
        <w:t>s</w:t>
      </w:r>
      <w:r w:rsidR="000D3A16" w:rsidRPr="6217F8DA">
        <w:rPr>
          <w:rFonts w:eastAsia="Times New Roman"/>
          <w:color w:val="000000" w:themeColor="text1"/>
        </w:rPr>
        <w:t xml:space="preserve"> </w:t>
      </w:r>
      <w:r w:rsidR="003E72FC">
        <w:rPr>
          <w:rFonts w:eastAsia="Times New Roman"/>
          <w:color w:val="000000" w:themeColor="text1"/>
        </w:rPr>
        <w:t xml:space="preserve">apart </w:t>
      </w:r>
      <w:r w:rsidR="00660530" w:rsidRPr="6217F8DA">
        <w:rPr>
          <w:rFonts w:eastAsia="Times New Roman"/>
          <w:color w:val="000000" w:themeColor="text1"/>
        </w:rPr>
        <w:t xml:space="preserve">from </w:t>
      </w:r>
      <w:r w:rsidRPr="6217F8DA">
        <w:rPr>
          <w:rFonts w:eastAsia="Times New Roman"/>
          <w:color w:val="000000" w:themeColor="text1"/>
        </w:rPr>
        <w:t>a sub-set of participants</w:t>
      </w:r>
      <w:r w:rsidR="00AF2297" w:rsidRPr="6217F8DA">
        <w:rPr>
          <w:rFonts w:eastAsia="Times New Roman"/>
          <w:color w:val="000000" w:themeColor="text1"/>
        </w:rPr>
        <w:t xml:space="preserve"> </w:t>
      </w:r>
      <w:r w:rsidR="00B9360F" w:rsidRPr="6217F8DA">
        <w:rPr>
          <w:rFonts w:eastAsia="Times New Roman"/>
          <w:color w:val="000000" w:themeColor="text1"/>
        </w:rPr>
        <w:t>at all sites</w:t>
      </w:r>
      <w:r w:rsidRPr="6217F8DA">
        <w:rPr>
          <w:rFonts w:eastAsia="Times New Roman"/>
          <w:color w:val="000000" w:themeColor="text1"/>
        </w:rPr>
        <w:t xml:space="preserve"> who consent for this (</w:t>
      </w:r>
      <w:r w:rsidR="00660530" w:rsidRPr="6217F8DA">
        <w:rPr>
          <w:rFonts w:eastAsia="Times New Roman"/>
          <w:color w:val="000000" w:themeColor="text1"/>
        </w:rPr>
        <w:t xml:space="preserve">longitudinal sampling </w:t>
      </w:r>
      <w:r w:rsidRPr="6217F8DA">
        <w:rPr>
          <w:rFonts w:eastAsia="Times New Roman"/>
          <w:color w:val="000000" w:themeColor="text1"/>
        </w:rPr>
        <w:t>cohort</w:t>
      </w:r>
      <w:r w:rsidR="00AF2297" w:rsidRPr="6217F8DA">
        <w:rPr>
          <w:rFonts w:eastAsia="Times New Roman"/>
          <w:color w:val="000000" w:themeColor="text1"/>
        </w:rPr>
        <w:t xml:space="preserve">, maximum </w:t>
      </w:r>
      <w:r w:rsidR="003E72FC">
        <w:rPr>
          <w:rFonts w:eastAsia="Times New Roman"/>
          <w:color w:val="000000" w:themeColor="text1"/>
        </w:rPr>
        <w:t>number</w:t>
      </w:r>
      <w:r w:rsidR="00AF2297" w:rsidRPr="6217F8DA">
        <w:rPr>
          <w:rFonts w:eastAsia="Times New Roman"/>
          <w:color w:val="000000" w:themeColor="text1"/>
        </w:rPr>
        <w:t xml:space="preserve"> of participants enrolled</w:t>
      </w:r>
      <w:r w:rsidR="003E72FC">
        <w:rPr>
          <w:rFonts w:eastAsia="Times New Roman"/>
          <w:color w:val="000000" w:themeColor="text1"/>
        </w:rPr>
        <w:t xml:space="preserve"> defined in the clinical study plan</w:t>
      </w:r>
      <w:r w:rsidR="00660530" w:rsidRPr="6217F8DA">
        <w:rPr>
          <w:rFonts w:eastAsia="Times New Roman"/>
          <w:color w:val="000000" w:themeColor="text1"/>
        </w:rPr>
        <w:t>)</w:t>
      </w:r>
      <w:r w:rsidR="000D3A16" w:rsidRPr="6217F8DA">
        <w:rPr>
          <w:rFonts w:eastAsia="Times New Roman"/>
          <w:color w:val="000000" w:themeColor="text1"/>
        </w:rPr>
        <w:t>. Participants in this cohort will also have a saliva sample collected at each follow-on visit.</w:t>
      </w:r>
    </w:p>
    <w:p w14:paraId="5DE5253D" w14:textId="06CBCE2D" w:rsidR="165FF5AE" w:rsidRDefault="165FF5AE" w:rsidP="00F444E5">
      <w:pPr>
        <w:numPr>
          <w:ilvl w:val="0"/>
          <w:numId w:val="26"/>
        </w:numPr>
        <w:spacing w:after="0"/>
        <w:jc w:val="both"/>
        <w:rPr>
          <w:color w:val="000000" w:themeColor="text1"/>
          <w:sz w:val="24"/>
          <w:szCs w:val="24"/>
        </w:rPr>
      </w:pPr>
      <w:r w:rsidRPr="008854BC">
        <w:rPr>
          <w:rFonts w:eastAsia="Times New Roman"/>
          <w:color w:val="000000" w:themeColor="text1"/>
        </w:rPr>
        <w:t xml:space="preserve">Evaluate T cell responses </w:t>
      </w:r>
      <w:r w:rsidR="097CD88D" w:rsidRPr="04B4EC75">
        <w:rPr>
          <w:rFonts w:eastAsia="Times New Roman"/>
          <w:color w:val="000000" w:themeColor="text1"/>
        </w:rPr>
        <w:t>to SARS-CoV-2 infection</w:t>
      </w:r>
      <w:r w:rsidR="006304EE">
        <w:rPr>
          <w:rFonts w:eastAsia="Times New Roman"/>
          <w:color w:val="000000" w:themeColor="text1"/>
        </w:rPr>
        <w:t>.</w:t>
      </w:r>
      <w:r w:rsidR="097CD88D" w:rsidRPr="04B4EC75">
        <w:rPr>
          <w:rFonts w:eastAsia="Times New Roman"/>
          <w:color w:val="000000" w:themeColor="text1"/>
        </w:rPr>
        <w:t xml:space="preserve"> W</w:t>
      </w:r>
      <w:r w:rsidRPr="008854BC">
        <w:rPr>
          <w:rFonts w:eastAsia="Times New Roman"/>
          <w:color w:val="000000" w:themeColor="text1"/>
        </w:rPr>
        <w:t>ithin the longitudinal cohort</w:t>
      </w:r>
      <w:r w:rsidR="00E61C65">
        <w:rPr>
          <w:rFonts w:eastAsia="Times New Roman"/>
          <w:color w:val="000000" w:themeColor="text1"/>
        </w:rPr>
        <w:t xml:space="preserve"> selected sites </w:t>
      </w:r>
      <w:r w:rsidRPr="04B4EC75">
        <w:rPr>
          <w:rFonts w:eastAsia="Times New Roman"/>
          <w:color w:val="000000" w:themeColor="text1"/>
        </w:rPr>
        <w:t xml:space="preserve"> </w:t>
      </w:r>
    </w:p>
    <w:p w14:paraId="057845F0" w14:textId="6FA09416" w:rsidR="00AF6980" w:rsidRPr="008854BC" w:rsidRDefault="00974D4A" w:rsidP="008854BC">
      <w:pPr>
        <w:spacing w:after="0"/>
        <w:ind w:left="360"/>
        <w:jc w:val="both"/>
        <w:rPr>
          <w:rFonts w:eastAsia="Times New Roman"/>
          <w:color w:val="000000"/>
        </w:rPr>
      </w:pPr>
      <w:r>
        <w:rPr>
          <w:rFonts w:eastAsia="Times New Roman"/>
          <w:color w:val="000000" w:themeColor="text1"/>
        </w:rPr>
        <w:t>who are</w:t>
      </w:r>
      <w:r w:rsidR="006E5DF1" w:rsidRPr="008854BC">
        <w:rPr>
          <w:rFonts w:eastAsia="Times New Roman"/>
          <w:color w:val="000000" w:themeColor="text1"/>
        </w:rPr>
        <w:t xml:space="preserve"> </w:t>
      </w:r>
      <w:r w:rsidR="1D200C8B" w:rsidRPr="5E3615F6">
        <w:rPr>
          <w:rFonts w:eastAsia="Times New Roman"/>
          <w:color w:val="000000" w:themeColor="text1"/>
        </w:rPr>
        <w:t xml:space="preserve">able to provide blood samples to CCVTM for same-day processing for </w:t>
      </w:r>
      <w:r w:rsidR="7158868E" w:rsidRPr="5E3615F6">
        <w:rPr>
          <w:rFonts w:eastAsia="Times New Roman"/>
          <w:color w:val="000000" w:themeColor="text1"/>
        </w:rPr>
        <w:t>separation</w:t>
      </w:r>
      <w:r w:rsidR="1D200C8B" w:rsidRPr="5E3615F6">
        <w:rPr>
          <w:rFonts w:eastAsia="Times New Roman"/>
          <w:color w:val="000000" w:themeColor="text1"/>
        </w:rPr>
        <w:t xml:space="preserve"> of </w:t>
      </w:r>
      <w:r w:rsidR="3A21369F" w:rsidRPr="5E3615F6">
        <w:rPr>
          <w:rFonts w:eastAsia="Times New Roman"/>
          <w:color w:val="000000" w:themeColor="text1"/>
        </w:rPr>
        <w:t>peripheral blood mononuclear cells (</w:t>
      </w:r>
      <w:r w:rsidR="006E5DF1" w:rsidRPr="008854BC">
        <w:rPr>
          <w:rFonts w:eastAsia="Times New Roman"/>
          <w:color w:val="000000" w:themeColor="text1"/>
        </w:rPr>
        <w:t>PBMCs</w:t>
      </w:r>
      <w:r w:rsidR="7422A6C2" w:rsidRPr="5E3615F6">
        <w:rPr>
          <w:rFonts w:eastAsia="Times New Roman"/>
          <w:color w:val="000000" w:themeColor="text1"/>
        </w:rPr>
        <w:t>)</w:t>
      </w:r>
      <w:r w:rsidR="00F6571C">
        <w:rPr>
          <w:rFonts w:eastAsia="Times New Roman"/>
          <w:color w:val="000000" w:themeColor="text1"/>
        </w:rPr>
        <w:t xml:space="preserve"> will provide </w:t>
      </w:r>
      <w:r w:rsidR="0055065A">
        <w:rPr>
          <w:rFonts w:eastAsia="Times New Roman"/>
          <w:color w:val="000000" w:themeColor="text1"/>
        </w:rPr>
        <w:t xml:space="preserve">samples from participants who fit into the following </w:t>
      </w:r>
      <w:r w:rsidR="009D63EF">
        <w:rPr>
          <w:rFonts w:eastAsia="Times New Roman"/>
          <w:color w:val="000000" w:themeColor="text1"/>
        </w:rPr>
        <w:t>groups</w:t>
      </w:r>
      <w:r w:rsidR="00A665E4" w:rsidRPr="008854BC">
        <w:rPr>
          <w:rFonts w:eastAsia="Times New Roman"/>
          <w:color w:val="000000" w:themeColor="text1"/>
        </w:rPr>
        <w:t>:</w:t>
      </w:r>
      <w:r w:rsidR="00C40E02" w:rsidRPr="008854BC">
        <w:rPr>
          <w:rFonts w:eastAsia="Times New Roman"/>
          <w:color w:val="000000" w:themeColor="text1"/>
        </w:rPr>
        <w:t xml:space="preserve"> </w:t>
      </w:r>
      <w:r w:rsidR="003B6E37" w:rsidRPr="008854BC">
        <w:rPr>
          <w:rFonts w:eastAsia="Times New Roman"/>
          <w:color w:val="000000" w:themeColor="text1"/>
        </w:rPr>
        <w:t xml:space="preserve"> </w:t>
      </w:r>
    </w:p>
    <w:p w14:paraId="752DCB60" w14:textId="7F74BC26" w:rsidR="003B6E37" w:rsidRPr="003E72FC" w:rsidRDefault="3FADF73F" w:rsidP="00F444E5">
      <w:pPr>
        <w:pStyle w:val="xmsonormal0"/>
        <w:numPr>
          <w:ilvl w:val="0"/>
          <w:numId w:val="31"/>
        </w:numPr>
        <w:spacing w:before="0" w:beforeAutospacing="0" w:after="0" w:afterAutospacing="0"/>
        <w:jc w:val="both"/>
        <w:rPr>
          <w:rFonts w:ascii="Calibri" w:hAnsi="Calibri" w:cs="Calibri"/>
          <w:color w:val="000000" w:themeColor="text1"/>
          <w:sz w:val="22"/>
          <w:szCs w:val="22"/>
        </w:rPr>
      </w:pPr>
      <w:r w:rsidRPr="003E72FC">
        <w:rPr>
          <w:rFonts w:ascii="Calibri" w:hAnsi="Calibri" w:cs="Calibri"/>
          <w:i/>
          <w:iCs/>
          <w:color w:val="000000" w:themeColor="text1"/>
          <w:sz w:val="22"/>
          <w:szCs w:val="22"/>
        </w:rPr>
        <w:t>Have had n</w:t>
      </w:r>
      <w:r w:rsidR="003B6E37" w:rsidRPr="003E72FC">
        <w:rPr>
          <w:rFonts w:ascii="Calibri" w:hAnsi="Calibri" w:cs="Calibri"/>
          <w:i/>
          <w:iCs/>
          <w:color w:val="000000" w:themeColor="text1"/>
          <w:sz w:val="22"/>
          <w:szCs w:val="22"/>
        </w:rPr>
        <w:t xml:space="preserve">o exposure, </w:t>
      </w:r>
      <w:r w:rsidR="301F88AA" w:rsidRPr="003E72FC">
        <w:rPr>
          <w:rFonts w:ascii="Calibri" w:hAnsi="Calibri" w:cs="Calibri"/>
          <w:i/>
          <w:iCs/>
          <w:color w:val="000000" w:themeColor="text1"/>
          <w:sz w:val="22"/>
          <w:szCs w:val="22"/>
        </w:rPr>
        <w:t xml:space="preserve">and are </w:t>
      </w:r>
      <w:r w:rsidR="003B6E37" w:rsidRPr="003E72FC">
        <w:rPr>
          <w:rFonts w:ascii="Calibri" w:hAnsi="Calibri" w:cs="Calibri"/>
          <w:i/>
          <w:iCs/>
          <w:color w:val="000000" w:themeColor="text1"/>
          <w:sz w:val="22"/>
          <w:szCs w:val="22"/>
        </w:rPr>
        <w:t>sero</w:t>
      </w:r>
      <w:r w:rsidR="000B3A10" w:rsidRPr="003E72FC">
        <w:rPr>
          <w:rFonts w:ascii="Calibri" w:hAnsi="Calibri" w:cs="Calibri"/>
          <w:i/>
          <w:iCs/>
          <w:color w:val="000000" w:themeColor="text1"/>
          <w:sz w:val="22"/>
          <w:szCs w:val="22"/>
        </w:rPr>
        <w:t>negative</w:t>
      </w:r>
      <w:r w:rsidR="003B6E37" w:rsidRPr="003E72FC">
        <w:rPr>
          <w:rFonts w:ascii="Calibri" w:hAnsi="Calibri" w:cs="Calibri"/>
          <w:i/>
          <w:iCs/>
          <w:color w:val="000000" w:themeColor="text1"/>
          <w:sz w:val="22"/>
          <w:szCs w:val="22"/>
        </w:rPr>
        <w:t xml:space="preserve"> </w:t>
      </w:r>
      <w:r w:rsidR="49FFA77B" w:rsidRPr="003E72FC">
        <w:rPr>
          <w:rFonts w:ascii="Calibri" w:hAnsi="Calibri" w:cs="Calibri"/>
          <w:i/>
          <w:iCs/>
          <w:color w:val="000000" w:themeColor="text1"/>
          <w:sz w:val="22"/>
          <w:szCs w:val="22"/>
        </w:rPr>
        <w:t xml:space="preserve">to SARS-CoV-2 </w:t>
      </w:r>
      <w:r w:rsidR="003B6E37" w:rsidRPr="003E72FC">
        <w:rPr>
          <w:rFonts w:ascii="Calibri" w:hAnsi="Calibri" w:cs="Calibri"/>
          <w:i/>
          <w:iCs/>
          <w:color w:val="000000" w:themeColor="text1"/>
          <w:sz w:val="22"/>
          <w:szCs w:val="22"/>
        </w:rPr>
        <w:t xml:space="preserve">at </w:t>
      </w:r>
      <w:r w:rsidR="163C761D" w:rsidRPr="003E72FC">
        <w:rPr>
          <w:rFonts w:ascii="Calibri" w:hAnsi="Calibri" w:cs="Calibri"/>
          <w:i/>
          <w:iCs/>
          <w:color w:val="000000" w:themeColor="text1"/>
          <w:sz w:val="22"/>
          <w:szCs w:val="22"/>
        </w:rPr>
        <w:t>V1</w:t>
      </w:r>
    </w:p>
    <w:p w14:paraId="78E025D2" w14:textId="7BD92062" w:rsidR="003B6E37" w:rsidRPr="003E72FC" w:rsidRDefault="03D9C63F" w:rsidP="00F444E5">
      <w:pPr>
        <w:pStyle w:val="xmsonormal0"/>
        <w:numPr>
          <w:ilvl w:val="0"/>
          <w:numId w:val="31"/>
        </w:numPr>
        <w:spacing w:before="0" w:beforeAutospacing="0" w:after="0" w:afterAutospacing="0"/>
        <w:jc w:val="both"/>
        <w:rPr>
          <w:rFonts w:ascii="Calibri" w:hAnsi="Calibri" w:cs="Calibri"/>
          <w:color w:val="000000" w:themeColor="text1"/>
          <w:sz w:val="22"/>
          <w:szCs w:val="22"/>
        </w:rPr>
      </w:pPr>
      <w:r w:rsidRPr="003E72FC">
        <w:rPr>
          <w:rFonts w:ascii="Calibri" w:hAnsi="Calibri" w:cs="Calibri"/>
          <w:i/>
          <w:iCs/>
          <w:color w:val="000000" w:themeColor="text1"/>
          <w:sz w:val="22"/>
          <w:szCs w:val="22"/>
        </w:rPr>
        <w:t>Have had a h</w:t>
      </w:r>
      <w:r w:rsidR="003B6E37" w:rsidRPr="003E72FC">
        <w:rPr>
          <w:rFonts w:ascii="Calibri" w:hAnsi="Calibri" w:cs="Calibri"/>
          <w:i/>
          <w:iCs/>
          <w:color w:val="000000" w:themeColor="text1"/>
          <w:sz w:val="22"/>
          <w:szCs w:val="22"/>
        </w:rPr>
        <w:t xml:space="preserve">ousehold exposure, </w:t>
      </w:r>
      <w:r w:rsidR="2B6B9D7E" w:rsidRPr="003E72FC">
        <w:rPr>
          <w:rFonts w:ascii="Calibri" w:hAnsi="Calibri" w:cs="Calibri"/>
          <w:i/>
          <w:iCs/>
          <w:color w:val="000000" w:themeColor="text1"/>
          <w:sz w:val="22"/>
          <w:szCs w:val="22"/>
        </w:rPr>
        <w:t xml:space="preserve">but are </w:t>
      </w:r>
      <w:r w:rsidR="003B6E37" w:rsidRPr="003E72FC">
        <w:rPr>
          <w:rFonts w:ascii="Calibri" w:hAnsi="Calibri" w:cs="Calibri"/>
          <w:i/>
          <w:iCs/>
          <w:color w:val="000000" w:themeColor="text1"/>
          <w:sz w:val="22"/>
          <w:szCs w:val="22"/>
        </w:rPr>
        <w:t>sero</w:t>
      </w:r>
      <w:r w:rsidR="000B3A10" w:rsidRPr="003E72FC">
        <w:rPr>
          <w:rFonts w:ascii="Calibri" w:hAnsi="Calibri" w:cs="Calibri"/>
          <w:i/>
          <w:iCs/>
          <w:color w:val="000000" w:themeColor="text1"/>
          <w:sz w:val="22"/>
          <w:szCs w:val="22"/>
        </w:rPr>
        <w:t>negative</w:t>
      </w:r>
      <w:r w:rsidR="003B6E37" w:rsidRPr="003E72FC">
        <w:rPr>
          <w:rFonts w:ascii="Calibri" w:hAnsi="Calibri" w:cs="Calibri"/>
          <w:i/>
          <w:iCs/>
          <w:color w:val="000000" w:themeColor="text1"/>
          <w:sz w:val="22"/>
          <w:szCs w:val="22"/>
        </w:rPr>
        <w:t xml:space="preserve"> </w:t>
      </w:r>
      <w:r w:rsidR="098A8AAA" w:rsidRPr="003E72FC">
        <w:rPr>
          <w:rFonts w:ascii="Calibri" w:hAnsi="Calibri" w:cs="Calibri"/>
          <w:i/>
          <w:iCs/>
          <w:color w:val="000000" w:themeColor="text1"/>
          <w:sz w:val="22"/>
          <w:szCs w:val="22"/>
        </w:rPr>
        <w:t>at V1</w:t>
      </w:r>
    </w:p>
    <w:p w14:paraId="2B330AF0" w14:textId="0BCD5098" w:rsidR="00C40E02" w:rsidRPr="003E72FC" w:rsidRDefault="2CE9F5CC" w:rsidP="00F444E5">
      <w:pPr>
        <w:pStyle w:val="xmsonormal0"/>
        <w:numPr>
          <w:ilvl w:val="0"/>
          <w:numId w:val="31"/>
        </w:numPr>
        <w:spacing w:before="0" w:beforeAutospacing="0" w:after="0" w:afterAutospacing="0"/>
        <w:jc w:val="both"/>
        <w:rPr>
          <w:rFonts w:ascii="Calibri" w:hAnsi="Calibri" w:cs="Calibri"/>
          <w:color w:val="000000" w:themeColor="text1"/>
          <w:sz w:val="22"/>
          <w:szCs w:val="22"/>
        </w:rPr>
      </w:pPr>
      <w:r w:rsidRPr="003E72FC">
        <w:rPr>
          <w:rFonts w:ascii="Calibri" w:hAnsi="Calibri" w:cs="Calibri"/>
          <w:i/>
          <w:iCs/>
          <w:color w:val="000000" w:themeColor="text1"/>
          <w:sz w:val="22"/>
          <w:szCs w:val="22"/>
        </w:rPr>
        <w:t>Have ha</w:t>
      </w:r>
      <w:r w:rsidR="005C755A" w:rsidRPr="003E72FC">
        <w:rPr>
          <w:rFonts w:ascii="Calibri" w:hAnsi="Calibri" w:cs="Calibri"/>
          <w:i/>
          <w:iCs/>
          <w:color w:val="000000" w:themeColor="text1"/>
          <w:sz w:val="22"/>
          <w:szCs w:val="22"/>
        </w:rPr>
        <w:t>d</w:t>
      </w:r>
      <w:r w:rsidRPr="003E72FC">
        <w:rPr>
          <w:rFonts w:ascii="Calibri" w:hAnsi="Calibri" w:cs="Calibri"/>
          <w:i/>
          <w:iCs/>
          <w:color w:val="000000" w:themeColor="text1"/>
          <w:sz w:val="22"/>
          <w:szCs w:val="22"/>
        </w:rPr>
        <w:t xml:space="preserve"> s</w:t>
      </w:r>
      <w:r w:rsidR="00C137B9" w:rsidRPr="003E72FC">
        <w:rPr>
          <w:rFonts w:ascii="Calibri" w:hAnsi="Calibri" w:cs="Calibri"/>
          <w:i/>
          <w:iCs/>
          <w:color w:val="000000" w:themeColor="text1"/>
          <w:sz w:val="22"/>
          <w:szCs w:val="22"/>
        </w:rPr>
        <w:t xml:space="preserve">ymptoms </w:t>
      </w:r>
      <w:r w:rsidR="6086008C" w:rsidRPr="003E72FC">
        <w:rPr>
          <w:rFonts w:ascii="Calibri" w:hAnsi="Calibri" w:cs="Calibri"/>
          <w:i/>
          <w:iCs/>
          <w:color w:val="000000" w:themeColor="text1"/>
          <w:sz w:val="22"/>
          <w:szCs w:val="22"/>
        </w:rPr>
        <w:t>of COVID-19,</w:t>
      </w:r>
      <w:r w:rsidR="00C137B9" w:rsidRPr="003E72FC">
        <w:rPr>
          <w:rFonts w:ascii="Calibri" w:hAnsi="Calibri" w:cs="Calibri"/>
          <w:i/>
          <w:iCs/>
          <w:color w:val="000000" w:themeColor="text1"/>
          <w:sz w:val="22"/>
          <w:szCs w:val="22"/>
        </w:rPr>
        <w:t xml:space="preserve"> but </w:t>
      </w:r>
      <w:r w:rsidR="646F8D7B" w:rsidRPr="003E72FC">
        <w:rPr>
          <w:rFonts w:ascii="Calibri" w:hAnsi="Calibri" w:cs="Calibri"/>
          <w:i/>
          <w:iCs/>
          <w:color w:val="000000" w:themeColor="text1"/>
          <w:sz w:val="22"/>
          <w:szCs w:val="22"/>
        </w:rPr>
        <w:t xml:space="preserve">are </w:t>
      </w:r>
      <w:r w:rsidR="003B6E37" w:rsidRPr="003E72FC">
        <w:rPr>
          <w:rFonts w:ascii="Calibri" w:hAnsi="Calibri" w:cs="Calibri"/>
          <w:i/>
          <w:iCs/>
          <w:color w:val="000000" w:themeColor="text1"/>
          <w:sz w:val="22"/>
          <w:szCs w:val="22"/>
        </w:rPr>
        <w:t>sero</w:t>
      </w:r>
      <w:r w:rsidR="000B3A10" w:rsidRPr="003E72FC">
        <w:rPr>
          <w:rFonts w:ascii="Calibri" w:hAnsi="Calibri" w:cs="Calibri"/>
          <w:i/>
          <w:iCs/>
          <w:color w:val="000000" w:themeColor="text1"/>
          <w:sz w:val="22"/>
          <w:szCs w:val="22"/>
        </w:rPr>
        <w:t>negative</w:t>
      </w:r>
      <w:r w:rsidR="00C137B9" w:rsidRPr="003E72FC">
        <w:rPr>
          <w:rFonts w:ascii="Calibri" w:hAnsi="Calibri" w:cs="Calibri"/>
          <w:i/>
          <w:iCs/>
          <w:color w:val="000000" w:themeColor="text1"/>
          <w:sz w:val="22"/>
          <w:szCs w:val="22"/>
        </w:rPr>
        <w:t xml:space="preserve"> at </w:t>
      </w:r>
      <w:r w:rsidR="4DBB3EDF" w:rsidRPr="003E72FC">
        <w:rPr>
          <w:rFonts w:ascii="Calibri" w:hAnsi="Calibri" w:cs="Calibri"/>
          <w:i/>
          <w:iCs/>
          <w:color w:val="000000" w:themeColor="text1"/>
          <w:sz w:val="22"/>
          <w:szCs w:val="22"/>
        </w:rPr>
        <w:t>V1</w:t>
      </w:r>
    </w:p>
    <w:p w14:paraId="11A7A10F" w14:textId="0E409C40" w:rsidR="003B6E37" w:rsidRPr="003E72FC" w:rsidRDefault="17F30D0C" w:rsidP="00F444E5">
      <w:pPr>
        <w:pStyle w:val="xmsonormal0"/>
        <w:numPr>
          <w:ilvl w:val="0"/>
          <w:numId w:val="31"/>
        </w:numPr>
        <w:spacing w:before="0" w:beforeAutospacing="0" w:after="0" w:afterAutospacing="0"/>
        <w:jc w:val="both"/>
        <w:rPr>
          <w:rFonts w:ascii="Calibri" w:hAnsi="Calibri" w:cs="Calibri"/>
          <w:color w:val="000000" w:themeColor="text1"/>
          <w:sz w:val="22"/>
          <w:szCs w:val="22"/>
        </w:rPr>
      </w:pPr>
      <w:r w:rsidRPr="003E72FC">
        <w:rPr>
          <w:rFonts w:ascii="Calibri" w:hAnsi="Calibri" w:cs="Calibri"/>
          <w:i/>
          <w:iCs/>
          <w:color w:val="000000" w:themeColor="text1"/>
          <w:sz w:val="22"/>
          <w:szCs w:val="22"/>
        </w:rPr>
        <w:t>Are s</w:t>
      </w:r>
      <w:r w:rsidR="003B6E37" w:rsidRPr="003E72FC">
        <w:rPr>
          <w:rFonts w:ascii="Calibri" w:hAnsi="Calibri" w:cs="Calibri"/>
          <w:i/>
          <w:iCs/>
          <w:color w:val="000000" w:themeColor="text1"/>
          <w:sz w:val="22"/>
          <w:szCs w:val="22"/>
        </w:rPr>
        <w:t>ero</w:t>
      </w:r>
      <w:r w:rsidR="000B3A10" w:rsidRPr="003E72FC">
        <w:rPr>
          <w:rFonts w:ascii="Calibri" w:hAnsi="Calibri" w:cs="Calibri"/>
          <w:i/>
          <w:iCs/>
          <w:color w:val="000000" w:themeColor="text1"/>
          <w:sz w:val="22"/>
          <w:szCs w:val="22"/>
        </w:rPr>
        <w:t>positive</w:t>
      </w:r>
      <w:r w:rsidR="003B6E37" w:rsidRPr="003E72FC">
        <w:rPr>
          <w:rFonts w:ascii="Calibri" w:hAnsi="Calibri" w:cs="Calibri"/>
          <w:i/>
          <w:iCs/>
          <w:color w:val="000000" w:themeColor="text1"/>
          <w:sz w:val="22"/>
          <w:szCs w:val="22"/>
        </w:rPr>
        <w:t xml:space="preserve"> at </w:t>
      </w:r>
      <w:r w:rsidR="74A8EB35" w:rsidRPr="003E72FC">
        <w:rPr>
          <w:rFonts w:ascii="Calibri" w:hAnsi="Calibri" w:cs="Calibri"/>
          <w:i/>
          <w:iCs/>
          <w:color w:val="000000" w:themeColor="text1"/>
          <w:sz w:val="22"/>
          <w:szCs w:val="22"/>
        </w:rPr>
        <w:t>V1</w:t>
      </w:r>
    </w:p>
    <w:p w14:paraId="12FCCADE" w14:textId="5EEF81E1" w:rsidR="002072D0" w:rsidRPr="003E72FC" w:rsidRDefault="008A0D22" w:rsidP="008854BC">
      <w:pPr>
        <w:pStyle w:val="xmsonormal0"/>
        <w:spacing w:before="0" w:beforeAutospacing="0" w:after="0" w:afterAutospacing="0"/>
        <w:jc w:val="both"/>
        <w:rPr>
          <w:rFonts w:ascii="Calibri" w:hAnsi="Calibri" w:cs="Calibri"/>
          <w:color w:val="000000" w:themeColor="text1"/>
          <w:sz w:val="22"/>
          <w:szCs w:val="22"/>
        </w:rPr>
      </w:pPr>
      <w:r w:rsidRPr="003E72FC">
        <w:rPr>
          <w:rFonts w:ascii="Calibri" w:hAnsi="Calibri" w:cs="Calibri"/>
          <w:color w:val="000000" w:themeColor="text1"/>
          <w:sz w:val="22"/>
          <w:szCs w:val="22"/>
        </w:rPr>
        <w:t xml:space="preserve"> </w:t>
      </w:r>
    </w:p>
    <w:p w14:paraId="075BEDEE" w14:textId="1FA706FC" w:rsidR="00C40E02" w:rsidRPr="003E72FC" w:rsidRDefault="008A0D22" w:rsidP="008854BC">
      <w:pPr>
        <w:pStyle w:val="xmsonormal0"/>
        <w:spacing w:before="0" w:beforeAutospacing="0" w:after="0" w:afterAutospacing="0"/>
        <w:jc w:val="both"/>
        <w:rPr>
          <w:rFonts w:ascii="Calibri" w:hAnsi="Calibri" w:cs="Calibri"/>
          <w:color w:val="000000" w:themeColor="text1"/>
          <w:sz w:val="22"/>
          <w:szCs w:val="22"/>
        </w:rPr>
      </w:pPr>
      <w:r w:rsidRPr="003E72FC">
        <w:rPr>
          <w:rFonts w:ascii="Calibri" w:hAnsi="Calibri" w:cs="Calibri"/>
          <w:color w:val="000000" w:themeColor="text1"/>
          <w:sz w:val="22"/>
          <w:szCs w:val="22"/>
        </w:rPr>
        <w:t xml:space="preserve">A total of up to </w:t>
      </w:r>
      <w:r w:rsidR="005D693E" w:rsidRPr="003E72FC">
        <w:rPr>
          <w:rFonts w:ascii="Calibri" w:hAnsi="Calibri" w:cs="Calibri"/>
          <w:color w:val="000000" w:themeColor="text1"/>
          <w:sz w:val="22"/>
          <w:szCs w:val="22"/>
        </w:rPr>
        <w:t>1</w:t>
      </w:r>
      <w:r w:rsidR="0087093D" w:rsidRPr="003E72FC">
        <w:rPr>
          <w:rFonts w:ascii="Calibri" w:hAnsi="Calibri" w:cs="Calibri"/>
          <w:color w:val="000000" w:themeColor="text1"/>
          <w:sz w:val="22"/>
          <w:szCs w:val="22"/>
        </w:rPr>
        <w:t>5</w:t>
      </w:r>
      <w:r w:rsidR="005D693E" w:rsidRPr="003E72FC">
        <w:rPr>
          <w:rFonts w:ascii="Calibri" w:hAnsi="Calibri" w:cs="Calibri"/>
          <w:color w:val="000000" w:themeColor="text1"/>
          <w:sz w:val="22"/>
          <w:szCs w:val="22"/>
        </w:rPr>
        <w:t xml:space="preserve">0 </w:t>
      </w:r>
      <w:r w:rsidR="00286AB9" w:rsidRPr="003E72FC">
        <w:rPr>
          <w:rFonts w:ascii="Calibri" w:hAnsi="Calibri" w:cs="Calibri"/>
          <w:color w:val="000000" w:themeColor="text1"/>
          <w:sz w:val="22"/>
          <w:szCs w:val="22"/>
        </w:rPr>
        <w:t>participants</w:t>
      </w:r>
      <w:r w:rsidR="005D693E" w:rsidRPr="003E72FC">
        <w:rPr>
          <w:rFonts w:ascii="Calibri" w:hAnsi="Calibri" w:cs="Calibri"/>
          <w:color w:val="000000" w:themeColor="text1"/>
          <w:sz w:val="22"/>
          <w:szCs w:val="22"/>
        </w:rPr>
        <w:t xml:space="preserve"> will be </w:t>
      </w:r>
      <w:r w:rsidR="00FE640A" w:rsidRPr="003E72FC">
        <w:rPr>
          <w:rFonts w:ascii="Calibri" w:hAnsi="Calibri" w:cs="Calibri"/>
          <w:color w:val="000000" w:themeColor="text1"/>
          <w:sz w:val="22"/>
          <w:szCs w:val="22"/>
        </w:rPr>
        <w:t>tested</w:t>
      </w:r>
      <w:r w:rsidR="00F0123F" w:rsidRPr="003E72FC">
        <w:rPr>
          <w:rFonts w:ascii="Calibri" w:hAnsi="Calibri" w:cs="Calibri"/>
          <w:color w:val="000000" w:themeColor="text1"/>
          <w:sz w:val="22"/>
          <w:szCs w:val="22"/>
        </w:rPr>
        <w:t xml:space="preserve">.  Each participant will fit into one of the groups above.  </w:t>
      </w:r>
      <w:r w:rsidR="00286AB9" w:rsidRPr="003E72FC">
        <w:rPr>
          <w:rFonts w:ascii="Calibri" w:hAnsi="Calibri" w:cs="Calibri"/>
          <w:color w:val="000000" w:themeColor="text1"/>
          <w:sz w:val="22"/>
          <w:szCs w:val="22"/>
        </w:rPr>
        <w:t xml:space="preserve">  </w:t>
      </w:r>
      <w:r w:rsidR="00C6187E" w:rsidRPr="003E72FC">
        <w:rPr>
          <w:rFonts w:ascii="Calibri" w:hAnsi="Calibri" w:cs="Calibri"/>
          <w:color w:val="000000" w:themeColor="text1"/>
          <w:sz w:val="22"/>
          <w:szCs w:val="22"/>
        </w:rPr>
        <w:t xml:space="preserve">From these 150 participants </w:t>
      </w:r>
      <w:r w:rsidR="00CE16DA" w:rsidRPr="003E72FC">
        <w:rPr>
          <w:rFonts w:ascii="Calibri" w:hAnsi="Calibri" w:cs="Calibri"/>
          <w:color w:val="000000" w:themeColor="text1"/>
          <w:sz w:val="22"/>
          <w:szCs w:val="22"/>
        </w:rPr>
        <w:t>some will</w:t>
      </w:r>
      <w:r w:rsidR="00A821F9" w:rsidRPr="003E72FC">
        <w:rPr>
          <w:rFonts w:ascii="Calibri" w:hAnsi="Calibri" w:cs="Calibri"/>
          <w:color w:val="000000" w:themeColor="text1"/>
          <w:sz w:val="22"/>
          <w:szCs w:val="22"/>
        </w:rPr>
        <w:t xml:space="preserve"> provide only a single sample for T cell </w:t>
      </w:r>
      <w:r w:rsidR="002F1AC9" w:rsidRPr="003E72FC">
        <w:rPr>
          <w:rFonts w:ascii="Calibri" w:hAnsi="Calibri" w:cs="Calibri"/>
          <w:color w:val="000000" w:themeColor="text1"/>
          <w:sz w:val="22"/>
          <w:szCs w:val="22"/>
        </w:rPr>
        <w:t>responses, others will provide up to a maximum of three</w:t>
      </w:r>
      <w:r w:rsidR="00115887" w:rsidRPr="003E72FC">
        <w:rPr>
          <w:rFonts w:ascii="Calibri" w:hAnsi="Calibri" w:cs="Calibri"/>
          <w:color w:val="000000" w:themeColor="text1"/>
          <w:sz w:val="22"/>
          <w:szCs w:val="22"/>
        </w:rPr>
        <w:t xml:space="preserve"> samples</w:t>
      </w:r>
      <w:r w:rsidR="002F1AC9" w:rsidRPr="003E72FC">
        <w:rPr>
          <w:rFonts w:ascii="Calibri" w:hAnsi="Calibri" w:cs="Calibri"/>
          <w:color w:val="000000" w:themeColor="text1"/>
          <w:sz w:val="22"/>
          <w:szCs w:val="22"/>
        </w:rPr>
        <w:t>.</w:t>
      </w:r>
      <w:r w:rsidR="005D693E" w:rsidRPr="003E72FC">
        <w:rPr>
          <w:rFonts w:ascii="Calibri" w:hAnsi="Calibri" w:cs="Calibri"/>
          <w:color w:val="000000" w:themeColor="text1"/>
          <w:sz w:val="22"/>
          <w:szCs w:val="22"/>
        </w:rPr>
        <w:t xml:space="preserve"> </w:t>
      </w:r>
      <w:r w:rsidR="00F43703" w:rsidRPr="003E72FC">
        <w:rPr>
          <w:rFonts w:ascii="Calibri" w:hAnsi="Calibri" w:cs="Calibri"/>
          <w:color w:val="000000" w:themeColor="text1"/>
          <w:sz w:val="22"/>
          <w:szCs w:val="22"/>
        </w:rPr>
        <w:t xml:space="preserve">  </w:t>
      </w:r>
    </w:p>
    <w:p w14:paraId="6525EBB3" w14:textId="77777777" w:rsidR="00337F73" w:rsidRDefault="00337F73" w:rsidP="004C0DEC">
      <w:pPr>
        <w:spacing w:after="0"/>
        <w:rPr>
          <w:rFonts w:eastAsia="Times New Roman" w:cstheme="minorHAnsi"/>
          <w:color w:val="000000"/>
          <w:sz w:val="24"/>
          <w:szCs w:val="24"/>
        </w:rPr>
      </w:pPr>
    </w:p>
    <w:p w14:paraId="1BD18FFB" w14:textId="6E9F9908" w:rsidR="00AD04E0" w:rsidRDefault="009E5714" w:rsidP="004C0DEC">
      <w:pPr>
        <w:spacing w:after="0"/>
        <w:rPr>
          <w:rFonts w:eastAsia="Times New Roman" w:cstheme="minorHAnsi"/>
          <w:color w:val="000000"/>
        </w:rPr>
      </w:pPr>
      <w:r>
        <w:rPr>
          <w:rFonts w:eastAsia="Times New Roman" w:cstheme="minorHAnsi"/>
          <w:color w:val="000000"/>
        </w:rPr>
        <w:t xml:space="preserve">Recruitment to this study will be managed to achieve these goals, </w:t>
      </w:r>
      <w:r w:rsidR="00AD04E0">
        <w:rPr>
          <w:rFonts w:eastAsia="Times New Roman" w:cstheme="minorHAnsi"/>
          <w:color w:val="000000"/>
        </w:rPr>
        <w:t>while also ensuring equal distribution for age group and geographic region across time.</w:t>
      </w:r>
      <w:r w:rsidR="00A13861">
        <w:rPr>
          <w:rFonts w:eastAsia="Times New Roman" w:cstheme="minorHAnsi"/>
          <w:color w:val="000000"/>
        </w:rPr>
        <w:t xml:space="preserve">  For more detailed guidelines for how to recruit on a month by month basis please see the clinical study plan.</w:t>
      </w:r>
    </w:p>
    <w:p w14:paraId="7BBEC0D6" w14:textId="77777777" w:rsidR="00C75EF1" w:rsidRDefault="00C75EF1" w:rsidP="004C0DEC">
      <w:pPr>
        <w:spacing w:after="0"/>
        <w:rPr>
          <w:rFonts w:eastAsia="Times New Roman" w:cstheme="minorHAnsi"/>
          <w:color w:val="000000"/>
        </w:rPr>
      </w:pPr>
    </w:p>
    <w:p w14:paraId="078EE040" w14:textId="77777777" w:rsidR="00A17CCA" w:rsidRPr="004C0DEC" w:rsidRDefault="00A17CCA" w:rsidP="004C0DEC">
      <w:pPr>
        <w:spacing w:after="0" w:line="240" w:lineRule="auto"/>
        <w:rPr>
          <w:rFonts w:eastAsia="Times New Roman" w:cstheme="minorHAnsi"/>
          <w:color w:val="000000"/>
          <w:sz w:val="24"/>
          <w:szCs w:val="24"/>
        </w:rPr>
      </w:pPr>
    </w:p>
    <w:p w14:paraId="39EAFE39" w14:textId="5BB9B00A" w:rsidR="00BC3005" w:rsidRPr="000929A7" w:rsidRDefault="00BC3005" w:rsidP="000929A7">
      <w:pPr>
        <w:pStyle w:val="Heading2"/>
        <w:spacing w:before="0"/>
        <w:rPr>
          <w:b w:val="0"/>
        </w:rPr>
      </w:pPr>
      <w:bookmarkStart w:id="32" w:name="_Toc39235429"/>
      <w:bookmarkStart w:id="33" w:name="_Toc39235503"/>
      <w:bookmarkStart w:id="34" w:name="_Toc39235430"/>
      <w:bookmarkStart w:id="35" w:name="_Toc39235504"/>
      <w:bookmarkStart w:id="36" w:name="_Toc39235431"/>
      <w:bookmarkStart w:id="37" w:name="_Toc39235505"/>
      <w:bookmarkStart w:id="38" w:name="_Toc39235432"/>
      <w:bookmarkStart w:id="39" w:name="_Toc39235506"/>
      <w:bookmarkStart w:id="40" w:name="_Toc32432111"/>
      <w:bookmarkStart w:id="41" w:name="_Toc62129140"/>
      <w:bookmarkEnd w:id="32"/>
      <w:bookmarkEnd w:id="33"/>
      <w:bookmarkEnd w:id="34"/>
      <w:bookmarkEnd w:id="35"/>
      <w:bookmarkEnd w:id="36"/>
      <w:bookmarkEnd w:id="37"/>
      <w:bookmarkEnd w:id="38"/>
      <w:bookmarkEnd w:id="39"/>
      <w:r w:rsidRPr="000929A7">
        <w:t>Study Sites</w:t>
      </w:r>
      <w:bookmarkEnd w:id="40"/>
      <w:bookmarkEnd w:id="41"/>
    </w:p>
    <w:p w14:paraId="0727B304" w14:textId="6072826F" w:rsidR="00BC3005" w:rsidRDefault="00BC3005" w:rsidP="00BC3005">
      <w:r>
        <w:t xml:space="preserve">The study sites </w:t>
      </w:r>
      <w:r w:rsidR="00F96059">
        <w:t>will be</w:t>
      </w:r>
      <w:r>
        <w:t>:</w:t>
      </w:r>
    </w:p>
    <w:p w14:paraId="190B5FEC" w14:textId="37BDB533" w:rsidR="00BC3005" w:rsidRDefault="00BC3005" w:rsidP="00F444E5">
      <w:pPr>
        <w:pStyle w:val="ListParagraph"/>
        <w:numPr>
          <w:ilvl w:val="0"/>
          <w:numId w:val="7"/>
        </w:numPr>
      </w:pPr>
      <w:r>
        <w:t>University of Oxford</w:t>
      </w:r>
      <w:r w:rsidR="009F70ED">
        <w:t xml:space="preserve"> </w:t>
      </w:r>
    </w:p>
    <w:p w14:paraId="2A754519" w14:textId="290C970D" w:rsidR="00967769" w:rsidRDefault="009F70ED" w:rsidP="00F444E5">
      <w:pPr>
        <w:pStyle w:val="ListParagraph"/>
        <w:numPr>
          <w:ilvl w:val="0"/>
          <w:numId w:val="7"/>
        </w:numPr>
      </w:pPr>
      <w:r>
        <w:t xml:space="preserve">Sheffield Children’s Hospital NHS trust </w:t>
      </w:r>
    </w:p>
    <w:p w14:paraId="4ADFDF03" w14:textId="630B9128" w:rsidR="00967769" w:rsidRDefault="009F70ED" w:rsidP="00F444E5">
      <w:pPr>
        <w:pStyle w:val="ListParagraph"/>
        <w:numPr>
          <w:ilvl w:val="0"/>
          <w:numId w:val="7"/>
        </w:numPr>
      </w:pPr>
      <w:r>
        <w:lastRenderedPageBreak/>
        <w:t xml:space="preserve">Bradford Teaching Hospitals NHS Foundation Trust </w:t>
      </w:r>
    </w:p>
    <w:p w14:paraId="646B8E70" w14:textId="097B4824" w:rsidR="00BC3005" w:rsidRDefault="009F70ED" w:rsidP="00F444E5">
      <w:pPr>
        <w:pStyle w:val="ListParagraph"/>
        <w:numPr>
          <w:ilvl w:val="0"/>
          <w:numId w:val="7"/>
        </w:numPr>
      </w:pPr>
      <w:r>
        <w:t>Leeds teaching Hospitals NHS trust</w:t>
      </w:r>
    </w:p>
    <w:p w14:paraId="238A6118" w14:textId="77777777" w:rsidR="00F86C99" w:rsidRDefault="00F86C99" w:rsidP="00F444E5">
      <w:pPr>
        <w:pStyle w:val="ListParagraph"/>
        <w:numPr>
          <w:ilvl w:val="0"/>
          <w:numId w:val="7"/>
        </w:numPr>
      </w:pPr>
      <w:r>
        <w:t xml:space="preserve">University Hospitals Bristol NHS Foundation Trust </w:t>
      </w:r>
    </w:p>
    <w:p w14:paraId="11D3EFB2" w14:textId="0EBB920A" w:rsidR="00BC3005" w:rsidRDefault="00BC3005" w:rsidP="00F444E5">
      <w:pPr>
        <w:pStyle w:val="ListParagraph"/>
        <w:numPr>
          <w:ilvl w:val="0"/>
          <w:numId w:val="7"/>
        </w:numPr>
      </w:pPr>
      <w:r>
        <w:t>University of Southampton</w:t>
      </w:r>
      <w:r w:rsidR="009F70ED">
        <w:t xml:space="preserve"> NHS Foundation trust</w:t>
      </w:r>
    </w:p>
    <w:p w14:paraId="04C3CE99" w14:textId="1B3EB5BD" w:rsidR="00F96059" w:rsidRDefault="00F96059" w:rsidP="00F444E5">
      <w:pPr>
        <w:pStyle w:val="ListParagraph"/>
        <w:numPr>
          <w:ilvl w:val="0"/>
          <w:numId w:val="7"/>
        </w:numPr>
      </w:pPr>
      <w:r>
        <w:t>Royal Manchester Children’s Hospital</w:t>
      </w:r>
      <w:r w:rsidR="009F70ED">
        <w:t xml:space="preserve"> – Manchester University NHS trust</w:t>
      </w:r>
    </w:p>
    <w:p w14:paraId="0A9F310C" w14:textId="65A1C913" w:rsidR="00BC3005" w:rsidRDefault="00BC3005" w:rsidP="00F444E5">
      <w:pPr>
        <w:pStyle w:val="ListParagraph"/>
        <w:numPr>
          <w:ilvl w:val="0"/>
          <w:numId w:val="7"/>
        </w:numPr>
      </w:pPr>
      <w:r>
        <w:t xml:space="preserve">St George’s University </w:t>
      </w:r>
      <w:r w:rsidR="009F70ED">
        <w:t>Hospitals NHS Trust</w:t>
      </w:r>
    </w:p>
    <w:p w14:paraId="0AABC4A2" w14:textId="7F5AC0BD" w:rsidR="008351F1" w:rsidRDefault="008351F1" w:rsidP="00F444E5">
      <w:pPr>
        <w:pStyle w:val="ListParagraph"/>
        <w:numPr>
          <w:ilvl w:val="0"/>
          <w:numId w:val="7"/>
        </w:numPr>
      </w:pPr>
      <w:r>
        <w:t>University of Nottingham Health Service</w:t>
      </w:r>
    </w:p>
    <w:p w14:paraId="5CEFCFBA" w14:textId="303FFC39" w:rsidR="008351F1" w:rsidRDefault="06C11530" w:rsidP="00F444E5">
      <w:pPr>
        <w:pStyle w:val="ListParagraph"/>
        <w:numPr>
          <w:ilvl w:val="0"/>
          <w:numId w:val="7"/>
        </w:numPr>
      </w:pPr>
      <w:r>
        <w:t xml:space="preserve">University Hospitals </w:t>
      </w:r>
      <w:r w:rsidR="008351F1">
        <w:t>Plymouth  NHS Trust</w:t>
      </w:r>
    </w:p>
    <w:p w14:paraId="4130663B" w14:textId="77777777" w:rsidR="003E72FC" w:rsidRDefault="003E72FC" w:rsidP="00F444E5">
      <w:pPr>
        <w:pStyle w:val="ListParagraph"/>
        <w:numPr>
          <w:ilvl w:val="0"/>
          <w:numId w:val="7"/>
        </w:numPr>
        <w:spacing w:after="0"/>
      </w:pPr>
      <w:r>
        <w:t>The Newcastle Upon Tyne Hospitals NHS Foundation Trust</w:t>
      </w:r>
    </w:p>
    <w:p w14:paraId="78CEC0FE" w14:textId="77777777" w:rsidR="003E72FC" w:rsidRPr="00636EEE" w:rsidRDefault="003E72FC" w:rsidP="00F444E5">
      <w:pPr>
        <w:pStyle w:val="ListParagraph"/>
        <w:numPr>
          <w:ilvl w:val="0"/>
          <w:numId w:val="7"/>
        </w:numPr>
      </w:pPr>
      <w:r w:rsidRPr="3CD39FC8">
        <w:rPr>
          <w:rFonts w:ascii="Calibri" w:hAnsi="Calibri" w:cs="Calibri"/>
          <w:color w:val="000000" w:themeColor="text1"/>
        </w:rPr>
        <w:t>Imperial College Healthcare NHS Trust</w:t>
      </w:r>
    </w:p>
    <w:p w14:paraId="21BBEAEE" w14:textId="3E36FBC5" w:rsidR="003E72FC" w:rsidRDefault="003E72FC" w:rsidP="00F444E5">
      <w:pPr>
        <w:pStyle w:val="ListParagraph"/>
        <w:numPr>
          <w:ilvl w:val="0"/>
          <w:numId w:val="7"/>
        </w:numPr>
      </w:pPr>
      <w:r w:rsidRPr="00D14D37">
        <w:t>West Suffolk NHS Foundation Trust</w:t>
      </w:r>
    </w:p>
    <w:p w14:paraId="103C3FCF" w14:textId="6FACBA16" w:rsidR="0016514E" w:rsidRDefault="00EE2A0C" w:rsidP="003B3348">
      <w:r>
        <w:t xml:space="preserve">Note that the Sheffield, Leeds and Bradford sites are collectively considered the </w:t>
      </w:r>
      <w:r w:rsidR="0016514E">
        <w:t>‘</w:t>
      </w:r>
      <w:r>
        <w:t>Yorkshire and Humber region</w:t>
      </w:r>
      <w:r w:rsidR="0016514E">
        <w:t>’</w:t>
      </w:r>
      <w:r w:rsidR="00645631">
        <w:t xml:space="preserve"> for purposes of recruitment numbers.</w:t>
      </w:r>
      <w:r w:rsidR="0016514E">
        <w:t xml:space="preserve"> Nottingham and Plymouth will </w:t>
      </w:r>
      <w:r w:rsidR="003E72FC">
        <w:t xml:space="preserve">not </w:t>
      </w:r>
      <w:r w:rsidR="0016514E">
        <w:t xml:space="preserve">be recruiting to Group </w:t>
      </w:r>
      <w:r w:rsidR="003E72FC">
        <w:t>1</w:t>
      </w:r>
      <w:r w:rsidR="0016514E">
        <w:t xml:space="preserve">. </w:t>
      </w:r>
    </w:p>
    <w:p w14:paraId="7C98553A" w14:textId="419EBB00" w:rsidR="00EC6DE1" w:rsidRDefault="00EC6DE1" w:rsidP="008854BC">
      <w:pPr>
        <w:jc w:val="both"/>
      </w:pPr>
      <w:r>
        <w:t>GP practices</w:t>
      </w:r>
      <w:r w:rsidR="00414F27">
        <w:t xml:space="preserve"> and Pharmacies</w:t>
      </w:r>
      <w:r>
        <w:t xml:space="preserve"> located in the same </w:t>
      </w:r>
      <w:r w:rsidR="00196027">
        <w:t>regions</w:t>
      </w:r>
      <w:r>
        <w:t xml:space="preserve"> as</w:t>
      </w:r>
      <w:r w:rsidR="00B5438B">
        <w:t xml:space="preserve"> the participating</w:t>
      </w:r>
      <w:r>
        <w:t xml:space="preserve"> sites can be added as P</w:t>
      </w:r>
      <w:r w:rsidRPr="00EC6DE1">
        <w:t>articipant Identification Centres</w:t>
      </w:r>
      <w:r>
        <w:t xml:space="preserve"> in order to facilitate with recruitment.</w:t>
      </w:r>
    </w:p>
    <w:p w14:paraId="18294160" w14:textId="77777777" w:rsidR="00BC3005" w:rsidRPr="000929A7" w:rsidRDefault="00BC3005" w:rsidP="000929A7">
      <w:pPr>
        <w:pStyle w:val="Heading2"/>
        <w:spacing w:before="0"/>
        <w:rPr>
          <w:b w:val="0"/>
        </w:rPr>
      </w:pPr>
      <w:bookmarkStart w:id="42" w:name="_Toc32432112"/>
      <w:bookmarkStart w:id="43" w:name="_Toc62129141"/>
      <w:r w:rsidRPr="000929A7">
        <w:t>Identification of individuals</w:t>
      </w:r>
      <w:bookmarkEnd w:id="42"/>
      <w:bookmarkEnd w:id="43"/>
    </w:p>
    <w:p w14:paraId="061FC8B1" w14:textId="7AC2DD80" w:rsidR="00204319" w:rsidRPr="00204319" w:rsidRDefault="00204319" w:rsidP="00BC3005">
      <w:r w:rsidRPr="00204319">
        <w:t>Refer to section 9.1</w:t>
      </w:r>
    </w:p>
    <w:p w14:paraId="179582F5" w14:textId="587DC1A7" w:rsidR="00BC3005" w:rsidRPr="000929A7" w:rsidRDefault="00BC3005" w:rsidP="000929A7">
      <w:pPr>
        <w:pStyle w:val="Heading2"/>
        <w:spacing w:before="0"/>
        <w:rPr>
          <w:b w:val="0"/>
        </w:rPr>
      </w:pPr>
      <w:bookmarkStart w:id="44" w:name="_Toc32432113"/>
      <w:bookmarkStart w:id="45" w:name="_Toc62129142"/>
      <w:r w:rsidRPr="000929A7">
        <w:t>Sample Size</w:t>
      </w:r>
      <w:bookmarkEnd w:id="44"/>
      <w:bookmarkEnd w:id="45"/>
      <w:r w:rsidRPr="000929A7">
        <w:t xml:space="preserve"> </w:t>
      </w:r>
    </w:p>
    <w:p w14:paraId="1A288D5E" w14:textId="5109361F" w:rsidR="00660530" w:rsidRDefault="004C0DEC" w:rsidP="003413DF">
      <w:pPr>
        <w:jc w:val="both"/>
      </w:pPr>
      <w:r>
        <w:t>2800 to</w:t>
      </w:r>
      <w:r w:rsidR="00660530" w:rsidRPr="007E400E">
        <w:t xml:space="preserve"> 3</w:t>
      </w:r>
      <w:r w:rsidR="003E72FC">
        <w:t>8</w:t>
      </w:r>
      <w:r w:rsidR="00660530" w:rsidRPr="007E400E">
        <w:t xml:space="preserve">00 participants, </w:t>
      </w:r>
      <w:r w:rsidR="00843C7F" w:rsidRPr="007E400E">
        <w:t>to provide blood</w:t>
      </w:r>
      <w:r w:rsidR="005C393D">
        <w:t xml:space="preserve"> +/- saliva</w:t>
      </w:r>
      <w:r w:rsidR="00843C7F" w:rsidRPr="007E400E">
        <w:t xml:space="preserve"> samples as per section 7.1.</w:t>
      </w:r>
      <w:r w:rsidR="003E72FC">
        <w:t xml:space="preserve"> This will include up to 300 participants specifically recruited to enhance representation of participants from Black, Asian and Minority ethnic groups with at least 100 from the Black/ African/ Caribbean/Black British community.</w:t>
      </w:r>
    </w:p>
    <w:p w14:paraId="5A8C092D" w14:textId="732102B9" w:rsidR="001D29DB" w:rsidRPr="007E400E" w:rsidRDefault="001D29DB" w:rsidP="003413DF">
      <w:pPr>
        <w:jc w:val="both"/>
      </w:pPr>
      <w:r>
        <w:t xml:space="preserve">Additional samples </w:t>
      </w:r>
      <w:r w:rsidR="000A2C9B">
        <w:t>can</w:t>
      </w:r>
      <w:r>
        <w:t xml:space="preserve"> be </w:t>
      </w:r>
      <w:r w:rsidR="000A2C9B">
        <w:t>received from</w:t>
      </w:r>
      <w:r>
        <w:t xml:space="preserve"> other ethically approved research proje</w:t>
      </w:r>
      <w:r w:rsidR="000A2C9B">
        <w:t xml:space="preserve">cts </w:t>
      </w:r>
      <w:r>
        <w:t>with the appropriate contractual arrangements in place</w:t>
      </w:r>
      <w:r w:rsidR="000A2C9B">
        <w:t xml:space="preserve"> provided that the participants have consented for the use of their samples outside of the study. </w:t>
      </w:r>
    </w:p>
    <w:p w14:paraId="4B75C3DE" w14:textId="77777777" w:rsidR="00BC3005" w:rsidRPr="000929A7" w:rsidRDefault="00BC3005" w:rsidP="000929A7">
      <w:pPr>
        <w:pStyle w:val="Heading2"/>
        <w:spacing w:before="0"/>
        <w:rPr>
          <w:b w:val="0"/>
        </w:rPr>
      </w:pPr>
      <w:bookmarkStart w:id="46" w:name="_Toc39235436"/>
      <w:bookmarkStart w:id="47" w:name="_Toc39235510"/>
      <w:bookmarkStart w:id="48" w:name="_Toc39235437"/>
      <w:bookmarkStart w:id="49" w:name="_Toc39235511"/>
      <w:bookmarkStart w:id="50" w:name="_Toc39235438"/>
      <w:bookmarkStart w:id="51" w:name="_Toc39235512"/>
      <w:bookmarkStart w:id="52" w:name="_Toc39235439"/>
      <w:bookmarkStart w:id="53" w:name="_Toc39235513"/>
      <w:bookmarkStart w:id="54" w:name="_Toc39235440"/>
      <w:bookmarkStart w:id="55" w:name="_Toc39235514"/>
      <w:bookmarkStart w:id="56" w:name="_Toc32432114"/>
      <w:bookmarkStart w:id="57" w:name="_Toc62129143"/>
      <w:bookmarkEnd w:id="46"/>
      <w:bookmarkEnd w:id="47"/>
      <w:bookmarkEnd w:id="48"/>
      <w:bookmarkEnd w:id="49"/>
      <w:bookmarkEnd w:id="50"/>
      <w:bookmarkEnd w:id="51"/>
      <w:bookmarkEnd w:id="52"/>
      <w:bookmarkEnd w:id="53"/>
      <w:bookmarkEnd w:id="54"/>
      <w:bookmarkEnd w:id="55"/>
      <w:r w:rsidRPr="000929A7">
        <w:t>Collection of samples</w:t>
      </w:r>
      <w:bookmarkEnd w:id="56"/>
      <w:bookmarkEnd w:id="57"/>
    </w:p>
    <w:p w14:paraId="50A037A0" w14:textId="6417D4B3" w:rsidR="00BC3005" w:rsidRPr="000929A7" w:rsidRDefault="0041013E" w:rsidP="000929A7">
      <w:pPr>
        <w:jc w:val="both"/>
      </w:pPr>
      <w:r>
        <w:t>Blood (and, if applicable, saliva)</w:t>
      </w:r>
      <w:r w:rsidR="00754615">
        <w:t xml:space="preserve"> samples will be collected in specially </w:t>
      </w:r>
      <w:r w:rsidR="00B87056">
        <w:t xml:space="preserve">designated </w:t>
      </w:r>
      <w:r w:rsidR="00754615">
        <w:t>clinics</w:t>
      </w:r>
      <w:r w:rsidR="00EE2A0C">
        <w:t xml:space="preserve"> or home visits</w:t>
      </w:r>
      <w:r w:rsidR="00754615">
        <w:t xml:space="preserve">. </w:t>
      </w:r>
      <w:r w:rsidR="00BC3005">
        <w:t xml:space="preserve">This approach may be adapted to suit different age groups depending on local needs. For example, home visits may increase the response rate for preschool children, whilst </w:t>
      </w:r>
      <w:r w:rsidR="00B87056">
        <w:t xml:space="preserve">specially designated clinics </w:t>
      </w:r>
      <w:r w:rsidR="00F96059">
        <w:t xml:space="preserve">run during school holiday periods or weekends may be appropriate for school aged children. </w:t>
      </w:r>
      <w:r w:rsidR="00BC3005">
        <w:t xml:space="preserve"> </w:t>
      </w:r>
      <w:r w:rsidR="002B022D">
        <w:t>Collection of samples will take into account infection control measures in place in response to the COVID-19 outbreak, as outlined in the Clinical Study Plan.</w:t>
      </w:r>
    </w:p>
    <w:p w14:paraId="2D82D9FB" w14:textId="77777777" w:rsidR="00BC3005" w:rsidRPr="000929A7" w:rsidRDefault="00BC3005" w:rsidP="000929A7">
      <w:pPr>
        <w:pStyle w:val="Heading2"/>
        <w:spacing w:before="0"/>
        <w:rPr>
          <w:b w:val="0"/>
        </w:rPr>
      </w:pPr>
      <w:bookmarkStart w:id="58" w:name="_Toc32432115"/>
      <w:bookmarkStart w:id="59" w:name="_Toc62129144"/>
      <w:r w:rsidRPr="000929A7">
        <w:t>Questionnaire &amp; Vaccination History</w:t>
      </w:r>
      <w:bookmarkEnd w:id="58"/>
      <w:bookmarkEnd w:id="59"/>
    </w:p>
    <w:p w14:paraId="0FF13865" w14:textId="363DB8D9" w:rsidR="00BC3005" w:rsidRDefault="00BC3005" w:rsidP="003413DF">
      <w:pPr>
        <w:jc w:val="both"/>
      </w:pPr>
      <w:r>
        <w:t>Basic demographic characteristics will be collected by questionnaire</w:t>
      </w:r>
      <w:r w:rsidR="00015405">
        <w:t xml:space="preserve"> and/or </w:t>
      </w:r>
      <w:r w:rsidR="008B059E">
        <w:t>case report form (</w:t>
      </w:r>
      <w:r w:rsidR="00015405">
        <w:t>CRF</w:t>
      </w:r>
      <w:r w:rsidR="008B059E">
        <w:t>)</w:t>
      </w:r>
      <w:r>
        <w:t xml:space="preserve"> and </w:t>
      </w:r>
      <w:r w:rsidR="00851D55">
        <w:t xml:space="preserve">will </w:t>
      </w:r>
      <w:r>
        <w:t xml:space="preserve">include:  gender, GP details, ethnic group, </w:t>
      </w:r>
      <w:r w:rsidR="00851D55">
        <w:t xml:space="preserve">association with communities of special interest (e.g. faith communities) </w:t>
      </w:r>
      <w:r w:rsidRPr="00441895">
        <w:t>household income</w:t>
      </w:r>
      <w:r w:rsidR="001B7998">
        <w:t>,</w:t>
      </w:r>
      <w:r>
        <w:t xml:space="preserve"> vaccination history</w:t>
      </w:r>
      <w:r w:rsidR="001B7998">
        <w:t xml:space="preserve"> and </w:t>
      </w:r>
      <w:r w:rsidR="002B022D">
        <w:t xml:space="preserve">personal and household </w:t>
      </w:r>
      <w:r w:rsidR="001B7998">
        <w:t xml:space="preserve">history of recent respiratory </w:t>
      </w:r>
      <w:r w:rsidR="00F711BD">
        <w:t xml:space="preserve">or coronavirus </w:t>
      </w:r>
      <w:r w:rsidR="001B7998">
        <w:t>infections</w:t>
      </w:r>
      <w:r>
        <w:t xml:space="preserve">. </w:t>
      </w:r>
    </w:p>
    <w:p w14:paraId="340D35BC" w14:textId="41F48DE2" w:rsidR="00BC3005" w:rsidRDefault="00BC3005" w:rsidP="003413DF">
      <w:pPr>
        <w:jc w:val="both"/>
      </w:pPr>
      <w:r>
        <w:t xml:space="preserve">Vaccination history </w:t>
      </w:r>
      <w:r w:rsidR="00851D55">
        <w:t xml:space="preserve">will </w:t>
      </w:r>
      <w:r>
        <w:t xml:space="preserve">be verified during serum sample collection using the Red Book or </w:t>
      </w:r>
      <w:r w:rsidR="00851D55">
        <w:t xml:space="preserve">other </w:t>
      </w:r>
      <w:r>
        <w:t>vaccination records</w:t>
      </w:r>
      <w:r w:rsidR="00851D55">
        <w:t>, or checking with the general practi</w:t>
      </w:r>
      <w:r w:rsidR="00D03709">
        <w:t>ti</w:t>
      </w:r>
      <w:r w:rsidR="00851D55">
        <w:t>oner o</w:t>
      </w:r>
      <w:r w:rsidR="00D03709">
        <w:t>r the Child H</w:t>
      </w:r>
      <w:r w:rsidR="00851D55">
        <w:t xml:space="preserve">ealth </w:t>
      </w:r>
      <w:r w:rsidR="003E72FC">
        <w:t xml:space="preserve">Information </w:t>
      </w:r>
      <w:r w:rsidR="00D03709">
        <w:t>Service (CHIS) database</w:t>
      </w:r>
      <w:r w:rsidR="00A56DCE">
        <w:t>.</w:t>
      </w:r>
      <w:r w:rsidR="00D03709">
        <w:t xml:space="preserve"> Where possible this will include</w:t>
      </w:r>
      <w:r>
        <w:t xml:space="preserve"> batch information for diphtheria pre-school booster to determine which specific product was received. </w:t>
      </w:r>
    </w:p>
    <w:p w14:paraId="4C71DCE7" w14:textId="08FF844E" w:rsidR="002B022D" w:rsidRPr="00AB600E" w:rsidRDefault="00BC3005" w:rsidP="003413DF">
      <w:pPr>
        <w:jc w:val="both"/>
      </w:pPr>
      <w:r>
        <w:lastRenderedPageBreak/>
        <w:t>Contemporaneous vaccination history can also be obtained from CHIS for children aged 0 –</w:t>
      </w:r>
      <w:r w:rsidR="009B6BD2">
        <w:t>5</w:t>
      </w:r>
      <w:r w:rsidR="00A56DCE">
        <w:t xml:space="preserve"> </w:t>
      </w:r>
      <w:r w:rsidR="00000089">
        <w:t>years</w:t>
      </w:r>
      <w:r>
        <w:t>, and historical vaccination history can be obtained via GP records in participants aged 2 – 2</w:t>
      </w:r>
      <w:r w:rsidR="00F86C99">
        <w:t>4</w:t>
      </w:r>
      <w:r w:rsidR="00000089">
        <w:t xml:space="preserve"> years</w:t>
      </w:r>
      <w:r>
        <w:t xml:space="preserve">. It is however acknowledged that the quality and completeness of vaccination history in GP records varies from practice to practice, particularly in older age groups that may have been vaccinated at a different practice or at school.       </w:t>
      </w:r>
    </w:p>
    <w:p w14:paraId="36CB60DF" w14:textId="33501B90" w:rsidR="00F96059" w:rsidRDefault="00F96059" w:rsidP="000929A7">
      <w:pPr>
        <w:pStyle w:val="Heading2"/>
        <w:spacing w:before="0"/>
      </w:pPr>
      <w:bookmarkStart w:id="60" w:name="_Toc32432116"/>
      <w:bookmarkStart w:id="61" w:name="_Toc62129145"/>
      <w:r>
        <w:t>Compensation</w:t>
      </w:r>
      <w:bookmarkEnd w:id="60"/>
      <w:bookmarkEnd w:id="61"/>
    </w:p>
    <w:p w14:paraId="233E20E8" w14:textId="14E5C6B9" w:rsidR="00F96059" w:rsidRDefault="00BC3005" w:rsidP="003413DF">
      <w:pPr>
        <w:jc w:val="both"/>
      </w:pPr>
      <w:r>
        <w:t xml:space="preserve">Participants will be offered </w:t>
      </w:r>
      <w:r w:rsidR="00FA1960">
        <w:t xml:space="preserve">a </w:t>
      </w:r>
      <w:r>
        <w:t>£20</w:t>
      </w:r>
      <w:r w:rsidR="00967769">
        <w:t xml:space="preserve"> voucher</w:t>
      </w:r>
      <w:r>
        <w:t xml:space="preserve"> </w:t>
      </w:r>
      <w:r w:rsidR="003D6731">
        <w:t xml:space="preserve">per visit </w:t>
      </w:r>
      <w:r w:rsidR="00FA1960">
        <w:t xml:space="preserve">as </w:t>
      </w:r>
      <w:r w:rsidR="00795680">
        <w:t xml:space="preserve">reimbursement </w:t>
      </w:r>
      <w:r>
        <w:t xml:space="preserve">for </w:t>
      </w:r>
      <w:r w:rsidR="0059552F">
        <w:t xml:space="preserve">travelling to the </w:t>
      </w:r>
      <w:r>
        <w:t>study</w:t>
      </w:r>
      <w:r w:rsidR="00CD6462">
        <w:t xml:space="preserve"> clinic</w:t>
      </w:r>
      <w:r>
        <w:t>.</w:t>
      </w:r>
      <w:r w:rsidR="00CD6462">
        <w:t xml:space="preserve">  If they are seen at home there will be no </w:t>
      </w:r>
      <w:r w:rsidR="00795680">
        <w:t>reimbursement</w:t>
      </w:r>
      <w:r w:rsidR="00CD6462">
        <w:t>.</w:t>
      </w:r>
      <w:r>
        <w:t xml:space="preserve"> </w:t>
      </w:r>
      <w:r w:rsidR="00CD6462">
        <w:t xml:space="preserve"> </w:t>
      </w:r>
      <w:r>
        <w:t xml:space="preserve">Based on the average EU income levels, the European Society for Paediatric Gastroenterology Hepatology and Nutrition (ESPGHAN) suggest that an incentive of up to the value of 30 Euros is considered acceptable for children and adolescents, and may be offered as cash, vouchers or gifts or toys </w:t>
      </w:r>
      <w:r>
        <w:fldChar w:fldCharType="begin"/>
      </w:r>
      <w:r w:rsidR="00457652">
        <w:instrText xml:space="preserve"> ADDIN EN.CITE &lt;EndNote&gt;&lt;Cite&gt;&lt;Author&gt;Mis&lt;/Author&gt;&lt;Year&gt;2018&lt;/Year&gt;&lt;RecNum&gt;9&lt;/RecNum&gt;&lt;DisplayText&gt;(Mis et al., 2018)&lt;/DisplayText&gt;&lt;record&gt;&lt;rec-number&gt;9&lt;/rec-number&gt;&lt;foreign-keys&gt;&lt;key app="EN" db-id="eea25atsxz2demewsayppzfcwattxtrsw55s" timestamp="1540202062"&gt;9&lt;/key&gt;&lt;/foreign-keys&gt;&lt;ref-type name="Journal Article"&gt;17&lt;/ref-type&gt;&lt;contributors&gt;&lt;authors&gt;&lt;author&gt;Mis, N. F.&lt;/author&gt;&lt;author&gt;Kennedy, K.&lt;/author&gt;&lt;author&gt;Fewtrell, M.&lt;/author&gt;&lt;author&gt;Campoy, C.&lt;/author&gt;&lt;author&gt;Koletzko, B.&lt;/author&gt;&lt;/authors&gt;&lt;/contributors&gt;&lt;auth-address&gt;Department of Gastroenterology, Hepatology and Nutrition, University Children&amp;apos;s Hospital, University Medical Centre Ljubljana, Slovenia.&amp;#xD;Childhood Nutrition Research Centre, UCL GOS Institute of Child Health, London, UK.&amp;#xD;Department of Paediatrics, University of Granada, Granada, Spain.&amp;#xD;LMU - Ludwig-Maximilians-Universitat Munich, Dr. von Hauner Children&amp;apos;s Hospital, Div. Metabolic and Nutritional Medicine, University of Munich Medical Center, Munich, Germany.&lt;/auth-address&gt;&lt;titles&gt;&lt;title&gt;The Role of Incentives in Long-Term Nutritional and Growth Studies in Children&lt;/title&gt;&lt;secondary-title&gt;J Pediatr Gastroenterol Nutr&lt;/secondary-title&gt;&lt;alt-title&gt;Journal of pediatric gastroenterology and nutrition&lt;/alt-title&gt;&lt;/titles&gt;&lt;periodical&gt;&lt;full-title&gt;J Pediatr Gastroenterol Nutr&lt;/full-title&gt;&lt;abbr-1&gt;Journal of pediatric gastroenterology and nutrition&lt;/abbr-1&gt;&lt;/periodical&gt;&lt;alt-periodical&gt;&lt;full-title&gt;J Pediatr Gastroenterol Nutr&lt;/full-title&gt;&lt;abbr-1&gt;Journal of pediatric gastroenterology and nutrition&lt;/abbr-1&gt;&lt;/alt-periodical&gt;&lt;edition&gt;2018/09/21&lt;/edition&gt;&lt;dates&gt;&lt;year&gt;2018&lt;/year&gt;&lt;pub-dates&gt;&lt;date&gt;Sep 18&lt;/date&gt;&lt;/pub-dates&gt;&lt;/dates&gt;&lt;isbn&gt;0277-2116&lt;/isbn&gt;&lt;accession-num&gt;30234757&lt;/accession-num&gt;&lt;urls&gt;&lt;/urls&gt;&lt;electronic-resource-num&gt;10.1097/mpg.0000000000002143&lt;/electronic-resource-num&gt;&lt;remote-database-provider&gt;NLM&lt;/remote-database-provider&gt;&lt;language&gt;eng&lt;/language&gt;&lt;/record&gt;&lt;/Cite&gt;&lt;/EndNote&gt;</w:instrText>
      </w:r>
      <w:r>
        <w:fldChar w:fldCharType="separate"/>
      </w:r>
      <w:r w:rsidR="00457652">
        <w:rPr>
          <w:noProof/>
        </w:rPr>
        <w:t>(Mis et al., 2018)</w:t>
      </w:r>
      <w:r>
        <w:fldChar w:fldCharType="end"/>
      </w:r>
      <w:r>
        <w:t>.</w:t>
      </w:r>
      <w:r>
        <w:fldChar w:fldCharType="begin"/>
      </w:r>
      <w:r w:rsidR="00D36E5F">
        <w:instrText xml:space="preserve"> ADDIN EN.CITE &lt;EndNote&gt;&lt;Cite&gt;&lt;Author&gt;Mis&lt;/Author&gt;&lt;Year&gt;2018&lt;/Year&gt;&lt;RecNum&gt;9&lt;/RecNum&gt;&lt;DisplayText&gt;(Mis et al., 2018)&lt;/DisplayText&gt;&lt;record&gt;&lt;rec-number&gt;9&lt;/rec-number&gt;&lt;foreign-keys&gt;&lt;key app="EN" db-id="eea25atsxz2demewsayppzfcwattxtrsw55s" timestamp="1540202062"&gt;9&lt;/key&gt;&lt;/foreign-keys&gt;&lt;ref-type name="Journal Article"&gt;17&lt;/ref-type&gt;&lt;contributors&gt;&lt;authors&gt;&lt;author&gt;Mis, N. F.&lt;/author&gt;&lt;author&gt;Kennedy, K.&lt;/author&gt;&lt;author&gt;Fewtrell, M.&lt;/author&gt;&lt;author&gt;Campoy, C.&lt;/author&gt;&lt;author&gt;Koletzko, B.&lt;/author&gt;&lt;/authors&gt;&lt;/contributors&gt;&lt;auth-address&gt;Department of Gastroenterology, Hepatology and Nutrition, University Children&amp;apos;s Hospital, University Medical Centre Ljubljana, Slovenia.&amp;#xD;Childhood Nutrition Research Centre, UCL GOS Institute of Child Health, London, UK.&amp;#xD;Department of Paediatrics, University of Granada, Granada, Spain.&amp;#xD;LMU - Ludwig-Maximilians-Universitat Munich, Dr. von Hauner Children&amp;apos;s Hospital, Div. Metabolic and Nutritional Medicine, University of Munich Medical Center, Munich, Germany.&lt;/auth-address&gt;&lt;titles&gt;&lt;title&gt;The Role of Incentives in Long-Term Nutritional and Growth Studies in Children&lt;/title&gt;&lt;secondary-title&gt;J Pediatr Gastroenterol Nutr&lt;/secondary-title&gt;&lt;alt-title&gt;Journal of pediatric gastroenterology and nutrition&lt;/alt-title&gt;&lt;/titles&gt;&lt;periodical&gt;&lt;full-title&gt;J Pediatr Gastroenterol Nutr&lt;/full-title&gt;&lt;abbr-1&gt;Journal of pediatric gastroenterology and nutrition&lt;/abbr-1&gt;&lt;/periodical&gt;&lt;alt-periodical&gt;&lt;full-title&gt;J Pediatr Gastroenterol Nutr&lt;/full-title&gt;&lt;abbr-1&gt;Journal of pediatric gastroenterology and nutrition&lt;/abbr-1&gt;&lt;/alt-periodical&gt;&lt;edition&gt;2018/09/21&lt;/edition&gt;&lt;dates&gt;&lt;year&gt;2018&lt;/year&gt;&lt;pub-dates&gt;&lt;date&gt;Sep 18&lt;/date&gt;&lt;/pub-dates&gt;&lt;/dates&gt;&lt;isbn&gt;0277-2116&lt;/isbn&gt;&lt;accession-num&gt;30234757&lt;/accession-num&gt;&lt;urls&gt;&lt;/urls&gt;&lt;electronic-resource-num&gt;10.1097/mpg.0000000000002143&lt;/electronic-resource-num&gt;&lt;remote-database-provider&gt;NLM&lt;/remote-database-provider&gt;&lt;language&gt;eng&lt;/language&gt;&lt;/record&gt;&lt;/Cite&gt;&lt;/EndNote&gt;</w:instrText>
      </w:r>
      <w:r>
        <w:fldChar w:fldCharType="end"/>
      </w:r>
      <w:r w:rsidR="00D36E5F">
        <w:t>(Mis et al., 2018)</w:t>
      </w:r>
      <w:r>
        <w:t xml:space="preserve"> Other studies in adolescent age groups in the UK have had approval to use £10 book vouchers, and incentives such as these, or age appropriate gifts or toys would be preferable to cash for recruiting adolescents and younger children. </w:t>
      </w:r>
    </w:p>
    <w:p w14:paraId="723F6AB6" w14:textId="5893D5E0" w:rsidR="00F96059" w:rsidRPr="000929A7" w:rsidRDefault="00D03709" w:rsidP="000929A7">
      <w:pPr>
        <w:pStyle w:val="Heading2"/>
        <w:spacing w:before="0"/>
        <w:rPr>
          <w:b w:val="0"/>
        </w:rPr>
      </w:pPr>
      <w:bookmarkStart w:id="62" w:name="_Toc32432117"/>
      <w:bookmarkStart w:id="63" w:name="_Toc62129146"/>
      <w:r w:rsidRPr="000929A7">
        <w:t xml:space="preserve">Comparison with </w:t>
      </w:r>
      <w:r w:rsidR="00F96059" w:rsidRPr="000929A7">
        <w:t>Residual Serum Samples</w:t>
      </w:r>
      <w:bookmarkEnd w:id="62"/>
      <w:bookmarkEnd w:id="63"/>
    </w:p>
    <w:p w14:paraId="0E41C281" w14:textId="4A43C1F5" w:rsidR="00F96059" w:rsidRPr="003413DF" w:rsidRDefault="00D03709" w:rsidP="003413DF">
      <w:pPr>
        <w:jc w:val="both"/>
      </w:pPr>
      <w:r w:rsidRPr="003413DF">
        <w:t xml:space="preserve">Data collected in this study will be compared with that obtained in the </w:t>
      </w:r>
      <w:r w:rsidR="0085655B" w:rsidRPr="003413DF">
        <w:t xml:space="preserve">anonymised residual serum </w:t>
      </w:r>
      <w:r w:rsidR="00F96059" w:rsidRPr="003413DF">
        <w:t>samples collected</w:t>
      </w:r>
      <w:r w:rsidR="0085655B" w:rsidRPr="003413DF">
        <w:t xml:space="preserve"> </w:t>
      </w:r>
      <w:r w:rsidR="00F96059" w:rsidRPr="003413DF">
        <w:t>in 2019 from individuals aged 0 – 2</w:t>
      </w:r>
      <w:r w:rsidR="00C46789" w:rsidRPr="003413DF">
        <w:t>4</w:t>
      </w:r>
      <w:r w:rsidR="00F96059" w:rsidRPr="003413DF">
        <w:t xml:space="preserve"> years </w:t>
      </w:r>
      <w:r w:rsidR="0085655B" w:rsidRPr="003413DF">
        <w:t xml:space="preserve">by the PHE </w:t>
      </w:r>
      <w:proofErr w:type="spellStart"/>
      <w:r w:rsidR="0085655B" w:rsidRPr="003413DF">
        <w:t>seroepidemiology</w:t>
      </w:r>
      <w:proofErr w:type="spellEnd"/>
      <w:r w:rsidR="0085655B" w:rsidRPr="003413DF">
        <w:t xml:space="preserve"> unit from participating laboratories </w:t>
      </w:r>
      <w:r w:rsidR="00F96059" w:rsidRPr="003413DF">
        <w:t xml:space="preserve">across </w:t>
      </w:r>
      <w:r w:rsidR="00EE1322">
        <w:t>England</w:t>
      </w:r>
      <w:r w:rsidR="0085655B" w:rsidRPr="003413DF">
        <w:t>.</w:t>
      </w:r>
      <w:r w:rsidR="00F96059" w:rsidRPr="003413DF">
        <w:t xml:space="preserve"> </w:t>
      </w:r>
      <w:r w:rsidR="004A7D4C" w:rsidRPr="003413DF">
        <w:t xml:space="preserve">These </w:t>
      </w:r>
      <w:r w:rsidR="00F96059" w:rsidRPr="003413DF">
        <w:t xml:space="preserve">will be used as the basis of comparisons between immune responses measured through residual sample testing and through the active sample collection outlined in this protocol. </w:t>
      </w:r>
      <w:r w:rsidR="00D24E32" w:rsidRPr="003413DF">
        <w:t xml:space="preserve"> </w:t>
      </w:r>
      <w:r w:rsidR="00F96059" w:rsidRPr="003413DF">
        <w:t>The age, sex and year of collection will be known via a unique identity number: immunisa</w:t>
      </w:r>
      <w:r w:rsidR="003413DF">
        <w:t xml:space="preserve">tion status will not be known. </w:t>
      </w:r>
    </w:p>
    <w:p w14:paraId="1AF5D3E4" w14:textId="5DF3EADF" w:rsidR="006B7B71" w:rsidRPr="003413DF" w:rsidRDefault="00F96059" w:rsidP="00F96059">
      <w:pPr>
        <w:pStyle w:val="NoSpacing"/>
        <w:spacing w:line="276" w:lineRule="auto"/>
      </w:pPr>
      <w:r w:rsidRPr="003413DF">
        <w:t>In 2017, 3290 samples were collected in individuals aged 0 – 24. It is envisaged that a similar sample size will be collected in 2019</w:t>
      </w:r>
      <w:r w:rsidR="00071F41">
        <w:t>/20</w:t>
      </w:r>
      <w:r w:rsidRPr="003413DF">
        <w:t>, and that testing of the residual sera can take place in 202</w:t>
      </w:r>
      <w:r w:rsidR="00071F41">
        <w:t>1</w:t>
      </w:r>
      <w:r w:rsidRPr="003413DF">
        <w:t xml:space="preserve">. </w:t>
      </w:r>
    </w:p>
    <w:p w14:paraId="089B180F" w14:textId="2CDBF685" w:rsidR="00C51CCB" w:rsidRPr="00C51CCB" w:rsidRDefault="00EF1606" w:rsidP="000929A7">
      <w:pPr>
        <w:pStyle w:val="Heading1"/>
      </w:pPr>
      <w:bookmarkStart w:id="64" w:name="_Toc32432118"/>
      <w:bookmarkStart w:id="65" w:name="_Toc62129147"/>
      <w:r w:rsidRPr="009E1297">
        <w:t>PARTICIPANT IDENTIFICATION</w:t>
      </w:r>
      <w:bookmarkStart w:id="66" w:name="_Toc32432119"/>
      <w:bookmarkEnd w:id="64"/>
      <w:bookmarkEnd w:id="65"/>
      <w:bookmarkEnd w:id="66"/>
    </w:p>
    <w:p w14:paraId="2036ED3D" w14:textId="77777777" w:rsidR="00EF1606" w:rsidRPr="009E1297" w:rsidRDefault="00DA14BC" w:rsidP="0089754A">
      <w:pPr>
        <w:pStyle w:val="Heading2"/>
        <w:spacing w:before="0"/>
      </w:pPr>
      <w:bookmarkStart w:id="67" w:name="_Toc32432120"/>
      <w:bookmarkStart w:id="68" w:name="_Toc62129148"/>
      <w:r w:rsidRPr="009E1297">
        <w:t>Study</w:t>
      </w:r>
      <w:r w:rsidR="00EF1606" w:rsidRPr="009E1297">
        <w:t xml:space="preserve"> Participants</w:t>
      </w:r>
      <w:bookmarkEnd w:id="67"/>
      <w:bookmarkEnd w:id="68"/>
    </w:p>
    <w:p w14:paraId="722EFEDB" w14:textId="2BF14CD8" w:rsidR="009700B3" w:rsidRPr="009700B3" w:rsidRDefault="009700B3" w:rsidP="0079308A">
      <w:r>
        <w:t xml:space="preserve">Individuals living in England aged </w:t>
      </w:r>
      <w:r w:rsidR="007243A5">
        <w:t>0</w:t>
      </w:r>
      <w:r>
        <w:t>– 2</w:t>
      </w:r>
      <w:r w:rsidR="00F86C99">
        <w:t>4</w:t>
      </w:r>
      <w:r>
        <w:t xml:space="preserve"> years.</w:t>
      </w:r>
    </w:p>
    <w:p w14:paraId="7E803949" w14:textId="64282388" w:rsidR="00EF1606" w:rsidRPr="009E1297" w:rsidRDefault="00EF1606" w:rsidP="007E3D66">
      <w:pPr>
        <w:pStyle w:val="Heading2"/>
      </w:pPr>
      <w:bookmarkStart w:id="69" w:name="_Toc62129149"/>
      <w:bookmarkStart w:id="70" w:name="_Toc32432121"/>
      <w:r w:rsidRPr="009E1297">
        <w:t>Inclusion Criteria</w:t>
      </w:r>
      <w:bookmarkEnd w:id="69"/>
      <w:r w:rsidR="00183661">
        <w:t xml:space="preserve"> </w:t>
      </w:r>
      <w:bookmarkEnd w:id="70"/>
    </w:p>
    <w:p w14:paraId="1F9940BD" w14:textId="2F066AD0" w:rsidR="00BC3005" w:rsidRPr="00E044CE" w:rsidRDefault="00EE2A0C" w:rsidP="00BC3005">
      <w:pPr>
        <w:rPr>
          <w:rFonts w:ascii="Calibri" w:hAnsi="Calibri"/>
        </w:rPr>
      </w:pPr>
      <w:r>
        <w:rPr>
          <w:rFonts w:ascii="Calibri" w:hAnsi="Calibri"/>
        </w:rPr>
        <w:t>P</w:t>
      </w:r>
      <w:r w:rsidR="00BC3005" w:rsidRPr="00E044CE">
        <w:rPr>
          <w:rFonts w:ascii="Calibri" w:hAnsi="Calibri"/>
        </w:rPr>
        <w:t>articipants MUST FULFILL each of the below criterion:</w:t>
      </w:r>
    </w:p>
    <w:p w14:paraId="062525F9" w14:textId="0EF4A84F" w:rsidR="0079308A" w:rsidRPr="009700B3" w:rsidRDefault="0079308A" w:rsidP="00F96059">
      <w:pPr>
        <w:numPr>
          <w:ilvl w:val="0"/>
          <w:numId w:val="2"/>
        </w:numPr>
        <w:spacing w:after="0" w:line="360" w:lineRule="auto"/>
        <w:jc w:val="both"/>
      </w:pPr>
      <w:r w:rsidRPr="009700B3">
        <w:t>P</w:t>
      </w:r>
      <w:r w:rsidR="00F96059">
        <w:t>arents/legal guardians or adult p</w:t>
      </w:r>
      <w:r w:rsidRPr="009700B3">
        <w:t>articipant</w:t>
      </w:r>
      <w:r w:rsidR="00F96059">
        <w:t>*</w:t>
      </w:r>
      <w:r w:rsidRPr="009700B3">
        <w:t xml:space="preserve"> is willing and able to give informed consent for participation in the study.</w:t>
      </w:r>
    </w:p>
    <w:p w14:paraId="5A2E7169" w14:textId="449BFF45" w:rsidR="0079308A" w:rsidRDefault="009700B3" w:rsidP="005C5BAD">
      <w:pPr>
        <w:numPr>
          <w:ilvl w:val="0"/>
          <w:numId w:val="2"/>
        </w:numPr>
        <w:spacing w:after="0" w:line="360" w:lineRule="auto"/>
        <w:jc w:val="both"/>
      </w:pPr>
      <w:r w:rsidRPr="009700B3">
        <w:t xml:space="preserve">Male or Female, aged </w:t>
      </w:r>
      <w:r w:rsidR="00EC6BD7">
        <w:t>0 -</w:t>
      </w:r>
      <w:r w:rsidRPr="009700B3">
        <w:t xml:space="preserve"> 2</w:t>
      </w:r>
      <w:r w:rsidR="00F86C99">
        <w:t>4</w:t>
      </w:r>
      <w:r w:rsidRPr="009700B3">
        <w:t xml:space="preserve"> years</w:t>
      </w:r>
      <w:r w:rsidR="00F96059">
        <w:t xml:space="preserve"> inclusive</w:t>
      </w:r>
      <w:r w:rsidR="00954336">
        <w:t xml:space="preserve"> (Group 1) and 0 – 19 inclusive (Group 2</w:t>
      </w:r>
      <w:r w:rsidR="00071F41">
        <w:t xml:space="preserve"> and 3</w:t>
      </w:r>
      <w:r w:rsidR="00954336">
        <w:t>)</w:t>
      </w:r>
      <w:r w:rsidRPr="009700B3">
        <w:t>.</w:t>
      </w:r>
    </w:p>
    <w:p w14:paraId="3270557C" w14:textId="6708D8CD" w:rsidR="003E4917" w:rsidRDefault="003E4917" w:rsidP="00C949AB">
      <w:pPr>
        <w:pStyle w:val="ListParagraph"/>
        <w:numPr>
          <w:ilvl w:val="0"/>
          <w:numId w:val="2"/>
        </w:numPr>
        <w:spacing w:after="0" w:line="360" w:lineRule="auto"/>
        <w:jc w:val="both"/>
        <w:rPr>
          <w:rFonts w:ascii="Calibri" w:hAnsi="Calibri"/>
        </w:rPr>
      </w:pPr>
      <w:r w:rsidRPr="003E4917">
        <w:rPr>
          <w:rFonts w:ascii="Calibri" w:hAnsi="Calibri"/>
        </w:rPr>
        <w:t>Parents/legal guardians</w:t>
      </w:r>
      <w:r w:rsidR="00CD6462">
        <w:rPr>
          <w:rFonts w:ascii="Calibri" w:hAnsi="Calibri"/>
        </w:rPr>
        <w:t xml:space="preserve"> or adult participants </w:t>
      </w:r>
      <w:r w:rsidRPr="003E4917">
        <w:rPr>
          <w:rFonts w:ascii="Calibri" w:hAnsi="Calibri"/>
        </w:rPr>
        <w:t xml:space="preserve">are willing to allow their General Practitioner </w:t>
      </w:r>
      <w:r w:rsidR="006E31E6">
        <w:rPr>
          <w:rFonts w:ascii="Calibri" w:hAnsi="Calibri"/>
        </w:rPr>
        <w:t xml:space="preserve">or relevant NHS databases </w:t>
      </w:r>
      <w:r w:rsidRPr="003E4917">
        <w:rPr>
          <w:rFonts w:ascii="Calibri" w:hAnsi="Calibri"/>
        </w:rPr>
        <w:t>to be contacted for a full immunisation history</w:t>
      </w:r>
    </w:p>
    <w:p w14:paraId="5AE9A5CE" w14:textId="1E81D89C" w:rsidR="00F96059" w:rsidRPr="00C4171F" w:rsidRDefault="00F96059" w:rsidP="00C4171F">
      <w:pPr>
        <w:spacing w:after="0" w:line="360" w:lineRule="auto"/>
        <w:jc w:val="both"/>
        <w:rPr>
          <w:rFonts w:ascii="Calibri" w:hAnsi="Calibri"/>
        </w:rPr>
      </w:pPr>
      <w:r w:rsidRPr="00F96059">
        <w:rPr>
          <w:rFonts w:ascii="Calibri" w:hAnsi="Calibri"/>
        </w:rPr>
        <w:t>*</w:t>
      </w:r>
      <w:r>
        <w:rPr>
          <w:rFonts w:ascii="Calibri" w:hAnsi="Calibri"/>
        </w:rPr>
        <w:t xml:space="preserve"> </w:t>
      </w:r>
      <w:r w:rsidRPr="00C4171F">
        <w:rPr>
          <w:rFonts w:ascii="Calibri" w:hAnsi="Calibri"/>
        </w:rPr>
        <w:t>For the pur</w:t>
      </w:r>
      <w:r>
        <w:rPr>
          <w:rFonts w:ascii="Calibri" w:hAnsi="Calibri"/>
        </w:rPr>
        <w:t>p</w:t>
      </w:r>
      <w:r w:rsidRPr="00C4171F">
        <w:rPr>
          <w:rFonts w:ascii="Calibri" w:hAnsi="Calibri"/>
        </w:rPr>
        <w:t xml:space="preserve">oses </w:t>
      </w:r>
      <w:r>
        <w:rPr>
          <w:rFonts w:ascii="Calibri" w:hAnsi="Calibri"/>
        </w:rPr>
        <w:t xml:space="preserve">of this study an adult will be defined as all those 16 years of age or over. </w:t>
      </w:r>
    </w:p>
    <w:p w14:paraId="5E6A82BD" w14:textId="243C860E" w:rsidR="00EF1606" w:rsidRPr="009E1297" w:rsidRDefault="00EF1606" w:rsidP="007E3D66">
      <w:pPr>
        <w:pStyle w:val="Heading2"/>
      </w:pPr>
      <w:bookmarkStart w:id="71" w:name="_Toc32432122"/>
      <w:bookmarkStart w:id="72" w:name="_Toc62129150"/>
      <w:r w:rsidRPr="009E1297">
        <w:t>Exclusion Criteria</w:t>
      </w:r>
      <w:bookmarkEnd w:id="71"/>
      <w:bookmarkEnd w:id="72"/>
    </w:p>
    <w:p w14:paraId="56E971AA" w14:textId="77777777" w:rsidR="0079308A" w:rsidRDefault="0079308A" w:rsidP="0079308A">
      <w:r w:rsidRPr="00DA62A3">
        <w:t>The participant may not enter the study if ANY of the following apply:</w:t>
      </w:r>
    </w:p>
    <w:p w14:paraId="6C437322" w14:textId="47C625F4" w:rsidR="0059552F" w:rsidRDefault="00071F41" w:rsidP="00F444E5">
      <w:pPr>
        <w:pStyle w:val="ListParagraph"/>
        <w:numPr>
          <w:ilvl w:val="0"/>
          <w:numId w:val="16"/>
        </w:numPr>
      </w:pPr>
      <w:r w:rsidRPr="0051697B">
        <w:rPr>
          <w:b/>
        </w:rPr>
        <w:t>Group 1 only</w:t>
      </w:r>
      <w:r>
        <w:t xml:space="preserve"> </w:t>
      </w:r>
      <w:r w:rsidR="00E60ADE">
        <w:t>If participants</w:t>
      </w:r>
      <w:r w:rsidR="0059552F">
        <w:t xml:space="preserve"> do not live in the postcode districts selected by PHE</w:t>
      </w:r>
    </w:p>
    <w:p w14:paraId="1DCFEFA3" w14:textId="63AD86B6" w:rsidR="00071F41" w:rsidRDefault="00071F41" w:rsidP="00F444E5">
      <w:pPr>
        <w:pStyle w:val="ListParagraph"/>
        <w:numPr>
          <w:ilvl w:val="0"/>
          <w:numId w:val="16"/>
        </w:numPr>
      </w:pPr>
      <w:r w:rsidRPr="0051697B">
        <w:rPr>
          <w:b/>
        </w:rPr>
        <w:lastRenderedPageBreak/>
        <w:t>Group 3 only</w:t>
      </w:r>
      <w:r>
        <w:rPr>
          <w:b/>
          <w:bCs/>
        </w:rPr>
        <w:t xml:space="preserve"> </w:t>
      </w:r>
      <w:r>
        <w:t xml:space="preserve">if participants are not from the BAME population </w:t>
      </w:r>
    </w:p>
    <w:p w14:paraId="1DF2AE26" w14:textId="020FAE2B" w:rsidR="00C45A4D" w:rsidRDefault="00C45A4D" w:rsidP="00F444E5">
      <w:pPr>
        <w:pStyle w:val="ListParagraph"/>
        <w:numPr>
          <w:ilvl w:val="0"/>
          <w:numId w:val="16"/>
        </w:numPr>
      </w:pPr>
      <w:r>
        <w:t xml:space="preserve">Participants who have a member of their household already enrolled in the study where their ages are less than 5 years apart.  </w:t>
      </w:r>
    </w:p>
    <w:p w14:paraId="3CF37902" w14:textId="77777777" w:rsidR="00D4541A" w:rsidRPr="00D4541A" w:rsidRDefault="00CD6462" w:rsidP="00F444E5">
      <w:pPr>
        <w:pStyle w:val="ListParagraph"/>
        <w:numPr>
          <w:ilvl w:val="0"/>
          <w:numId w:val="8"/>
        </w:numPr>
        <w:jc w:val="both"/>
        <w:rPr>
          <w:rFonts w:ascii="Calibri" w:hAnsi="Calibri" w:cs="Arial"/>
        </w:rPr>
      </w:pPr>
      <w:r>
        <w:rPr>
          <w:rFonts w:ascii="Calibri" w:hAnsi="Calibri"/>
        </w:rPr>
        <w:t>Any</w:t>
      </w:r>
      <w:r w:rsidR="009700B3" w:rsidRPr="00E044CE">
        <w:rPr>
          <w:rFonts w:ascii="Calibri" w:hAnsi="Calibri"/>
        </w:rPr>
        <w:t xml:space="preserve"> significant disease or disorder which, in the opinion of the Investigator, may either put the participants at risk </w:t>
      </w:r>
      <w:r w:rsidR="009700B3" w:rsidRPr="00B13463">
        <w:rPr>
          <w:rFonts w:ascii="Calibri" w:hAnsi="Calibri"/>
        </w:rPr>
        <w:t xml:space="preserve">because of participation in </w:t>
      </w:r>
      <w:r w:rsidR="00754615" w:rsidRPr="00B13463">
        <w:rPr>
          <w:rFonts w:ascii="Calibri" w:hAnsi="Calibri"/>
        </w:rPr>
        <w:t xml:space="preserve">the </w:t>
      </w:r>
      <w:r w:rsidR="00631B26" w:rsidRPr="00B13463">
        <w:rPr>
          <w:rFonts w:cs="Arial"/>
        </w:rPr>
        <w:t>research study</w:t>
      </w:r>
      <w:r w:rsidR="00754615" w:rsidRPr="00B13463">
        <w:rPr>
          <w:rFonts w:ascii="Calibri" w:hAnsi="Calibri"/>
        </w:rPr>
        <w:t>,</w:t>
      </w:r>
      <w:r w:rsidR="009700B3" w:rsidRPr="00B13463">
        <w:rPr>
          <w:rFonts w:ascii="Calibri" w:hAnsi="Calibri"/>
        </w:rPr>
        <w:t xml:space="preserve"> or may influence the result of the </w:t>
      </w:r>
      <w:r w:rsidR="00631B26" w:rsidRPr="00B13463">
        <w:rPr>
          <w:rFonts w:cs="Arial"/>
        </w:rPr>
        <w:t>research study</w:t>
      </w:r>
      <w:r w:rsidR="009700B3" w:rsidRPr="00B13463">
        <w:rPr>
          <w:rFonts w:ascii="Calibri" w:hAnsi="Calibri"/>
        </w:rPr>
        <w:t xml:space="preserve">, or the participant’s ability to participate in the </w:t>
      </w:r>
      <w:r w:rsidR="00631B26" w:rsidRPr="00B13463">
        <w:rPr>
          <w:rFonts w:cs="Arial"/>
        </w:rPr>
        <w:t>research study</w:t>
      </w:r>
      <w:r w:rsidR="009700B3" w:rsidRPr="00B13463">
        <w:rPr>
          <w:rFonts w:ascii="Calibri" w:hAnsi="Calibri"/>
        </w:rPr>
        <w:t>.</w:t>
      </w:r>
      <w:r w:rsidR="00D4541A" w:rsidRPr="00B13463">
        <w:rPr>
          <w:rFonts w:ascii="Calibri" w:hAnsi="Calibri"/>
        </w:rPr>
        <w:t xml:space="preserve">  Examples of disorders or diseases which would be excluded include</w:t>
      </w:r>
    </w:p>
    <w:p w14:paraId="3DC4BDA4" w14:textId="77777777" w:rsidR="00D4541A" w:rsidRPr="00D4541A" w:rsidRDefault="00D4541A" w:rsidP="00F444E5">
      <w:pPr>
        <w:pStyle w:val="ListParagraph"/>
        <w:numPr>
          <w:ilvl w:val="1"/>
          <w:numId w:val="8"/>
        </w:numPr>
        <w:jc w:val="both"/>
        <w:rPr>
          <w:rFonts w:ascii="Calibri" w:hAnsi="Calibri" w:cs="Arial"/>
        </w:rPr>
      </w:pPr>
      <w:r>
        <w:rPr>
          <w:rFonts w:ascii="Calibri" w:hAnsi="Calibri"/>
        </w:rPr>
        <w:t>Medically diagnosed bleeding disorder</w:t>
      </w:r>
    </w:p>
    <w:p w14:paraId="470A625F" w14:textId="77777777" w:rsidR="00D4541A" w:rsidRPr="00D4541A" w:rsidRDefault="00D4541A" w:rsidP="00F444E5">
      <w:pPr>
        <w:pStyle w:val="ListParagraph"/>
        <w:numPr>
          <w:ilvl w:val="1"/>
          <w:numId w:val="8"/>
        </w:numPr>
        <w:jc w:val="both"/>
        <w:rPr>
          <w:rFonts w:ascii="Calibri" w:hAnsi="Calibri" w:cs="Arial"/>
        </w:rPr>
      </w:pPr>
      <w:r>
        <w:rPr>
          <w:rFonts w:ascii="Calibri" w:hAnsi="Calibri"/>
        </w:rPr>
        <w:t>Medically diagnosed platelet disorder</w:t>
      </w:r>
    </w:p>
    <w:p w14:paraId="21B8ABCF" w14:textId="28DF6DBE" w:rsidR="009700B3" w:rsidRDefault="00D4541A" w:rsidP="00F444E5">
      <w:pPr>
        <w:pStyle w:val="ListParagraph"/>
        <w:numPr>
          <w:ilvl w:val="1"/>
          <w:numId w:val="8"/>
        </w:numPr>
        <w:jc w:val="both"/>
        <w:rPr>
          <w:rFonts w:ascii="Calibri" w:hAnsi="Calibri" w:cs="Arial"/>
        </w:rPr>
      </w:pPr>
      <w:r>
        <w:rPr>
          <w:rFonts w:ascii="Calibri" w:hAnsi="Calibri" w:cs="Arial"/>
        </w:rPr>
        <w:t>Anticoag</w:t>
      </w:r>
      <w:r w:rsidR="006F610A">
        <w:rPr>
          <w:rFonts w:ascii="Calibri" w:hAnsi="Calibri" w:cs="Arial"/>
        </w:rPr>
        <w:t xml:space="preserve">ulant medication </w:t>
      </w:r>
    </w:p>
    <w:p w14:paraId="1FA4C4FB" w14:textId="0C3E1AB0" w:rsidR="00313652" w:rsidRDefault="0059552F" w:rsidP="00F444E5">
      <w:pPr>
        <w:pStyle w:val="ListParagraph"/>
        <w:numPr>
          <w:ilvl w:val="1"/>
          <w:numId w:val="8"/>
        </w:numPr>
        <w:jc w:val="both"/>
        <w:rPr>
          <w:rFonts w:ascii="Calibri" w:hAnsi="Calibri" w:cs="Arial"/>
        </w:rPr>
      </w:pPr>
      <w:r>
        <w:rPr>
          <w:rFonts w:ascii="Calibri" w:hAnsi="Calibri" w:cs="Arial"/>
        </w:rPr>
        <w:t xml:space="preserve">Pregnancy </w:t>
      </w:r>
    </w:p>
    <w:p w14:paraId="45927C59" w14:textId="5C6C585B" w:rsidR="00345BF5" w:rsidRDefault="00345BF5" w:rsidP="00345BF5">
      <w:pPr>
        <w:jc w:val="both"/>
        <w:rPr>
          <w:rFonts w:ascii="Calibri" w:hAnsi="Calibri" w:cs="Arial"/>
          <w:b/>
          <w:bCs/>
        </w:rPr>
      </w:pPr>
      <w:r w:rsidRPr="003B3348">
        <w:rPr>
          <w:rFonts w:ascii="Calibri" w:hAnsi="Calibri" w:cs="Arial"/>
          <w:b/>
          <w:bCs/>
        </w:rPr>
        <w:t>Temporary exclusion criteria</w:t>
      </w:r>
    </w:p>
    <w:p w14:paraId="0ED4CE7A" w14:textId="22A74CBC" w:rsidR="00345BF5" w:rsidRDefault="00345BF5" w:rsidP="00345BF5">
      <w:r w:rsidRPr="00DA62A3">
        <w:t xml:space="preserve">The participant may not enter the study if </w:t>
      </w:r>
      <w:r>
        <w:t xml:space="preserve">they or any member of their </w:t>
      </w:r>
      <w:r w:rsidR="003B3348">
        <w:t>household</w:t>
      </w:r>
      <w:r>
        <w:t xml:space="preserve"> is under temporary isolation measures for suspected SARS-CoV-2 infection.</w:t>
      </w:r>
    </w:p>
    <w:p w14:paraId="691DD585" w14:textId="77777777" w:rsidR="003413DF" w:rsidRDefault="002515F4" w:rsidP="003413DF">
      <w:pPr>
        <w:pStyle w:val="Heading1"/>
        <w:spacing w:before="0"/>
      </w:pPr>
      <w:bookmarkStart w:id="73" w:name="_Toc32432125"/>
      <w:bookmarkStart w:id="74" w:name="_Toc62129151"/>
      <w:r>
        <w:t>PROTOCOL</w:t>
      </w:r>
      <w:r w:rsidRPr="009E1297">
        <w:t xml:space="preserve"> </w:t>
      </w:r>
      <w:r w:rsidR="00EF1606" w:rsidRPr="009E1297">
        <w:t>PROCEDURES</w:t>
      </w:r>
      <w:bookmarkStart w:id="75" w:name="_Toc517942656"/>
      <w:bookmarkStart w:id="76" w:name="_Toc517966564"/>
      <w:bookmarkStart w:id="77" w:name="_Toc517966719"/>
      <w:bookmarkStart w:id="78" w:name="_Toc517967000"/>
      <w:bookmarkStart w:id="79" w:name="_Toc517967104"/>
      <w:bookmarkEnd w:id="73"/>
      <w:bookmarkEnd w:id="74"/>
      <w:bookmarkEnd w:id="75"/>
      <w:bookmarkEnd w:id="76"/>
      <w:bookmarkEnd w:id="77"/>
      <w:bookmarkEnd w:id="78"/>
      <w:bookmarkEnd w:id="79"/>
    </w:p>
    <w:p w14:paraId="0EFD5519" w14:textId="7EAE3FD1" w:rsidR="00D00F44" w:rsidRDefault="00EF1606" w:rsidP="003413DF">
      <w:pPr>
        <w:pStyle w:val="Heading2"/>
        <w:spacing w:before="0"/>
      </w:pPr>
      <w:bookmarkStart w:id="80" w:name="_Toc32432126"/>
      <w:bookmarkStart w:id="81" w:name="_Toc62129152"/>
      <w:r w:rsidRPr="009E1297">
        <w:t>Recruitment</w:t>
      </w:r>
      <w:r w:rsidR="00D03303">
        <w:t xml:space="preserve"> Group 1</w:t>
      </w:r>
      <w:bookmarkEnd w:id="80"/>
      <w:bookmarkEnd w:id="81"/>
    </w:p>
    <w:p w14:paraId="05D75679" w14:textId="2CDF3D99" w:rsidR="00311D4B" w:rsidRPr="00CB0555" w:rsidRDefault="00311D4B" w:rsidP="00CB0555">
      <w:pPr>
        <w:jc w:val="both"/>
      </w:pPr>
      <w:r w:rsidRPr="00CB0555">
        <w:t xml:space="preserve">The recruitment plan below aims to recruit a representative sample of the region.  Potential participants will be contacted by mailing out invitation letters with study information booklets to the parents/legal guardians of age appropriate children via the NHS England Databases, the Child Health Information Service or through the Clinical Research Network.  There </w:t>
      </w:r>
      <w:r w:rsidR="00BB4142" w:rsidRPr="00CB0555">
        <w:t>may</w:t>
      </w:r>
      <w:r w:rsidRPr="00CB0555">
        <w:t xml:space="preserve"> also be other promotion such as website based advertising, social </w:t>
      </w:r>
      <w:r w:rsidRPr="0051031D">
        <w:t xml:space="preserve">media, </w:t>
      </w:r>
      <w:r w:rsidR="00E54765">
        <w:t xml:space="preserve">radio, </w:t>
      </w:r>
      <w:r w:rsidR="002E04FE" w:rsidRPr="0051031D">
        <w:t xml:space="preserve">printed publications, </w:t>
      </w:r>
      <w:r w:rsidRPr="0051031D">
        <w:t>con</w:t>
      </w:r>
      <w:r w:rsidRPr="00CB0555">
        <w:t xml:space="preserve">tacting families registered with a study site research database and poster advertisements. </w:t>
      </w:r>
      <w:r w:rsidR="00E54765">
        <w:t xml:space="preserve">Potential participants can also be identified by the local study team through their visits for other research studies. </w:t>
      </w:r>
      <w:r w:rsidRPr="00CB0555">
        <w:t xml:space="preserve">Dissemination of the study information, including </w:t>
      </w:r>
      <w:r w:rsidR="0064256A">
        <w:t>through</w:t>
      </w:r>
      <w:r w:rsidR="0064256A" w:rsidRPr="00CB0555">
        <w:t xml:space="preserve"> </w:t>
      </w:r>
      <w:r w:rsidRPr="00CB0555">
        <w:t xml:space="preserve">GP practices and with health visitors may also be employed. The participant information will be available on websites if available and recruitment material can direct potential participants to this.  Participants interested in taking part will contact sites to arrange visits.  In the first stage recruitment will be capped </w:t>
      </w:r>
      <w:r w:rsidR="00BB4142" w:rsidRPr="00CB0555">
        <w:t xml:space="preserve">(e.g. at 10 per age group per region) </w:t>
      </w:r>
      <w:r w:rsidRPr="00CB0555">
        <w:t xml:space="preserve">to allow for corrections if the initial sample is not representative of the region. </w:t>
      </w:r>
    </w:p>
    <w:p w14:paraId="311D0499" w14:textId="77777777" w:rsidR="00311D4B" w:rsidRPr="00CB0555" w:rsidRDefault="00311D4B" w:rsidP="00CB0555">
      <w:pPr>
        <w:jc w:val="both"/>
      </w:pPr>
      <w:r w:rsidRPr="00CB0555">
        <w:t xml:space="preserve">We are aiming to ensure that the sample is broadly representative of the region according to IMD (Index of multiple deprivation scores).  Other details collected in the questionnaire such as ethnicity, community identity and </w:t>
      </w:r>
      <w:proofErr w:type="spellStart"/>
      <w:r w:rsidRPr="00CB0555">
        <w:t>FASiii</w:t>
      </w:r>
      <w:proofErr w:type="spellEnd"/>
      <w:r w:rsidRPr="00CB0555">
        <w:t xml:space="preserve"> are for later analysis.  </w:t>
      </w:r>
    </w:p>
    <w:p w14:paraId="4146349A" w14:textId="62C31F1B" w:rsidR="00311D4B" w:rsidRPr="00CB0555" w:rsidRDefault="00311D4B" w:rsidP="00CB0555">
      <w:pPr>
        <w:jc w:val="both"/>
      </w:pPr>
      <w:r w:rsidRPr="00CB0555">
        <w:t>We a</w:t>
      </w:r>
      <w:r w:rsidR="00617DCE" w:rsidRPr="00CB0555">
        <w:t>re mailing out using NHS England Databases</w:t>
      </w:r>
      <w:r w:rsidRPr="00CB0555">
        <w:t xml:space="preserve"> with the expectation that 5-10% of those contacted will respond.  </w:t>
      </w:r>
    </w:p>
    <w:p w14:paraId="585B877C" w14:textId="4F49AA68" w:rsidR="00EB7185" w:rsidRDefault="00EB7185" w:rsidP="00311D4B">
      <w:pPr>
        <w:widowControl w:val="0"/>
        <w:tabs>
          <w:tab w:val="left" w:pos="220"/>
          <w:tab w:val="left" w:pos="720"/>
        </w:tabs>
        <w:autoSpaceDE w:val="0"/>
        <w:autoSpaceDN w:val="0"/>
        <w:adjustRightInd w:val="0"/>
        <w:spacing w:line="360" w:lineRule="atLeast"/>
        <w:rPr>
          <w:rFonts w:cs="Calibri"/>
          <w:color w:val="000000"/>
          <w:u w:val="single"/>
        </w:rPr>
      </w:pPr>
    </w:p>
    <w:p w14:paraId="581B26FB" w14:textId="77777777" w:rsidR="002E04FE" w:rsidRDefault="002E04FE" w:rsidP="00311D4B">
      <w:pPr>
        <w:widowControl w:val="0"/>
        <w:tabs>
          <w:tab w:val="left" w:pos="220"/>
          <w:tab w:val="left" w:pos="720"/>
        </w:tabs>
        <w:autoSpaceDE w:val="0"/>
        <w:autoSpaceDN w:val="0"/>
        <w:adjustRightInd w:val="0"/>
        <w:spacing w:line="360" w:lineRule="atLeast"/>
        <w:rPr>
          <w:rFonts w:cs="Calibri"/>
          <w:color w:val="000000"/>
          <w:u w:val="single"/>
        </w:rPr>
      </w:pPr>
    </w:p>
    <w:p w14:paraId="3D5CDBAD" w14:textId="1D1561F4" w:rsidR="00311D4B" w:rsidRPr="003E7FEB" w:rsidRDefault="00311D4B" w:rsidP="00311D4B">
      <w:pPr>
        <w:widowControl w:val="0"/>
        <w:tabs>
          <w:tab w:val="left" w:pos="220"/>
          <w:tab w:val="left" w:pos="720"/>
        </w:tabs>
        <w:autoSpaceDE w:val="0"/>
        <w:autoSpaceDN w:val="0"/>
        <w:adjustRightInd w:val="0"/>
        <w:spacing w:line="360" w:lineRule="atLeast"/>
        <w:rPr>
          <w:rFonts w:cs="Calibri"/>
          <w:color w:val="000000"/>
          <w:u w:val="single"/>
        </w:rPr>
      </w:pPr>
      <w:r w:rsidRPr="003E7FEB">
        <w:rPr>
          <w:rFonts w:cs="Calibri"/>
          <w:color w:val="000000"/>
          <w:u w:val="single"/>
        </w:rPr>
        <w:t>Recruitment plan</w:t>
      </w:r>
    </w:p>
    <w:p w14:paraId="2E644C9F" w14:textId="370E2337" w:rsidR="00311D4B" w:rsidRDefault="00311D4B" w:rsidP="00F444E5">
      <w:pPr>
        <w:pStyle w:val="ListParagraph"/>
        <w:numPr>
          <w:ilvl w:val="0"/>
          <w:numId w:val="19"/>
        </w:numPr>
        <w:jc w:val="both"/>
      </w:pPr>
      <w:r w:rsidRPr="00CB0555">
        <w:t>PHE will be generating a list of all postcodes in recruiting re</w:t>
      </w:r>
      <w:r w:rsidR="00447DA0" w:rsidRPr="00CB0555">
        <w:t>gions</w:t>
      </w:r>
      <w:r w:rsidRPr="00CB0555">
        <w:t xml:space="preserve"> and determining the quintiles of IMD (index of multiple deprivation scores) within that region.</w:t>
      </w:r>
    </w:p>
    <w:p w14:paraId="3469BAF7" w14:textId="77777777" w:rsidR="00CB0555" w:rsidRPr="00CB0555" w:rsidRDefault="00CB0555" w:rsidP="00CB0555">
      <w:pPr>
        <w:pStyle w:val="ListParagraph"/>
        <w:jc w:val="both"/>
      </w:pPr>
    </w:p>
    <w:p w14:paraId="1824A94C" w14:textId="2E218DA8" w:rsidR="00CB0555" w:rsidRDefault="00311D4B" w:rsidP="00F444E5">
      <w:pPr>
        <w:pStyle w:val="ListParagraph"/>
        <w:numPr>
          <w:ilvl w:val="0"/>
          <w:numId w:val="19"/>
        </w:numPr>
        <w:spacing w:after="0"/>
        <w:ind w:left="714" w:hanging="357"/>
        <w:jc w:val="both"/>
      </w:pPr>
      <w:r w:rsidRPr="00CB0555">
        <w:lastRenderedPageBreak/>
        <w:t>All sites to email us postcodes in their catchment areas (i.e. areas from which they can recruit).  They will also indicate whether they are rural or urban areas.   There is a recognition that there is no formal definition of these terms, and many post codes will be mixed, but this is an area where local knowledge could be applied.</w:t>
      </w:r>
    </w:p>
    <w:p w14:paraId="584437A1" w14:textId="27AA0886" w:rsidR="00CB0555" w:rsidRPr="00CB0555" w:rsidRDefault="00CB0555" w:rsidP="00CB0555">
      <w:pPr>
        <w:spacing w:after="0"/>
        <w:jc w:val="both"/>
      </w:pPr>
    </w:p>
    <w:p w14:paraId="23B94A40" w14:textId="661452B7" w:rsidR="00CB0555" w:rsidRDefault="00311D4B" w:rsidP="00F444E5">
      <w:pPr>
        <w:pStyle w:val="ListParagraph"/>
        <w:numPr>
          <w:ilvl w:val="0"/>
          <w:numId w:val="19"/>
        </w:numPr>
        <w:spacing w:after="0"/>
        <w:ind w:left="714" w:hanging="357"/>
        <w:jc w:val="both"/>
      </w:pPr>
      <w:r w:rsidRPr="00CB0555">
        <w:t xml:space="preserve">For each region (i.e. Bristol, Yorkshire and Humber, Southampton etc.) PHE will randomly select 5-7 postcode districts stratified to match the ratio of rural to urban postcode districts to the region’s urban/rural population distribution.  A postcode district is the first two letters and number e.g. </w:t>
      </w:r>
    </w:p>
    <w:p w14:paraId="34B624B3" w14:textId="232E23B3" w:rsidR="00CB0555" w:rsidRDefault="00CB0555" w:rsidP="00CB0555">
      <w:pPr>
        <w:spacing w:after="0"/>
        <w:jc w:val="both"/>
      </w:pPr>
    </w:p>
    <w:tbl>
      <w:tblPr>
        <w:tblStyle w:val="TableGrid"/>
        <w:tblW w:w="0" w:type="auto"/>
        <w:jc w:val="center"/>
        <w:tblLook w:val="04A0" w:firstRow="1" w:lastRow="0" w:firstColumn="1" w:lastColumn="0" w:noHBand="0" w:noVBand="1"/>
      </w:tblPr>
      <w:tblGrid>
        <w:gridCol w:w="988"/>
        <w:gridCol w:w="1134"/>
        <w:gridCol w:w="992"/>
        <w:gridCol w:w="850"/>
      </w:tblGrid>
      <w:tr w:rsidR="00CB0555" w:rsidRPr="003E7FEB" w14:paraId="7A568ABE" w14:textId="77777777" w:rsidTr="00964B2F">
        <w:trPr>
          <w:jc w:val="center"/>
        </w:trPr>
        <w:tc>
          <w:tcPr>
            <w:tcW w:w="988" w:type="dxa"/>
          </w:tcPr>
          <w:p w14:paraId="33009390"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4F81BD" w:themeColor="accent1"/>
              </w:rPr>
            </w:pPr>
            <w:r w:rsidRPr="003E7FEB">
              <w:rPr>
                <w:rFonts w:cs="Calibri"/>
                <w:color w:val="4F81BD" w:themeColor="accent1"/>
              </w:rPr>
              <w:t>OX</w:t>
            </w:r>
          </w:p>
        </w:tc>
        <w:tc>
          <w:tcPr>
            <w:tcW w:w="1134" w:type="dxa"/>
          </w:tcPr>
          <w:p w14:paraId="3829DA19"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4F81BD" w:themeColor="accent1"/>
              </w:rPr>
            </w:pPr>
            <w:r w:rsidRPr="003E7FEB">
              <w:rPr>
                <w:rFonts w:cs="Calibri"/>
                <w:color w:val="4F81BD" w:themeColor="accent1"/>
              </w:rPr>
              <w:t>3</w:t>
            </w:r>
          </w:p>
        </w:tc>
        <w:tc>
          <w:tcPr>
            <w:tcW w:w="992" w:type="dxa"/>
          </w:tcPr>
          <w:p w14:paraId="38A0C24E"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000000"/>
              </w:rPr>
            </w:pPr>
            <w:r w:rsidRPr="003E7FEB">
              <w:rPr>
                <w:rFonts w:cs="Calibri"/>
                <w:color w:val="000000"/>
              </w:rPr>
              <w:t>7</w:t>
            </w:r>
          </w:p>
        </w:tc>
        <w:tc>
          <w:tcPr>
            <w:tcW w:w="850" w:type="dxa"/>
          </w:tcPr>
          <w:p w14:paraId="0A4B0048"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000000"/>
              </w:rPr>
            </w:pPr>
            <w:r w:rsidRPr="003E7FEB">
              <w:rPr>
                <w:rFonts w:cs="Calibri"/>
                <w:color w:val="000000"/>
              </w:rPr>
              <w:t>LE</w:t>
            </w:r>
          </w:p>
        </w:tc>
      </w:tr>
      <w:tr w:rsidR="00CB0555" w:rsidRPr="003E7FEB" w14:paraId="2B0148D0" w14:textId="77777777" w:rsidTr="00964B2F">
        <w:trPr>
          <w:jc w:val="center"/>
        </w:trPr>
        <w:tc>
          <w:tcPr>
            <w:tcW w:w="988" w:type="dxa"/>
          </w:tcPr>
          <w:p w14:paraId="65158AE4"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4F81BD" w:themeColor="accent1"/>
              </w:rPr>
            </w:pPr>
            <w:r w:rsidRPr="003E7FEB">
              <w:rPr>
                <w:rFonts w:cs="Calibri"/>
                <w:color w:val="4F81BD" w:themeColor="accent1"/>
              </w:rPr>
              <w:t>Area</w:t>
            </w:r>
          </w:p>
        </w:tc>
        <w:tc>
          <w:tcPr>
            <w:tcW w:w="1134" w:type="dxa"/>
          </w:tcPr>
          <w:p w14:paraId="067E2E04"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4F81BD" w:themeColor="accent1"/>
              </w:rPr>
            </w:pPr>
            <w:r w:rsidRPr="003E7FEB">
              <w:rPr>
                <w:rFonts w:cs="Calibri"/>
                <w:color w:val="4F81BD" w:themeColor="accent1"/>
              </w:rPr>
              <w:t>District</w:t>
            </w:r>
          </w:p>
        </w:tc>
        <w:tc>
          <w:tcPr>
            <w:tcW w:w="992" w:type="dxa"/>
          </w:tcPr>
          <w:p w14:paraId="31B7F31F"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000000"/>
              </w:rPr>
            </w:pPr>
            <w:r w:rsidRPr="003E7FEB">
              <w:rPr>
                <w:rFonts w:cs="Calibri"/>
                <w:color w:val="000000"/>
              </w:rPr>
              <w:t>Sector</w:t>
            </w:r>
          </w:p>
        </w:tc>
        <w:tc>
          <w:tcPr>
            <w:tcW w:w="850" w:type="dxa"/>
          </w:tcPr>
          <w:p w14:paraId="78F6B16B" w14:textId="77777777" w:rsidR="00CB0555" w:rsidRPr="003E7FEB" w:rsidRDefault="00CB0555" w:rsidP="00964B2F">
            <w:pPr>
              <w:widowControl w:val="0"/>
              <w:tabs>
                <w:tab w:val="left" w:pos="220"/>
                <w:tab w:val="left" w:pos="720"/>
              </w:tabs>
              <w:autoSpaceDE w:val="0"/>
              <w:autoSpaceDN w:val="0"/>
              <w:adjustRightInd w:val="0"/>
              <w:spacing w:line="360" w:lineRule="atLeast"/>
              <w:jc w:val="center"/>
              <w:rPr>
                <w:rFonts w:cs="Calibri"/>
                <w:color w:val="000000"/>
              </w:rPr>
            </w:pPr>
            <w:r w:rsidRPr="003E7FEB">
              <w:rPr>
                <w:rFonts w:cs="Calibri"/>
                <w:color w:val="000000"/>
              </w:rPr>
              <w:t>Unit</w:t>
            </w:r>
          </w:p>
        </w:tc>
      </w:tr>
    </w:tbl>
    <w:p w14:paraId="00C7FF74" w14:textId="77777777" w:rsidR="00CB0555" w:rsidRPr="00CB0555" w:rsidRDefault="00CB0555" w:rsidP="00CB0555">
      <w:pPr>
        <w:pStyle w:val="ListParagraph"/>
        <w:rPr>
          <w:rFonts w:cs="Calibri"/>
          <w:color w:val="000000"/>
        </w:rPr>
      </w:pPr>
    </w:p>
    <w:p w14:paraId="16CDAB71" w14:textId="0FCD9EAA" w:rsidR="00CB0555" w:rsidRPr="00CD4D71" w:rsidRDefault="00856774" w:rsidP="00F444E5">
      <w:pPr>
        <w:pStyle w:val="ListParagraph"/>
        <w:numPr>
          <w:ilvl w:val="0"/>
          <w:numId w:val="19"/>
        </w:numPr>
        <w:spacing w:after="0"/>
        <w:ind w:left="714" w:hanging="357"/>
        <w:jc w:val="both"/>
      </w:pPr>
      <w:r>
        <w:rPr>
          <w:rFonts w:cs="Calibri"/>
          <w:color w:val="000000"/>
        </w:rPr>
        <w:t xml:space="preserve">Mail outs will be conducted either through </w:t>
      </w:r>
      <w:r w:rsidRPr="00CB0555">
        <w:rPr>
          <w:rFonts w:cs="Calibri"/>
          <w:color w:val="000000"/>
        </w:rPr>
        <w:t xml:space="preserve">NHS England Databases </w:t>
      </w:r>
      <w:r>
        <w:rPr>
          <w:rFonts w:cs="Calibri"/>
          <w:color w:val="000000"/>
        </w:rPr>
        <w:t xml:space="preserve">(coordinated by </w:t>
      </w:r>
      <w:r w:rsidR="00311D4B" w:rsidRPr="00CB0555">
        <w:rPr>
          <w:rFonts w:cs="Calibri"/>
          <w:color w:val="000000"/>
        </w:rPr>
        <w:t>OVG</w:t>
      </w:r>
      <w:r>
        <w:rPr>
          <w:rFonts w:cs="Calibri"/>
          <w:color w:val="000000"/>
        </w:rPr>
        <w:t>) or through local Child Health Information Services (CHIS).</w:t>
      </w:r>
      <w:r w:rsidR="00311D4B" w:rsidRPr="00CB0555">
        <w:rPr>
          <w:rFonts w:cs="Calibri"/>
          <w:color w:val="000000"/>
        </w:rPr>
        <w:t xml:space="preserve"> </w:t>
      </w:r>
    </w:p>
    <w:p w14:paraId="17E7E1D2" w14:textId="77777777" w:rsidR="00856774" w:rsidRPr="00CD4D71" w:rsidRDefault="00856774" w:rsidP="004C0DEC">
      <w:pPr>
        <w:pStyle w:val="ListParagraph"/>
        <w:spacing w:after="120"/>
        <w:ind w:left="714"/>
        <w:jc w:val="both"/>
        <w:rPr>
          <w:rFonts w:cstheme="minorHAnsi"/>
        </w:rPr>
      </w:pPr>
    </w:p>
    <w:p w14:paraId="4EB93292" w14:textId="08C3C20B" w:rsidR="00D50C2C" w:rsidRPr="00856774" w:rsidRDefault="00856774" w:rsidP="00F444E5">
      <w:pPr>
        <w:pStyle w:val="ListParagraph"/>
        <w:numPr>
          <w:ilvl w:val="0"/>
          <w:numId w:val="19"/>
        </w:numPr>
        <w:spacing w:after="120"/>
        <w:ind w:left="714" w:hanging="357"/>
        <w:jc w:val="both"/>
        <w:rPr>
          <w:rFonts w:cstheme="minorHAnsi"/>
        </w:rPr>
      </w:pPr>
      <w:r w:rsidRPr="00856774">
        <w:rPr>
          <w:rFonts w:cstheme="minorHAnsi"/>
          <w:color w:val="000000"/>
        </w:rPr>
        <w:t>In order to maintain even recruitment across time, age and postcode</w:t>
      </w:r>
      <w:r w:rsidR="003D6731">
        <w:rPr>
          <w:rFonts w:cstheme="minorHAnsi"/>
          <w:color w:val="000000"/>
        </w:rPr>
        <w:t>, recruitment numbers will be managed as per section</w:t>
      </w:r>
      <w:r w:rsidR="00D50C2C">
        <w:rPr>
          <w:rFonts w:cstheme="minorHAnsi"/>
          <w:color w:val="000000"/>
        </w:rPr>
        <w:t xml:space="preserve"> 7.1 (study design).</w:t>
      </w:r>
    </w:p>
    <w:p w14:paraId="2772BDC6" w14:textId="77777777" w:rsidR="00CB0555" w:rsidRPr="004C0DEC" w:rsidRDefault="00CB0555" w:rsidP="004C0DEC">
      <w:pPr>
        <w:pStyle w:val="ListParagraph"/>
        <w:spacing w:after="120"/>
        <w:ind w:left="714"/>
        <w:jc w:val="both"/>
        <w:rPr>
          <w:rFonts w:cs="Calibri"/>
          <w:color w:val="000000"/>
          <w:sz w:val="18"/>
          <w:szCs w:val="18"/>
        </w:rPr>
      </w:pPr>
    </w:p>
    <w:p w14:paraId="0C725604" w14:textId="34693309" w:rsidR="00311D4B" w:rsidRPr="00CE03FB" w:rsidRDefault="00311D4B" w:rsidP="00F444E5">
      <w:pPr>
        <w:pStyle w:val="ListParagraph"/>
        <w:numPr>
          <w:ilvl w:val="0"/>
          <w:numId w:val="19"/>
        </w:numPr>
        <w:spacing w:after="0"/>
        <w:ind w:left="714" w:hanging="357"/>
        <w:jc w:val="both"/>
      </w:pPr>
      <w:r w:rsidRPr="00CB0555">
        <w:rPr>
          <w:rFonts w:cs="Calibri"/>
          <w:color w:val="000000"/>
        </w:rPr>
        <w:t>It will be made clear in the participant information that participants (and/or their families) may not hear from us immediately, as the aim is to achieve a representative sample for that region.  Therefore, every participant that contacts us from the first mail out can go into a study database containing basic contact details and age.  This can be searched to see if any of the participants are from quintiles that are under-represented in the sample. </w:t>
      </w:r>
    </w:p>
    <w:p w14:paraId="42D7BB02" w14:textId="4437E8EF" w:rsidR="00CE03FB" w:rsidRPr="00CB0555" w:rsidRDefault="00CE03FB" w:rsidP="00CE03FB">
      <w:pPr>
        <w:spacing w:after="0"/>
        <w:jc w:val="both"/>
      </w:pPr>
    </w:p>
    <w:p w14:paraId="195A7CEC" w14:textId="77777777" w:rsidR="00311D4B" w:rsidRPr="00CE03FB" w:rsidRDefault="00311D4B" w:rsidP="00CE03FB">
      <w:pPr>
        <w:jc w:val="both"/>
      </w:pPr>
      <w:r w:rsidRPr="00CE03FB">
        <w:t>Timings of mail outs will be adjusted for sites dependent on their own local recruitment rates.  </w:t>
      </w:r>
    </w:p>
    <w:p w14:paraId="3F771651" w14:textId="77777777" w:rsidR="00311D4B" w:rsidRPr="00CE03FB" w:rsidRDefault="00311D4B" w:rsidP="00CE03FB">
      <w:pPr>
        <w:jc w:val="both"/>
      </w:pPr>
      <w:r w:rsidRPr="00CE03FB">
        <w:t xml:space="preserve">Those parents/legal guardians that indicate that they do not want to take part in the study and/or receive further communication about the study will not be included in any subsequent contact lists. </w:t>
      </w:r>
    </w:p>
    <w:p w14:paraId="75BE4B24" w14:textId="0D58141A" w:rsidR="0013560B" w:rsidRDefault="00311D4B" w:rsidP="007E400E">
      <w:pPr>
        <w:jc w:val="both"/>
        <w:rPr>
          <w:rFonts w:ascii="Calibri" w:hAnsi="Calibri"/>
        </w:rPr>
      </w:pPr>
      <w:r w:rsidRPr="00CE03FB">
        <w:t>For non-responders, postcode and therefore deprivation level (according to Index of Multiple Deprivation) could potentially be estimated. Alternatively, a non-responder questionnaire, with basic demographic details could be administered by mail as per the Dutch study, enabling an assessment of potential bias due to non-response.</w:t>
      </w:r>
    </w:p>
    <w:p w14:paraId="43BE4A8E" w14:textId="74152BE4" w:rsidR="00CE03FB" w:rsidRPr="003B3348" w:rsidRDefault="00D03303" w:rsidP="003B3348">
      <w:pPr>
        <w:pStyle w:val="Heading2"/>
        <w:rPr>
          <w:rFonts w:ascii="Calibri" w:hAnsi="Calibri"/>
        </w:rPr>
      </w:pPr>
      <w:bookmarkStart w:id="82" w:name="_Toc32432127"/>
      <w:bookmarkStart w:id="83" w:name="_Toc62129153"/>
      <w:r>
        <w:t>Recruitment Group 2</w:t>
      </w:r>
      <w:bookmarkEnd w:id="82"/>
      <w:bookmarkEnd w:id="83"/>
      <w:r>
        <w:t xml:space="preserve"> </w:t>
      </w:r>
    </w:p>
    <w:p w14:paraId="30B5C115" w14:textId="21EDA58B" w:rsidR="00C40DF1" w:rsidRDefault="00D50C2C" w:rsidP="003B3348">
      <w:r>
        <w:t>For the sites recruiting to Group 1, e</w:t>
      </w:r>
      <w:r w:rsidR="00C40DF1">
        <w:t>nrolment</w:t>
      </w:r>
      <w:r w:rsidR="00CD1D5B">
        <w:t xml:space="preserve"> to group 2</w:t>
      </w:r>
      <w:r w:rsidR="00D03303">
        <w:t xml:space="preserve"> </w:t>
      </w:r>
      <w:r w:rsidR="00C40DF1">
        <w:t xml:space="preserve">will primarily be by re-allocation of participants </w:t>
      </w:r>
      <w:r>
        <w:t>from Group 1</w:t>
      </w:r>
      <w:r w:rsidR="00C40DF1">
        <w:t xml:space="preserve">, as shown in figure 3. </w:t>
      </w:r>
    </w:p>
    <w:p w14:paraId="464BB118" w14:textId="5729DD56" w:rsidR="00C40DF1" w:rsidRDefault="00CA5190" w:rsidP="00E77CB0">
      <w:pPr>
        <w:jc w:val="center"/>
      </w:pPr>
      <w:r>
        <w:rPr>
          <w:noProof/>
        </w:rPr>
        <w:lastRenderedPageBreak/>
        <w:drawing>
          <wp:inline distT="0" distB="0" distL="0" distR="0" wp14:anchorId="286C1E39" wp14:editId="6E38C46C">
            <wp:extent cx="5420604" cy="6512558"/>
            <wp:effectExtent l="0" t="0" r="2540" b="2540"/>
            <wp:docPr id="30046729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420604" cy="6512558"/>
                    </a:xfrm>
                    <a:prstGeom prst="rect">
                      <a:avLst/>
                    </a:prstGeom>
                  </pic:spPr>
                </pic:pic>
              </a:graphicData>
            </a:graphic>
          </wp:inline>
        </w:drawing>
      </w:r>
    </w:p>
    <w:p w14:paraId="01457818" w14:textId="611CDD4D" w:rsidR="00C40DF1" w:rsidRDefault="00C40DF1" w:rsidP="003B3348"/>
    <w:p w14:paraId="4089D5E5" w14:textId="1C4D6BA8" w:rsidR="00D03303" w:rsidRPr="00D03303" w:rsidRDefault="00C40DF1" w:rsidP="00E77CB0">
      <w:pPr>
        <w:jc w:val="both"/>
      </w:pPr>
      <w:r>
        <w:t xml:space="preserve">Recruitment </w:t>
      </w:r>
      <w:r w:rsidR="00A055A2">
        <w:t>in</w:t>
      </w:r>
      <w:r>
        <w:t xml:space="preserve"> </w:t>
      </w:r>
      <w:r w:rsidR="00473388">
        <w:t>sites</w:t>
      </w:r>
      <w:r>
        <w:t xml:space="preserve"> only recruiting to group 2 </w:t>
      </w:r>
      <w:r w:rsidR="00D03303">
        <w:t xml:space="preserve">will be carried out using </w:t>
      </w:r>
      <w:r w:rsidR="00535CD1">
        <w:t>various</w:t>
      </w:r>
      <w:r w:rsidR="00D03303">
        <w:t xml:space="preserve"> recruiting procedures</w:t>
      </w:r>
      <w:r w:rsidR="00535CD1">
        <w:t>, such as</w:t>
      </w:r>
      <w:r w:rsidR="00B73BE4">
        <w:t xml:space="preserve"> </w:t>
      </w:r>
      <w:r w:rsidR="00D03303">
        <w:t xml:space="preserve">generalised mail outs, </w:t>
      </w:r>
      <w:r w:rsidR="00CA707F">
        <w:t>press releases,</w:t>
      </w:r>
      <w:r w:rsidR="007A4D12">
        <w:t xml:space="preserve"> radio,</w:t>
      </w:r>
      <w:r w:rsidR="00CA707F">
        <w:t xml:space="preserve"> </w:t>
      </w:r>
      <w:r w:rsidR="00D03303">
        <w:t>social media adverts, schools or community clinics</w:t>
      </w:r>
      <w:r w:rsidR="0064256A">
        <w:t>, d</w:t>
      </w:r>
      <w:r w:rsidR="0064256A" w:rsidRPr="0064256A">
        <w:t>issemination of the study information through GP practices</w:t>
      </w:r>
      <w:r w:rsidR="007A4D12">
        <w:t xml:space="preserve"> and identification of potential participants by the local study team</w:t>
      </w:r>
      <w:r w:rsidR="009B47BC">
        <w:t>,</w:t>
      </w:r>
      <w:r w:rsidR="007A4D12">
        <w:t xml:space="preserve"> staff communication channels</w:t>
      </w:r>
      <w:r w:rsidR="009B47BC">
        <w:t xml:space="preserve"> and inpatients or outpatients clinics as long as potential participants are not patients.</w:t>
      </w:r>
    </w:p>
    <w:p w14:paraId="41B9E5F3" w14:textId="30EBFF7B" w:rsidR="00071F41" w:rsidRDefault="00071F41" w:rsidP="003413DF">
      <w:pPr>
        <w:pStyle w:val="Heading2"/>
        <w:spacing w:before="0"/>
      </w:pPr>
      <w:bookmarkStart w:id="84" w:name="_Toc62129154"/>
      <w:bookmarkStart w:id="85" w:name="_Toc32432128"/>
      <w:r>
        <w:t>Group 3</w:t>
      </w:r>
      <w:bookmarkEnd w:id="84"/>
    </w:p>
    <w:p w14:paraId="68B4E72D" w14:textId="6127DF33" w:rsidR="00071F41" w:rsidRPr="00071F41" w:rsidRDefault="00071F41" w:rsidP="00071F41">
      <w:pPr>
        <w:jc w:val="both"/>
      </w:pPr>
      <w:r w:rsidRPr="3CD39FC8">
        <w:rPr>
          <w:color w:val="000000" w:themeColor="text1"/>
        </w:rPr>
        <w:t xml:space="preserve">Recruitment will be by </w:t>
      </w:r>
      <w:r w:rsidR="00E66FE4">
        <w:rPr>
          <w:color w:val="000000" w:themeColor="text1"/>
        </w:rPr>
        <w:t xml:space="preserve">multiple approaches, including </w:t>
      </w:r>
      <w:r w:rsidRPr="3CD39FC8">
        <w:rPr>
          <w:color w:val="000000" w:themeColor="text1"/>
        </w:rPr>
        <w:t xml:space="preserve">mail outs and advertising in community </w:t>
      </w:r>
      <w:r>
        <w:rPr>
          <w:color w:val="000000" w:themeColor="text1"/>
        </w:rPr>
        <w:t>(e.g. community centres,</w:t>
      </w:r>
      <w:r w:rsidRPr="3CD39FC8">
        <w:rPr>
          <w:color w:val="000000" w:themeColor="text1"/>
        </w:rPr>
        <w:t xml:space="preserve"> religious establishments</w:t>
      </w:r>
      <w:r w:rsidR="00864DC7">
        <w:rPr>
          <w:color w:val="000000" w:themeColor="text1"/>
        </w:rPr>
        <w:t>,</w:t>
      </w:r>
      <w:r>
        <w:rPr>
          <w:color w:val="000000" w:themeColor="text1"/>
        </w:rPr>
        <w:t>)</w:t>
      </w:r>
      <w:r w:rsidRPr="3CD39FC8">
        <w:rPr>
          <w:color w:val="000000" w:themeColor="text1"/>
        </w:rPr>
        <w:t xml:space="preserve"> or GP practices</w:t>
      </w:r>
      <w:r w:rsidR="007A4D12">
        <w:rPr>
          <w:color w:val="000000" w:themeColor="text1"/>
        </w:rPr>
        <w:t xml:space="preserve"> and Pharmacies</w:t>
      </w:r>
      <w:r>
        <w:rPr>
          <w:color w:val="000000" w:themeColor="text1"/>
        </w:rPr>
        <w:t xml:space="preserve"> where we have ethics approval for them to act as PICs</w:t>
      </w:r>
      <w:r w:rsidRPr="3CD39FC8">
        <w:rPr>
          <w:color w:val="000000" w:themeColor="text1"/>
        </w:rPr>
        <w:t xml:space="preserve">. These can vary according to each site’s experience and their contacts within their local community on how is best to approach the BAME community.  </w:t>
      </w:r>
      <w:r>
        <w:t xml:space="preserve">Individuals will be directed </w:t>
      </w:r>
      <w:r>
        <w:lastRenderedPageBreak/>
        <w:t>to the study website (</w:t>
      </w:r>
      <w:hyperlink r:id="rId19" w:history="1">
        <w:r w:rsidRPr="3CD39FC8">
          <w:rPr>
            <w:rStyle w:val="Hyperlink"/>
          </w:rPr>
          <w:t>https://whatsthestory.web.ox.ac.uk/</w:t>
        </w:r>
      </w:hyperlink>
      <w:r>
        <w:t>) where they can find details about the study available in ten different languages as well as online registration form and contact details of the local study team.</w:t>
      </w:r>
      <w:r w:rsidR="007A4D12">
        <w:t xml:space="preserve"> Potential participants can also be identified by the local study team through their visits for other research studies, staff communication channels</w:t>
      </w:r>
      <w:r w:rsidR="00046744">
        <w:t xml:space="preserve"> and inpatients or outpatients clinics</w:t>
      </w:r>
      <w:r w:rsidR="009F0CD3">
        <w:t xml:space="preserve"> as long as potential participants are not patients</w:t>
      </w:r>
      <w:r w:rsidR="00046744">
        <w:t>.</w:t>
      </w:r>
      <w:r w:rsidR="006839E6">
        <w:t xml:space="preserve">  The reason for not approaching patients is that this would potentially skew the sample </w:t>
      </w:r>
      <w:r w:rsidR="004914B4">
        <w:t>making it less representative of the paediatric population.</w:t>
      </w:r>
    </w:p>
    <w:p w14:paraId="04B68BB2" w14:textId="60845160" w:rsidR="00964FC2" w:rsidRPr="00964FC2" w:rsidRDefault="00964FC2" w:rsidP="003413DF">
      <w:pPr>
        <w:pStyle w:val="Heading2"/>
        <w:spacing w:before="0"/>
      </w:pPr>
      <w:bookmarkStart w:id="86" w:name="_Toc62129155"/>
      <w:r w:rsidRPr="00964FC2">
        <w:t>Screening and Eligibility Assessment</w:t>
      </w:r>
      <w:bookmarkEnd w:id="85"/>
      <w:bookmarkEnd w:id="86"/>
    </w:p>
    <w:p w14:paraId="2EAA2003" w14:textId="1FBD690C" w:rsidR="002378E5" w:rsidRPr="00CE03FB" w:rsidRDefault="00C4171F" w:rsidP="00CE03FB">
      <w:pPr>
        <w:jc w:val="both"/>
      </w:pPr>
      <w:r>
        <w:t>Given the low risk nature of the study there is no formal requirement for screening prior to the first study visit. However sites may choose to arrange contact with potential participants to discuss the study and</w:t>
      </w:r>
      <w:r w:rsidR="003743B2">
        <w:t xml:space="preserve"> a arrange clinic appointment or </w:t>
      </w:r>
      <w:r w:rsidR="000C1A90">
        <w:t xml:space="preserve">home </w:t>
      </w:r>
      <w:r w:rsidR="00754615">
        <w:t>visit.</w:t>
      </w:r>
      <w:r w:rsidR="00886777">
        <w:t xml:space="preserve">  </w:t>
      </w:r>
      <w:r w:rsidR="00886777" w:rsidRPr="00CE03FB">
        <w:t xml:space="preserve">This is where exclusion criteria can be checked </w:t>
      </w:r>
      <w:r w:rsidR="002378E5" w:rsidRPr="00CE03FB">
        <w:t>prior to arranging a visit.</w:t>
      </w:r>
      <w:r w:rsidR="00886777" w:rsidRPr="00CE03FB">
        <w:t xml:space="preserve">  </w:t>
      </w:r>
    </w:p>
    <w:p w14:paraId="7BFDC6B5" w14:textId="35AD51D9" w:rsidR="00B503A8" w:rsidRPr="00CE03FB" w:rsidRDefault="002378E5" w:rsidP="00CE03FB">
      <w:pPr>
        <w:jc w:val="both"/>
      </w:pPr>
      <w:r w:rsidRPr="00CE03FB">
        <w:t xml:space="preserve">Responses received </w:t>
      </w:r>
      <w:r w:rsidR="00886777" w:rsidRPr="00CE03FB">
        <w:t xml:space="preserve">from postcode districts not selected by PHE </w:t>
      </w:r>
      <w:r w:rsidRPr="00CE03FB">
        <w:t>will not be eligible</w:t>
      </w:r>
      <w:r w:rsidR="00D03303">
        <w:t xml:space="preserve"> </w:t>
      </w:r>
      <w:r w:rsidR="001F0EB4">
        <w:t>for</w:t>
      </w:r>
      <w:r w:rsidR="00D03303">
        <w:t xml:space="preserve"> group 1</w:t>
      </w:r>
      <w:r w:rsidRPr="00CE03FB">
        <w:t xml:space="preserve">. </w:t>
      </w:r>
      <w:r w:rsidR="00886777" w:rsidRPr="00CE03FB">
        <w:t xml:space="preserve">  Each postcode district has been selected based on sampling all quintiles of the IMD</w:t>
      </w:r>
      <w:r w:rsidRPr="00CE03FB">
        <w:t xml:space="preserve"> and to ensure representative data of the region. </w:t>
      </w:r>
    </w:p>
    <w:p w14:paraId="56C8B20C" w14:textId="44D95FD8" w:rsidR="00083976" w:rsidRPr="005E0172" w:rsidRDefault="00D03303" w:rsidP="00CE03FB">
      <w:pPr>
        <w:jc w:val="both"/>
      </w:pPr>
      <w:r>
        <w:t xml:space="preserve">In </w:t>
      </w:r>
      <w:r w:rsidR="00071F41">
        <w:t xml:space="preserve">all </w:t>
      </w:r>
      <w:r w:rsidR="00614843">
        <w:t>groups</w:t>
      </w:r>
      <w:r w:rsidR="001721C1">
        <w:t>, in order to</w:t>
      </w:r>
      <w:r w:rsidR="002378E5" w:rsidRPr="00EA2436">
        <w:t xml:space="preserve"> ensure that there is a representative cohort from each age group multiple eligible participants</w:t>
      </w:r>
      <w:r w:rsidR="002378E5">
        <w:t xml:space="preserve"> from</w:t>
      </w:r>
      <w:r w:rsidR="002378E5" w:rsidRPr="002378E5">
        <w:t xml:space="preserve"> </w:t>
      </w:r>
      <w:r w:rsidR="002378E5" w:rsidRPr="004A55EC">
        <w:t>one household</w:t>
      </w:r>
      <w:r w:rsidR="002378E5">
        <w:t xml:space="preserve"> will only be eligible to take part if there </w:t>
      </w:r>
      <w:r w:rsidR="002378E5" w:rsidRPr="00EA2436">
        <w:t xml:space="preserve">are 5 years or greater between their ages.   </w:t>
      </w:r>
      <w:r w:rsidR="00886777" w:rsidRPr="00CE03FB">
        <w:t xml:space="preserve"> </w:t>
      </w:r>
      <w:r w:rsidR="00614843" w:rsidRPr="00EA2436">
        <w:t xml:space="preserve">   </w:t>
      </w:r>
      <w:r w:rsidR="00614843" w:rsidRPr="00CE03FB">
        <w:t xml:space="preserve"> </w:t>
      </w:r>
    </w:p>
    <w:p w14:paraId="3EEF64A1" w14:textId="2EAD5DB7" w:rsidR="00886777" w:rsidRPr="00CE03FB" w:rsidRDefault="002A26B8" w:rsidP="00CE03FB">
      <w:pPr>
        <w:jc w:val="both"/>
      </w:pPr>
      <w:r w:rsidRPr="00CE03FB">
        <w:t>During the study visit, the participant’s eligibility wi</w:t>
      </w:r>
      <w:r w:rsidR="003D3107" w:rsidRPr="00CE03FB">
        <w:t>ll be assessed by a member of the study team</w:t>
      </w:r>
      <w:r w:rsidR="003743B2" w:rsidRPr="00CE03FB">
        <w:t xml:space="preserve">.  A brief </w:t>
      </w:r>
      <w:r w:rsidR="00754615" w:rsidRPr="00CE03FB">
        <w:t xml:space="preserve">medical history </w:t>
      </w:r>
      <w:r w:rsidR="003743B2" w:rsidRPr="00CE03FB">
        <w:t>will</w:t>
      </w:r>
      <w:r w:rsidRPr="00CE03FB">
        <w:t xml:space="preserve"> be taken</w:t>
      </w:r>
      <w:r w:rsidR="003743B2" w:rsidRPr="00CE03FB">
        <w:t xml:space="preserve"> where participants will be asked about current health issues and medications as well as taking a vaccine history</w:t>
      </w:r>
      <w:r w:rsidR="001B7998">
        <w:t xml:space="preserve"> and </w:t>
      </w:r>
      <w:r w:rsidR="001721C1">
        <w:t xml:space="preserve">personal and household </w:t>
      </w:r>
      <w:r w:rsidR="001B7998">
        <w:t>history of respiratory</w:t>
      </w:r>
      <w:r w:rsidR="00F711BD">
        <w:t>/coronavirus</w:t>
      </w:r>
      <w:r w:rsidR="001B7998">
        <w:t xml:space="preserve"> infections from February 2020 onwards</w:t>
      </w:r>
      <w:r w:rsidR="003D3107" w:rsidRPr="00CE03FB">
        <w:t>.</w:t>
      </w:r>
      <w:r w:rsidRPr="00CE03FB">
        <w:t xml:space="preserve"> </w:t>
      </w:r>
      <w:r w:rsidR="003D3107" w:rsidRPr="00CE03FB">
        <w:t xml:space="preserve"> </w:t>
      </w:r>
      <w:r w:rsidRPr="00CE03FB">
        <w:t>Parents/legal guardians</w:t>
      </w:r>
      <w:r w:rsidR="000F34AB" w:rsidRPr="00CE03FB">
        <w:t xml:space="preserve"> </w:t>
      </w:r>
      <w:r w:rsidRPr="00CE03FB">
        <w:t>must have given written informed consent prior to an eligibility check being performed</w:t>
      </w:r>
      <w:r w:rsidR="00843373" w:rsidRPr="00CE03FB">
        <w:t xml:space="preserve"> if the participant cannot consent for themselves</w:t>
      </w:r>
      <w:r w:rsidRPr="00CE03FB">
        <w:t>.</w:t>
      </w:r>
      <w:r w:rsidR="00843373" w:rsidRPr="00CE03FB">
        <w:t xml:space="preserve">  In these instances where the child is older than </w:t>
      </w:r>
      <w:r w:rsidR="00D24E32" w:rsidRPr="00CE03FB">
        <w:t>11</w:t>
      </w:r>
      <w:r w:rsidR="00843373" w:rsidRPr="00CE03FB">
        <w:t xml:space="preserve"> years old there will be </w:t>
      </w:r>
      <w:r w:rsidR="00D07CA4" w:rsidRPr="00CE03FB">
        <w:t>an</w:t>
      </w:r>
      <w:r w:rsidR="00843373" w:rsidRPr="00CE03FB">
        <w:t xml:space="preserve"> assent form to complete.    </w:t>
      </w:r>
      <w:r w:rsidRPr="00CE03FB">
        <w:t xml:space="preserve"> </w:t>
      </w:r>
    </w:p>
    <w:p w14:paraId="00F45812" w14:textId="77777777" w:rsidR="00886777" w:rsidRDefault="00886777" w:rsidP="003D3107">
      <w:pPr>
        <w:spacing w:after="0"/>
      </w:pPr>
    </w:p>
    <w:p w14:paraId="57FDC11C" w14:textId="77777777" w:rsidR="00EF1606" w:rsidRDefault="00EF1606" w:rsidP="003413DF">
      <w:pPr>
        <w:pStyle w:val="Heading2"/>
        <w:spacing w:before="0"/>
      </w:pPr>
      <w:bookmarkStart w:id="87" w:name="_Toc32432129"/>
      <w:bookmarkStart w:id="88" w:name="_Toc62129156"/>
      <w:r w:rsidRPr="009E1297">
        <w:t>Informed Consent</w:t>
      </w:r>
      <w:bookmarkEnd w:id="87"/>
      <w:bookmarkEnd w:id="88"/>
    </w:p>
    <w:p w14:paraId="2F4B84A2" w14:textId="52CC35F3" w:rsidR="003D3107" w:rsidRPr="00CE03FB" w:rsidRDefault="003D3107" w:rsidP="00CE03FB">
      <w:pPr>
        <w:jc w:val="both"/>
      </w:pPr>
      <w:r w:rsidRPr="00CE03FB">
        <w:t>The parent/legal guardian of the participant</w:t>
      </w:r>
      <w:r w:rsidR="00F4181D" w:rsidRPr="00CE03FB">
        <w:t xml:space="preserve"> or the participant themselves if able to consent</w:t>
      </w:r>
      <w:r w:rsidRPr="00CE03FB">
        <w:t xml:space="preserve"> will personally sign and date the latest approved version of the Informed Consent form.</w:t>
      </w:r>
    </w:p>
    <w:p w14:paraId="5D429F86" w14:textId="13F45935" w:rsidR="00F4181D" w:rsidRPr="00CE03FB" w:rsidRDefault="00F4181D" w:rsidP="00CE03FB">
      <w:pPr>
        <w:jc w:val="both"/>
      </w:pPr>
      <w:r w:rsidRPr="00CE03FB">
        <w:t>A written version and verbal explanation of the Study Information leaflet and Informed Consent will be presented to the participant/parent/legal guardian of the participant detailing:</w:t>
      </w:r>
    </w:p>
    <w:p w14:paraId="5FEEB5B7" w14:textId="77777777" w:rsidR="00F4181D" w:rsidRPr="00E044CE" w:rsidRDefault="00F4181D" w:rsidP="00F444E5">
      <w:pPr>
        <w:numPr>
          <w:ilvl w:val="0"/>
          <w:numId w:val="9"/>
        </w:numPr>
        <w:spacing w:before="120" w:after="120"/>
        <w:ind w:right="113"/>
        <w:jc w:val="both"/>
        <w:rPr>
          <w:rFonts w:ascii="Calibri" w:hAnsi="Calibri" w:cstheme="minorHAnsi"/>
        </w:rPr>
      </w:pPr>
      <w:r w:rsidRPr="00E044CE">
        <w:rPr>
          <w:rFonts w:ascii="Calibri" w:hAnsi="Calibri"/>
        </w:rPr>
        <w:t xml:space="preserve"> the exact nature of the study</w:t>
      </w:r>
    </w:p>
    <w:p w14:paraId="63BE05BF" w14:textId="77777777" w:rsidR="00F4181D" w:rsidRPr="00E044CE" w:rsidRDefault="00F4181D" w:rsidP="00F444E5">
      <w:pPr>
        <w:numPr>
          <w:ilvl w:val="0"/>
          <w:numId w:val="9"/>
        </w:numPr>
        <w:spacing w:before="120" w:after="120"/>
        <w:ind w:right="113"/>
        <w:jc w:val="both"/>
        <w:rPr>
          <w:rFonts w:ascii="Calibri" w:hAnsi="Calibri" w:cstheme="minorHAnsi"/>
        </w:rPr>
      </w:pPr>
      <w:r w:rsidRPr="00E044CE">
        <w:rPr>
          <w:rFonts w:ascii="Calibri" w:hAnsi="Calibri"/>
        </w:rPr>
        <w:t>what it will involve for the participant</w:t>
      </w:r>
    </w:p>
    <w:p w14:paraId="0BEF492E" w14:textId="77777777" w:rsidR="00F4181D" w:rsidRPr="00E044CE" w:rsidRDefault="00F4181D" w:rsidP="00F444E5">
      <w:pPr>
        <w:numPr>
          <w:ilvl w:val="0"/>
          <w:numId w:val="9"/>
        </w:numPr>
        <w:spacing w:before="120" w:after="120"/>
        <w:ind w:right="113"/>
        <w:jc w:val="both"/>
        <w:rPr>
          <w:rFonts w:ascii="Calibri" w:hAnsi="Calibri" w:cstheme="minorHAnsi"/>
        </w:rPr>
      </w:pPr>
      <w:r w:rsidRPr="00E044CE">
        <w:rPr>
          <w:rFonts w:ascii="Calibri" w:hAnsi="Calibri"/>
        </w:rPr>
        <w:t xml:space="preserve"> the implications and constraints of the protocol</w:t>
      </w:r>
    </w:p>
    <w:p w14:paraId="75D7268D" w14:textId="77777777" w:rsidR="00F4181D" w:rsidRPr="00E044CE" w:rsidRDefault="00F4181D" w:rsidP="00F444E5">
      <w:pPr>
        <w:numPr>
          <w:ilvl w:val="0"/>
          <w:numId w:val="9"/>
        </w:numPr>
        <w:spacing w:before="120" w:after="120"/>
        <w:ind w:right="113"/>
        <w:jc w:val="both"/>
        <w:rPr>
          <w:rFonts w:ascii="Calibri" w:hAnsi="Calibri" w:cstheme="minorHAnsi"/>
        </w:rPr>
      </w:pPr>
      <w:r w:rsidRPr="00E044CE">
        <w:rPr>
          <w:rFonts w:ascii="Calibri" w:hAnsi="Calibri"/>
        </w:rPr>
        <w:t xml:space="preserve"> the known side effects and any risks involved in taking part</w:t>
      </w:r>
    </w:p>
    <w:p w14:paraId="4CAD1891" w14:textId="028B0CDB" w:rsidR="000F34AB" w:rsidRPr="001B7998" w:rsidRDefault="00F4181D" w:rsidP="00F444E5">
      <w:pPr>
        <w:numPr>
          <w:ilvl w:val="0"/>
          <w:numId w:val="9"/>
        </w:numPr>
        <w:spacing w:before="120" w:after="120"/>
        <w:ind w:right="113"/>
        <w:jc w:val="both"/>
        <w:rPr>
          <w:rFonts w:ascii="Calibri" w:hAnsi="Calibri"/>
        </w:rPr>
      </w:pPr>
      <w:r w:rsidRPr="000F34AB">
        <w:rPr>
          <w:rFonts w:ascii="Calibri" w:hAnsi="Calibri" w:cstheme="minorHAnsi"/>
        </w:rPr>
        <w:t xml:space="preserve"> sample handling – participants will be informed that anonymised samples taken during the course of study may be shared with study collaborators</w:t>
      </w:r>
      <w:r w:rsidR="000F34AB">
        <w:rPr>
          <w:rFonts w:ascii="Calibri" w:hAnsi="Calibri" w:cstheme="minorHAnsi"/>
        </w:rPr>
        <w:t>.</w:t>
      </w:r>
    </w:p>
    <w:p w14:paraId="5E4F4B1F" w14:textId="77777777" w:rsidR="006304EE" w:rsidRDefault="001B7998" w:rsidP="00F444E5">
      <w:pPr>
        <w:pStyle w:val="ListParagraph"/>
        <w:numPr>
          <w:ilvl w:val="0"/>
          <w:numId w:val="9"/>
        </w:numPr>
        <w:jc w:val="both"/>
      </w:pPr>
      <w:r w:rsidRPr="00AD01BB">
        <w:rPr>
          <w:rFonts w:ascii="Calibri" w:hAnsi="Calibri"/>
        </w:rPr>
        <w:t>Individual results will not be shared with participants</w:t>
      </w:r>
      <w:r w:rsidR="00614843" w:rsidRPr="00F61C91">
        <w:rPr>
          <w:rFonts w:ascii="Calibri" w:hAnsi="Calibri"/>
        </w:rPr>
        <w:t xml:space="preserve"> – the study aim is to not actively enrol </w:t>
      </w:r>
      <w:r w:rsidR="00614843" w:rsidRPr="008D5257">
        <w:t xml:space="preserve">individuals with known or suspected COVID-19, but instead provide a </w:t>
      </w:r>
      <w:r w:rsidR="001721C1">
        <w:t xml:space="preserve">series of </w:t>
      </w:r>
      <w:r w:rsidR="00614843" w:rsidRPr="008D5257">
        <w:t>snapshot</w:t>
      </w:r>
      <w:r w:rsidR="001721C1">
        <w:t>s</w:t>
      </w:r>
      <w:r w:rsidR="00614843" w:rsidRPr="008D5257">
        <w:t xml:space="preserve"> of the general population</w:t>
      </w:r>
      <w:r w:rsidR="00614843" w:rsidRPr="00614843">
        <w:t xml:space="preserve"> to describe </w:t>
      </w:r>
      <w:proofErr w:type="spellStart"/>
      <w:r w:rsidR="001721C1">
        <w:t>sero</w:t>
      </w:r>
      <w:proofErr w:type="spellEnd"/>
      <w:r w:rsidR="001721C1">
        <w:t>-prevalence</w:t>
      </w:r>
      <w:r w:rsidR="001721C1" w:rsidRPr="00614843">
        <w:t xml:space="preserve"> </w:t>
      </w:r>
      <w:r w:rsidR="00614843" w:rsidRPr="00614843">
        <w:t xml:space="preserve">to </w:t>
      </w:r>
      <w:r w:rsidR="00614843" w:rsidRPr="00071F41">
        <w:t>SARS-COV-2</w:t>
      </w:r>
      <w:r w:rsidR="00614843">
        <w:t xml:space="preserve"> </w:t>
      </w:r>
      <w:r w:rsidR="00614843" w:rsidRPr="00614843">
        <w:t>at a population level.</w:t>
      </w:r>
      <w:r w:rsidR="00F95F6D">
        <w:t xml:space="preserve">  </w:t>
      </w:r>
    </w:p>
    <w:p w14:paraId="42D7D254" w14:textId="49CD269E" w:rsidR="00754615" w:rsidRDefault="00754615" w:rsidP="00F444E5">
      <w:pPr>
        <w:pStyle w:val="ListParagraph"/>
        <w:numPr>
          <w:ilvl w:val="0"/>
          <w:numId w:val="9"/>
        </w:numPr>
        <w:jc w:val="both"/>
      </w:pPr>
      <w:r w:rsidRPr="00CE03FB">
        <w:lastRenderedPageBreak/>
        <w:t xml:space="preserve">It will be clearly stated that the participant is free to withdraw </w:t>
      </w:r>
      <w:r w:rsidR="00515AC8" w:rsidRPr="00CE03FB">
        <w:t xml:space="preserve">from the </w:t>
      </w:r>
      <w:r w:rsidR="00631B26" w:rsidRPr="00CE03FB">
        <w:t>research study</w:t>
      </w:r>
      <w:r w:rsidR="00515AC8" w:rsidRPr="00CE03FB">
        <w:t xml:space="preserve"> at </w:t>
      </w:r>
      <w:r w:rsidRPr="00CE03FB">
        <w:t>any time for any reason without prejudice to future care, without affecting their legal rights and with no obligation to give the reason for withdrawal.</w:t>
      </w:r>
      <w:r w:rsidR="003743B2" w:rsidRPr="00CE03FB">
        <w:t xml:space="preserve">  Data up until that point will be kept unless the participant states they wish this data to be withdrawn.</w:t>
      </w:r>
    </w:p>
    <w:p w14:paraId="774681FC" w14:textId="29F32BB2" w:rsidR="0028045D" w:rsidRPr="00E77CB0" w:rsidRDefault="0028045D" w:rsidP="00CE03FB">
      <w:pPr>
        <w:jc w:val="both"/>
        <w:rPr>
          <w:u w:val="single"/>
        </w:rPr>
      </w:pPr>
      <w:r>
        <w:t xml:space="preserve">If for any reason a participant gives consent but either blood is not obtained, or the sample is less than </w:t>
      </w:r>
      <w:r w:rsidR="00D4718F">
        <w:t xml:space="preserve">the minimum sample required </w:t>
      </w:r>
      <w:r w:rsidR="00365A83">
        <w:t>(</w:t>
      </w:r>
      <w:r w:rsidR="00D4718F">
        <w:t>as defined by the clinical study plan</w:t>
      </w:r>
      <w:r w:rsidR="00365A83">
        <w:t>)</w:t>
      </w:r>
      <w:r>
        <w:t xml:space="preserve"> then they are </w:t>
      </w:r>
      <w:r>
        <w:rPr>
          <w:b/>
          <w:bCs/>
          <w:u w:val="single"/>
        </w:rPr>
        <w:t xml:space="preserve">not </w:t>
      </w:r>
      <w:r>
        <w:rPr>
          <w:u w:val="single"/>
        </w:rPr>
        <w:t xml:space="preserve">considered a withdrawal.  Instead they will be considered as a failed enrolment and will </w:t>
      </w:r>
      <w:r w:rsidR="48F12B3B" w:rsidRPr="3C816796">
        <w:rPr>
          <w:u w:val="single"/>
        </w:rPr>
        <w:t xml:space="preserve">not count towards the recruitment numbers, </w:t>
      </w:r>
      <w:r w:rsidR="7D8B09C8" w:rsidRPr="18F94920">
        <w:rPr>
          <w:u w:val="single"/>
        </w:rPr>
        <w:t>i</w:t>
      </w:r>
      <w:r w:rsidR="48F12B3B" w:rsidRPr="3C816796">
        <w:rPr>
          <w:u w:val="single"/>
        </w:rPr>
        <w:t xml:space="preserve">.e. they will </w:t>
      </w:r>
      <w:r>
        <w:rPr>
          <w:u w:val="single"/>
        </w:rPr>
        <w:t xml:space="preserve">be replaced </w:t>
      </w:r>
      <w:r w:rsidR="7232A23A" w:rsidRPr="5EB21507">
        <w:rPr>
          <w:u w:val="single"/>
        </w:rPr>
        <w:t>by another participant</w:t>
      </w:r>
      <w:r>
        <w:rPr>
          <w:u w:val="single"/>
        </w:rPr>
        <w:t xml:space="preserve">.  These participants will still be given a voucher if they have travelled to a clinic.  </w:t>
      </w:r>
    </w:p>
    <w:p w14:paraId="1D0456C2" w14:textId="45AA714F" w:rsidR="00F4181D" w:rsidRDefault="00F4181D" w:rsidP="00CE03FB">
      <w:pPr>
        <w:jc w:val="both"/>
      </w:pPr>
      <w:r>
        <w:t xml:space="preserve">The parent/legal guardian of the participant </w:t>
      </w:r>
      <w:r w:rsidR="004B5706">
        <w:t xml:space="preserve">or </w:t>
      </w:r>
      <w:r w:rsidR="000F34AB">
        <w:t>adult</w:t>
      </w:r>
      <w:r>
        <w:t xml:space="preserve"> participant will be allowed as much time as wished to consider the information, and the opportunity to question the Investigator, their GP or other independent parties to decide whether they will participate in the study. Written informed consent will then be obtained by means of</w:t>
      </w:r>
      <w:r w:rsidR="000F34AB">
        <w:t xml:space="preserve"> the adult participant or the</w:t>
      </w:r>
      <w:r>
        <w:t xml:space="preserve"> parent/legal guardian of the participant dated signature, and dated signature of the person who presented and obtained the Informed </w:t>
      </w:r>
      <w:r w:rsidR="005B43A2">
        <w:t>c</w:t>
      </w:r>
      <w:r>
        <w:t xml:space="preserve">onsent. The person who obtained the consent must be suitably qualified and experienced and have been authorised to do so by the Chief/Principal Investigator and listed on the delegation log. A copy of the signed informed consent will be given to the </w:t>
      </w:r>
      <w:r w:rsidR="005B43A2">
        <w:t xml:space="preserve">participant or </w:t>
      </w:r>
      <w:r>
        <w:t xml:space="preserve">parent/legal guardian of the participant. The original signed form will be retained at the </w:t>
      </w:r>
      <w:r w:rsidR="00631B26">
        <w:t>research study</w:t>
      </w:r>
      <w:r>
        <w:t xml:space="preserve"> site.</w:t>
      </w:r>
    </w:p>
    <w:p w14:paraId="36C9B0F4" w14:textId="1B067E7D" w:rsidR="0071219C" w:rsidRPr="00CE03FB" w:rsidRDefault="0071219C" w:rsidP="00CE03FB">
      <w:pPr>
        <w:jc w:val="both"/>
      </w:pPr>
      <w:r w:rsidRPr="0051031D">
        <w:t>The option of videoconferencing (e.g. facetime) can be made available in case of omissions or correction of errors</w:t>
      </w:r>
      <w:r w:rsidR="00375A96" w:rsidRPr="0051031D">
        <w:t xml:space="preserve"> in order to avoid unnecessary </w:t>
      </w:r>
      <w:r w:rsidR="007E36C7" w:rsidRPr="0051031D">
        <w:t>contact between the study team and participants</w:t>
      </w:r>
      <w:r w:rsidR="00375A96" w:rsidRPr="0051031D">
        <w:t xml:space="preserve"> during the COVID-19 pandemic</w:t>
      </w:r>
      <w:r w:rsidR="00C62D00">
        <w:t xml:space="preserve">.  These corrections can be made by the parent or guardian if the participant is less than 16 years of age and the participant themselves if 16 years and over. </w:t>
      </w:r>
    </w:p>
    <w:p w14:paraId="10BD897E" w14:textId="3D460E1B" w:rsidR="005B43A2" w:rsidRPr="00CE03FB" w:rsidRDefault="005B43A2" w:rsidP="00CE03FB">
      <w:pPr>
        <w:jc w:val="both"/>
      </w:pPr>
      <w:r w:rsidRPr="00CE03FB">
        <w:t>For the purposes of this study it will be assumed that participants over the age of 16 years are able to self-consent, but as with all participants will only be enrolled if the staff member taking consent is confident that the potential participant understands the study and is therefore able to give informed consent.</w:t>
      </w:r>
    </w:p>
    <w:p w14:paraId="2ED68CF1" w14:textId="74C17B35" w:rsidR="001721C1" w:rsidRDefault="001721C1" w:rsidP="00CE03FB">
      <w:pPr>
        <w:jc w:val="both"/>
      </w:pPr>
      <w:r>
        <w:t>In addition to the informed consent for th</w:t>
      </w:r>
      <w:r w:rsidR="00265489">
        <w:t>e provision of serum and the first visit of this study,</w:t>
      </w:r>
      <w:r>
        <w:t xml:space="preserve"> participants</w:t>
      </w:r>
      <w:r w:rsidR="00265489">
        <w:t xml:space="preserve"> (or their parents/guardians)</w:t>
      </w:r>
      <w:r>
        <w:t xml:space="preserve"> will be given the </w:t>
      </w:r>
      <w:r w:rsidR="001E50E5">
        <w:t>opportunity to provide (optional)</w:t>
      </w:r>
      <w:r>
        <w:t xml:space="preserve"> consent for:</w:t>
      </w:r>
    </w:p>
    <w:p w14:paraId="363B8148" w14:textId="0BA73BF4" w:rsidR="009672E6" w:rsidRDefault="001721C1" w:rsidP="00F444E5">
      <w:pPr>
        <w:pStyle w:val="ListParagraph"/>
        <w:numPr>
          <w:ilvl w:val="0"/>
          <w:numId w:val="25"/>
        </w:numPr>
        <w:jc w:val="both"/>
      </w:pPr>
      <w:r>
        <w:t>D</w:t>
      </w:r>
      <w:r w:rsidR="009672E6" w:rsidRPr="00CE03FB">
        <w:t>onati</w:t>
      </w:r>
      <w:r>
        <w:t>on</w:t>
      </w:r>
      <w:r w:rsidR="009672E6" w:rsidRPr="00CE03FB">
        <w:t xml:space="preserve"> </w:t>
      </w:r>
      <w:r>
        <w:t xml:space="preserve">of </w:t>
      </w:r>
      <w:r w:rsidR="009672E6" w:rsidRPr="00CE03FB">
        <w:t>the blood clot</w:t>
      </w:r>
      <w:r>
        <w:t xml:space="preserve"> left after centrifugation of whole blood</w:t>
      </w:r>
      <w:r w:rsidR="009672E6" w:rsidRPr="00CE03FB">
        <w:t xml:space="preserve"> to the biobank at the </w:t>
      </w:r>
      <w:r w:rsidR="00A93536" w:rsidRPr="00CE03FB">
        <w:t>O</w:t>
      </w:r>
      <w:r w:rsidR="009672E6" w:rsidRPr="00CE03FB">
        <w:t xml:space="preserve">xford </w:t>
      </w:r>
      <w:r w:rsidR="00B97284" w:rsidRPr="00CE03FB">
        <w:t>V</w:t>
      </w:r>
      <w:r w:rsidR="009672E6" w:rsidRPr="00CE03FB">
        <w:t xml:space="preserve">accine </w:t>
      </w:r>
      <w:r w:rsidR="00A93536" w:rsidRPr="00CE03FB">
        <w:t>G</w:t>
      </w:r>
      <w:r w:rsidR="009672E6" w:rsidRPr="00CE03FB">
        <w:t xml:space="preserve">roup.  This would </w:t>
      </w:r>
      <w:r w:rsidR="00B97284" w:rsidRPr="00CE03FB">
        <w:t>allow for extraction of DNA to interrogate the influence of donor’s genotype on vaccine</w:t>
      </w:r>
      <w:r w:rsidR="00B14E91">
        <w:t>/infection</w:t>
      </w:r>
      <w:r w:rsidR="00B97284" w:rsidRPr="00CE03FB">
        <w:t xml:space="preserve"> induced immunity, and other aspects related to the interdependence between genetics and immunity against infectious diseases (see section 9.</w:t>
      </w:r>
      <w:r w:rsidR="00CE03FB">
        <w:t>5</w:t>
      </w:r>
      <w:r w:rsidR="00B97284" w:rsidRPr="00CE03FB">
        <w:t>)</w:t>
      </w:r>
    </w:p>
    <w:p w14:paraId="47C1BDE9" w14:textId="22CD6595" w:rsidR="001721C1" w:rsidRDefault="00473388" w:rsidP="00F444E5">
      <w:pPr>
        <w:pStyle w:val="ListParagraph"/>
        <w:numPr>
          <w:ilvl w:val="0"/>
          <w:numId w:val="25"/>
        </w:numPr>
        <w:jc w:val="both"/>
      </w:pPr>
      <w:r>
        <w:t xml:space="preserve">Participation in the longitudinal cohort, </w:t>
      </w:r>
      <w:r w:rsidR="001E50E5">
        <w:t>in which additional blood samples are taken along with a saliva sample and repeat administrations of the COVID-19 questionnaire</w:t>
      </w:r>
    </w:p>
    <w:p w14:paraId="0DF87BAE" w14:textId="3229B4E8" w:rsidR="0071219C" w:rsidRPr="00CE03FB" w:rsidRDefault="001E50E5" w:rsidP="001E50E5">
      <w:pPr>
        <w:jc w:val="both"/>
      </w:pPr>
      <w:r>
        <w:t xml:space="preserve">Note that participants enrolled under previous versions of this protocol </w:t>
      </w:r>
      <w:r w:rsidR="00265489">
        <w:t xml:space="preserve">will not have been asked regarding the possibility of additional visits at the time of their consent, but will have given consent to be re-approached regarding further research projects.  Accordingly, these participants (or their parents/legal guardians) will be contacted by the study site team to determine if they would be willing to undertake the additional visits outlined in point 2 above. </w:t>
      </w:r>
      <w:r w:rsidR="79084F9E">
        <w:t xml:space="preserve">All </w:t>
      </w:r>
      <w:r w:rsidR="005A3B11">
        <w:t xml:space="preserve">participants in the longitudinal cohort </w:t>
      </w:r>
      <w:r w:rsidR="20CA227F">
        <w:t>will</w:t>
      </w:r>
      <w:r w:rsidR="00D21DF6">
        <w:t xml:space="preserve"> be reconsented</w:t>
      </w:r>
      <w:r w:rsidR="002B088F">
        <w:t>, with those as sites contributing to the evaluation of T cell responses giving specific consent for this and storage of human tissues.</w:t>
      </w:r>
      <w:r w:rsidR="00F41647">
        <w:t xml:space="preserve">  </w:t>
      </w:r>
    </w:p>
    <w:p w14:paraId="7157890A" w14:textId="72F0F701" w:rsidR="00873431" w:rsidRDefault="00873431" w:rsidP="003413DF">
      <w:pPr>
        <w:pStyle w:val="Heading2"/>
        <w:spacing w:before="0"/>
      </w:pPr>
      <w:bookmarkStart w:id="89" w:name="_Toc516150161"/>
      <w:bookmarkStart w:id="90" w:name="_Toc516151239"/>
      <w:bookmarkStart w:id="91" w:name="_Toc517942660"/>
      <w:bookmarkStart w:id="92" w:name="_Toc517966568"/>
      <w:bookmarkStart w:id="93" w:name="_Toc517966723"/>
      <w:bookmarkStart w:id="94" w:name="_Toc517967004"/>
      <w:bookmarkStart w:id="95" w:name="_Toc517967108"/>
      <w:bookmarkStart w:id="96" w:name="_Toc32432130"/>
      <w:bookmarkStart w:id="97" w:name="_Toc62129157"/>
      <w:bookmarkEnd w:id="89"/>
      <w:bookmarkEnd w:id="90"/>
      <w:bookmarkEnd w:id="91"/>
      <w:bookmarkEnd w:id="92"/>
      <w:bookmarkEnd w:id="93"/>
      <w:bookmarkEnd w:id="94"/>
      <w:bookmarkEnd w:id="95"/>
      <w:r>
        <w:t>Study visit</w:t>
      </w:r>
      <w:bookmarkEnd w:id="96"/>
      <w:r w:rsidR="001721C1">
        <w:t>s</w:t>
      </w:r>
      <w:bookmarkEnd w:id="97"/>
    </w:p>
    <w:p w14:paraId="2140DE1F" w14:textId="632F30EA" w:rsidR="001E50E5" w:rsidRPr="00561CAA" w:rsidRDefault="001E50E5" w:rsidP="00561CAA">
      <w:pPr>
        <w:pStyle w:val="Heading3"/>
        <w:spacing w:after="120"/>
        <w:rPr>
          <w:rFonts w:asciiTheme="minorHAnsi" w:hAnsiTheme="minorHAnsi" w:cstheme="minorHAnsi"/>
        </w:rPr>
      </w:pPr>
      <w:bookmarkStart w:id="98" w:name="_Toc62129158"/>
      <w:r w:rsidRPr="00561CAA">
        <w:rPr>
          <w:rFonts w:asciiTheme="minorHAnsi" w:hAnsiTheme="minorHAnsi" w:cstheme="minorHAnsi"/>
        </w:rPr>
        <w:lastRenderedPageBreak/>
        <w:t>9.</w:t>
      </w:r>
      <w:r w:rsidR="00071F41">
        <w:rPr>
          <w:rFonts w:asciiTheme="minorHAnsi" w:hAnsiTheme="minorHAnsi" w:cstheme="minorHAnsi"/>
        </w:rPr>
        <w:t>6</w:t>
      </w:r>
      <w:r w:rsidRPr="00561CAA">
        <w:rPr>
          <w:rFonts w:asciiTheme="minorHAnsi" w:hAnsiTheme="minorHAnsi" w:cstheme="minorHAnsi"/>
        </w:rPr>
        <w:t>.1 Visit 1</w:t>
      </w:r>
      <w:bookmarkEnd w:id="98"/>
    </w:p>
    <w:p w14:paraId="699560BA" w14:textId="0CF94550" w:rsidR="00873431" w:rsidRDefault="001E50E5" w:rsidP="001E50E5">
      <w:pPr>
        <w:jc w:val="both"/>
      </w:pPr>
      <w:r>
        <w:t xml:space="preserve">The </w:t>
      </w:r>
      <w:r w:rsidR="00873431">
        <w:t>study visit</w:t>
      </w:r>
      <w:r w:rsidR="00873431" w:rsidRPr="00E044CE">
        <w:t xml:space="preserve"> will be conducted by </w:t>
      </w:r>
      <w:r w:rsidR="00631B26" w:rsidRPr="000929A7">
        <w:t>research study</w:t>
      </w:r>
      <w:r w:rsidR="00873431" w:rsidRPr="00E044CE">
        <w:t xml:space="preserve"> staff either at the participant’s home, or at convenient and suitable venues.</w:t>
      </w:r>
      <w:r w:rsidR="00873431">
        <w:t xml:space="preserve">  </w:t>
      </w:r>
    </w:p>
    <w:p w14:paraId="099A76F0" w14:textId="0E0198C3" w:rsidR="00873431" w:rsidRPr="00E044CE" w:rsidRDefault="00873431" w:rsidP="00F444E5">
      <w:pPr>
        <w:pStyle w:val="ListParagraph"/>
        <w:numPr>
          <w:ilvl w:val="0"/>
          <w:numId w:val="10"/>
        </w:numPr>
        <w:jc w:val="both"/>
        <w:rPr>
          <w:rFonts w:ascii="Calibri" w:hAnsi="Calibri"/>
        </w:rPr>
      </w:pPr>
      <w:r w:rsidRPr="00E044CE">
        <w:rPr>
          <w:rFonts w:ascii="Calibri" w:hAnsi="Calibri"/>
        </w:rPr>
        <w:t>Provide explanation of the study to</w:t>
      </w:r>
      <w:r w:rsidR="00BF749B">
        <w:rPr>
          <w:rFonts w:ascii="Calibri" w:hAnsi="Calibri"/>
        </w:rPr>
        <w:t xml:space="preserve"> participant or</w:t>
      </w:r>
      <w:r w:rsidRPr="00E044CE">
        <w:rPr>
          <w:rFonts w:ascii="Calibri" w:hAnsi="Calibri"/>
        </w:rPr>
        <w:t xml:space="preserve"> parents/legal guardians.</w:t>
      </w:r>
    </w:p>
    <w:p w14:paraId="05D17C01" w14:textId="442A1B11" w:rsidR="00873431" w:rsidRPr="00E044CE" w:rsidRDefault="00873431" w:rsidP="00F444E5">
      <w:pPr>
        <w:pStyle w:val="ListParagraph"/>
        <w:numPr>
          <w:ilvl w:val="0"/>
          <w:numId w:val="10"/>
        </w:numPr>
        <w:jc w:val="both"/>
        <w:rPr>
          <w:rFonts w:ascii="Calibri" w:hAnsi="Calibri"/>
        </w:rPr>
      </w:pPr>
      <w:r w:rsidRPr="00E044CE">
        <w:rPr>
          <w:rFonts w:ascii="Calibri" w:hAnsi="Calibri"/>
        </w:rPr>
        <w:t xml:space="preserve">Obtain written informed consent from the </w:t>
      </w:r>
      <w:r w:rsidR="00BF749B">
        <w:rPr>
          <w:rFonts w:ascii="Calibri" w:hAnsi="Calibri"/>
        </w:rPr>
        <w:t xml:space="preserve">participant or </w:t>
      </w:r>
      <w:r w:rsidRPr="00E044CE">
        <w:rPr>
          <w:rFonts w:ascii="Calibri" w:hAnsi="Calibri"/>
        </w:rPr>
        <w:t>parents/legal guardians of the participant</w:t>
      </w:r>
    </w:p>
    <w:p w14:paraId="508EE949" w14:textId="02F5CE7F" w:rsidR="00873431" w:rsidRPr="00E044CE" w:rsidRDefault="00795680" w:rsidP="00F444E5">
      <w:pPr>
        <w:pStyle w:val="ListParagraph"/>
        <w:numPr>
          <w:ilvl w:val="0"/>
          <w:numId w:val="10"/>
        </w:numPr>
        <w:jc w:val="both"/>
        <w:rPr>
          <w:rFonts w:ascii="Calibri" w:hAnsi="Calibri"/>
        </w:rPr>
      </w:pPr>
      <w:r>
        <w:rPr>
          <w:rFonts w:ascii="Calibri" w:hAnsi="Calibri"/>
        </w:rPr>
        <w:t>Appropriately trained</w:t>
      </w:r>
      <w:r w:rsidR="00873431" w:rsidRPr="00E044CE">
        <w:rPr>
          <w:rFonts w:ascii="Calibri" w:hAnsi="Calibri"/>
        </w:rPr>
        <w:t xml:space="preserve"> staff will perform a thorough check of inclusion and exclusion criteria using recall of relevant medical history and record findings, including:</w:t>
      </w:r>
    </w:p>
    <w:p w14:paraId="159874D5" w14:textId="77777777" w:rsidR="00873431" w:rsidRPr="00E044CE" w:rsidRDefault="00873431" w:rsidP="00F444E5">
      <w:pPr>
        <w:pStyle w:val="ListParagraph"/>
        <w:numPr>
          <w:ilvl w:val="1"/>
          <w:numId w:val="10"/>
        </w:numPr>
        <w:jc w:val="both"/>
        <w:rPr>
          <w:rFonts w:ascii="Calibri" w:hAnsi="Calibri"/>
        </w:rPr>
      </w:pPr>
      <w:r w:rsidRPr="00E044CE">
        <w:rPr>
          <w:rFonts w:ascii="Calibri" w:hAnsi="Calibri"/>
        </w:rPr>
        <w:t>Medical history of relevance to the inclusion/exclusion criteria</w:t>
      </w:r>
    </w:p>
    <w:p w14:paraId="14C6C4A8" w14:textId="77777777" w:rsidR="00873431" w:rsidRDefault="00873431" w:rsidP="00F444E5">
      <w:pPr>
        <w:pStyle w:val="ListParagraph"/>
        <w:numPr>
          <w:ilvl w:val="1"/>
          <w:numId w:val="10"/>
        </w:numPr>
        <w:jc w:val="both"/>
        <w:rPr>
          <w:rFonts w:ascii="Calibri" w:hAnsi="Calibri"/>
        </w:rPr>
      </w:pPr>
      <w:r w:rsidRPr="00E044CE">
        <w:rPr>
          <w:rFonts w:ascii="Calibri" w:hAnsi="Calibri"/>
        </w:rPr>
        <w:t xml:space="preserve">Details and indications of any prescription medications </w:t>
      </w:r>
      <w:r>
        <w:rPr>
          <w:rFonts w:ascii="Calibri" w:hAnsi="Calibri"/>
        </w:rPr>
        <w:t>and vaccines</w:t>
      </w:r>
    </w:p>
    <w:p w14:paraId="28731A21" w14:textId="77777777" w:rsidR="00873431" w:rsidRPr="00E044CE" w:rsidRDefault="00873431" w:rsidP="00F444E5">
      <w:pPr>
        <w:pStyle w:val="ListParagraph"/>
        <w:numPr>
          <w:ilvl w:val="0"/>
          <w:numId w:val="11"/>
        </w:numPr>
        <w:jc w:val="both"/>
        <w:rPr>
          <w:rFonts w:ascii="Calibri" w:hAnsi="Calibri"/>
        </w:rPr>
      </w:pPr>
      <w:r w:rsidRPr="00E044CE">
        <w:rPr>
          <w:rFonts w:ascii="Calibri" w:hAnsi="Calibri"/>
        </w:rPr>
        <w:t>If all inclusion and exclusion criteria are met the participant will be considered enrolled into the study.</w:t>
      </w:r>
    </w:p>
    <w:p w14:paraId="62BE2732" w14:textId="69AB9BAE" w:rsidR="00873431" w:rsidRPr="00E044CE" w:rsidRDefault="00873431" w:rsidP="00F444E5">
      <w:pPr>
        <w:pStyle w:val="ListParagraph"/>
        <w:numPr>
          <w:ilvl w:val="0"/>
          <w:numId w:val="11"/>
        </w:numPr>
        <w:jc w:val="both"/>
        <w:rPr>
          <w:rFonts w:ascii="Calibri" w:hAnsi="Calibri"/>
        </w:rPr>
      </w:pPr>
      <w:r>
        <w:rPr>
          <w:rFonts w:ascii="Calibri" w:hAnsi="Calibri"/>
        </w:rPr>
        <w:t xml:space="preserve">Ask participant or </w:t>
      </w:r>
      <w:r w:rsidR="0083568E">
        <w:rPr>
          <w:rFonts w:ascii="Calibri" w:hAnsi="Calibri"/>
        </w:rPr>
        <w:t>parent</w:t>
      </w:r>
      <w:r w:rsidR="00BF749B">
        <w:rPr>
          <w:rFonts w:ascii="Calibri" w:hAnsi="Calibri"/>
        </w:rPr>
        <w:t>/</w:t>
      </w:r>
      <w:r>
        <w:rPr>
          <w:rFonts w:ascii="Calibri" w:hAnsi="Calibri"/>
        </w:rPr>
        <w:t xml:space="preserve"> guardian (if participant below </w:t>
      </w:r>
      <w:r w:rsidR="00D24E32">
        <w:rPr>
          <w:rFonts w:ascii="Calibri" w:hAnsi="Calibri"/>
        </w:rPr>
        <w:t>16 years of age)</w:t>
      </w:r>
      <w:r>
        <w:rPr>
          <w:rFonts w:ascii="Calibri" w:hAnsi="Calibri"/>
        </w:rPr>
        <w:t xml:space="preserve"> to fill in ques</w:t>
      </w:r>
      <w:r w:rsidR="0083568E">
        <w:rPr>
          <w:rFonts w:ascii="Calibri" w:hAnsi="Calibri"/>
        </w:rPr>
        <w:t xml:space="preserve">tionnaire which will demographic data. </w:t>
      </w:r>
    </w:p>
    <w:p w14:paraId="7B2C8941" w14:textId="349E4FBC" w:rsidR="00873431" w:rsidRPr="00873431" w:rsidRDefault="00873431" w:rsidP="00F444E5">
      <w:pPr>
        <w:pStyle w:val="ListParagraph"/>
        <w:numPr>
          <w:ilvl w:val="0"/>
          <w:numId w:val="11"/>
        </w:numPr>
        <w:jc w:val="both"/>
      </w:pPr>
      <w:r w:rsidRPr="00E044CE">
        <w:rPr>
          <w:rFonts w:ascii="Calibri" w:hAnsi="Calibri"/>
        </w:rPr>
        <w:t xml:space="preserve">Study staff to complete </w:t>
      </w:r>
      <w:r w:rsidR="00201878">
        <w:rPr>
          <w:rFonts w:ascii="Calibri" w:hAnsi="Calibri"/>
        </w:rPr>
        <w:t xml:space="preserve">paper </w:t>
      </w:r>
      <w:r w:rsidRPr="00E044CE">
        <w:rPr>
          <w:rFonts w:ascii="Calibri" w:hAnsi="Calibri"/>
        </w:rPr>
        <w:t xml:space="preserve">source </w:t>
      </w:r>
      <w:r w:rsidR="00201878">
        <w:rPr>
          <w:rFonts w:ascii="Calibri" w:hAnsi="Calibri"/>
        </w:rPr>
        <w:t xml:space="preserve">or </w:t>
      </w:r>
      <w:r w:rsidRPr="00E044CE">
        <w:rPr>
          <w:rFonts w:ascii="Calibri" w:hAnsi="Calibri"/>
        </w:rPr>
        <w:t>electronic CRF</w:t>
      </w:r>
      <w:r w:rsidR="00D24E32">
        <w:rPr>
          <w:rFonts w:ascii="Calibri" w:hAnsi="Calibri"/>
        </w:rPr>
        <w:t xml:space="preserve"> which will include the participants</w:t>
      </w:r>
      <w:r w:rsidR="00A52D9A">
        <w:rPr>
          <w:rFonts w:ascii="Calibri" w:hAnsi="Calibri"/>
        </w:rPr>
        <w:t>’</w:t>
      </w:r>
      <w:r w:rsidR="00D24E32">
        <w:rPr>
          <w:rFonts w:ascii="Calibri" w:hAnsi="Calibri"/>
        </w:rPr>
        <w:t xml:space="preserve"> immunisation history</w:t>
      </w:r>
      <w:r w:rsidRPr="00E044CE">
        <w:rPr>
          <w:rFonts w:ascii="Calibri" w:hAnsi="Calibri"/>
        </w:rPr>
        <w:t>.</w:t>
      </w:r>
      <w:bookmarkStart w:id="99" w:name="_Toc389567899"/>
    </w:p>
    <w:p w14:paraId="1AC99C96" w14:textId="5062C41A" w:rsidR="00FA5B26" w:rsidRDefault="003E4917" w:rsidP="00E24228">
      <w:pPr>
        <w:jc w:val="both"/>
      </w:pPr>
      <w:r w:rsidRPr="000929A7">
        <w:t>Blood sampling</w:t>
      </w:r>
      <w:r w:rsidR="005C393D">
        <w:t xml:space="preserve"> (+/- saliva sampling) </w:t>
      </w:r>
      <w:r w:rsidRPr="000929A7">
        <w:t xml:space="preserve"> will be carried out in line with local SOPs.  A local anaesthetic cream</w:t>
      </w:r>
      <w:r w:rsidR="00F61A50" w:rsidRPr="000929A7">
        <w:t xml:space="preserve"> or spray</w:t>
      </w:r>
      <w:r w:rsidRPr="000929A7">
        <w:t xml:space="preserve"> will be offered </w:t>
      </w:r>
      <w:r w:rsidR="00201878" w:rsidRPr="000929A7">
        <w:t xml:space="preserve">to child participants </w:t>
      </w:r>
      <w:r w:rsidRPr="000929A7">
        <w:t>prior to venepuncture</w:t>
      </w:r>
      <w:r w:rsidR="003106F9">
        <w:t xml:space="preserve"> but will be made available to all age groups if required</w:t>
      </w:r>
      <w:r w:rsidR="00754615" w:rsidRPr="000929A7">
        <w:t>. When a visit has been booked</w:t>
      </w:r>
      <w:r w:rsidR="00261B7F" w:rsidRPr="000929A7">
        <w:t xml:space="preserve"> and will take place in the participants home or at a suitable convenient venue</w:t>
      </w:r>
      <w:r w:rsidR="00754615" w:rsidRPr="000929A7">
        <w:t>, the anaesthetic cream will be sent by post with written instructions for application</w:t>
      </w:r>
      <w:r w:rsidR="00051F6E" w:rsidRPr="000929A7">
        <w:t>.</w:t>
      </w:r>
      <w:r w:rsidR="00754615" w:rsidRPr="000929A7">
        <w:t xml:space="preserve"> </w:t>
      </w:r>
      <w:r w:rsidR="00261B7F" w:rsidRPr="000929A7">
        <w:t xml:space="preserve"> </w:t>
      </w:r>
      <w:r w:rsidR="00051F6E" w:rsidRPr="000929A7">
        <w:t>If the cream is sent by post, p</w:t>
      </w:r>
      <w:r w:rsidR="00201878" w:rsidRPr="000929A7">
        <w:t>arents will be asked to apply the cream an hour before the appointment</w:t>
      </w:r>
      <w:r w:rsidRPr="000929A7">
        <w:t>.</w:t>
      </w:r>
      <w:r w:rsidR="00261B7F" w:rsidRPr="000929A7">
        <w:t xml:space="preserve">  If participants are coming to a clinic then anaesthetic cream will be applied after verbal consent.</w:t>
      </w:r>
      <w:r w:rsidRPr="000929A7">
        <w:t xml:space="preserve"> </w:t>
      </w:r>
      <w:r w:rsidR="00261B7F" w:rsidRPr="000929A7">
        <w:t xml:space="preserve"> Formal consent processes, medical/vaccine history and the questionnaire can be filled in while the cream is taking effect.  </w:t>
      </w:r>
      <w:r w:rsidR="00051F6E" w:rsidRPr="000929A7">
        <w:t xml:space="preserve">If anaesthetic spray is used, this is applied immediately before the procedure to numb the skin.  </w:t>
      </w:r>
      <w:r w:rsidRPr="000929A7">
        <w:t>If the initial attempt at venepuncture is not successful</w:t>
      </w:r>
      <w:r w:rsidR="00473388">
        <w:t xml:space="preserve"> (see Clinical Study Plan for minimum recommended volumes)</w:t>
      </w:r>
      <w:r w:rsidRPr="000929A7">
        <w:t xml:space="preserve"> verbal consent will be sought for a further attempt at that visit. No more than two attempts will be made in one visit.  An additional visit may be rescheduled for another day if no blood is obtained at all.</w:t>
      </w:r>
      <w:r w:rsidR="00244254" w:rsidRPr="000929A7">
        <w:t xml:space="preserve"> Maximum blood volumes based on 0.8ml/kg in line with guidance given by the European </w:t>
      </w:r>
      <w:r w:rsidR="00FA5B26" w:rsidRPr="000929A7">
        <w:t>Commission</w:t>
      </w:r>
      <w:r w:rsidR="00244254" w:rsidRPr="000929A7">
        <w:t xml:space="preserve"> of public health are tabled below in table </w:t>
      </w:r>
      <w:r w:rsidR="00CE03FB" w:rsidRPr="000929A7">
        <w:t>1</w:t>
      </w:r>
      <w:r w:rsidR="00244254" w:rsidRPr="000929A7">
        <w:t xml:space="preserve">.  The weights for each age group are based on the 0.4th centile </w:t>
      </w:r>
      <w:r w:rsidR="00FA5B26" w:rsidRPr="000929A7">
        <w:t>on the female UK-WHO growth chart.</w:t>
      </w:r>
      <w:r w:rsidR="00AF64A1" w:rsidRPr="000929A7">
        <w:t xml:space="preserve">    </w:t>
      </w:r>
      <w:r w:rsidR="00F860B1">
        <w:t xml:space="preserve">  </w:t>
      </w:r>
    </w:p>
    <w:p w14:paraId="5A5AAED6" w14:textId="63F22C98" w:rsidR="00E365DB" w:rsidRPr="000929A7" w:rsidRDefault="00E365DB" w:rsidP="00E24228">
      <w:pPr>
        <w:jc w:val="both"/>
      </w:pPr>
      <w:r>
        <w:t>A participant is only considered enrolled when a blood sample has been taken.</w:t>
      </w:r>
    </w:p>
    <w:p w14:paraId="4388EB0D" w14:textId="6425FD78" w:rsidR="00FA5B26" w:rsidRPr="00FA5B26" w:rsidRDefault="00FA5B26" w:rsidP="003E4917">
      <w:pPr>
        <w:pStyle w:val="CommentText"/>
        <w:spacing w:after="0" w:line="276" w:lineRule="auto"/>
        <w:rPr>
          <w:rFonts w:ascii="Calibri" w:hAnsi="Calibri"/>
          <w:b/>
          <w:sz w:val="22"/>
          <w:szCs w:val="22"/>
          <w:u w:val="single"/>
        </w:rPr>
      </w:pPr>
      <w:r w:rsidRPr="00FA5B26">
        <w:rPr>
          <w:rFonts w:ascii="Calibri" w:hAnsi="Calibri"/>
          <w:b/>
          <w:sz w:val="22"/>
          <w:szCs w:val="22"/>
          <w:u w:val="single"/>
        </w:rPr>
        <w:t xml:space="preserve">Table </w:t>
      </w:r>
      <w:r w:rsidR="00CE03FB">
        <w:rPr>
          <w:rFonts w:ascii="Calibri" w:hAnsi="Calibri"/>
          <w:b/>
          <w:sz w:val="22"/>
          <w:szCs w:val="22"/>
          <w:u w:val="single"/>
        </w:rPr>
        <w:t>1</w:t>
      </w:r>
    </w:p>
    <w:tbl>
      <w:tblPr>
        <w:tblStyle w:val="TableGrid"/>
        <w:tblW w:w="0" w:type="auto"/>
        <w:jc w:val="center"/>
        <w:tblLook w:val="04A0" w:firstRow="1" w:lastRow="0" w:firstColumn="1" w:lastColumn="0" w:noHBand="0" w:noVBand="1"/>
      </w:tblPr>
      <w:tblGrid>
        <w:gridCol w:w="2263"/>
        <w:gridCol w:w="3544"/>
      </w:tblGrid>
      <w:tr w:rsidR="005B4CE7" w14:paraId="3AD1635F" w14:textId="7889D15C" w:rsidTr="00FA1960">
        <w:trPr>
          <w:jc w:val="center"/>
        </w:trPr>
        <w:tc>
          <w:tcPr>
            <w:tcW w:w="2263" w:type="dxa"/>
          </w:tcPr>
          <w:p w14:paraId="54F91BB7" w14:textId="4FC35F66" w:rsidR="005B4CE7" w:rsidRPr="008B77E0" w:rsidRDefault="005B4CE7" w:rsidP="008B77E0">
            <w:pPr>
              <w:pStyle w:val="CommentText"/>
              <w:spacing w:line="276" w:lineRule="auto"/>
              <w:jc w:val="center"/>
              <w:rPr>
                <w:rFonts w:ascii="Calibri" w:hAnsi="Calibri"/>
                <w:b/>
                <w:sz w:val="22"/>
                <w:szCs w:val="22"/>
              </w:rPr>
            </w:pPr>
            <w:r w:rsidRPr="008B77E0">
              <w:rPr>
                <w:rFonts w:ascii="Calibri" w:hAnsi="Calibri"/>
                <w:b/>
                <w:sz w:val="22"/>
                <w:szCs w:val="22"/>
              </w:rPr>
              <w:t>Age</w:t>
            </w:r>
          </w:p>
        </w:tc>
        <w:tc>
          <w:tcPr>
            <w:tcW w:w="3544" w:type="dxa"/>
          </w:tcPr>
          <w:p w14:paraId="73A923DA" w14:textId="19BC4AB7" w:rsidR="005B4CE7" w:rsidRPr="008B77E0" w:rsidRDefault="005B4CE7" w:rsidP="008B77E0">
            <w:pPr>
              <w:pStyle w:val="CommentText"/>
              <w:spacing w:line="276" w:lineRule="auto"/>
              <w:jc w:val="center"/>
              <w:rPr>
                <w:rFonts w:ascii="Calibri" w:hAnsi="Calibri"/>
                <w:b/>
                <w:sz w:val="22"/>
                <w:szCs w:val="22"/>
              </w:rPr>
            </w:pPr>
            <w:r w:rsidRPr="008B77E0">
              <w:rPr>
                <w:rFonts w:ascii="Calibri" w:hAnsi="Calibri"/>
                <w:b/>
                <w:sz w:val="22"/>
                <w:szCs w:val="22"/>
              </w:rPr>
              <w:t xml:space="preserve">Maximum </w:t>
            </w:r>
            <w:r>
              <w:rPr>
                <w:rFonts w:ascii="Calibri" w:hAnsi="Calibri"/>
                <w:b/>
                <w:sz w:val="22"/>
                <w:szCs w:val="22"/>
              </w:rPr>
              <w:t>(target) v</w:t>
            </w:r>
            <w:r w:rsidRPr="008B77E0">
              <w:rPr>
                <w:rFonts w:ascii="Calibri" w:hAnsi="Calibri"/>
                <w:b/>
                <w:sz w:val="22"/>
                <w:szCs w:val="22"/>
              </w:rPr>
              <w:t>olume of blood (mls)</w:t>
            </w:r>
          </w:p>
        </w:tc>
      </w:tr>
      <w:tr w:rsidR="005B4CE7" w14:paraId="1E15EA3B" w14:textId="4054A894" w:rsidTr="00FA1960">
        <w:trPr>
          <w:jc w:val="center"/>
        </w:trPr>
        <w:tc>
          <w:tcPr>
            <w:tcW w:w="2263" w:type="dxa"/>
          </w:tcPr>
          <w:p w14:paraId="0DDE130C" w14:textId="32EAB72D" w:rsidR="005B4CE7" w:rsidRDefault="005B4CE7" w:rsidP="008B77E0">
            <w:pPr>
              <w:pStyle w:val="CommentText"/>
              <w:spacing w:line="276" w:lineRule="auto"/>
              <w:jc w:val="center"/>
              <w:rPr>
                <w:rFonts w:ascii="Calibri" w:hAnsi="Calibri"/>
                <w:sz w:val="22"/>
                <w:szCs w:val="22"/>
              </w:rPr>
            </w:pPr>
            <w:r>
              <w:rPr>
                <w:rFonts w:ascii="Calibri" w:hAnsi="Calibri"/>
                <w:sz w:val="22"/>
                <w:szCs w:val="22"/>
              </w:rPr>
              <w:t>&lt;2 months</w:t>
            </w:r>
          </w:p>
        </w:tc>
        <w:tc>
          <w:tcPr>
            <w:tcW w:w="3544" w:type="dxa"/>
          </w:tcPr>
          <w:p w14:paraId="1B8D7D8A" w14:textId="4CB41086" w:rsidR="005B4CE7" w:rsidRDefault="005B4CE7" w:rsidP="008B77E0">
            <w:pPr>
              <w:pStyle w:val="CommentText"/>
              <w:spacing w:line="276" w:lineRule="auto"/>
              <w:jc w:val="center"/>
              <w:rPr>
                <w:rFonts w:ascii="Calibri" w:hAnsi="Calibri"/>
                <w:sz w:val="22"/>
                <w:szCs w:val="22"/>
              </w:rPr>
            </w:pPr>
            <w:r>
              <w:rPr>
                <w:rFonts w:ascii="Calibri" w:hAnsi="Calibri"/>
                <w:sz w:val="22"/>
                <w:szCs w:val="22"/>
              </w:rPr>
              <w:t>2ml</w:t>
            </w:r>
          </w:p>
        </w:tc>
      </w:tr>
      <w:tr w:rsidR="005B4CE7" w14:paraId="31444637" w14:textId="04F458A6" w:rsidTr="00FA1960">
        <w:trPr>
          <w:jc w:val="center"/>
        </w:trPr>
        <w:tc>
          <w:tcPr>
            <w:tcW w:w="2263" w:type="dxa"/>
          </w:tcPr>
          <w:p w14:paraId="49C79DC5" w14:textId="521D7E38" w:rsidR="005B4CE7" w:rsidRDefault="005B4CE7" w:rsidP="008B77E0">
            <w:pPr>
              <w:pStyle w:val="CommentText"/>
              <w:spacing w:line="276" w:lineRule="auto"/>
              <w:jc w:val="center"/>
              <w:rPr>
                <w:rFonts w:ascii="Calibri" w:hAnsi="Calibri"/>
                <w:sz w:val="22"/>
                <w:szCs w:val="22"/>
              </w:rPr>
            </w:pPr>
            <w:r>
              <w:rPr>
                <w:rFonts w:ascii="Calibri" w:hAnsi="Calibri"/>
                <w:sz w:val="22"/>
                <w:szCs w:val="22"/>
              </w:rPr>
              <w:t>2-6 months</w:t>
            </w:r>
          </w:p>
        </w:tc>
        <w:tc>
          <w:tcPr>
            <w:tcW w:w="3544" w:type="dxa"/>
          </w:tcPr>
          <w:p w14:paraId="09FC5B39" w14:textId="1DA93048" w:rsidR="005B4CE7" w:rsidRDefault="005B4CE7" w:rsidP="008B77E0">
            <w:pPr>
              <w:pStyle w:val="CommentText"/>
              <w:spacing w:line="276" w:lineRule="auto"/>
              <w:jc w:val="center"/>
              <w:rPr>
                <w:rFonts w:ascii="Calibri" w:hAnsi="Calibri"/>
                <w:sz w:val="22"/>
                <w:szCs w:val="22"/>
              </w:rPr>
            </w:pPr>
            <w:r>
              <w:rPr>
                <w:rFonts w:ascii="Calibri" w:hAnsi="Calibri"/>
                <w:sz w:val="22"/>
                <w:szCs w:val="22"/>
              </w:rPr>
              <w:t>3ml</w:t>
            </w:r>
          </w:p>
        </w:tc>
      </w:tr>
      <w:tr w:rsidR="005B4CE7" w14:paraId="6EB7A469" w14:textId="7ADEFB8F" w:rsidTr="00FA1960">
        <w:trPr>
          <w:jc w:val="center"/>
        </w:trPr>
        <w:tc>
          <w:tcPr>
            <w:tcW w:w="2263" w:type="dxa"/>
          </w:tcPr>
          <w:p w14:paraId="522A3169" w14:textId="4DDC108F" w:rsidR="005B4CE7" w:rsidRDefault="005B4CE7" w:rsidP="008B77E0">
            <w:pPr>
              <w:pStyle w:val="CommentText"/>
              <w:spacing w:line="276" w:lineRule="auto"/>
              <w:jc w:val="center"/>
              <w:rPr>
                <w:rFonts w:ascii="Calibri" w:hAnsi="Calibri"/>
                <w:sz w:val="22"/>
                <w:szCs w:val="22"/>
              </w:rPr>
            </w:pPr>
            <w:r>
              <w:rPr>
                <w:rFonts w:ascii="Calibri" w:hAnsi="Calibri"/>
                <w:sz w:val="22"/>
                <w:szCs w:val="22"/>
              </w:rPr>
              <w:t>6-12 months</w:t>
            </w:r>
          </w:p>
        </w:tc>
        <w:tc>
          <w:tcPr>
            <w:tcW w:w="3544" w:type="dxa"/>
          </w:tcPr>
          <w:p w14:paraId="37B67BC9" w14:textId="308BEFE0" w:rsidR="005B4CE7" w:rsidRDefault="005B4CE7" w:rsidP="008B77E0">
            <w:pPr>
              <w:pStyle w:val="CommentText"/>
              <w:spacing w:line="276" w:lineRule="auto"/>
              <w:jc w:val="center"/>
              <w:rPr>
                <w:rFonts w:ascii="Calibri" w:hAnsi="Calibri"/>
                <w:sz w:val="22"/>
                <w:szCs w:val="22"/>
              </w:rPr>
            </w:pPr>
            <w:r>
              <w:rPr>
                <w:rFonts w:ascii="Calibri" w:hAnsi="Calibri"/>
                <w:sz w:val="22"/>
                <w:szCs w:val="22"/>
              </w:rPr>
              <w:t>5ml</w:t>
            </w:r>
          </w:p>
        </w:tc>
      </w:tr>
      <w:tr w:rsidR="005B4CE7" w14:paraId="0D84F993" w14:textId="711109EA" w:rsidTr="00FA1960">
        <w:trPr>
          <w:jc w:val="center"/>
        </w:trPr>
        <w:tc>
          <w:tcPr>
            <w:tcW w:w="2263" w:type="dxa"/>
          </w:tcPr>
          <w:p w14:paraId="162B3A8C" w14:textId="74ED828D" w:rsidR="005B4CE7" w:rsidRDefault="005B4CE7" w:rsidP="008B77E0">
            <w:pPr>
              <w:pStyle w:val="CommentText"/>
              <w:spacing w:line="276" w:lineRule="auto"/>
              <w:jc w:val="center"/>
              <w:rPr>
                <w:rFonts w:ascii="Calibri" w:hAnsi="Calibri"/>
                <w:sz w:val="22"/>
                <w:szCs w:val="22"/>
              </w:rPr>
            </w:pPr>
            <w:r>
              <w:rPr>
                <w:rFonts w:ascii="Calibri" w:hAnsi="Calibri"/>
                <w:sz w:val="22"/>
                <w:szCs w:val="22"/>
              </w:rPr>
              <w:t>1-2 years</w:t>
            </w:r>
          </w:p>
        </w:tc>
        <w:tc>
          <w:tcPr>
            <w:tcW w:w="3544" w:type="dxa"/>
          </w:tcPr>
          <w:p w14:paraId="1371BDA4" w14:textId="56B64FBC" w:rsidR="005B4CE7" w:rsidRDefault="005B4CE7" w:rsidP="008B77E0">
            <w:pPr>
              <w:pStyle w:val="CommentText"/>
              <w:spacing w:line="276" w:lineRule="auto"/>
              <w:jc w:val="center"/>
              <w:rPr>
                <w:rFonts w:ascii="Calibri" w:hAnsi="Calibri"/>
                <w:sz w:val="22"/>
                <w:szCs w:val="22"/>
              </w:rPr>
            </w:pPr>
            <w:r>
              <w:rPr>
                <w:rFonts w:ascii="Calibri" w:hAnsi="Calibri"/>
                <w:sz w:val="22"/>
                <w:szCs w:val="22"/>
              </w:rPr>
              <w:t>6ml</w:t>
            </w:r>
          </w:p>
        </w:tc>
      </w:tr>
      <w:tr w:rsidR="005B4CE7" w14:paraId="2FBBCBDF" w14:textId="2CA66381" w:rsidTr="00FA1960">
        <w:trPr>
          <w:jc w:val="center"/>
        </w:trPr>
        <w:tc>
          <w:tcPr>
            <w:tcW w:w="2263" w:type="dxa"/>
          </w:tcPr>
          <w:p w14:paraId="43B82D8B" w14:textId="426447A0" w:rsidR="005B4CE7" w:rsidRDefault="005B4CE7" w:rsidP="008B77E0">
            <w:pPr>
              <w:pStyle w:val="CommentText"/>
              <w:spacing w:line="276" w:lineRule="auto"/>
              <w:jc w:val="center"/>
              <w:rPr>
                <w:rFonts w:ascii="Calibri" w:hAnsi="Calibri"/>
                <w:sz w:val="22"/>
                <w:szCs w:val="22"/>
              </w:rPr>
            </w:pPr>
            <w:r>
              <w:rPr>
                <w:rFonts w:ascii="Calibri" w:hAnsi="Calibri"/>
                <w:sz w:val="22"/>
                <w:szCs w:val="22"/>
              </w:rPr>
              <w:t>3-7 years</w:t>
            </w:r>
          </w:p>
        </w:tc>
        <w:tc>
          <w:tcPr>
            <w:tcW w:w="3544" w:type="dxa"/>
          </w:tcPr>
          <w:p w14:paraId="0BB812F4" w14:textId="55A4A9DE" w:rsidR="005B4CE7" w:rsidRDefault="005B4CE7" w:rsidP="00B37BB9">
            <w:pPr>
              <w:pStyle w:val="CommentText"/>
              <w:spacing w:line="276" w:lineRule="auto"/>
              <w:jc w:val="center"/>
              <w:rPr>
                <w:rFonts w:ascii="Calibri" w:hAnsi="Calibri"/>
                <w:sz w:val="22"/>
                <w:szCs w:val="22"/>
              </w:rPr>
            </w:pPr>
            <w:r>
              <w:rPr>
                <w:rFonts w:ascii="Calibri" w:hAnsi="Calibri"/>
                <w:sz w:val="22"/>
                <w:szCs w:val="22"/>
              </w:rPr>
              <w:t>10ml</w:t>
            </w:r>
          </w:p>
        </w:tc>
      </w:tr>
      <w:tr w:rsidR="005B4CE7" w14:paraId="29C0C199" w14:textId="7D75F26F" w:rsidTr="00FA1960">
        <w:trPr>
          <w:jc w:val="center"/>
        </w:trPr>
        <w:tc>
          <w:tcPr>
            <w:tcW w:w="2263" w:type="dxa"/>
          </w:tcPr>
          <w:p w14:paraId="0FD04040" w14:textId="280D0E22" w:rsidR="005B4CE7" w:rsidRDefault="005B4CE7" w:rsidP="008B77E0">
            <w:pPr>
              <w:pStyle w:val="CommentText"/>
              <w:spacing w:line="276" w:lineRule="auto"/>
              <w:jc w:val="center"/>
              <w:rPr>
                <w:rFonts w:ascii="Calibri" w:hAnsi="Calibri"/>
                <w:sz w:val="22"/>
                <w:szCs w:val="22"/>
              </w:rPr>
            </w:pPr>
            <w:r>
              <w:rPr>
                <w:rFonts w:ascii="Calibri" w:hAnsi="Calibri"/>
                <w:sz w:val="22"/>
                <w:szCs w:val="22"/>
              </w:rPr>
              <w:t>8-11 years</w:t>
            </w:r>
          </w:p>
        </w:tc>
        <w:tc>
          <w:tcPr>
            <w:tcW w:w="3544" w:type="dxa"/>
          </w:tcPr>
          <w:p w14:paraId="433D8269" w14:textId="13EAC732" w:rsidR="005B4CE7" w:rsidRDefault="005B4CE7" w:rsidP="008B77E0">
            <w:pPr>
              <w:pStyle w:val="CommentText"/>
              <w:spacing w:line="276" w:lineRule="auto"/>
              <w:jc w:val="center"/>
              <w:rPr>
                <w:rFonts w:ascii="Calibri" w:hAnsi="Calibri"/>
                <w:sz w:val="22"/>
                <w:szCs w:val="22"/>
              </w:rPr>
            </w:pPr>
            <w:r>
              <w:rPr>
                <w:rFonts w:ascii="Calibri" w:hAnsi="Calibri"/>
                <w:sz w:val="22"/>
                <w:szCs w:val="22"/>
              </w:rPr>
              <w:t>15ml</w:t>
            </w:r>
          </w:p>
        </w:tc>
      </w:tr>
      <w:tr w:rsidR="005B4CE7" w14:paraId="5F35EB8B" w14:textId="7BC06509" w:rsidTr="00FA1960">
        <w:trPr>
          <w:jc w:val="center"/>
        </w:trPr>
        <w:tc>
          <w:tcPr>
            <w:tcW w:w="2263" w:type="dxa"/>
          </w:tcPr>
          <w:p w14:paraId="2DA82809" w14:textId="71A65083" w:rsidR="005B4CE7" w:rsidRDefault="005B4CE7" w:rsidP="008B77E0">
            <w:pPr>
              <w:pStyle w:val="CommentText"/>
              <w:spacing w:line="276" w:lineRule="auto"/>
              <w:jc w:val="center"/>
              <w:rPr>
                <w:rFonts w:ascii="Calibri" w:hAnsi="Calibri"/>
                <w:sz w:val="22"/>
                <w:szCs w:val="22"/>
              </w:rPr>
            </w:pPr>
            <w:r>
              <w:rPr>
                <w:rFonts w:ascii="Calibri" w:hAnsi="Calibri"/>
                <w:sz w:val="22"/>
                <w:szCs w:val="22"/>
              </w:rPr>
              <w:t>12-14 years</w:t>
            </w:r>
          </w:p>
        </w:tc>
        <w:tc>
          <w:tcPr>
            <w:tcW w:w="3544" w:type="dxa"/>
          </w:tcPr>
          <w:p w14:paraId="2714ACCD" w14:textId="150AE822" w:rsidR="005B4CE7" w:rsidRDefault="005B4CE7" w:rsidP="008B77E0">
            <w:pPr>
              <w:pStyle w:val="CommentText"/>
              <w:spacing w:line="276" w:lineRule="auto"/>
              <w:jc w:val="center"/>
              <w:rPr>
                <w:rFonts w:ascii="Calibri" w:hAnsi="Calibri"/>
                <w:sz w:val="22"/>
                <w:szCs w:val="22"/>
              </w:rPr>
            </w:pPr>
            <w:r>
              <w:rPr>
                <w:rFonts w:ascii="Calibri" w:hAnsi="Calibri"/>
                <w:sz w:val="22"/>
                <w:szCs w:val="22"/>
              </w:rPr>
              <w:t>20ml</w:t>
            </w:r>
          </w:p>
        </w:tc>
      </w:tr>
      <w:tr w:rsidR="005B4CE7" w14:paraId="0830D83A" w14:textId="1D5FD5FC" w:rsidTr="00FA1960">
        <w:trPr>
          <w:jc w:val="center"/>
        </w:trPr>
        <w:tc>
          <w:tcPr>
            <w:tcW w:w="2263" w:type="dxa"/>
          </w:tcPr>
          <w:p w14:paraId="39CA13DD" w14:textId="2D6831D6" w:rsidR="005B4CE7" w:rsidRDefault="005B4CE7" w:rsidP="008B77E0">
            <w:pPr>
              <w:pStyle w:val="CommentText"/>
              <w:spacing w:line="276" w:lineRule="auto"/>
              <w:jc w:val="center"/>
              <w:rPr>
                <w:rFonts w:ascii="Calibri" w:hAnsi="Calibri"/>
                <w:sz w:val="22"/>
                <w:szCs w:val="22"/>
              </w:rPr>
            </w:pPr>
            <w:r>
              <w:rPr>
                <w:rFonts w:ascii="Calibri" w:hAnsi="Calibri"/>
                <w:sz w:val="22"/>
                <w:szCs w:val="22"/>
              </w:rPr>
              <w:t>15 -24 years</w:t>
            </w:r>
          </w:p>
        </w:tc>
        <w:tc>
          <w:tcPr>
            <w:tcW w:w="3544" w:type="dxa"/>
          </w:tcPr>
          <w:p w14:paraId="1868D144" w14:textId="152FA1B3" w:rsidR="005B4CE7" w:rsidRDefault="005B4CE7" w:rsidP="008B77E0">
            <w:pPr>
              <w:pStyle w:val="CommentText"/>
              <w:spacing w:line="276" w:lineRule="auto"/>
              <w:jc w:val="center"/>
              <w:rPr>
                <w:rFonts w:ascii="Calibri" w:hAnsi="Calibri"/>
                <w:sz w:val="22"/>
                <w:szCs w:val="22"/>
              </w:rPr>
            </w:pPr>
            <w:r>
              <w:rPr>
                <w:rFonts w:ascii="Calibri" w:hAnsi="Calibri"/>
                <w:sz w:val="22"/>
                <w:szCs w:val="22"/>
              </w:rPr>
              <w:t>30mls</w:t>
            </w:r>
          </w:p>
        </w:tc>
      </w:tr>
    </w:tbl>
    <w:p w14:paraId="4A72D3B2" w14:textId="77777777" w:rsidR="00CE03FB" w:rsidRDefault="00CE03FB" w:rsidP="00CE03FB">
      <w:pPr>
        <w:jc w:val="both"/>
      </w:pPr>
    </w:p>
    <w:p w14:paraId="64F01CFC" w14:textId="7809FBE6" w:rsidR="001E50E5" w:rsidRPr="00561CAA" w:rsidRDefault="001E50E5" w:rsidP="00561CAA">
      <w:pPr>
        <w:pStyle w:val="Heading3"/>
        <w:spacing w:before="120" w:after="120"/>
        <w:rPr>
          <w:rFonts w:asciiTheme="minorHAnsi" w:hAnsiTheme="minorHAnsi" w:cstheme="minorHAnsi"/>
        </w:rPr>
      </w:pPr>
      <w:bookmarkStart w:id="100" w:name="_Toc62129159"/>
      <w:r w:rsidRPr="006B3F43">
        <w:rPr>
          <w:rFonts w:asciiTheme="minorHAnsi" w:hAnsiTheme="minorHAnsi" w:cstheme="minorHAnsi"/>
        </w:rPr>
        <w:lastRenderedPageBreak/>
        <w:t>9.</w:t>
      </w:r>
      <w:r w:rsidR="00071F41">
        <w:rPr>
          <w:rFonts w:asciiTheme="minorHAnsi" w:hAnsiTheme="minorHAnsi" w:cstheme="minorHAnsi"/>
        </w:rPr>
        <w:t>6</w:t>
      </w:r>
      <w:r w:rsidRPr="006B3F43">
        <w:rPr>
          <w:rFonts w:asciiTheme="minorHAnsi" w:hAnsiTheme="minorHAnsi" w:cstheme="minorHAnsi"/>
        </w:rPr>
        <w:t>.2 Subsequent visits</w:t>
      </w:r>
      <w:r w:rsidR="00561CAA" w:rsidRPr="006B3F43">
        <w:rPr>
          <w:rFonts w:asciiTheme="minorHAnsi" w:hAnsiTheme="minorHAnsi" w:cstheme="minorHAnsi"/>
        </w:rPr>
        <w:t xml:space="preserve"> (longitudinal sampling cohort)</w:t>
      </w:r>
      <w:bookmarkEnd w:id="100"/>
    </w:p>
    <w:p w14:paraId="52744C3C" w14:textId="26DC03EB" w:rsidR="00561CAA" w:rsidRDefault="00071F41" w:rsidP="00561CAA">
      <w:r>
        <w:t xml:space="preserve">A subset </w:t>
      </w:r>
      <w:r w:rsidR="00561CAA">
        <w:t xml:space="preserve"> of participants, distributed equally across </w:t>
      </w:r>
      <w:r w:rsidR="00864DC7">
        <w:t xml:space="preserve"> 0-19 </w:t>
      </w:r>
      <w:r w:rsidR="00561CAA">
        <w:t xml:space="preserve">age groups, </w:t>
      </w:r>
      <w:r>
        <w:t>will be recruited</w:t>
      </w:r>
      <w:r w:rsidR="00561CAA">
        <w:t xml:space="preserve"> into </w:t>
      </w:r>
      <w:r>
        <w:t>a</w:t>
      </w:r>
      <w:r w:rsidR="00561CAA">
        <w:t xml:space="preserve"> longitudinal sampling sub-study.</w:t>
      </w:r>
      <w:r>
        <w:t xml:space="preserve"> </w:t>
      </w:r>
    </w:p>
    <w:p w14:paraId="08E4A897" w14:textId="4B121C48" w:rsidR="007B2379" w:rsidRDefault="001E50E5" w:rsidP="00561CAA">
      <w:pPr>
        <w:jc w:val="both"/>
      </w:pPr>
      <w:r>
        <w:t xml:space="preserve">If the participant provides consent </w:t>
      </w:r>
      <w:r w:rsidR="00265489">
        <w:t>for subsequent visits</w:t>
      </w:r>
      <w:r w:rsidR="00CD4D71">
        <w:t>,</w:t>
      </w:r>
      <w:r w:rsidR="00265489">
        <w:t xml:space="preserve"> then </w:t>
      </w:r>
      <w:r w:rsidR="000D3A16">
        <w:t>up to 3 additional</w:t>
      </w:r>
      <w:r w:rsidR="00561CAA">
        <w:t xml:space="preserve"> visits </w:t>
      </w:r>
      <w:r w:rsidR="00265489">
        <w:t xml:space="preserve">will be undertaken </w:t>
      </w:r>
      <w:r w:rsidR="001669DB">
        <w:t>with a min</w:t>
      </w:r>
      <w:r w:rsidR="00864DC7">
        <w:t>i</w:t>
      </w:r>
      <w:r w:rsidR="001669DB">
        <w:t xml:space="preserve">mum </w:t>
      </w:r>
      <w:r w:rsidR="000D3A16">
        <w:t>2 month</w:t>
      </w:r>
      <w:r w:rsidR="001669DB">
        <w:t>s between visits</w:t>
      </w:r>
      <w:r w:rsidR="000D3A16">
        <w:t xml:space="preserve">. These visits will be conducted </w:t>
      </w:r>
      <w:r w:rsidR="00265489">
        <w:t xml:space="preserve">as for Visit 1, except that the questionnaire will be limited to COVID-19 </w:t>
      </w:r>
      <w:r w:rsidR="000D3A16">
        <w:t xml:space="preserve">symptoms in the participant or household members </w:t>
      </w:r>
      <w:r w:rsidR="00265489">
        <w:t xml:space="preserve">and a </w:t>
      </w:r>
      <w:r w:rsidR="002A336B">
        <w:t xml:space="preserve">sample of saliva will be collected by the participant or their parents/legal guardians, as per the Clinical Study </w:t>
      </w:r>
      <w:r w:rsidR="00561CAA">
        <w:t>P</w:t>
      </w:r>
      <w:r w:rsidR="002A336B">
        <w:t>lan.</w:t>
      </w:r>
    </w:p>
    <w:p w14:paraId="338EE7E9" w14:textId="596E5ADD" w:rsidR="00D62D39" w:rsidRDefault="00D62D39" w:rsidP="00561CAA">
      <w:pPr>
        <w:jc w:val="both"/>
      </w:pPr>
      <w:r>
        <w:t>Sites undertaking PBMC processing in the longitudinal cohort will select individuals where a whole blood sample will be taken.  Total blood volume will remain the same, with whole blood subsequently separated into plasma and PBMC’s.</w:t>
      </w:r>
    </w:p>
    <w:p w14:paraId="3283A4E3" w14:textId="3354EB68" w:rsidR="003E4917" w:rsidRDefault="003E4917" w:rsidP="000929A7">
      <w:pPr>
        <w:pStyle w:val="Heading2"/>
        <w:spacing w:before="0"/>
      </w:pPr>
      <w:bookmarkStart w:id="101" w:name="_Toc32432131"/>
      <w:bookmarkStart w:id="102" w:name="_Toc62129160"/>
      <w:bookmarkEnd w:id="99"/>
      <w:r w:rsidRPr="000929A7">
        <w:t>Laboratory methods</w:t>
      </w:r>
      <w:bookmarkEnd w:id="101"/>
      <w:bookmarkEnd w:id="102"/>
    </w:p>
    <w:p w14:paraId="385F200F" w14:textId="77777777" w:rsidR="000D3A16" w:rsidRDefault="000D3A16" w:rsidP="006B3F43">
      <w:pPr>
        <w:spacing w:after="0"/>
        <w:jc w:val="both"/>
      </w:pPr>
    </w:p>
    <w:p w14:paraId="381753C5" w14:textId="37915536" w:rsidR="000D3A16" w:rsidRDefault="000D3A16" w:rsidP="006B3F43">
      <w:pPr>
        <w:jc w:val="both"/>
      </w:pPr>
      <w:r w:rsidRPr="000929A7">
        <w:t xml:space="preserve">The blood samples obtained will be centrifuged, separated and frozen at local sites at -80 degrees Celsius.  Ideally this will happen within 24 hours but there is a window of up to 72 hours.  </w:t>
      </w:r>
      <w:r>
        <w:t>Shipping of sera to the laboratories of PHE will be as outlined in the Laboratory Analysis Plan</w:t>
      </w:r>
      <w:r w:rsidRPr="000929A7">
        <w:t xml:space="preserve">. Residual sera </w:t>
      </w:r>
      <w:r>
        <w:t>not sent to PHE</w:t>
      </w:r>
      <w:r w:rsidRPr="000929A7">
        <w:t xml:space="preserve"> will be shipped to the Oxford Vaccine Group for storage</w:t>
      </w:r>
      <w:r>
        <w:t xml:space="preserve"> and/or further analysis</w:t>
      </w:r>
      <w:r w:rsidRPr="000929A7">
        <w:t>.  For participants where consent is obtained for DNA extraction and storage in the Oxford Vaccine Centre biobank residual blood clots will be shipped to the Oxford Vaccine Group for this purpose.</w:t>
      </w:r>
    </w:p>
    <w:p w14:paraId="5D7EDC32" w14:textId="2BAFB283" w:rsidR="005C393D" w:rsidRPr="000D3A16" w:rsidRDefault="005C393D" w:rsidP="006B3F43">
      <w:pPr>
        <w:jc w:val="both"/>
      </w:pPr>
      <w:r>
        <w:t xml:space="preserve">Saliva samples with be processed in line with local SOPs. </w:t>
      </w:r>
    </w:p>
    <w:p w14:paraId="224FB0DE" w14:textId="54D7A234" w:rsidR="003E4917" w:rsidRPr="00CE03FB" w:rsidRDefault="00CE03FB" w:rsidP="00CE03FB">
      <w:pPr>
        <w:pStyle w:val="NoSpacing"/>
        <w:spacing w:line="276" w:lineRule="auto"/>
        <w:ind w:left="720"/>
        <w:rPr>
          <w:b/>
          <w:bCs/>
          <w:szCs w:val="23"/>
        </w:rPr>
      </w:pPr>
      <w:r>
        <w:rPr>
          <w:b/>
          <w:bCs/>
          <w:szCs w:val="23"/>
        </w:rPr>
        <w:t>Diphtheria</w:t>
      </w:r>
    </w:p>
    <w:p w14:paraId="6690FD34" w14:textId="44AB1FFA" w:rsidR="003E4917" w:rsidRPr="00CE03FB" w:rsidRDefault="003E4917" w:rsidP="00CE03FB">
      <w:pPr>
        <w:jc w:val="both"/>
      </w:pPr>
      <w:r w:rsidRPr="00CE03FB">
        <w:t xml:space="preserve">A multiplexed fluorescent bead assay will be used to quantify IgG antibodies to diphtheria toxoid, based upon previously published methodology </w:t>
      </w:r>
      <w:r w:rsidRPr="00CE03FB">
        <w:fldChar w:fldCharType="begin"/>
      </w:r>
      <w:r w:rsidR="00457652">
        <w:instrText xml:space="preserve"> ADDIN EN.CITE &lt;EndNote&gt;&lt;Cite&gt;&lt;Author&gt;Pickering&lt;/Author&gt;&lt;Year&gt;2002&lt;/Year&gt;&lt;RecNum&gt;918&lt;/RecNum&gt;&lt;DisplayText&gt;(Pickering et al., 2002)&lt;/DisplayText&gt;&lt;record&gt;&lt;rec-number&gt;918&lt;/rec-number&gt;&lt;foreign-keys&gt;&lt;key app="EN" db-id="025z9xvfyvprs8efd245rwzcr50r0d2t9ra5" timestamp="1541072615"&gt;918&lt;/key&gt;&lt;/foreign-keys&gt;&lt;ref-type name="Journal Article"&gt;17&lt;/ref-type&gt;&lt;contributors&gt;&lt;authors&gt;&lt;author&gt;JW Pickering&lt;/author&gt;&lt;author&gt;TB Martins&lt;/author&gt;&lt;author&gt;MC Schroder&lt;/author&gt;&lt;author&gt;HR Hill&lt;/author&gt;&lt;/authors&gt;&lt;/contributors&gt;&lt;titles&gt;&lt;title&gt;Comparison of a multiplex flow cytometric assay with enzyme linked immunosorbent assay for auantitation of antibodies to tetanus, diphtheria, and Hameophilus influenzae type b. &lt;/title&gt;&lt;secondary-title&gt;Clin Diagn Lab Immunol&lt;/secondary-title&gt;&lt;/titles&gt;&lt;periodical&gt;&lt;full-title&gt;Clin Diagn Lab Immunol&lt;/full-title&gt;&lt;/periodical&gt;&lt;pages&gt;872-6&lt;/pages&gt;&lt;volume&gt;9&lt;/volume&gt;&lt;number&gt;4&lt;/number&gt;&lt;dates&gt;&lt;year&gt;2002&lt;/year&gt;&lt;/dates&gt;&lt;urls&gt;&lt;/urls&gt;&lt;/record&gt;&lt;/Cite&gt;&lt;/EndNote&gt;</w:instrText>
      </w:r>
      <w:r w:rsidRPr="00CE03FB">
        <w:fldChar w:fldCharType="separate"/>
      </w:r>
      <w:r w:rsidR="00457652">
        <w:rPr>
          <w:noProof/>
        </w:rPr>
        <w:t>(Pickering et al., 2002)</w:t>
      </w:r>
      <w:r w:rsidRPr="00CE03FB">
        <w:fldChar w:fldCharType="end"/>
      </w:r>
      <w:r w:rsidRPr="00CE03FB">
        <w:t xml:space="preserve">. For diphtheria, anti-toxin levels &lt; 0.01IU/mL denote susceptibility, antitoxin levels 0.01 – 0.099 IU/mL provide basic protection, and antitoxin levels ≥ 0.1IU/mL are fully protective, as per the international standard </w:t>
      </w:r>
      <w:r w:rsidRPr="00CE03FB">
        <w:fldChar w:fldCharType="begin"/>
      </w:r>
      <w:r w:rsidR="00457652">
        <w:instrText xml:space="preserve"> ADDIN EN.CITE &lt;EndNote&gt;&lt;Cite&gt;&lt;Year&gt;2009&lt;/Year&gt;&lt;RecNum&gt;919&lt;/RecNum&gt;&lt;DisplayText&gt;(2009)&lt;/DisplayText&gt;&lt;record&gt;&lt;rec-number&gt;919&lt;/rec-number&gt;&lt;foreign-keys&gt;&lt;key app="EN" db-id="025z9xvfyvprs8efd245rwzcr50r0d2t9ra5" timestamp="1541073305"&gt;919&lt;/key&gt;&lt;/foreign-keys&gt;&lt;ref-type name="Report"&gt;27&lt;/ref-type&gt;&lt;contributors&gt;&lt;/contributors&gt;&lt;titles&gt;&lt;title&gt;The immunolgical basis for immunization series. Module 2: Diphtheria, Update 2009 &lt;/title&gt;&lt;/titles&gt;&lt;dates&gt;&lt;year&gt;2009&lt;/year&gt;&lt;/dates&gt;&lt;pub-location&gt;Geneva&lt;/pub-location&gt;&lt;publisher&gt;World Health Organization&lt;/publisher&gt;&lt;urls&gt;&lt;/urls&gt;&lt;/record&gt;&lt;/Cite&gt;&lt;/EndNote&gt;</w:instrText>
      </w:r>
      <w:r w:rsidRPr="00CE03FB">
        <w:fldChar w:fldCharType="separate"/>
      </w:r>
      <w:r w:rsidR="00457652">
        <w:rPr>
          <w:noProof/>
        </w:rPr>
        <w:t>(2009)</w:t>
      </w:r>
      <w:r w:rsidRPr="00CE03FB">
        <w:fldChar w:fldCharType="end"/>
      </w:r>
      <w:r w:rsidRPr="00CE03FB">
        <w:t xml:space="preserve">. </w:t>
      </w:r>
    </w:p>
    <w:p w14:paraId="5B93E315" w14:textId="7B8E15AF" w:rsidR="003E4917" w:rsidRPr="00CE03FB" w:rsidRDefault="00473388" w:rsidP="00CE03FB">
      <w:pPr>
        <w:pStyle w:val="NoSpacing"/>
        <w:spacing w:line="276" w:lineRule="auto"/>
        <w:ind w:left="720"/>
        <w:rPr>
          <w:b/>
          <w:szCs w:val="23"/>
        </w:rPr>
      </w:pPr>
      <w:r>
        <w:rPr>
          <w:b/>
          <w:szCs w:val="23"/>
        </w:rPr>
        <w:t xml:space="preserve">Group C </w:t>
      </w:r>
      <w:r w:rsidR="00CE03FB">
        <w:rPr>
          <w:b/>
          <w:szCs w:val="23"/>
        </w:rPr>
        <w:t>Meningococc</w:t>
      </w:r>
      <w:r>
        <w:rPr>
          <w:b/>
          <w:szCs w:val="23"/>
        </w:rPr>
        <w:t>us</w:t>
      </w:r>
    </w:p>
    <w:p w14:paraId="203239CD" w14:textId="39BFD69A" w:rsidR="00A705DD" w:rsidRDefault="003E4917" w:rsidP="00CE03FB">
      <w:pPr>
        <w:jc w:val="both"/>
      </w:pPr>
      <w:r w:rsidRPr="00CE03FB">
        <w:t xml:space="preserve">Serum bactericidal antibody (SBA) assays will be performed against the serogroup C target strain, C11 (phenotype C:16:P1.7-1,1) as previously described </w:t>
      </w:r>
      <w:r w:rsidRPr="00CE03FB">
        <w:fldChar w:fldCharType="begin"/>
      </w:r>
      <w:r w:rsidR="00457652">
        <w:instrText xml:space="preserve"> ADDIN EN.CITE &lt;EndNote&gt;&lt;Cite&gt;&lt;Author&gt;Maslanka&lt;/Author&gt;&lt;Year&gt;1997&lt;/Year&gt;&lt;RecNum&gt;916&lt;/RecNum&gt;&lt;DisplayText&gt;(Maslanka et al., 1997)&lt;/DisplayText&gt;&lt;record&gt;&lt;rec-number&gt;916&lt;/rec-number&gt;&lt;foreign-keys&gt;&lt;key app="EN" db-id="025z9xvfyvprs8efd245rwzcr50r0d2t9ra5" timestamp="1541071967"&gt;916&lt;/key&gt;&lt;/foreign-keys&gt;&lt;ref-type name="Journal Article"&gt;17&lt;/ref-type&gt;&lt;contributors&gt;&lt;authors&gt;&lt;author&gt;SE Maslanka  &lt;/author&gt;&lt;author&gt;L Gheesling &lt;/author&gt;&lt;author&gt;D Libutti &lt;/author&gt;&lt;author&gt;K Donaldson &lt;/author&gt;&lt;author&gt;H Harakeh &lt;/author&gt;&lt;author&gt;J Dykes &lt;/author&gt;&lt;/authors&gt;&lt;/contributors&gt;&lt;titles&gt;&lt;title&gt;Standardisation and a multilaboratory comparison of Neisseria meningitidis group A and C serum bactericidal assays.&lt;/title&gt;&lt;secondary-title&gt;Clin Diagn Lab Immunol&lt;/secondary-title&gt;&lt;/titles&gt;&lt;periodical&gt;&lt;full-title&gt;Clin Diagn Lab Immunol&lt;/full-title&gt;&lt;/periodical&gt;&lt;pages&gt;156-67&lt;/pages&gt;&lt;volume&gt;4&lt;/volume&gt;&lt;dates&gt;&lt;year&gt;1997&lt;/year&gt;&lt;/dates&gt;&lt;urls&gt;&lt;/urls&gt;&lt;/record&gt;&lt;/Cite&gt;&lt;/EndNote&gt;</w:instrText>
      </w:r>
      <w:r w:rsidRPr="00CE03FB">
        <w:fldChar w:fldCharType="separate"/>
      </w:r>
      <w:r w:rsidR="00457652">
        <w:rPr>
          <w:noProof/>
        </w:rPr>
        <w:t>(Maslanka et al., 1997)</w:t>
      </w:r>
      <w:r w:rsidRPr="00CE03FB">
        <w:fldChar w:fldCharType="end"/>
      </w:r>
      <w:r w:rsidRPr="00CE03FB">
        <w:t>. The complement source that will be used in the SBA is pooled serum from 3-4 week old rabbits (</w:t>
      </w:r>
      <w:proofErr w:type="spellStart"/>
      <w:r w:rsidRPr="00CE03FB">
        <w:t>Pel</w:t>
      </w:r>
      <w:proofErr w:type="spellEnd"/>
      <w:r w:rsidRPr="00CE03FB">
        <w:t xml:space="preserve"> </w:t>
      </w:r>
      <w:proofErr w:type="spellStart"/>
      <w:r w:rsidRPr="00CE03FB">
        <w:t>Freez</w:t>
      </w:r>
      <w:proofErr w:type="spellEnd"/>
      <w:r w:rsidRPr="00CE03FB">
        <w:t xml:space="preserve"> Biologicals, WI USA). Titres will be expressed as the reciprocal serum dilutions yielding ≥ 50% killing after 60 min. The lower limit of detection will be a titre of 4. Titres of &lt;4 will be assigned a value of two for geometric mean titre (GMT) analysis. Titres of ≥8 will be considered protective against </w:t>
      </w:r>
      <w:proofErr w:type="spellStart"/>
      <w:r w:rsidRPr="00CE03FB">
        <w:t>MenC</w:t>
      </w:r>
      <w:proofErr w:type="spellEnd"/>
      <w:r w:rsidRPr="00CE03FB">
        <w:t xml:space="preserve"> disease </w:t>
      </w:r>
      <w:r w:rsidRPr="00CE03FB">
        <w:fldChar w:fldCharType="begin"/>
      </w:r>
      <w:r w:rsidR="00457652">
        <w:instrText xml:space="preserve"> ADDIN EN.CITE &lt;EndNote&gt;&lt;Cite&gt;&lt;Author&gt;Borrow&lt;/Author&gt;&lt;Year&gt;2005&lt;/Year&gt;&lt;RecNum&gt;917&lt;/RecNum&gt;&lt;DisplayText&gt;(Borrow et al., 2005)&lt;/DisplayText&gt;&lt;record&gt;&lt;rec-number&gt;917&lt;/rec-number&gt;&lt;foreign-keys&gt;&lt;key app="EN" db-id="025z9xvfyvprs8efd245rwzcr50r0d2t9ra5" timestamp="1541072323"&gt;917&lt;/key&gt;&lt;/foreign-keys&gt;&lt;ref-type name="Journal Article"&gt;17&lt;/ref-type&gt;&lt;contributors&gt;&lt;authors&gt;&lt;author&gt;R Borrow &lt;/author&gt;&lt;author&gt;P Balmer&lt;/author&gt;&lt;author&gt;E Miller&lt;/author&gt;&lt;/authors&gt;&lt;/contributors&gt;&lt;titles&gt;&lt;title&gt;Meningococcal surrogates of protection- serum bactericidal antibody activity&lt;/title&gt;&lt;secondary-title&gt;Vaccine&lt;/secondary-title&gt;&lt;/titles&gt;&lt;periodical&gt;&lt;full-title&gt;Vaccine&lt;/full-title&gt;&lt;/periodical&gt;&lt;pages&gt;2222-2227&lt;/pages&gt;&lt;number&gt;17-18&lt;/number&gt;&lt;dates&gt;&lt;year&gt;2005&lt;/year&gt;&lt;/dates&gt;&lt;urls&gt;&lt;/urls&gt;&lt;/record&gt;&lt;/Cite&gt;&lt;/EndNote&gt;</w:instrText>
      </w:r>
      <w:r w:rsidRPr="00CE03FB">
        <w:fldChar w:fldCharType="separate"/>
      </w:r>
      <w:r w:rsidR="00457652">
        <w:rPr>
          <w:noProof/>
        </w:rPr>
        <w:t>(Borrow et al., 2005)</w:t>
      </w:r>
      <w:r w:rsidRPr="00CE03FB">
        <w:fldChar w:fldCharType="end"/>
      </w:r>
      <w:r w:rsidRPr="00CE03FB">
        <w:t>.</w:t>
      </w:r>
    </w:p>
    <w:p w14:paraId="13E11992" w14:textId="5284B799" w:rsidR="001C2DDC" w:rsidRDefault="001C2DDC" w:rsidP="002C30AE">
      <w:pPr>
        <w:pStyle w:val="NoSpacing"/>
        <w:spacing w:line="276" w:lineRule="auto"/>
        <w:ind w:left="720"/>
      </w:pPr>
      <w:r w:rsidRPr="002C30AE">
        <w:rPr>
          <w:b/>
        </w:rPr>
        <w:t>Novel</w:t>
      </w:r>
      <w:r>
        <w:t xml:space="preserve"> </w:t>
      </w:r>
      <w:r w:rsidRPr="00AB02E5">
        <w:rPr>
          <w:b/>
          <w:szCs w:val="23"/>
        </w:rPr>
        <w:t>Cor</w:t>
      </w:r>
      <w:r>
        <w:rPr>
          <w:b/>
          <w:szCs w:val="23"/>
        </w:rPr>
        <w:t>o</w:t>
      </w:r>
      <w:r w:rsidRPr="00AB02E5">
        <w:rPr>
          <w:b/>
          <w:szCs w:val="23"/>
        </w:rPr>
        <w:t>navirus</w:t>
      </w:r>
      <w:r>
        <w:t xml:space="preserve"> (</w:t>
      </w:r>
      <w:r w:rsidR="0075536C">
        <w:t>SARS-COV-2</w:t>
      </w:r>
      <w:r>
        <w:t>)</w:t>
      </w:r>
    </w:p>
    <w:p w14:paraId="621F7E52" w14:textId="6450ACDB" w:rsidR="00CA707F" w:rsidRDefault="00CA707F" w:rsidP="004255C2">
      <w:r>
        <w:t>Assays are</w:t>
      </w:r>
      <w:r w:rsidR="001C2DDC">
        <w:t xml:space="preserve"> currently under development by</w:t>
      </w:r>
      <w:r>
        <w:t xml:space="preserve"> </w:t>
      </w:r>
      <w:r w:rsidR="001C2DDC">
        <w:t>Public Health England</w:t>
      </w:r>
      <w:r w:rsidR="00F711BD">
        <w:t xml:space="preserve"> </w:t>
      </w:r>
      <w:r w:rsidR="002A336B">
        <w:t xml:space="preserve">and University of Oxford </w:t>
      </w:r>
      <w:r w:rsidR="00F711BD">
        <w:t>to measure</w:t>
      </w:r>
      <w:r>
        <w:t>:</w:t>
      </w:r>
    </w:p>
    <w:p w14:paraId="3CE67A1F" w14:textId="2B06C1CA" w:rsidR="002A336B" w:rsidRDefault="002A336B" w:rsidP="00F444E5">
      <w:pPr>
        <w:pStyle w:val="ListParagraph"/>
        <w:numPr>
          <w:ilvl w:val="0"/>
          <w:numId w:val="8"/>
        </w:numPr>
      </w:pPr>
      <w:r>
        <w:t>C</w:t>
      </w:r>
      <w:r w:rsidR="00CA707F">
        <w:t xml:space="preserve">oncentrations of </w:t>
      </w:r>
      <w:r>
        <w:t xml:space="preserve">serum and saliva </w:t>
      </w:r>
      <w:r w:rsidR="00F711BD">
        <w:t xml:space="preserve">IgG specific to </w:t>
      </w:r>
      <w:r w:rsidR="0075536C">
        <w:t>SARS-COV-2</w:t>
      </w:r>
      <w:r w:rsidR="00F711BD">
        <w:t xml:space="preserve"> spike proteins</w:t>
      </w:r>
      <w:r w:rsidR="005A3255">
        <w:t xml:space="preserve"> </w:t>
      </w:r>
      <w:r w:rsidR="005A3255">
        <w:rPr>
          <w:rFonts w:eastAsia="Times New Roman"/>
        </w:rPr>
        <w:t xml:space="preserve">and/or </w:t>
      </w:r>
      <w:r w:rsidR="005A3255">
        <w:t>nucleocapsid</w:t>
      </w:r>
      <w:r w:rsidR="00CA707F">
        <w:t xml:space="preserve"> by ELISA</w:t>
      </w:r>
    </w:p>
    <w:p w14:paraId="23A7A3F1" w14:textId="0BF8FAFD" w:rsidR="001C2DDC" w:rsidRDefault="002A336B" w:rsidP="00F444E5">
      <w:pPr>
        <w:pStyle w:val="ListParagraph"/>
        <w:numPr>
          <w:ilvl w:val="0"/>
          <w:numId w:val="8"/>
        </w:numPr>
      </w:pPr>
      <w:r>
        <w:t xml:space="preserve">SARS COV-2 </w:t>
      </w:r>
      <w:r w:rsidR="00EA0E73">
        <w:t>V</w:t>
      </w:r>
      <w:r w:rsidR="00CA707F">
        <w:t>ir</w:t>
      </w:r>
      <w:r w:rsidR="00EA0E73">
        <w:t>ion/</w:t>
      </w:r>
      <w:proofErr w:type="spellStart"/>
      <w:r w:rsidR="00EA0E73">
        <w:t>pseudovirion</w:t>
      </w:r>
      <w:proofErr w:type="spellEnd"/>
      <w:r w:rsidR="00CA707F">
        <w:t xml:space="preserve"> neutralising activity.</w:t>
      </w:r>
    </w:p>
    <w:p w14:paraId="6084AEC3" w14:textId="77777777" w:rsidR="00E24228" w:rsidRDefault="00E24228" w:rsidP="005F53AB">
      <w:pPr>
        <w:pStyle w:val="NoSpacing"/>
        <w:spacing w:line="276" w:lineRule="auto"/>
        <w:rPr>
          <w:b/>
          <w:szCs w:val="23"/>
        </w:rPr>
      </w:pPr>
    </w:p>
    <w:p w14:paraId="19C661B9" w14:textId="583E8EFA" w:rsidR="005F53AB" w:rsidRDefault="005F53AB" w:rsidP="005F53AB">
      <w:pPr>
        <w:pStyle w:val="NoSpacing"/>
        <w:spacing w:line="276" w:lineRule="auto"/>
        <w:rPr>
          <w:b/>
          <w:szCs w:val="23"/>
        </w:rPr>
      </w:pPr>
      <w:r>
        <w:rPr>
          <w:b/>
          <w:szCs w:val="23"/>
        </w:rPr>
        <w:t>T cell responses</w:t>
      </w:r>
    </w:p>
    <w:p w14:paraId="673400C7" w14:textId="510EC65B" w:rsidR="00457BF5" w:rsidRDefault="00F37325" w:rsidP="008854BC">
      <w:pPr>
        <w:jc w:val="both"/>
      </w:pPr>
      <w:r>
        <w:lastRenderedPageBreak/>
        <w:t>T cell responses will be determined by measures including, but not limited to, ELISpot, Intracellular cytokine staining (ICS) and proliferations assays</w:t>
      </w:r>
      <w:r w:rsidR="00457BF5">
        <w:t>.</w:t>
      </w:r>
    </w:p>
    <w:p w14:paraId="6AB3FA08" w14:textId="57B88F93" w:rsidR="004F189F" w:rsidRDefault="6305761E" w:rsidP="008854BC">
      <w:pPr>
        <w:jc w:val="both"/>
      </w:pPr>
      <w:r>
        <w:t>A pool of v</w:t>
      </w:r>
      <w:r w:rsidR="4BFEA48C">
        <w:t>iral p</w:t>
      </w:r>
      <w:r w:rsidR="23B4F5BF">
        <w:t>eptid</w:t>
      </w:r>
      <w:r w:rsidR="4600F9B2">
        <w:t>es</w:t>
      </w:r>
      <w:r w:rsidR="2E0E557E">
        <w:t xml:space="preserve"> such as </w:t>
      </w:r>
      <w:r w:rsidR="004F189F">
        <w:t>S1, S2</w:t>
      </w:r>
      <w:r w:rsidR="2D048E5B">
        <w:t>,</w:t>
      </w:r>
      <w:r w:rsidR="004F189F">
        <w:t xml:space="preserve"> M</w:t>
      </w:r>
      <w:r w:rsidR="2EADB16F">
        <w:t>,</w:t>
      </w:r>
      <w:r w:rsidR="00F0584A">
        <w:t xml:space="preserve"> </w:t>
      </w:r>
      <w:r w:rsidR="004F189F">
        <w:t>N</w:t>
      </w:r>
      <w:r w:rsidR="6DF8C78E">
        <w:t>,</w:t>
      </w:r>
      <w:r w:rsidR="004F189F">
        <w:t xml:space="preserve"> ORF</w:t>
      </w:r>
      <w:r w:rsidR="00DF317F">
        <w:t>3</w:t>
      </w:r>
      <w:r w:rsidR="0A2B229C">
        <w:t>,</w:t>
      </w:r>
      <w:r w:rsidR="00F0584A">
        <w:t xml:space="preserve"> </w:t>
      </w:r>
      <w:r w:rsidR="004F189F">
        <w:t>ORF1</w:t>
      </w:r>
      <w:r w:rsidR="385BEE3F">
        <w:t xml:space="preserve"> will be used</w:t>
      </w:r>
      <w:r w:rsidR="00E47187">
        <w:t xml:space="preserve"> i</w:t>
      </w:r>
      <w:r w:rsidR="71CBBC75">
        <w:t>n</w:t>
      </w:r>
      <w:r w:rsidR="004F189F">
        <w:t xml:space="preserve"> ELIS</w:t>
      </w:r>
      <w:r w:rsidR="6BE6CB9E">
        <w:t>pot assay</w:t>
      </w:r>
      <w:r w:rsidR="19E0258A">
        <w:t>s</w:t>
      </w:r>
      <w:r w:rsidR="6BE6CB9E">
        <w:t xml:space="preserve"> to measure T cell </w:t>
      </w:r>
      <w:r w:rsidR="1E072436">
        <w:t>stimulation</w:t>
      </w:r>
      <w:r w:rsidR="527C62A8">
        <w:t>.</w:t>
      </w:r>
    </w:p>
    <w:p w14:paraId="5E57B208" w14:textId="39D90F3B" w:rsidR="005F53AB" w:rsidRPr="008854BC" w:rsidRDefault="005F53AB" w:rsidP="008854BC">
      <w:pPr>
        <w:pStyle w:val="NoSpacing"/>
        <w:spacing w:line="276" w:lineRule="auto"/>
        <w:rPr>
          <w:bCs/>
          <w:szCs w:val="23"/>
        </w:rPr>
      </w:pPr>
    </w:p>
    <w:p w14:paraId="27D223C4" w14:textId="03334257" w:rsidR="00057B5D" w:rsidRPr="00CE03FB" w:rsidRDefault="00057B5D" w:rsidP="00CE03FB">
      <w:pPr>
        <w:pStyle w:val="NoSpacing"/>
        <w:spacing w:line="276" w:lineRule="auto"/>
        <w:ind w:left="720"/>
        <w:rPr>
          <w:b/>
          <w:szCs w:val="23"/>
        </w:rPr>
      </w:pPr>
      <w:r w:rsidRPr="00CE03FB">
        <w:rPr>
          <w:b/>
          <w:szCs w:val="23"/>
        </w:rPr>
        <w:t>DNA storage</w:t>
      </w:r>
    </w:p>
    <w:p w14:paraId="01016751" w14:textId="5C2F6A37" w:rsidR="00A56DCE" w:rsidRPr="00CE03FB" w:rsidRDefault="002A09C6" w:rsidP="00CE03FB">
      <w:pPr>
        <w:jc w:val="both"/>
      </w:pPr>
      <w:r w:rsidRPr="00CE03FB">
        <w:t>The DNA</w:t>
      </w:r>
      <w:r w:rsidR="00A56DCE" w:rsidRPr="00CE03FB">
        <w:t xml:space="preserve"> samples</w:t>
      </w:r>
      <w:r w:rsidRPr="00CE03FB">
        <w:t xml:space="preserve"> obtained in the course of this study will be added to </w:t>
      </w:r>
      <w:r w:rsidR="002A336B">
        <w:t>the Oxford Vaccine Centre’s</w:t>
      </w:r>
      <w:r w:rsidR="002A336B" w:rsidRPr="00CE03FB">
        <w:t xml:space="preserve"> </w:t>
      </w:r>
      <w:r w:rsidRPr="00CE03FB">
        <w:t>existing</w:t>
      </w:r>
      <w:r w:rsidR="00A56DCE" w:rsidRPr="00CE03FB">
        <w:t xml:space="preserve"> ‘Biobank’ of stored biological samples to facilitate further research on immunisation, immunity and infectious diseases.  </w:t>
      </w:r>
    </w:p>
    <w:p w14:paraId="4CBB3C66" w14:textId="486A1189" w:rsidR="00057B5D" w:rsidRPr="001F58E1" w:rsidRDefault="00A56DCE" w:rsidP="00CE03FB">
      <w:pPr>
        <w:jc w:val="both"/>
      </w:pPr>
      <w:r w:rsidRPr="00CE03FB">
        <w:t>One area of particular interest is the role for host genetics in dictating immune responses, hence the benefit of storing genetic material from study participants. Elucidating the genetic determinants of vaccine</w:t>
      </w:r>
      <w:r w:rsidRPr="001F58E1">
        <w:t xml:space="preserve"> </w:t>
      </w:r>
      <w:r w:rsidR="00F711BD">
        <w:t xml:space="preserve">or infection </w:t>
      </w:r>
      <w:r w:rsidRPr="001F58E1">
        <w:t>induced responses may expand our understanding of</w:t>
      </w:r>
      <w:r w:rsidR="00F711BD">
        <w:t xml:space="preserve"> vaccine/microbe</w:t>
      </w:r>
      <w:r w:rsidRPr="001F58E1">
        <w:t xml:space="preserve">-host interactions and </w:t>
      </w:r>
      <w:r w:rsidR="00265689" w:rsidRPr="001F58E1">
        <w:t>anticipate</w:t>
      </w:r>
      <w:r w:rsidRPr="001F58E1">
        <w:t xml:space="preserve"> an era of ‘predictive vaccinology’.</w:t>
      </w:r>
    </w:p>
    <w:p w14:paraId="4DCDBBB9" w14:textId="503F336B" w:rsidR="00A56DCE" w:rsidRPr="001F58E1" w:rsidRDefault="00A56DCE" w:rsidP="001F58E1">
      <w:pPr>
        <w:jc w:val="both"/>
      </w:pPr>
      <w:r w:rsidRPr="001F58E1">
        <w:t>Previous studies investigating genetic determinates of vaccine</w:t>
      </w:r>
      <w:r w:rsidR="00B14E91">
        <w:t>/microbe</w:t>
      </w:r>
      <w:r w:rsidRPr="001F58E1">
        <w:t xml:space="preserve"> responses have explored a limited number of candidate genes and have not been able to account for the degree of heritability inferred by twin studies. Many genes are likely to play a small but significant part in determining responses to vaccination</w:t>
      </w:r>
      <w:r w:rsidR="00B14E91">
        <w:t>/infection</w:t>
      </w:r>
      <w:r w:rsidRPr="001F58E1">
        <w:t>. We intend to use contemporary genotyping techniques to help elucidate these complex vaccine</w:t>
      </w:r>
      <w:r w:rsidR="00B14E91">
        <w:t>/microbe</w:t>
      </w:r>
      <w:r w:rsidRPr="001F58E1">
        <w:t>-host interactions.</w:t>
      </w:r>
    </w:p>
    <w:p w14:paraId="0007B1D3" w14:textId="24173291" w:rsidR="004E14F4" w:rsidRPr="004E14F4" w:rsidRDefault="004E14F4" w:rsidP="00567B2C">
      <w:pPr>
        <w:pStyle w:val="Heading2"/>
      </w:pPr>
      <w:bookmarkStart w:id="103" w:name="_Toc518404201"/>
      <w:bookmarkStart w:id="104" w:name="_Toc32432132"/>
      <w:bookmarkStart w:id="105" w:name="_Toc62129161"/>
      <w:r w:rsidRPr="007E2208">
        <w:t>Discontinuation/Withdrawal of participants</w:t>
      </w:r>
      <w:bookmarkEnd w:id="103"/>
      <w:r>
        <w:t xml:space="preserve"> from </w:t>
      </w:r>
      <w:r w:rsidR="00631B26" w:rsidRPr="00631B26">
        <w:rPr>
          <w:rFonts w:cs="Arial"/>
        </w:rPr>
        <w:t>research study</w:t>
      </w:r>
      <w:bookmarkEnd w:id="104"/>
      <w:bookmarkEnd w:id="105"/>
    </w:p>
    <w:p w14:paraId="423D9191" w14:textId="7C0E0DB0" w:rsidR="004E14F4" w:rsidRPr="001F58E1" w:rsidRDefault="004E14F4" w:rsidP="001F58E1">
      <w:pPr>
        <w:jc w:val="both"/>
      </w:pPr>
      <w:r w:rsidRPr="001F58E1">
        <w:t>The participants have the right to withdraw from the</w:t>
      </w:r>
      <w:r w:rsidR="00631B26" w:rsidRPr="001F58E1">
        <w:t xml:space="preserve"> research study</w:t>
      </w:r>
      <w:r w:rsidR="00631B26" w:rsidRPr="001F58E1" w:rsidDel="00631B26">
        <w:t xml:space="preserve"> </w:t>
      </w:r>
      <w:r w:rsidRPr="001F58E1">
        <w:t>at any time.  In addition, the Investigator may discontinue a participant from the</w:t>
      </w:r>
      <w:r w:rsidR="00631B26" w:rsidRPr="001F58E1">
        <w:t xml:space="preserve"> research study</w:t>
      </w:r>
      <w:r w:rsidR="00631B26" w:rsidRPr="001F58E1" w:rsidDel="00631B26">
        <w:t xml:space="preserve"> </w:t>
      </w:r>
      <w:r w:rsidRPr="001F58E1">
        <w:t>at any time if the Investigator considers it necessary for any reason including:</w:t>
      </w:r>
    </w:p>
    <w:p w14:paraId="4F064991" w14:textId="7A65FAA8" w:rsidR="004E14F4" w:rsidRPr="00E044CE" w:rsidRDefault="004E14F4" w:rsidP="00F444E5">
      <w:pPr>
        <w:pStyle w:val="ListParagraph"/>
        <w:numPr>
          <w:ilvl w:val="0"/>
          <w:numId w:val="12"/>
        </w:numPr>
        <w:jc w:val="both"/>
        <w:rPr>
          <w:rFonts w:ascii="Calibri" w:hAnsi="Calibri"/>
        </w:rPr>
      </w:pPr>
      <w:r w:rsidRPr="00E044CE">
        <w:rPr>
          <w:rFonts w:ascii="Calibri" w:hAnsi="Calibri"/>
        </w:rPr>
        <w:t>Ineligibility (</w:t>
      </w:r>
      <w:r w:rsidR="006D2501">
        <w:rPr>
          <w:rFonts w:ascii="Calibri" w:hAnsi="Calibri"/>
        </w:rPr>
        <w:t>e.g. if this becomes apparent during the study visit)</w:t>
      </w:r>
    </w:p>
    <w:p w14:paraId="3F4123DB" w14:textId="77777777" w:rsidR="004E14F4" w:rsidRPr="00E044CE" w:rsidRDefault="004E14F4" w:rsidP="00F444E5">
      <w:pPr>
        <w:pStyle w:val="ListParagraph"/>
        <w:numPr>
          <w:ilvl w:val="0"/>
          <w:numId w:val="12"/>
        </w:numPr>
        <w:jc w:val="both"/>
        <w:rPr>
          <w:rFonts w:ascii="Calibri" w:hAnsi="Calibri"/>
        </w:rPr>
      </w:pPr>
      <w:r w:rsidRPr="00E044CE">
        <w:rPr>
          <w:rFonts w:ascii="Calibri" w:hAnsi="Calibri"/>
        </w:rPr>
        <w:t>Significant protocol deviation</w:t>
      </w:r>
    </w:p>
    <w:p w14:paraId="5AF25862" w14:textId="095987B0" w:rsidR="004E14F4" w:rsidRPr="00E044CE" w:rsidRDefault="004E14F4" w:rsidP="00F444E5">
      <w:pPr>
        <w:pStyle w:val="ListParagraph"/>
        <w:numPr>
          <w:ilvl w:val="0"/>
          <w:numId w:val="12"/>
        </w:numPr>
        <w:jc w:val="both"/>
        <w:rPr>
          <w:rFonts w:ascii="Calibri" w:hAnsi="Calibri"/>
        </w:rPr>
      </w:pPr>
      <w:r w:rsidRPr="00E044CE">
        <w:rPr>
          <w:rFonts w:ascii="Calibri" w:hAnsi="Calibri"/>
        </w:rPr>
        <w:t>Withdrawal of Consent</w:t>
      </w:r>
      <w:r w:rsidR="00554BD2">
        <w:rPr>
          <w:rFonts w:ascii="Calibri" w:hAnsi="Calibri"/>
        </w:rPr>
        <w:t xml:space="preserve"> after a blood sample is taken.</w:t>
      </w:r>
    </w:p>
    <w:p w14:paraId="08B03B53" w14:textId="135A30FE" w:rsidR="004E14F4" w:rsidRPr="001F58E1" w:rsidRDefault="004E14F4" w:rsidP="001F58E1">
      <w:pPr>
        <w:jc w:val="both"/>
      </w:pPr>
      <w:r w:rsidRPr="001F58E1">
        <w:t xml:space="preserve">Data from participants will continue to be analysed for the study unless the parents/legal guardians </w:t>
      </w:r>
      <w:r w:rsidR="001F58E1">
        <w:t xml:space="preserve">or </w:t>
      </w:r>
      <w:r w:rsidR="00F86C99" w:rsidRPr="001F58E1">
        <w:t>adult participant request this to be withdrawn.</w:t>
      </w:r>
      <w:r w:rsidR="003F0811" w:rsidRPr="001F58E1">
        <w:t xml:space="preserve">  Systems are in place to recover</w:t>
      </w:r>
      <w:r w:rsidR="00BE21AF">
        <w:t xml:space="preserve"> stored</w:t>
      </w:r>
      <w:r w:rsidR="003F0811" w:rsidRPr="001F58E1">
        <w:t xml:space="preserve"> samples if the participants wish to withdraw their sample.  </w:t>
      </w:r>
      <w:r w:rsidR="00CE03FB" w:rsidRPr="001F58E1">
        <w:t xml:space="preserve"> </w:t>
      </w:r>
    </w:p>
    <w:p w14:paraId="6BE0A283" w14:textId="4A04E453" w:rsidR="004E14F4" w:rsidRDefault="004E14F4" w:rsidP="001F58E1">
      <w:pPr>
        <w:jc w:val="both"/>
      </w:pPr>
      <w:r>
        <w:t>The reason for withdrawal will be recorded in the CRF.</w:t>
      </w:r>
    </w:p>
    <w:p w14:paraId="36EA35A2" w14:textId="230F81B5" w:rsidR="003E231F" w:rsidRDefault="003E231F" w:rsidP="001F58E1">
      <w:pPr>
        <w:jc w:val="both"/>
        <w:rPr>
          <w:u w:val="single"/>
        </w:rPr>
      </w:pPr>
      <w:r>
        <w:t>If for any reason a participant gives consent but either blood is not obtained, or the sample is less than</w:t>
      </w:r>
      <w:r w:rsidR="00116670">
        <w:t xml:space="preserve"> the minimum sample required (as defined by the clinical study plan) </w:t>
      </w:r>
      <w:r>
        <w:t xml:space="preserve">then they are </w:t>
      </w:r>
      <w:r>
        <w:rPr>
          <w:b/>
          <w:bCs/>
          <w:u w:val="single"/>
        </w:rPr>
        <w:t xml:space="preserve">not </w:t>
      </w:r>
      <w:r>
        <w:rPr>
          <w:u w:val="single"/>
        </w:rPr>
        <w:t>considered a withdrawal.  Instead they will be considered as a failed enrolment and will be replaced</w:t>
      </w:r>
      <w:r w:rsidR="005F67D9">
        <w:rPr>
          <w:u w:val="single"/>
        </w:rPr>
        <w:t>.</w:t>
      </w:r>
    </w:p>
    <w:p w14:paraId="6E8E44E7" w14:textId="53C691A1" w:rsidR="007D5E79" w:rsidRDefault="007D5E79" w:rsidP="001F58E1">
      <w:pPr>
        <w:jc w:val="both"/>
      </w:pPr>
      <w:r>
        <w:rPr>
          <w:u w:val="single"/>
        </w:rPr>
        <w:t>Participants</w:t>
      </w:r>
      <w:r w:rsidR="0056081B">
        <w:rPr>
          <w:u w:val="single"/>
        </w:rPr>
        <w:t xml:space="preserve"> who consent to taking part in the longitudinal cohort </w:t>
      </w:r>
      <w:r w:rsidR="00D75EB7">
        <w:rPr>
          <w:u w:val="single"/>
        </w:rPr>
        <w:t xml:space="preserve">will have the option of taking part in </w:t>
      </w:r>
      <w:r w:rsidR="009E3E00">
        <w:rPr>
          <w:u w:val="single"/>
        </w:rPr>
        <w:t xml:space="preserve">up to three additional visits.  </w:t>
      </w:r>
      <w:r w:rsidR="00412A97">
        <w:rPr>
          <w:u w:val="single"/>
        </w:rPr>
        <w:t xml:space="preserve">At each longitudinal visit they will be asked if they would like </w:t>
      </w:r>
      <w:r w:rsidR="00AF6471">
        <w:rPr>
          <w:u w:val="single"/>
        </w:rPr>
        <w:t xml:space="preserve">to </w:t>
      </w:r>
      <w:r w:rsidR="00AA6349">
        <w:rPr>
          <w:u w:val="single"/>
        </w:rPr>
        <w:t>opt for another appointment</w:t>
      </w:r>
      <w:r w:rsidR="009E053B">
        <w:rPr>
          <w:u w:val="single"/>
        </w:rPr>
        <w:t>, if they do not wish to do so the CRF will be marked as complete</w:t>
      </w:r>
      <w:r w:rsidR="00070AFF">
        <w:rPr>
          <w:u w:val="single"/>
        </w:rPr>
        <w:t xml:space="preserve">.  </w:t>
      </w:r>
    </w:p>
    <w:p w14:paraId="0A8B9573" w14:textId="75A363A9" w:rsidR="00D266E7" w:rsidRPr="00CE03FB" w:rsidRDefault="00D266E7" w:rsidP="00CE03FB">
      <w:pPr>
        <w:pStyle w:val="Heading2"/>
      </w:pPr>
      <w:bookmarkStart w:id="106" w:name="_Toc32432133"/>
      <w:bookmarkStart w:id="107" w:name="_Toc62129162"/>
      <w:r w:rsidRPr="00CE03FB">
        <w:t xml:space="preserve">Definition of the end of </w:t>
      </w:r>
      <w:r w:rsidR="00E52591" w:rsidRPr="00CE03FB">
        <w:t>research study</w:t>
      </w:r>
      <w:bookmarkEnd w:id="106"/>
      <w:bookmarkEnd w:id="107"/>
    </w:p>
    <w:p w14:paraId="4545FFD0" w14:textId="6E7CB2E9" w:rsidR="00D266E7" w:rsidRDefault="00D266E7">
      <w:pPr>
        <w:pStyle w:val="NormalIndent"/>
        <w:ind w:left="0"/>
        <w:rPr>
          <w:rFonts w:ascii="Calibri" w:hAnsi="Calibri" w:cs="Arial"/>
        </w:rPr>
      </w:pPr>
      <w:r w:rsidRPr="00E044CE">
        <w:rPr>
          <w:rFonts w:ascii="Calibri" w:hAnsi="Calibri" w:cs="Arial"/>
        </w:rPr>
        <w:t xml:space="preserve">The end of study will be </w:t>
      </w:r>
      <w:r w:rsidR="00A705DD">
        <w:rPr>
          <w:rFonts w:ascii="Calibri" w:hAnsi="Calibri" w:cs="Arial"/>
        </w:rPr>
        <w:t xml:space="preserve">defined as the </w:t>
      </w:r>
      <w:r w:rsidR="00E33211">
        <w:rPr>
          <w:rFonts w:ascii="Calibri" w:hAnsi="Calibri" w:cs="Arial"/>
        </w:rPr>
        <w:t>completion</w:t>
      </w:r>
      <w:r w:rsidR="00877CC3">
        <w:rPr>
          <w:rFonts w:ascii="Calibri" w:hAnsi="Calibri" w:cs="Arial"/>
        </w:rPr>
        <w:t xml:space="preserve"> of data collection</w:t>
      </w:r>
      <w:r w:rsidR="00A705DD">
        <w:rPr>
          <w:rFonts w:ascii="Calibri" w:hAnsi="Calibri" w:cs="Arial"/>
        </w:rPr>
        <w:t>.</w:t>
      </w:r>
      <w:r w:rsidR="00A705DD" w:rsidRPr="00E044CE" w:rsidDel="00A705DD">
        <w:rPr>
          <w:rFonts w:ascii="Calibri" w:hAnsi="Calibri" w:cs="Arial"/>
        </w:rPr>
        <w:t xml:space="preserve"> </w:t>
      </w:r>
    </w:p>
    <w:p w14:paraId="543DF701" w14:textId="77777777" w:rsidR="001768F4" w:rsidRDefault="001768F4">
      <w:pPr>
        <w:pStyle w:val="NormalIndent"/>
        <w:ind w:left="0"/>
        <w:rPr>
          <w:rFonts w:ascii="Calibri" w:hAnsi="Calibri" w:cs="Arial"/>
        </w:rPr>
      </w:pPr>
    </w:p>
    <w:p w14:paraId="7A5D7C29" w14:textId="77777777" w:rsidR="001F58E1" w:rsidRDefault="00C949AB" w:rsidP="001F58E1">
      <w:pPr>
        <w:pStyle w:val="Heading1"/>
        <w:spacing w:before="0"/>
      </w:pPr>
      <w:bookmarkStart w:id="108" w:name="_Toc32408315"/>
      <w:bookmarkStart w:id="109" w:name="_Toc32432134"/>
      <w:bookmarkStart w:id="110" w:name="_Toc36187604"/>
      <w:bookmarkStart w:id="111" w:name="_Toc32408316"/>
      <w:bookmarkStart w:id="112" w:name="_Toc32432135"/>
      <w:bookmarkStart w:id="113" w:name="_Toc36187605"/>
      <w:bookmarkStart w:id="114" w:name="_Toc474240759"/>
      <w:bookmarkStart w:id="115" w:name="_Toc32432136"/>
      <w:bookmarkStart w:id="116" w:name="_Toc62129163"/>
      <w:bookmarkEnd w:id="108"/>
      <w:bookmarkEnd w:id="109"/>
      <w:bookmarkEnd w:id="110"/>
      <w:bookmarkEnd w:id="111"/>
      <w:bookmarkEnd w:id="112"/>
      <w:bookmarkEnd w:id="113"/>
      <w:r>
        <w:t>SAFETY REPORTING</w:t>
      </w:r>
      <w:bookmarkEnd w:id="114"/>
      <w:bookmarkEnd w:id="115"/>
      <w:bookmarkEnd w:id="116"/>
    </w:p>
    <w:p w14:paraId="62B5CCEF" w14:textId="71D458BF" w:rsidR="00C949AB" w:rsidRPr="00F21DFD" w:rsidRDefault="00C949AB" w:rsidP="001F58E1">
      <w:pPr>
        <w:pStyle w:val="Heading2"/>
        <w:spacing w:before="0"/>
      </w:pPr>
      <w:bookmarkStart w:id="117" w:name="_Toc32432137"/>
      <w:bookmarkStart w:id="118" w:name="_Toc62129164"/>
      <w:r w:rsidRPr="001F58E1">
        <w:t>Reporting Procedures for All Adverse Events</w:t>
      </w:r>
      <w:bookmarkEnd w:id="117"/>
      <w:bookmarkEnd w:id="118"/>
      <w:r w:rsidRPr="001F58E1">
        <w:t xml:space="preserve"> </w:t>
      </w:r>
    </w:p>
    <w:p w14:paraId="7383DBDD" w14:textId="51380ECD" w:rsidR="00C949AB" w:rsidRPr="00F21DFD" w:rsidRDefault="0072391B" w:rsidP="00C949AB">
      <w:pPr>
        <w:jc w:val="both"/>
      </w:pPr>
      <w:r>
        <w:t>Blood and saliva</w:t>
      </w:r>
      <w:r w:rsidR="00C949AB">
        <w:t xml:space="preserve"> sample</w:t>
      </w:r>
      <w:r>
        <w:t>s</w:t>
      </w:r>
      <w:r w:rsidR="00C949AB">
        <w:t xml:space="preserve"> </w:t>
      </w:r>
      <w:r>
        <w:t>are</w:t>
      </w:r>
      <w:r w:rsidR="00C949AB" w:rsidRPr="00F21DFD">
        <w:t xml:space="preserve"> all that is required of participants. No medicinal products will be administered. Given this fact, it is not intended to report </w:t>
      </w:r>
      <w:r w:rsidR="006D2501">
        <w:t xml:space="preserve">non-serious </w:t>
      </w:r>
      <w:r w:rsidR="00C949AB" w:rsidRPr="00F21DFD">
        <w:t xml:space="preserve">adverse events. </w:t>
      </w:r>
    </w:p>
    <w:p w14:paraId="2496B4D5" w14:textId="5D0286B0" w:rsidR="00C949AB" w:rsidRPr="00F21DFD" w:rsidRDefault="00C949AB" w:rsidP="001F58E1">
      <w:pPr>
        <w:pStyle w:val="Heading2"/>
      </w:pPr>
      <w:bookmarkStart w:id="119" w:name="_Toc32432138"/>
      <w:bookmarkStart w:id="120" w:name="_Toc62129165"/>
      <w:r w:rsidRPr="001F58E1">
        <w:t>Reporting Procedures for Serious Adverse Events</w:t>
      </w:r>
      <w:bookmarkEnd w:id="119"/>
      <w:bookmarkEnd w:id="120"/>
      <w:r w:rsidRPr="001F58E1">
        <w:t xml:space="preserve"> </w:t>
      </w:r>
    </w:p>
    <w:p w14:paraId="77ED410B" w14:textId="13F6A7C8" w:rsidR="00A64A1F" w:rsidRDefault="002A336B" w:rsidP="001F58E1">
      <w:pPr>
        <w:jc w:val="both"/>
      </w:pPr>
      <w:r>
        <w:t>Blood and saliva</w:t>
      </w:r>
      <w:r w:rsidR="00C949AB" w:rsidRPr="00F21DFD">
        <w:t xml:space="preserve"> sample</w:t>
      </w:r>
      <w:r>
        <w:t>s</w:t>
      </w:r>
      <w:r w:rsidR="00C949AB" w:rsidRPr="00F21DFD">
        <w:t xml:space="preserve"> </w:t>
      </w:r>
      <w:r w:rsidR="00B14E91">
        <w:t xml:space="preserve">and completion of </w:t>
      </w:r>
      <w:r w:rsidR="00CA707F">
        <w:t>questionnaire</w:t>
      </w:r>
      <w:r w:rsidR="00C949AB" w:rsidRPr="00F21DFD">
        <w:t xml:space="preserve"> is all that is required of participants. No medicinal products will be administered. Given this fact</w:t>
      </w:r>
      <w:r w:rsidR="00A64A1F">
        <w:t xml:space="preserve"> and the scale of the study we will</w:t>
      </w:r>
      <w:r w:rsidR="00D007CD">
        <w:t xml:space="preserve"> only report serious adverse events that are the result of study procedure</w:t>
      </w:r>
      <w:r>
        <w:t>s</w:t>
      </w:r>
      <w:r w:rsidR="00D007CD">
        <w:t>.</w:t>
      </w:r>
      <w:r w:rsidR="00D007CD" w:rsidDel="00D007CD">
        <w:t xml:space="preserve"> </w:t>
      </w:r>
    </w:p>
    <w:p w14:paraId="4207FE13" w14:textId="62899684" w:rsidR="00A64A1F" w:rsidRPr="00D256CA" w:rsidRDefault="00A64A1F" w:rsidP="001F58E1">
      <w:pPr>
        <w:jc w:val="both"/>
      </w:pPr>
      <w:r w:rsidRPr="001F58E1">
        <w:t xml:space="preserve">All SAEs must be reported on the </w:t>
      </w:r>
      <w:r w:rsidR="00A7151B" w:rsidRPr="001F58E1">
        <w:t xml:space="preserve">Oxford Vaccine Group </w:t>
      </w:r>
      <w:r w:rsidRPr="001F58E1">
        <w:t xml:space="preserve">SAE reporting form to </w:t>
      </w:r>
      <w:r w:rsidR="00A7151B" w:rsidRPr="001F58E1">
        <w:t xml:space="preserve">the Chief </w:t>
      </w:r>
      <w:r w:rsidR="00A56C1D" w:rsidRPr="001F58E1">
        <w:t xml:space="preserve">Investigator </w:t>
      </w:r>
      <w:r w:rsidR="00241A7C" w:rsidRPr="001F58E1">
        <w:t xml:space="preserve">or delegate </w:t>
      </w:r>
      <w:r w:rsidR="00A56C1D" w:rsidRPr="001F58E1">
        <w:t>within</w:t>
      </w:r>
      <w:r w:rsidRPr="001F58E1">
        <w:t xml:space="preserve"> 24 hours of the Site Study Team becoming aware of the event. </w:t>
      </w:r>
      <w:r w:rsidR="00A7151B" w:rsidRPr="001F58E1">
        <w:t xml:space="preserve">The CI </w:t>
      </w:r>
      <w:r w:rsidR="00241A7C" w:rsidRPr="001F58E1">
        <w:t xml:space="preserve">or delegate </w:t>
      </w:r>
      <w:r w:rsidRPr="001F58E1">
        <w:t xml:space="preserve">will perform an initial check of the report, request any additional information, and ensure it is </w:t>
      </w:r>
      <w:r w:rsidR="00A7151B" w:rsidRPr="001F58E1">
        <w:t xml:space="preserve">forwarded </w:t>
      </w:r>
      <w:r w:rsidR="00A56C1D" w:rsidRPr="001F58E1">
        <w:t>to the</w:t>
      </w:r>
      <w:r w:rsidRPr="001F58E1">
        <w:t xml:space="preserve"> Medical Monitor on a weekly basis.  It will also be reviewed at the next</w:t>
      </w:r>
      <w:r w:rsidR="00E52591" w:rsidRPr="001F58E1">
        <w:t xml:space="preserve"> Research Study</w:t>
      </w:r>
      <w:r w:rsidR="00E52591" w:rsidRPr="001F58E1" w:rsidDel="00E52591">
        <w:t xml:space="preserve"> </w:t>
      </w:r>
      <w:r w:rsidRPr="001F58E1">
        <w:t>Safety Group meeting.  Additional and further requested information (follow-up or corrections to the original case) will be detailed on a new SAE Report Form and</w:t>
      </w:r>
      <w:r w:rsidR="00265689" w:rsidRPr="001F58E1">
        <w:t xml:space="preserve"> e</w:t>
      </w:r>
      <w:r w:rsidRPr="001F58E1">
        <w:t xml:space="preserve">mailed to CTRG. </w:t>
      </w:r>
    </w:p>
    <w:p w14:paraId="6672762C" w14:textId="565074B4" w:rsidR="00C949AB" w:rsidRPr="00F21DFD" w:rsidRDefault="00C949AB" w:rsidP="00C949AB">
      <w:pPr>
        <w:jc w:val="both"/>
      </w:pPr>
      <w:r w:rsidRPr="00F21DFD">
        <w:t xml:space="preserve">The </w:t>
      </w:r>
      <w:r>
        <w:t>principal</w:t>
      </w:r>
      <w:r w:rsidRPr="00F21DFD">
        <w:t xml:space="preserve"> Investigator’s opinion will be used to determine if the event was ‘related’ (resulted from administration of any of the research procedures) and/or ‘unexpected’ in relation to those procedures. Reports of related and unexpected SAEs will be submitted</w:t>
      </w:r>
      <w:r w:rsidR="00A7151B">
        <w:t xml:space="preserve"> to the ethics committ</w:t>
      </w:r>
      <w:r w:rsidR="00D03709">
        <w:t>e</w:t>
      </w:r>
      <w:r w:rsidR="00A7151B">
        <w:t>e</w:t>
      </w:r>
      <w:r w:rsidRPr="00F21DFD">
        <w:t xml:space="preserve"> within 15 working days of the </w:t>
      </w:r>
      <w:r>
        <w:t>Principal</w:t>
      </w:r>
      <w:r w:rsidRPr="00F21DFD">
        <w:t xml:space="preserve"> Investigator becoming aware of the event, using the NRES report of serious adverse event form (see IRAS/NRES website). </w:t>
      </w:r>
    </w:p>
    <w:p w14:paraId="502C64CD" w14:textId="2FAD9B20" w:rsidR="00C949AB" w:rsidRPr="00F21DFD" w:rsidRDefault="00C949AB" w:rsidP="001F58E1">
      <w:pPr>
        <w:pStyle w:val="Heading2"/>
      </w:pPr>
      <w:bookmarkStart w:id="121" w:name="_Toc32432139"/>
      <w:bookmarkStart w:id="122" w:name="_Toc62129166"/>
      <w:r w:rsidRPr="001F58E1">
        <w:t>Criteria for the Termination of the Study</w:t>
      </w:r>
      <w:bookmarkEnd w:id="121"/>
      <w:bookmarkEnd w:id="122"/>
      <w:r w:rsidRPr="001F58E1">
        <w:t xml:space="preserve"> </w:t>
      </w:r>
    </w:p>
    <w:p w14:paraId="5223FF1D" w14:textId="77777777" w:rsidR="00C949AB" w:rsidRPr="00F21DFD" w:rsidRDefault="00C949AB" w:rsidP="00C949AB">
      <w:pPr>
        <w:jc w:val="both"/>
      </w:pPr>
      <w:r w:rsidRPr="00F21DFD">
        <w:t xml:space="preserve">The study does not involve the administration of any medications to participants. It is therefore unlikely that any safety issues would lead to termination of the study. </w:t>
      </w:r>
    </w:p>
    <w:p w14:paraId="49FED1ED" w14:textId="22617C71" w:rsidR="00C949AB" w:rsidRDefault="00C949AB" w:rsidP="00C949AB">
      <w:pPr>
        <w:jc w:val="both"/>
      </w:pPr>
      <w:r w:rsidRPr="00F21DFD">
        <w:t>The investigator has the right to discontinue this study at any time. Recruitment will stop immediately if the study is prematurely terminated.</w:t>
      </w:r>
    </w:p>
    <w:p w14:paraId="10EFC396" w14:textId="77777777" w:rsidR="006B7B71" w:rsidRPr="00F21DFD" w:rsidRDefault="006B7B71" w:rsidP="00C949AB">
      <w:pPr>
        <w:jc w:val="both"/>
      </w:pPr>
    </w:p>
    <w:p w14:paraId="424B1D45" w14:textId="77777777" w:rsidR="001F0901" w:rsidRDefault="001F0901" w:rsidP="001F58E1">
      <w:pPr>
        <w:pStyle w:val="Heading1"/>
        <w:spacing w:before="0"/>
      </w:pPr>
      <w:bookmarkStart w:id="123" w:name="_Toc32432140"/>
      <w:bookmarkStart w:id="124" w:name="_Toc62129167"/>
      <w:r w:rsidRPr="009E1297">
        <w:t>STATISTICS AND ANALYSIS</w:t>
      </w:r>
      <w:bookmarkEnd w:id="123"/>
      <w:bookmarkEnd w:id="124"/>
    </w:p>
    <w:p w14:paraId="56AEB15D" w14:textId="77777777" w:rsidR="001F0901" w:rsidRDefault="001F0901" w:rsidP="001F58E1">
      <w:pPr>
        <w:pStyle w:val="Heading2"/>
        <w:spacing w:before="0"/>
      </w:pPr>
      <w:bookmarkStart w:id="125" w:name="_Toc32432141"/>
      <w:bookmarkStart w:id="126" w:name="_Toc62129168"/>
      <w:r w:rsidRPr="00DA043F">
        <w:t>Description of the Statistical Methods</w:t>
      </w:r>
      <w:bookmarkEnd w:id="125"/>
      <w:bookmarkEnd w:id="126"/>
      <w:r w:rsidRPr="00DA043F">
        <w:t xml:space="preserve"> </w:t>
      </w:r>
    </w:p>
    <w:p w14:paraId="06D719B3" w14:textId="77777777" w:rsidR="001F0901" w:rsidRDefault="001F0901" w:rsidP="001F0901">
      <w:r>
        <w:t>A detailed statistical analysis plan will be produced prior to receipt of the data by the Statistician.</w:t>
      </w:r>
    </w:p>
    <w:p w14:paraId="0501A480" w14:textId="77777777" w:rsidR="001F0901" w:rsidRDefault="001F0901" w:rsidP="001F0901">
      <w:r>
        <w:t>Data analysis will include:</w:t>
      </w:r>
    </w:p>
    <w:p w14:paraId="2B106605" w14:textId="77777777" w:rsidR="001F0901" w:rsidRPr="00F7661C" w:rsidRDefault="001F0901" w:rsidP="001F0901">
      <w:pPr>
        <w:rPr>
          <w:u w:val="single"/>
        </w:rPr>
      </w:pPr>
      <w:bookmarkStart w:id="127" w:name="_Hlk5351186"/>
      <w:r w:rsidRPr="00F7661C">
        <w:rPr>
          <w:u w:val="single"/>
        </w:rPr>
        <w:t>Primary Objectives and Outcomes</w:t>
      </w:r>
    </w:p>
    <w:bookmarkEnd w:id="127"/>
    <w:p w14:paraId="6531CC29" w14:textId="77777777" w:rsidR="001F58E1" w:rsidRDefault="001F0901" w:rsidP="00F444E5">
      <w:pPr>
        <w:pStyle w:val="ListParagraph"/>
        <w:numPr>
          <w:ilvl w:val="0"/>
          <w:numId w:val="20"/>
        </w:numPr>
        <w:jc w:val="both"/>
      </w:pPr>
      <w:r>
        <w:t xml:space="preserve">Representativeness assessment by comparison to census or other population data on sex, ethnicity, community membership, migrant population, socioeconomic background, vaccination uptake (from PHE Cover data). At a site level representativeness will be to local census data and/or according to characteristics of those who respond to those who do not. Overall representativeness will be compared to national data.  This will be done descriptively, and differences assessed by </w:t>
      </w:r>
      <w:r>
        <w:lastRenderedPageBreak/>
        <w:t>Chi-squared or Fisher’s exact test and multivariable methods as appropriate to adjust for the age distribution.</w:t>
      </w:r>
    </w:p>
    <w:p w14:paraId="73CAA573" w14:textId="2AE3188E" w:rsidR="001F0901" w:rsidRDefault="001F0901" w:rsidP="00F444E5">
      <w:pPr>
        <w:pStyle w:val="ListParagraph"/>
        <w:numPr>
          <w:ilvl w:val="0"/>
          <w:numId w:val="20"/>
        </w:numPr>
        <w:jc w:val="both"/>
      </w:pPr>
      <w:r>
        <w:t>A comparison of the proportions protected against diphtheria and Men C using residual and prospectively collected samples. This will be done overall and within broad age groups (see sample size section) with adjustment in a logistic regression analysis for confounding factors such as finer age groups and, if necessary sex and region.</w:t>
      </w:r>
    </w:p>
    <w:p w14:paraId="403A1E4B" w14:textId="77777777" w:rsidR="001F0901" w:rsidRDefault="001F0901" w:rsidP="001F0901">
      <w:pPr>
        <w:pStyle w:val="ListParagraph"/>
        <w:ind w:left="765"/>
      </w:pPr>
    </w:p>
    <w:p w14:paraId="10A90448" w14:textId="77777777" w:rsidR="001F0901" w:rsidRPr="00CD516E" w:rsidRDefault="001F0901" w:rsidP="001F0901">
      <w:pPr>
        <w:ind w:left="405"/>
      </w:pPr>
      <w:r w:rsidRPr="00F7661C">
        <w:rPr>
          <w:u w:val="single"/>
        </w:rPr>
        <w:t>Secondary Objectives and Outcomes</w:t>
      </w:r>
    </w:p>
    <w:p w14:paraId="1730DA97" w14:textId="77777777" w:rsidR="001F58E1" w:rsidRDefault="001F0901" w:rsidP="00F444E5">
      <w:pPr>
        <w:pStyle w:val="ListParagraph"/>
        <w:numPr>
          <w:ilvl w:val="0"/>
          <w:numId w:val="20"/>
        </w:numPr>
        <w:jc w:val="both"/>
      </w:pPr>
      <w:r>
        <w:t>Description of recruitment rates (participants recruited per month) and cost per sample obtained. This will be done overall, by site and by method of survey.</w:t>
      </w:r>
    </w:p>
    <w:p w14:paraId="1DAB745F" w14:textId="77777777" w:rsidR="001F58E1" w:rsidRDefault="001F0901" w:rsidP="00F444E5">
      <w:pPr>
        <w:pStyle w:val="ListParagraph"/>
        <w:numPr>
          <w:ilvl w:val="0"/>
          <w:numId w:val="20"/>
        </w:numPr>
        <w:jc w:val="both"/>
      </w:pPr>
      <w:r>
        <w:t>Description of response rates (proportion invited that respond and the proportion that respond that are recruited and bled). This will be overall and by site and survey method as well as by age group. Proportions will be calculated with 95% confidence intervals. A more detailed analysis of response rates will be done by post-code and other demographics collected from the non-response survey.</w:t>
      </w:r>
    </w:p>
    <w:p w14:paraId="159E3EFE" w14:textId="6F20B8B1" w:rsidR="001F58E1" w:rsidRDefault="001F0901" w:rsidP="00F444E5">
      <w:pPr>
        <w:pStyle w:val="ListParagraph"/>
        <w:numPr>
          <w:ilvl w:val="0"/>
          <w:numId w:val="20"/>
        </w:numPr>
        <w:jc w:val="both"/>
      </w:pPr>
      <w:r>
        <w:t>For prospectively collected samples where vaccination history is known in children aged between 3 and 14 years, the proportion of individuals within each age band that have antibodies to diphtheria antitoxin ≥0.01IU/mL and antibodies to diphtheria antitoxin ≥0. 1IU/mL, and whether levels of diphtheria anti</w:t>
      </w:r>
      <w:r w:rsidR="001768F4">
        <w:t>-</w:t>
      </w:r>
      <w:r>
        <w:t xml:space="preserve">toxin are associated with the brand of diphtheria pre-school booster administered.  Trends by age and differences by vaccination status will be assessed by Chi-squared of Fisher’s exact test as well as by using logistic regression. Comparisons by geometric mean titres will also be done by t-tests or Kruskal Wallis as appropriate and by plotting geometric means with 95% confidence intervals by age groups.  </w:t>
      </w:r>
    </w:p>
    <w:p w14:paraId="68A38FE3" w14:textId="77777777" w:rsidR="001F58E1" w:rsidRDefault="001F0901" w:rsidP="00F444E5">
      <w:pPr>
        <w:pStyle w:val="ListParagraph"/>
        <w:numPr>
          <w:ilvl w:val="0"/>
          <w:numId w:val="20"/>
        </w:numPr>
        <w:jc w:val="both"/>
      </w:pPr>
      <w:r>
        <w:t>For prospectively collected samples where vaccination history is known, in individuals aged 12 - 2</w:t>
      </w:r>
      <w:r w:rsidR="00C46789">
        <w:t>4</w:t>
      </w:r>
      <w:r>
        <w:t xml:space="preserve"> years, the proportion of individuals within each age band that have serum bactericidal titres of ≥8 to group C meningococcal disease, and whether SBA titres are associated with adolescent Men ACWY or MCC vaccine or not having received vaccine.  Trends by age and differences by vaccination status will be assessed by Chi-squared of Fisher’s exact test as well as by using logistic regression. Comparisons by geometric mean titres will also be done by t-tests or Kruskal Wallis as appropriate and by plotting geometric means with 95% confidence intervals by age groups.  </w:t>
      </w:r>
    </w:p>
    <w:p w14:paraId="462BAE5F" w14:textId="1632F56E" w:rsidR="001F0901" w:rsidRDefault="001F0901" w:rsidP="00F444E5">
      <w:pPr>
        <w:pStyle w:val="ListParagraph"/>
        <w:numPr>
          <w:ilvl w:val="0"/>
          <w:numId w:val="20"/>
        </w:numPr>
        <w:jc w:val="both"/>
      </w:pPr>
      <w:r>
        <w:t xml:space="preserve">Across the whole age range (0-24 years) a comparison of proportions protected with previous seroprevalence studies carried out in 2009 and 1996 for diphtheria and 1996-99, 2002-4, 2009 and 2014 for Men C. This will be done by using all the samples and calculating prevalence within individual age bands with 95% confidence intervals and inferring differences based on non-overlapping 95% CIs which is conservative to allow for multiple testing when assessing many age bands. </w:t>
      </w:r>
    </w:p>
    <w:p w14:paraId="7B8DB288" w14:textId="664D526F" w:rsidR="00CF2D62" w:rsidRDefault="00BE21AF" w:rsidP="00F444E5">
      <w:pPr>
        <w:pStyle w:val="ListParagraph"/>
        <w:numPr>
          <w:ilvl w:val="0"/>
          <w:numId w:val="20"/>
        </w:numPr>
        <w:jc w:val="both"/>
      </w:pPr>
      <w:r>
        <w:t xml:space="preserve">For </w:t>
      </w:r>
      <w:r w:rsidR="00CF2D62">
        <w:t>all participants</w:t>
      </w:r>
      <w:r>
        <w:t xml:space="preserve">, </w:t>
      </w:r>
      <w:r w:rsidR="00CF2D62">
        <w:t xml:space="preserve">a repeat cross-sectional analysis of </w:t>
      </w:r>
      <w:r>
        <w:t xml:space="preserve">the geometric mean titres (with 95% CI) of antibodies against </w:t>
      </w:r>
      <w:r w:rsidR="00CF2D62">
        <w:t>SARS-CoV-2</w:t>
      </w:r>
      <w:r>
        <w:t xml:space="preserve">, and proportion (with 95% CI) of participants with anti </w:t>
      </w:r>
      <w:r w:rsidR="001768F4">
        <w:t xml:space="preserve">SARS-CoV-2 </w:t>
      </w:r>
      <w:r>
        <w:t xml:space="preserve">antibodies </w:t>
      </w:r>
      <w:r w:rsidR="0072391B">
        <w:t xml:space="preserve">above a (yet to be determined) threshold of ‘positivity’ </w:t>
      </w:r>
      <w:r w:rsidR="00CF2D62">
        <w:t>throughout the study period</w:t>
      </w:r>
    </w:p>
    <w:p w14:paraId="3FA9CAE5" w14:textId="474D5B7C" w:rsidR="006F0DAF" w:rsidRDefault="00CF2D62" w:rsidP="00F444E5">
      <w:pPr>
        <w:pStyle w:val="ListParagraph"/>
        <w:numPr>
          <w:ilvl w:val="0"/>
          <w:numId w:val="20"/>
        </w:numPr>
        <w:jc w:val="both"/>
      </w:pPr>
      <w:r>
        <w:t xml:space="preserve">For participants </w:t>
      </w:r>
      <w:r w:rsidR="00CF282C">
        <w:t>providing multiple serum samples, analysis of the proportion of participants who were initially seronegative who subsequently developed antibodies against SARS -CoV-2</w:t>
      </w:r>
    </w:p>
    <w:p w14:paraId="60DC5CB8" w14:textId="25C02DF4" w:rsidR="00CF282C" w:rsidRDefault="00CF282C" w:rsidP="00F444E5">
      <w:pPr>
        <w:pStyle w:val="ListParagraph"/>
        <w:numPr>
          <w:ilvl w:val="0"/>
          <w:numId w:val="20"/>
        </w:numPr>
        <w:jc w:val="both"/>
      </w:pPr>
      <w:r>
        <w:t>For participants providing multiple serum samples, analysis of the kinetics of the rise and fall of antibodies against SARS -CoV-2</w:t>
      </w:r>
    </w:p>
    <w:p w14:paraId="7DBB7378" w14:textId="0EE77426" w:rsidR="00CF282C" w:rsidRDefault="00CF282C" w:rsidP="00F444E5">
      <w:pPr>
        <w:pStyle w:val="ListParagraph"/>
        <w:numPr>
          <w:ilvl w:val="0"/>
          <w:numId w:val="20"/>
        </w:numPr>
        <w:jc w:val="both"/>
      </w:pPr>
      <w:r>
        <w:t>Calculation of the sensitivity and specificity of salivary antibody testing compared to serum.</w:t>
      </w:r>
    </w:p>
    <w:p w14:paraId="3BFE3023" w14:textId="77777777" w:rsidR="00BE21AF" w:rsidRDefault="00BE21AF" w:rsidP="007E400E"/>
    <w:p w14:paraId="14CD5293" w14:textId="77777777" w:rsidR="001F0901" w:rsidRPr="00F7661C" w:rsidRDefault="001F0901" w:rsidP="001F0901">
      <w:pPr>
        <w:rPr>
          <w:u w:val="single"/>
        </w:rPr>
      </w:pPr>
      <w:r w:rsidRPr="00F7661C">
        <w:rPr>
          <w:u w:val="single"/>
        </w:rPr>
        <w:t>Exploratory analyses</w:t>
      </w:r>
    </w:p>
    <w:p w14:paraId="23E57FA3" w14:textId="56A33E50" w:rsidR="001F0901" w:rsidRDefault="001F0901" w:rsidP="00F444E5">
      <w:pPr>
        <w:pStyle w:val="ListParagraph"/>
        <w:numPr>
          <w:ilvl w:val="0"/>
          <w:numId w:val="20"/>
        </w:numPr>
        <w:jc w:val="both"/>
      </w:pPr>
      <w:r>
        <w:t xml:space="preserve">Whether ethnicity, household income or other factors collected on the questionnaire are associated with </w:t>
      </w:r>
      <w:r w:rsidR="00CF2D62">
        <w:t>antibodies against</w:t>
      </w:r>
      <w:r>
        <w:t xml:space="preserve"> </w:t>
      </w:r>
      <w:r w:rsidR="00CF2D62">
        <w:t>d</w:t>
      </w:r>
      <w:r>
        <w:t>iphtheria and / or Men C</w:t>
      </w:r>
      <w:r w:rsidR="001768F4">
        <w:t xml:space="preserve"> and/or SARS-CoV-2</w:t>
      </w:r>
      <w:r>
        <w:t>.   This will be done by multivariable logistic regression.</w:t>
      </w:r>
    </w:p>
    <w:p w14:paraId="6CBB4880" w14:textId="1D663D0E" w:rsidR="00EA0E73" w:rsidRDefault="001768F4" w:rsidP="00F444E5">
      <w:pPr>
        <w:pStyle w:val="ListParagraph"/>
        <w:numPr>
          <w:ilvl w:val="0"/>
          <w:numId w:val="20"/>
        </w:numPr>
        <w:jc w:val="both"/>
      </w:pPr>
      <w:r w:rsidRPr="00EA0E73">
        <w:t xml:space="preserve">Comparisons between groups 1 and 2 </w:t>
      </w:r>
      <w:r w:rsidR="00EA0E73">
        <w:t xml:space="preserve">will be performed as detailed in study statistical analysis plan </w:t>
      </w:r>
      <w:r w:rsidRPr="00EA0E73">
        <w:t>in terms of</w:t>
      </w:r>
      <w:r w:rsidR="00EA0E73">
        <w:t>:</w:t>
      </w:r>
    </w:p>
    <w:p w14:paraId="171A1D94" w14:textId="1902993E" w:rsidR="00EA0E73" w:rsidRDefault="001768F4" w:rsidP="00F444E5">
      <w:pPr>
        <w:pStyle w:val="ListParagraph"/>
        <w:numPr>
          <w:ilvl w:val="1"/>
          <w:numId w:val="20"/>
        </w:numPr>
        <w:jc w:val="both"/>
      </w:pPr>
      <w:r w:rsidRPr="00EA0E73">
        <w:t xml:space="preserve"> </w:t>
      </w:r>
      <w:r w:rsidR="00EA0E73" w:rsidRPr="00EA0E73">
        <w:t xml:space="preserve">representativeness </w:t>
      </w:r>
      <w:r w:rsidR="00EA0E73">
        <w:t xml:space="preserve">of </w:t>
      </w:r>
      <w:r w:rsidRPr="00EA0E73">
        <w:rPr>
          <w:rFonts w:eastAsia="Times New Roman"/>
        </w:rPr>
        <w:t>ethnicity, community identity, migrant population and socioeconomic background</w:t>
      </w:r>
      <w:r w:rsidRPr="00EA0E73">
        <w:t xml:space="preserve"> of local communities </w:t>
      </w:r>
    </w:p>
    <w:p w14:paraId="4B303D87" w14:textId="7C5F8B3C" w:rsidR="00EA0E73" w:rsidRPr="00EA0E73" w:rsidRDefault="001768F4" w:rsidP="00F444E5">
      <w:pPr>
        <w:pStyle w:val="ListParagraph"/>
        <w:numPr>
          <w:ilvl w:val="1"/>
          <w:numId w:val="20"/>
        </w:numPr>
        <w:jc w:val="both"/>
      </w:pPr>
      <w:r w:rsidRPr="00EA0E73">
        <w:t xml:space="preserve">immunological end-points </w:t>
      </w:r>
    </w:p>
    <w:p w14:paraId="0BD20244" w14:textId="1CAB3668" w:rsidR="001768F4" w:rsidRPr="00EA0E73" w:rsidRDefault="001768F4" w:rsidP="00F444E5">
      <w:pPr>
        <w:pStyle w:val="ListParagraph"/>
        <w:numPr>
          <w:ilvl w:val="0"/>
          <w:numId w:val="20"/>
        </w:numPr>
        <w:jc w:val="both"/>
      </w:pPr>
      <w:r w:rsidRPr="00EA0E73">
        <w:t xml:space="preserve">Comparisons </w:t>
      </w:r>
      <w:r w:rsidR="00EA0E73">
        <w:t>in the immunological end points will be performed as detailed in study statistical analysis plan between samples collected in this study and those obtained from testing of</w:t>
      </w:r>
      <w:r w:rsidRPr="00EA0E73">
        <w:t xml:space="preserve"> residual samples</w:t>
      </w:r>
      <w:r w:rsidR="00EA0E73">
        <w:t xml:space="preserve"> through the existing PHE </w:t>
      </w:r>
      <w:proofErr w:type="spellStart"/>
      <w:r w:rsidR="00EA0E73">
        <w:t>seroepidemiology</w:t>
      </w:r>
      <w:proofErr w:type="spellEnd"/>
      <w:r w:rsidR="00EA0E73">
        <w:t xml:space="preserve"> unit </w:t>
      </w:r>
    </w:p>
    <w:p w14:paraId="310019D5" w14:textId="5454EC27" w:rsidR="00CD4D71" w:rsidRPr="00CD4D71" w:rsidRDefault="001F0901" w:rsidP="003A41ED">
      <w:pPr>
        <w:pStyle w:val="Heading2"/>
      </w:pPr>
      <w:bookmarkStart w:id="128" w:name="_Toc32432142"/>
      <w:bookmarkStart w:id="129" w:name="_Toc62129169"/>
      <w:r>
        <w:t>Sample Size Determination</w:t>
      </w:r>
      <w:bookmarkEnd w:id="128"/>
      <w:bookmarkEnd w:id="129"/>
      <w:r>
        <w:t xml:space="preserve"> </w:t>
      </w:r>
    </w:p>
    <w:p w14:paraId="71335F8E" w14:textId="786DB94A" w:rsidR="00CE5AE6" w:rsidRDefault="00CD4D71" w:rsidP="0041013E">
      <w:pPr>
        <w:pStyle w:val="Heading3"/>
        <w:spacing w:before="120" w:after="120"/>
        <w:rPr>
          <w:rFonts w:asciiTheme="minorHAnsi" w:hAnsiTheme="minorHAnsi" w:cstheme="minorHAnsi"/>
        </w:rPr>
      </w:pPr>
      <w:bookmarkStart w:id="130" w:name="_Toc62129170"/>
      <w:r w:rsidRPr="0041013E">
        <w:rPr>
          <w:rFonts w:asciiTheme="minorHAnsi" w:hAnsiTheme="minorHAnsi" w:cstheme="minorHAnsi"/>
        </w:rPr>
        <w:t xml:space="preserve">11.2.1: </w:t>
      </w:r>
      <w:r w:rsidR="00CE5AE6" w:rsidRPr="0041013E">
        <w:rPr>
          <w:rFonts w:asciiTheme="minorHAnsi" w:hAnsiTheme="minorHAnsi" w:cstheme="minorHAnsi"/>
        </w:rPr>
        <w:t>Group 1</w:t>
      </w:r>
      <w:bookmarkEnd w:id="130"/>
    </w:p>
    <w:p w14:paraId="59C20A30" w14:textId="5E5B0951" w:rsidR="001F0901" w:rsidRDefault="001F0901" w:rsidP="001F58E1">
      <w:pPr>
        <w:jc w:val="both"/>
      </w:pPr>
      <w:r>
        <w:t>The sample size</w:t>
      </w:r>
      <w:r w:rsidR="00CE5AE6">
        <w:t xml:space="preserve"> for Group 1</w:t>
      </w:r>
      <w:r>
        <w:t xml:space="preserve"> is determined based on the primary objectives as well as the secondary objective to have a store of sera for future testing of immunity. </w:t>
      </w:r>
    </w:p>
    <w:p w14:paraId="040DADCE" w14:textId="060D7B01" w:rsidR="001F0901" w:rsidRDefault="001F0901" w:rsidP="001F58E1">
      <w:pPr>
        <w:jc w:val="both"/>
      </w:pPr>
      <w:r>
        <w:t xml:space="preserve">Historically </w:t>
      </w:r>
      <w:proofErr w:type="spellStart"/>
      <w:r>
        <w:t>serosurveys</w:t>
      </w:r>
      <w:proofErr w:type="spellEnd"/>
      <w:r>
        <w:t xml:space="preserve"> such as those done as part of the European </w:t>
      </w:r>
      <w:proofErr w:type="spellStart"/>
      <w:r>
        <w:t>Sero</w:t>
      </w:r>
      <w:proofErr w:type="spellEnd"/>
      <w:r>
        <w:t>-epidemiology Network (ESEN) have had target sample sizes per age band of interest of 100-200. Age bands of interest have usually been one year bands until adult ages. For the purpose of this calculation this is taken as one year age bands to age 21 then a single band for 22-24 year olds.  For the secondary objective 100 per age band will allow the precision of estimates of seroprevalence to be as given in table</w:t>
      </w:r>
      <w:r w:rsidR="009968D6">
        <w:t xml:space="preserve"> </w:t>
      </w:r>
      <w:r w:rsidR="001F58E1">
        <w:t>2</w:t>
      </w:r>
      <w:r>
        <w:t xml:space="preserve">. </w:t>
      </w:r>
    </w:p>
    <w:p w14:paraId="1BD16D90" w14:textId="4E34973A" w:rsidR="001F0901" w:rsidRPr="00D561D8" w:rsidRDefault="001F0901" w:rsidP="001F0901">
      <w:pPr>
        <w:rPr>
          <w:b/>
        </w:rPr>
      </w:pPr>
      <w:r w:rsidRPr="00D561D8">
        <w:rPr>
          <w:b/>
        </w:rPr>
        <w:t>Table</w:t>
      </w:r>
      <w:r w:rsidR="009968D6">
        <w:rPr>
          <w:b/>
        </w:rPr>
        <w:t xml:space="preserve"> </w:t>
      </w:r>
      <w:r w:rsidR="001F58E1">
        <w:rPr>
          <w:b/>
        </w:rPr>
        <w:t>2</w:t>
      </w:r>
      <w:r w:rsidRPr="00D561D8">
        <w:rPr>
          <w:b/>
        </w:rPr>
        <w:t>: Precision of seroprevalence estimates</w:t>
      </w:r>
    </w:p>
    <w:tbl>
      <w:tblPr>
        <w:tblW w:w="7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9"/>
        <w:gridCol w:w="3998"/>
      </w:tblGrid>
      <w:tr w:rsidR="001F0901" w14:paraId="12FC3A40" w14:textId="77777777" w:rsidTr="001F58E1">
        <w:trPr>
          <w:trHeight w:val="288"/>
          <w:jc w:val="center"/>
        </w:trPr>
        <w:tc>
          <w:tcPr>
            <w:tcW w:w="3559" w:type="dxa"/>
            <w:noWrap/>
            <w:tcMar>
              <w:top w:w="0" w:type="dxa"/>
              <w:left w:w="108" w:type="dxa"/>
              <w:bottom w:w="0" w:type="dxa"/>
              <w:right w:w="108" w:type="dxa"/>
            </w:tcMar>
            <w:vAlign w:val="bottom"/>
            <w:hideMark/>
          </w:tcPr>
          <w:p w14:paraId="4C64E9DB" w14:textId="00AD7ECB" w:rsidR="001F0901" w:rsidRPr="001F58E1" w:rsidRDefault="001F0901" w:rsidP="001F58E1">
            <w:pPr>
              <w:spacing w:after="0" w:line="240" w:lineRule="auto"/>
              <w:jc w:val="center"/>
              <w:rPr>
                <w:rFonts w:eastAsia="Times New Roman" w:cs="Calibri"/>
                <w:b/>
                <w:color w:val="000000"/>
              </w:rPr>
            </w:pPr>
            <w:r w:rsidRPr="001F58E1">
              <w:rPr>
                <w:rFonts w:eastAsia="Times New Roman" w:cs="Calibri"/>
                <w:b/>
                <w:color w:val="000000"/>
              </w:rPr>
              <w:t>Prevalence</w:t>
            </w:r>
          </w:p>
        </w:tc>
        <w:tc>
          <w:tcPr>
            <w:tcW w:w="3998" w:type="dxa"/>
            <w:noWrap/>
            <w:tcMar>
              <w:top w:w="0" w:type="dxa"/>
              <w:left w:w="108" w:type="dxa"/>
              <w:bottom w:w="0" w:type="dxa"/>
              <w:right w:w="108" w:type="dxa"/>
            </w:tcMar>
            <w:vAlign w:val="bottom"/>
            <w:hideMark/>
          </w:tcPr>
          <w:p w14:paraId="566C4768" w14:textId="77777777" w:rsidR="001F0901" w:rsidRPr="001F58E1" w:rsidRDefault="001F0901" w:rsidP="001F58E1">
            <w:pPr>
              <w:spacing w:after="0" w:line="240" w:lineRule="auto"/>
              <w:jc w:val="center"/>
              <w:rPr>
                <w:rFonts w:eastAsia="Times New Roman" w:cs="Calibri"/>
                <w:b/>
                <w:color w:val="000000"/>
              </w:rPr>
            </w:pPr>
            <w:r w:rsidRPr="001F58E1">
              <w:rPr>
                <w:rFonts w:eastAsia="Times New Roman" w:cs="Calibri"/>
                <w:b/>
                <w:color w:val="000000"/>
              </w:rPr>
              <w:t>95% CI Observed around the estimate with 100 per age band (2300 total)</w:t>
            </w:r>
          </w:p>
        </w:tc>
      </w:tr>
      <w:tr w:rsidR="001F0901" w14:paraId="777607B0" w14:textId="77777777" w:rsidTr="001F58E1">
        <w:trPr>
          <w:trHeight w:val="288"/>
          <w:jc w:val="center"/>
        </w:trPr>
        <w:tc>
          <w:tcPr>
            <w:tcW w:w="3559" w:type="dxa"/>
            <w:noWrap/>
            <w:tcMar>
              <w:top w:w="0" w:type="dxa"/>
              <w:left w:w="108" w:type="dxa"/>
              <w:bottom w:w="0" w:type="dxa"/>
              <w:right w:w="108" w:type="dxa"/>
            </w:tcMar>
            <w:vAlign w:val="bottom"/>
            <w:hideMark/>
          </w:tcPr>
          <w:p w14:paraId="71535814"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10%</w:t>
            </w:r>
          </w:p>
        </w:tc>
        <w:tc>
          <w:tcPr>
            <w:tcW w:w="3998" w:type="dxa"/>
            <w:noWrap/>
            <w:tcMar>
              <w:top w:w="0" w:type="dxa"/>
              <w:left w:w="108" w:type="dxa"/>
              <w:bottom w:w="0" w:type="dxa"/>
              <w:right w:w="108" w:type="dxa"/>
            </w:tcMar>
            <w:vAlign w:val="bottom"/>
          </w:tcPr>
          <w:p w14:paraId="2566E543"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4.9-17.6</w:t>
            </w:r>
          </w:p>
        </w:tc>
      </w:tr>
      <w:tr w:rsidR="001F0901" w14:paraId="374EF0BE" w14:textId="77777777" w:rsidTr="001F58E1">
        <w:trPr>
          <w:trHeight w:val="288"/>
          <w:jc w:val="center"/>
        </w:trPr>
        <w:tc>
          <w:tcPr>
            <w:tcW w:w="3559" w:type="dxa"/>
            <w:noWrap/>
            <w:tcMar>
              <w:top w:w="0" w:type="dxa"/>
              <w:left w:w="108" w:type="dxa"/>
              <w:bottom w:w="0" w:type="dxa"/>
              <w:right w:w="108" w:type="dxa"/>
            </w:tcMar>
            <w:vAlign w:val="bottom"/>
          </w:tcPr>
          <w:p w14:paraId="0611EEAA"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20%</w:t>
            </w:r>
          </w:p>
        </w:tc>
        <w:tc>
          <w:tcPr>
            <w:tcW w:w="3998" w:type="dxa"/>
            <w:noWrap/>
            <w:tcMar>
              <w:top w:w="0" w:type="dxa"/>
              <w:left w:w="108" w:type="dxa"/>
              <w:bottom w:w="0" w:type="dxa"/>
              <w:right w:w="108" w:type="dxa"/>
            </w:tcMar>
            <w:vAlign w:val="bottom"/>
          </w:tcPr>
          <w:p w14:paraId="78FDAFD1"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12.7-29.2</w:t>
            </w:r>
          </w:p>
        </w:tc>
      </w:tr>
      <w:tr w:rsidR="001F0901" w14:paraId="4FADE074" w14:textId="77777777" w:rsidTr="001F58E1">
        <w:trPr>
          <w:trHeight w:val="288"/>
          <w:jc w:val="center"/>
        </w:trPr>
        <w:tc>
          <w:tcPr>
            <w:tcW w:w="3559" w:type="dxa"/>
            <w:noWrap/>
            <w:tcMar>
              <w:top w:w="0" w:type="dxa"/>
              <w:left w:w="108" w:type="dxa"/>
              <w:bottom w:w="0" w:type="dxa"/>
              <w:right w:w="108" w:type="dxa"/>
            </w:tcMar>
            <w:vAlign w:val="bottom"/>
          </w:tcPr>
          <w:p w14:paraId="6A7680C3"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30%</w:t>
            </w:r>
          </w:p>
        </w:tc>
        <w:tc>
          <w:tcPr>
            <w:tcW w:w="3998" w:type="dxa"/>
            <w:noWrap/>
            <w:tcMar>
              <w:top w:w="0" w:type="dxa"/>
              <w:left w:w="108" w:type="dxa"/>
              <w:bottom w:w="0" w:type="dxa"/>
              <w:right w:w="108" w:type="dxa"/>
            </w:tcMar>
            <w:vAlign w:val="bottom"/>
          </w:tcPr>
          <w:p w14:paraId="5F36AD94"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21.2-40.0</w:t>
            </w:r>
          </w:p>
        </w:tc>
      </w:tr>
      <w:tr w:rsidR="001F0901" w14:paraId="1934163A" w14:textId="77777777" w:rsidTr="001F58E1">
        <w:trPr>
          <w:trHeight w:val="288"/>
          <w:jc w:val="center"/>
        </w:trPr>
        <w:tc>
          <w:tcPr>
            <w:tcW w:w="3559" w:type="dxa"/>
            <w:noWrap/>
            <w:tcMar>
              <w:top w:w="0" w:type="dxa"/>
              <w:left w:w="108" w:type="dxa"/>
              <w:bottom w:w="0" w:type="dxa"/>
              <w:right w:w="108" w:type="dxa"/>
            </w:tcMar>
            <w:vAlign w:val="bottom"/>
          </w:tcPr>
          <w:p w14:paraId="5C88AC3D"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40%</w:t>
            </w:r>
          </w:p>
        </w:tc>
        <w:tc>
          <w:tcPr>
            <w:tcW w:w="3998" w:type="dxa"/>
            <w:noWrap/>
            <w:tcMar>
              <w:top w:w="0" w:type="dxa"/>
              <w:left w:w="108" w:type="dxa"/>
              <w:bottom w:w="0" w:type="dxa"/>
              <w:right w:w="108" w:type="dxa"/>
            </w:tcMar>
            <w:vAlign w:val="bottom"/>
          </w:tcPr>
          <w:p w14:paraId="024481CC"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30.3-50.3</w:t>
            </w:r>
          </w:p>
        </w:tc>
      </w:tr>
      <w:tr w:rsidR="001F0901" w14:paraId="7C1BDF71" w14:textId="77777777" w:rsidTr="001F58E1">
        <w:trPr>
          <w:trHeight w:val="288"/>
          <w:jc w:val="center"/>
        </w:trPr>
        <w:tc>
          <w:tcPr>
            <w:tcW w:w="3559" w:type="dxa"/>
            <w:noWrap/>
            <w:tcMar>
              <w:top w:w="0" w:type="dxa"/>
              <w:left w:w="108" w:type="dxa"/>
              <w:bottom w:w="0" w:type="dxa"/>
              <w:right w:w="108" w:type="dxa"/>
            </w:tcMar>
            <w:vAlign w:val="bottom"/>
          </w:tcPr>
          <w:p w14:paraId="7E455B80"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50%</w:t>
            </w:r>
          </w:p>
        </w:tc>
        <w:tc>
          <w:tcPr>
            <w:tcW w:w="3998" w:type="dxa"/>
            <w:noWrap/>
            <w:tcMar>
              <w:top w:w="0" w:type="dxa"/>
              <w:left w:w="108" w:type="dxa"/>
              <w:bottom w:w="0" w:type="dxa"/>
              <w:right w:w="108" w:type="dxa"/>
            </w:tcMar>
            <w:vAlign w:val="bottom"/>
          </w:tcPr>
          <w:p w14:paraId="45D449B1"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39.8-60.2</w:t>
            </w:r>
          </w:p>
        </w:tc>
      </w:tr>
      <w:tr w:rsidR="001F0901" w14:paraId="1FC6C5A3" w14:textId="77777777" w:rsidTr="001F58E1">
        <w:trPr>
          <w:trHeight w:val="288"/>
          <w:jc w:val="center"/>
        </w:trPr>
        <w:tc>
          <w:tcPr>
            <w:tcW w:w="3559" w:type="dxa"/>
            <w:noWrap/>
            <w:tcMar>
              <w:top w:w="0" w:type="dxa"/>
              <w:left w:w="108" w:type="dxa"/>
              <w:bottom w:w="0" w:type="dxa"/>
              <w:right w:w="108" w:type="dxa"/>
            </w:tcMar>
            <w:vAlign w:val="bottom"/>
          </w:tcPr>
          <w:p w14:paraId="5457F194"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60%</w:t>
            </w:r>
          </w:p>
        </w:tc>
        <w:tc>
          <w:tcPr>
            <w:tcW w:w="3998" w:type="dxa"/>
            <w:noWrap/>
            <w:tcMar>
              <w:top w:w="0" w:type="dxa"/>
              <w:left w:w="108" w:type="dxa"/>
              <w:bottom w:w="0" w:type="dxa"/>
              <w:right w:w="108" w:type="dxa"/>
            </w:tcMar>
            <w:vAlign w:val="bottom"/>
          </w:tcPr>
          <w:p w14:paraId="4CDB9A99"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49.7-69.7</w:t>
            </w:r>
          </w:p>
        </w:tc>
      </w:tr>
      <w:tr w:rsidR="001F0901" w14:paraId="33864BC3" w14:textId="77777777" w:rsidTr="001F58E1">
        <w:trPr>
          <w:trHeight w:val="288"/>
          <w:jc w:val="center"/>
        </w:trPr>
        <w:tc>
          <w:tcPr>
            <w:tcW w:w="3559" w:type="dxa"/>
            <w:noWrap/>
            <w:tcMar>
              <w:top w:w="0" w:type="dxa"/>
              <w:left w:w="108" w:type="dxa"/>
              <w:bottom w:w="0" w:type="dxa"/>
              <w:right w:w="108" w:type="dxa"/>
            </w:tcMar>
            <w:vAlign w:val="bottom"/>
          </w:tcPr>
          <w:p w14:paraId="2798C0D4"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70%</w:t>
            </w:r>
          </w:p>
        </w:tc>
        <w:tc>
          <w:tcPr>
            <w:tcW w:w="3998" w:type="dxa"/>
            <w:noWrap/>
            <w:tcMar>
              <w:top w:w="0" w:type="dxa"/>
              <w:left w:w="108" w:type="dxa"/>
              <w:bottom w:w="0" w:type="dxa"/>
              <w:right w:w="108" w:type="dxa"/>
            </w:tcMar>
            <w:vAlign w:val="bottom"/>
          </w:tcPr>
          <w:p w14:paraId="2A2A4ADA"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60.0-78.8</w:t>
            </w:r>
          </w:p>
        </w:tc>
      </w:tr>
      <w:tr w:rsidR="001F0901" w14:paraId="00353CF9" w14:textId="77777777" w:rsidTr="001F58E1">
        <w:trPr>
          <w:trHeight w:val="288"/>
          <w:jc w:val="center"/>
        </w:trPr>
        <w:tc>
          <w:tcPr>
            <w:tcW w:w="3559" w:type="dxa"/>
            <w:noWrap/>
            <w:tcMar>
              <w:top w:w="0" w:type="dxa"/>
              <w:left w:w="108" w:type="dxa"/>
              <w:bottom w:w="0" w:type="dxa"/>
              <w:right w:w="108" w:type="dxa"/>
            </w:tcMar>
            <w:vAlign w:val="bottom"/>
          </w:tcPr>
          <w:p w14:paraId="42154504"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80%</w:t>
            </w:r>
          </w:p>
        </w:tc>
        <w:tc>
          <w:tcPr>
            <w:tcW w:w="3998" w:type="dxa"/>
            <w:noWrap/>
            <w:tcMar>
              <w:top w:w="0" w:type="dxa"/>
              <w:left w:w="108" w:type="dxa"/>
              <w:bottom w:w="0" w:type="dxa"/>
              <w:right w:w="108" w:type="dxa"/>
            </w:tcMar>
            <w:vAlign w:val="bottom"/>
          </w:tcPr>
          <w:p w14:paraId="450587BD"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70.8-87.3</w:t>
            </w:r>
          </w:p>
        </w:tc>
      </w:tr>
      <w:tr w:rsidR="001F0901" w14:paraId="19D63E46" w14:textId="77777777" w:rsidTr="001F58E1">
        <w:trPr>
          <w:trHeight w:val="288"/>
          <w:jc w:val="center"/>
        </w:trPr>
        <w:tc>
          <w:tcPr>
            <w:tcW w:w="3559" w:type="dxa"/>
            <w:noWrap/>
            <w:tcMar>
              <w:top w:w="0" w:type="dxa"/>
              <w:left w:w="108" w:type="dxa"/>
              <w:bottom w:w="0" w:type="dxa"/>
              <w:right w:w="108" w:type="dxa"/>
            </w:tcMar>
            <w:vAlign w:val="bottom"/>
          </w:tcPr>
          <w:p w14:paraId="1570D1BC"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90%</w:t>
            </w:r>
          </w:p>
        </w:tc>
        <w:tc>
          <w:tcPr>
            <w:tcW w:w="3998" w:type="dxa"/>
            <w:noWrap/>
            <w:tcMar>
              <w:top w:w="0" w:type="dxa"/>
              <w:left w:w="108" w:type="dxa"/>
              <w:bottom w:w="0" w:type="dxa"/>
              <w:right w:w="108" w:type="dxa"/>
            </w:tcMar>
            <w:vAlign w:val="bottom"/>
          </w:tcPr>
          <w:p w14:paraId="242AD265" w14:textId="77777777" w:rsidR="001F0901" w:rsidRDefault="001F0901" w:rsidP="001F58E1">
            <w:pPr>
              <w:spacing w:after="0" w:line="240" w:lineRule="auto"/>
              <w:jc w:val="center"/>
              <w:rPr>
                <w:rFonts w:eastAsia="Times New Roman" w:cs="Calibri"/>
                <w:color w:val="000000"/>
              </w:rPr>
            </w:pPr>
            <w:r>
              <w:rPr>
                <w:rFonts w:eastAsia="Times New Roman" w:cs="Calibri"/>
                <w:color w:val="000000"/>
              </w:rPr>
              <w:t>82.4-95.1</w:t>
            </w:r>
          </w:p>
        </w:tc>
      </w:tr>
    </w:tbl>
    <w:p w14:paraId="4B1FB75B" w14:textId="77777777" w:rsidR="001F0901" w:rsidRDefault="001F0901" w:rsidP="001F0901"/>
    <w:p w14:paraId="1AC9F32E" w14:textId="0D02A062" w:rsidR="001F0901" w:rsidRDefault="001F0901" w:rsidP="001F58E1">
      <w:pPr>
        <w:jc w:val="both"/>
      </w:pPr>
      <w:r>
        <w:t>Precision will be improved when combining age bands for specific questions or when assessing trends by age for other secondary objectives.</w:t>
      </w:r>
      <w:r w:rsidRPr="002E06D4">
        <w:t xml:space="preserve"> </w:t>
      </w:r>
      <w:r>
        <w:t xml:space="preserve">For example for diphtheria age bands of interest could be divided into &lt;4,4-8,9-13,14-24  and for Men C into  0-10,11-12,13-15,16-19,20-24.  </w:t>
      </w:r>
    </w:p>
    <w:p w14:paraId="5082EC60" w14:textId="77777777" w:rsidR="001F0901" w:rsidRPr="00FB7184" w:rsidRDefault="001F0901" w:rsidP="001F0901">
      <w:pPr>
        <w:rPr>
          <w:b/>
        </w:rPr>
      </w:pPr>
      <w:r w:rsidRPr="00FB7184">
        <w:rPr>
          <w:b/>
        </w:rPr>
        <w:t>Focussing on the primary objectives</w:t>
      </w:r>
    </w:p>
    <w:p w14:paraId="49B2EF59" w14:textId="77777777" w:rsidR="001F0901" w:rsidRPr="0041013E" w:rsidRDefault="001F0901" w:rsidP="0041013E">
      <w:pPr>
        <w:rPr>
          <w:b/>
          <w:bCs/>
        </w:rPr>
      </w:pPr>
      <w:bookmarkStart w:id="131" w:name="_Toc32432143"/>
      <w:r w:rsidRPr="0041013E">
        <w:rPr>
          <w:b/>
          <w:bCs/>
        </w:rPr>
        <w:lastRenderedPageBreak/>
        <w:t>Representativeness of participants sampled</w:t>
      </w:r>
      <w:bookmarkEnd w:id="131"/>
    </w:p>
    <w:p w14:paraId="282A3126" w14:textId="33E2289B" w:rsidR="007C0517" w:rsidRDefault="001F0901" w:rsidP="001F58E1">
      <w:pPr>
        <w:jc w:val="both"/>
      </w:pPr>
      <w:r>
        <w:t xml:space="preserve">Within a study site representativeness is assessed by comparison to local population demographics. Each study </w:t>
      </w:r>
      <w:r w:rsidR="00536A3E">
        <w:t>region</w:t>
      </w:r>
      <w:r>
        <w:t xml:space="preserve"> will </w:t>
      </w:r>
      <w:r w:rsidR="00536A3E">
        <w:t>have up to</w:t>
      </w:r>
      <w:r>
        <w:t xml:space="preserve"> </w:t>
      </w:r>
      <w:r w:rsidR="00536A3E">
        <w:t xml:space="preserve">approximately </w:t>
      </w:r>
      <w:r>
        <w:t>383 individuals</w:t>
      </w:r>
      <w:r w:rsidR="00536A3E">
        <w:t xml:space="preserve"> allocated into Group 1</w:t>
      </w:r>
      <w:r>
        <w:t xml:space="preserve">. Overall all 2300 samples </w:t>
      </w:r>
      <w:r w:rsidR="00536A3E">
        <w:t>will be available for analysis in Group 1</w:t>
      </w:r>
      <w:r>
        <w:t xml:space="preserve">. With these numbers the precision of estimates of characteristics in the population and differences that would be significant to population data are given in Table </w:t>
      </w:r>
      <w:r w:rsidR="001F58E1">
        <w:t>3</w:t>
      </w:r>
      <w:r>
        <w:t>. So, for example, if a specific ethnic group was 20% of the survey sample then in a region this would have a 95% CI of 16.1-24.4% and would allow a proportion in the population of &lt;14.3% or &gt;26.6% to be detectable as different.</w:t>
      </w:r>
    </w:p>
    <w:p w14:paraId="063C9F00" w14:textId="5FFED635" w:rsidR="005845E4" w:rsidRDefault="005845E4" w:rsidP="001F58E1">
      <w:pPr>
        <w:jc w:val="both"/>
      </w:pPr>
      <w:r>
        <w:t>We will also compare our sample demographics with the population demographics of the corresponding NHS region. This will increase the sample size in some regions are there are multiple sites within that region.</w:t>
      </w:r>
    </w:p>
    <w:p w14:paraId="20203B3A" w14:textId="0F258D03" w:rsidR="001F0901" w:rsidRPr="00D561D8" w:rsidRDefault="001F0901" w:rsidP="001F0901">
      <w:pPr>
        <w:rPr>
          <w:b/>
        </w:rPr>
      </w:pPr>
      <w:r w:rsidRPr="00D561D8">
        <w:rPr>
          <w:b/>
        </w:rPr>
        <w:t>Table</w:t>
      </w:r>
      <w:r w:rsidR="001F58E1">
        <w:rPr>
          <w:b/>
        </w:rPr>
        <w:t xml:space="preserve"> 3</w:t>
      </w:r>
      <w:r w:rsidRPr="00D561D8">
        <w:rPr>
          <w:b/>
        </w:rPr>
        <w:t>: Assessment of representativeness</w:t>
      </w:r>
      <w:r>
        <w:rPr>
          <w:b/>
        </w:rPr>
        <w:t>, precision and detectable differences</w:t>
      </w:r>
    </w:p>
    <w:tbl>
      <w:tblPr>
        <w:tblStyle w:val="TableGrid"/>
        <w:tblW w:w="10060" w:type="dxa"/>
        <w:tblLook w:val="04A0" w:firstRow="1" w:lastRow="0" w:firstColumn="1" w:lastColumn="0" w:noHBand="0" w:noVBand="1"/>
      </w:tblPr>
      <w:tblGrid>
        <w:gridCol w:w="1507"/>
        <w:gridCol w:w="1749"/>
        <w:gridCol w:w="2622"/>
        <w:gridCol w:w="1762"/>
        <w:gridCol w:w="2420"/>
      </w:tblGrid>
      <w:tr w:rsidR="001F0901" w14:paraId="3A532ECF" w14:textId="77777777" w:rsidTr="00F00D93">
        <w:tc>
          <w:tcPr>
            <w:tcW w:w="1507" w:type="dxa"/>
          </w:tcPr>
          <w:p w14:paraId="0F8CE5D5" w14:textId="77777777" w:rsidR="001F0901" w:rsidRDefault="001F0901" w:rsidP="00F00D93"/>
        </w:tc>
        <w:tc>
          <w:tcPr>
            <w:tcW w:w="4371" w:type="dxa"/>
            <w:gridSpan w:val="2"/>
          </w:tcPr>
          <w:p w14:paraId="2B59D3FA" w14:textId="77777777" w:rsidR="001F0901" w:rsidRPr="001F58E1" w:rsidRDefault="001F0901" w:rsidP="001F58E1">
            <w:pPr>
              <w:jc w:val="center"/>
              <w:rPr>
                <w:b/>
              </w:rPr>
            </w:pPr>
            <w:r w:rsidRPr="001F58E1">
              <w:rPr>
                <w:b/>
              </w:rPr>
              <w:t>Region  (N=383)</w:t>
            </w:r>
          </w:p>
        </w:tc>
        <w:tc>
          <w:tcPr>
            <w:tcW w:w="4182" w:type="dxa"/>
            <w:gridSpan w:val="2"/>
          </w:tcPr>
          <w:p w14:paraId="3025EF1E" w14:textId="77777777" w:rsidR="001F0901" w:rsidRPr="001F58E1" w:rsidRDefault="001F0901" w:rsidP="001F58E1">
            <w:pPr>
              <w:jc w:val="center"/>
              <w:rPr>
                <w:b/>
              </w:rPr>
            </w:pPr>
            <w:r w:rsidRPr="001F58E1">
              <w:rPr>
                <w:b/>
              </w:rPr>
              <w:t>Overall (N=2300)</w:t>
            </w:r>
          </w:p>
        </w:tc>
      </w:tr>
      <w:tr w:rsidR="001F0901" w14:paraId="7CFFA408" w14:textId="77777777" w:rsidTr="00F00D93">
        <w:tc>
          <w:tcPr>
            <w:tcW w:w="1507" w:type="dxa"/>
          </w:tcPr>
          <w:p w14:paraId="24379E08" w14:textId="77777777" w:rsidR="001F0901" w:rsidRPr="001F58E1" w:rsidRDefault="001F0901" w:rsidP="001F58E1">
            <w:pPr>
              <w:jc w:val="center"/>
            </w:pPr>
            <w:r w:rsidRPr="001F58E1">
              <w:t>Prevalence of characteristic in sample</w:t>
            </w:r>
          </w:p>
        </w:tc>
        <w:tc>
          <w:tcPr>
            <w:tcW w:w="1749" w:type="dxa"/>
          </w:tcPr>
          <w:p w14:paraId="04B662CA" w14:textId="77777777" w:rsidR="001F0901" w:rsidRPr="001F58E1" w:rsidRDefault="001F0901" w:rsidP="001F58E1">
            <w:pPr>
              <w:jc w:val="center"/>
            </w:pPr>
            <w:r w:rsidRPr="001F58E1">
              <w:t>95% confidence interval</w:t>
            </w:r>
          </w:p>
        </w:tc>
        <w:tc>
          <w:tcPr>
            <w:tcW w:w="2622" w:type="dxa"/>
          </w:tcPr>
          <w:p w14:paraId="63F8969A" w14:textId="77777777" w:rsidR="001F0901" w:rsidRPr="001F58E1" w:rsidRDefault="001F0901" w:rsidP="001F58E1">
            <w:pPr>
              <w:jc w:val="center"/>
            </w:pPr>
            <w:r w:rsidRPr="001F58E1">
              <w:t>Prevalence below, above this in population that would significantly differ (80% power, 5% significance, assuming population much larger than sample (&gt;=10 fold))</w:t>
            </w:r>
          </w:p>
        </w:tc>
        <w:tc>
          <w:tcPr>
            <w:tcW w:w="1762" w:type="dxa"/>
          </w:tcPr>
          <w:p w14:paraId="52B68D20" w14:textId="77777777" w:rsidR="001F0901" w:rsidRPr="001F58E1" w:rsidRDefault="001F0901" w:rsidP="001F58E1">
            <w:pPr>
              <w:jc w:val="center"/>
            </w:pPr>
            <w:r w:rsidRPr="001F58E1">
              <w:t>95% confidence interval</w:t>
            </w:r>
          </w:p>
        </w:tc>
        <w:tc>
          <w:tcPr>
            <w:tcW w:w="2420" w:type="dxa"/>
          </w:tcPr>
          <w:p w14:paraId="4050F624" w14:textId="77777777" w:rsidR="001F0901" w:rsidRPr="001F58E1" w:rsidRDefault="001F0901" w:rsidP="001F58E1">
            <w:pPr>
              <w:jc w:val="center"/>
            </w:pPr>
            <w:r w:rsidRPr="001F58E1">
              <w:t>Prevalence below, above this in population that would significantly differ (80% power, 5% significance, assuming population much larger than sample (&gt;=10 fold))</w:t>
            </w:r>
          </w:p>
        </w:tc>
      </w:tr>
      <w:tr w:rsidR="001F0901" w14:paraId="10FFC171" w14:textId="77777777" w:rsidTr="00F00D93">
        <w:tc>
          <w:tcPr>
            <w:tcW w:w="1507" w:type="dxa"/>
          </w:tcPr>
          <w:p w14:paraId="7644C8C1" w14:textId="77777777" w:rsidR="001F0901" w:rsidRDefault="001F0901" w:rsidP="001F58E1">
            <w:pPr>
              <w:jc w:val="center"/>
            </w:pPr>
            <w:r>
              <w:t>5%</w:t>
            </w:r>
          </w:p>
        </w:tc>
        <w:tc>
          <w:tcPr>
            <w:tcW w:w="1749" w:type="dxa"/>
          </w:tcPr>
          <w:p w14:paraId="47D68C13" w14:textId="77777777" w:rsidR="001F0901" w:rsidRDefault="001F0901" w:rsidP="001F58E1">
            <w:pPr>
              <w:jc w:val="center"/>
            </w:pPr>
            <w:r>
              <w:t>3.0-7.7</w:t>
            </w:r>
          </w:p>
        </w:tc>
        <w:tc>
          <w:tcPr>
            <w:tcW w:w="2622" w:type="dxa"/>
          </w:tcPr>
          <w:p w14:paraId="0CC88767" w14:textId="77777777" w:rsidR="001F0901" w:rsidRDefault="001F0901" w:rsidP="001F58E1">
            <w:pPr>
              <w:jc w:val="center"/>
            </w:pPr>
            <w:r>
              <w:t>2.3,9.1</w:t>
            </w:r>
          </w:p>
        </w:tc>
        <w:tc>
          <w:tcPr>
            <w:tcW w:w="1762" w:type="dxa"/>
          </w:tcPr>
          <w:p w14:paraId="03FF2D60" w14:textId="77777777" w:rsidR="001F0901" w:rsidRDefault="001F0901" w:rsidP="001F58E1">
            <w:pPr>
              <w:jc w:val="center"/>
            </w:pPr>
            <w:r>
              <w:t>4.1-6.0</w:t>
            </w:r>
          </w:p>
        </w:tc>
        <w:tc>
          <w:tcPr>
            <w:tcW w:w="2420" w:type="dxa"/>
          </w:tcPr>
          <w:p w14:paraId="6F7C5CC4" w14:textId="77777777" w:rsidR="001F0901" w:rsidRDefault="001F0901" w:rsidP="001F58E1">
            <w:pPr>
              <w:jc w:val="center"/>
            </w:pPr>
            <w:r>
              <w:t>3.8,6.5</w:t>
            </w:r>
          </w:p>
        </w:tc>
      </w:tr>
      <w:tr w:rsidR="001F0901" w14:paraId="561F16AC" w14:textId="77777777" w:rsidTr="00F00D93">
        <w:tc>
          <w:tcPr>
            <w:tcW w:w="1507" w:type="dxa"/>
          </w:tcPr>
          <w:p w14:paraId="3EACD7CE" w14:textId="77777777" w:rsidR="001F0901" w:rsidRDefault="001F0901" w:rsidP="001F58E1">
            <w:pPr>
              <w:jc w:val="center"/>
            </w:pPr>
            <w:r>
              <w:t>10%</w:t>
            </w:r>
          </w:p>
        </w:tc>
        <w:tc>
          <w:tcPr>
            <w:tcW w:w="1749" w:type="dxa"/>
          </w:tcPr>
          <w:p w14:paraId="07DFC5D1" w14:textId="77777777" w:rsidR="001F0901" w:rsidRDefault="001F0901" w:rsidP="001F58E1">
            <w:pPr>
              <w:jc w:val="center"/>
            </w:pPr>
            <w:r>
              <w:t>7.2-13.5</w:t>
            </w:r>
          </w:p>
        </w:tc>
        <w:tc>
          <w:tcPr>
            <w:tcW w:w="2622" w:type="dxa"/>
          </w:tcPr>
          <w:p w14:paraId="2EB49D72" w14:textId="77777777" w:rsidR="001F0901" w:rsidRDefault="001F0901" w:rsidP="001F58E1">
            <w:pPr>
              <w:jc w:val="center"/>
            </w:pPr>
            <w:r>
              <w:t>6.0,15.3</w:t>
            </w:r>
          </w:p>
        </w:tc>
        <w:tc>
          <w:tcPr>
            <w:tcW w:w="1762" w:type="dxa"/>
          </w:tcPr>
          <w:p w14:paraId="6208F2EE" w14:textId="77777777" w:rsidR="001F0901" w:rsidRDefault="001F0901" w:rsidP="001F58E1">
            <w:pPr>
              <w:jc w:val="center"/>
            </w:pPr>
            <w:r>
              <w:t>8.8-11.3</w:t>
            </w:r>
          </w:p>
        </w:tc>
        <w:tc>
          <w:tcPr>
            <w:tcW w:w="2420" w:type="dxa"/>
          </w:tcPr>
          <w:p w14:paraId="0C5C9079" w14:textId="77777777" w:rsidR="001F0901" w:rsidRDefault="001F0901" w:rsidP="001F58E1">
            <w:pPr>
              <w:jc w:val="center"/>
            </w:pPr>
            <w:r>
              <w:t>8.2,12.0</w:t>
            </w:r>
          </w:p>
        </w:tc>
      </w:tr>
      <w:tr w:rsidR="001F0901" w14:paraId="516BFE17" w14:textId="77777777" w:rsidTr="00F00D93">
        <w:tc>
          <w:tcPr>
            <w:tcW w:w="1507" w:type="dxa"/>
          </w:tcPr>
          <w:p w14:paraId="01B59E7A" w14:textId="77777777" w:rsidR="001F0901" w:rsidRDefault="001F0901" w:rsidP="001F58E1">
            <w:pPr>
              <w:jc w:val="center"/>
            </w:pPr>
            <w:r>
              <w:t>15%</w:t>
            </w:r>
          </w:p>
        </w:tc>
        <w:tc>
          <w:tcPr>
            <w:tcW w:w="1749" w:type="dxa"/>
          </w:tcPr>
          <w:p w14:paraId="2F8D6791" w14:textId="77777777" w:rsidR="001F0901" w:rsidRDefault="001F0901" w:rsidP="001F58E1">
            <w:pPr>
              <w:jc w:val="center"/>
            </w:pPr>
            <w:r>
              <w:t>11.6-19.0</w:t>
            </w:r>
          </w:p>
        </w:tc>
        <w:tc>
          <w:tcPr>
            <w:tcW w:w="2622" w:type="dxa"/>
          </w:tcPr>
          <w:p w14:paraId="5ECAF6D3" w14:textId="77777777" w:rsidR="001F0901" w:rsidRDefault="001F0901" w:rsidP="001F58E1">
            <w:pPr>
              <w:jc w:val="center"/>
            </w:pPr>
            <w:r>
              <w:t>10.0,21.0</w:t>
            </w:r>
          </w:p>
        </w:tc>
        <w:tc>
          <w:tcPr>
            <w:tcW w:w="1762" w:type="dxa"/>
          </w:tcPr>
          <w:p w14:paraId="2B6BE2A2" w14:textId="77777777" w:rsidR="001F0901" w:rsidRDefault="001F0901" w:rsidP="001F58E1">
            <w:pPr>
              <w:jc w:val="center"/>
            </w:pPr>
            <w:r>
              <w:t>13.6-16.5</w:t>
            </w:r>
          </w:p>
        </w:tc>
        <w:tc>
          <w:tcPr>
            <w:tcW w:w="2420" w:type="dxa"/>
          </w:tcPr>
          <w:p w14:paraId="64E21C7E" w14:textId="77777777" w:rsidR="001F0901" w:rsidRDefault="001F0901" w:rsidP="001F58E1">
            <w:pPr>
              <w:jc w:val="center"/>
            </w:pPr>
            <w:r>
              <w:t>12.9,17.3</w:t>
            </w:r>
          </w:p>
        </w:tc>
      </w:tr>
      <w:tr w:rsidR="001F0901" w14:paraId="786E64E9" w14:textId="77777777" w:rsidTr="00F00D93">
        <w:tc>
          <w:tcPr>
            <w:tcW w:w="1507" w:type="dxa"/>
          </w:tcPr>
          <w:p w14:paraId="36FF9CE9" w14:textId="77777777" w:rsidR="001F0901" w:rsidRDefault="001F0901" w:rsidP="001F58E1">
            <w:pPr>
              <w:jc w:val="center"/>
            </w:pPr>
            <w:r>
              <w:t>20%</w:t>
            </w:r>
          </w:p>
        </w:tc>
        <w:tc>
          <w:tcPr>
            <w:tcW w:w="1749" w:type="dxa"/>
          </w:tcPr>
          <w:p w14:paraId="07336759" w14:textId="77777777" w:rsidR="001F0901" w:rsidRDefault="001F0901" w:rsidP="001F58E1">
            <w:pPr>
              <w:jc w:val="center"/>
            </w:pPr>
            <w:r>
              <w:t>16.1-24.4</w:t>
            </w:r>
          </w:p>
        </w:tc>
        <w:tc>
          <w:tcPr>
            <w:tcW w:w="2622" w:type="dxa"/>
          </w:tcPr>
          <w:p w14:paraId="5A10667F" w14:textId="77777777" w:rsidR="001F0901" w:rsidRDefault="001F0901" w:rsidP="001F58E1">
            <w:pPr>
              <w:jc w:val="center"/>
            </w:pPr>
            <w:r>
              <w:t>14.3,26.6</w:t>
            </w:r>
          </w:p>
        </w:tc>
        <w:tc>
          <w:tcPr>
            <w:tcW w:w="1762" w:type="dxa"/>
          </w:tcPr>
          <w:p w14:paraId="4238F393" w14:textId="77777777" w:rsidR="001F0901" w:rsidRDefault="001F0901" w:rsidP="001F58E1">
            <w:pPr>
              <w:jc w:val="center"/>
            </w:pPr>
            <w:r>
              <w:t>18.4-21.7</w:t>
            </w:r>
          </w:p>
        </w:tc>
        <w:tc>
          <w:tcPr>
            <w:tcW w:w="2420" w:type="dxa"/>
          </w:tcPr>
          <w:p w14:paraId="1DE51549" w14:textId="77777777" w:rsidR="001F0901" w:rsidRDefault="001F0901" w:rsidP="001F58E1">
            <w:pPr>
              <w:jc w:val="center"/>
            </w:pPr>
            <w:r>
              <w:t>17.6,22.5</w:t>
            </w:r>
          </w:p>
        </w:tc>
      </w:tr>
      <w:tr w:rsidR="001F0901" w14:paraId="63A9B6F2" w14:textId="77777777" w:rsidTr="00F00D93">
        <w:tc>
          <w:tcPr>
            <w:tcW w:w="1507" w:type="dxa"/>
          </w:tcPr>
          <w:p w14:paraId="3E224537" w14:textId="77777777" w:rsidR="001F0901" w:rsidRDefault="001F0901" w:rsidP="001F58E1">
            <w:pPr>
              <w:jc w:val="center"/>
            </w:pPr>
            <w:r>
              <w:t>25%</w:t>
            </w:r>
          </w:p>
        </w:tc>
        <w:tc>
          <w:tcPr>
            <w:tcW w:w="1749" w:type="dxa"/>
          </w:tcPr>
          <w:p w14:paraId="43C63183" w14:textId="77777777" w:rsidR="001F0901" w:rsidRDefault="001F0901" w:rsidP="001F58E1">
            <w:pPr>
              <w:jc w:val="center"/>
            </w:pPr>
            <w:r>
              <w:t>20.7-29.7</w:t>
            </w:r>
          </w:p>
        </w:tc>
        <w:tc>
          <w:tcPr>
            <w:tcW w:w="2622" w:type="dxa"/>
          </w:tcPr>
          <w:p w14:paraId="256642F6" w14:textId="77777777" w:rsidR="001F0901" w:rsidRDefault="001F0901" w:rsidP="001F58E1">
            <w:pPr>
              <w:jc w:val="center"/>
            </w:pPr>
            <w:r>
              <w:t>18.8,32.0</w:t>
            </w:r>
          </w:p>
        </w:tc>
        <w:tc>
          <w:tcPr>
            <w:tcW w:w="1762" w:type="dxa"/>
          </w:tcPr>
          <w:p w14:paraId="5F239F12" w14:textId="77777777" w:rsidR="001F0901" w:rsidRDefault="001F0901" w:rsidP="001F58E1">
            <w:pPr>
              <w:jc w:val="center"/>
            </w:pPr>
            <w:r>
              <w:t>23.2-26.8</w:t>
            </w:r>
          </w:p>
        </w:tc>
        <w:tc>
          <w:tcPr>
            <w:tcW w:w="2420" w:type="dxa"/>
          </w:tcPr>
          <w:p w14:paraId="749A6F38" w14:textId="77777777" w:rsidR="001F0901" w:rsidRDefault="001F0901" w:rsidP="001F58E1">
            <w:pPr>
              <w:jc w:val="center"/>
            </w:pPr>
            <w:r>
              <w:t>22.4,27.7</w:t>
            </w:r>
          </w:p>
        </w:tc>
      </w:tr>
      <w:tr w:rsidR="001F0901" w14:paraId="473C74EB" w14:textId="77777777" w:rsidTr="00F00D93">
        <w:tc>
          <w:tcPr>
            <w:tcW w:w="1507" w:type="dxa"/>
          </w:tcPr>
          <w:p w14:paraId="00DC48A5" w14:textId="77777777" w:rsidR="001F0901" w:rsidRDefault="001F0901" w:rsidP="001F58E1">
            <w:pPr>
              <w:jc w:val="center"/>
            </w:pPr>
            <w:r>
              <w:t>30%</w:t>
            </w:r>
          </w:p>
        </w:tc>
        <w:tc>
          <w:tcPr>
            <w:tcW w:w="1749" w:type="dxa"/>
          </w:tcPr>
          <w:p w14:paraId="1DDB968B" w14:textId="77777777" w:rsidR="001F0901" w:rsidRDefault="001F0901" w:rsidP="001F58E1">
            <w:pPr>
              <w:jc w:val="center"/>
            </w:pPr>
            <w:r>
              <w:t>25.5-34.9</w:t>
            </w:r>
          </w:p>
        </w:tc>
        <w:tc>
          <w:tcPr>
            <w:tcW w:w="2622" w:type="dxa"/>
          </w:tcPr>
          <w:p w14:paraId="0C2B199C" w14:textId="77777777" w:rsidR="001F0901" w:rsidRDefault="001F0901" w:rsidP="001F58E1">
            <w:pPr>
              <w:jc w:val="center"/>
            </w:pPr>
            <w:r>
              <w:t>23.3,37.3</w:t>
            </w:r>
          </w:p>
        </w:tc>
        <w:tc>
          <w:tcPr>
            <w:tcW w:w="1762" w:type="dxa"/>
          </w:tcPr>
          <w:p w14:paraId="6C821CBF" w14:textId="77777777" w:rsidR="001F0901" w:rsidRDefault="001F0901" w:rsidP="001F58E1">
            <w:pPr>
              <w:jc w:val="center"/>
            </w:pPr>
            <w:r>
              <w:t>28.1-31.9</w:t>
            </w:r>
          </w:p>
        </w:tc>
        <w:tc>
          <w:tcPr>
            <w:tcW w:w="2420" w:type="dxa"/>
          </w:tcPr>
          <w:p w14:paraId="5695ADE1" w14:textId="77777777" w:rsidR="001F0901" w:rsidRDefault="001F0901" w:rsidP="001F58E1">
            <w:pPr>
              <w:jc w:val="center"/>
            </w:pPr>
            <w:r>
              <w:t>27.2,32.9</w:t>
            </w:r>
          </w:p>
        </w:tc>
      </w:tr>
    </w:tbl>
    <w:p w14:paraId="755E2F96" w14:textId="77777777" w:rsidR="001F0901" w:rsidRDefault="001F0901" w:rsidP="001F0901"/>
    <w:p w14:paraId="395493FD" w14:textId="77777777" w:rsidR="001F0901" w:rsidRPr="0041013E" w:rsidRDefault="001F0901" w:rsidP="0041013E">
      <w:pPr>
        <w:rPr>
          <w:b/>
          <w:bCs/>
        </w:rPr>
      </w:pPr>
      <w:bookmarkStart w:id="132" w:name="_Toc32432144"/>
      <w:r w:rsidRPr="0041013E">
        <w:rPr>
          <w:b/>
          <w:bCs/>
        </w:rPr>
        <w:t>Comparison with residual samples</w:t>
      </w:r>
      <w:bookmarkEnd w:id="132"/>
    </w:p>
    <w:p w14:paraId="75835D34" w14:textId="2BB6FA79" w:rsidR="00A56C1D" w:rsidRPr="001F58E1" w:rsidRDefault="001F0901" w:rsidP="001F58E1">
      <w:pPr>
        <w:jc w:val="both"/>
      </w:pPr>
      <w:r w:rsidRPr="001F58E1">
        <w:t xml:space="preserve">For comparison with the residual samples this is considered within age strata and is based on the 2017 data on residual samples for the numbers of residual strata by age. Due to the smaller number of residual samples in younger age groups (one of the key reasons for undertaking a community based </w:t>
      </w:r>
      <w:proofErr w:type="spellStart"/>
      <w:r w:rsidRPr="001F58E1">
        <w:t>seroprevelance</w:t>
      </w:r>
      <w:proofErr w:type="spellEnd"/>
      <w:r w:rsidRPr="001F58E1">
        <w:t xml:space="preserve"> survey), detectable differences are relatively large in those &lt;4 years. In older age groups relatively, small differences can be detected in &gt;4 year age bands. The example given below is for when the observed prevalence is 50% is the survey which is conservative as this gives the largest detectable differences.</w:t>
      </w:r>
    </w:p>
    <w:p w14:paraId="26BFD652" w14:textId="41BAB4F7" w:rsidR="001F0901" w:rsidRDefault="001F0901" w:rsidP="001F58E1">
      <w:pPr>
        <w:jc w:val="both"/>
        <w:rPr>
          <w:rFonts w:cs="Calibri"/>
          <w:b/>
        </w:rPr>
      </w:pPr>
      <w:r w:rsidRPr="009D78EF">
        <w:rPr>
          <w:rFonts w:cs="Calibri"/>
          <w:b/>
        </w:rPr>
        <w:t>Table</w:t>
      </w:r>
      <w:r w:rsidR="00C87664">
        <w:rPr>
          <w:rFonts w:cs="Calibri"/>
          <w:b/>
        </w:rPr>
        <w:t xml:space="preserve"> </w:t>
      </w:r>
      <w:r w:rsidRPr="009D78EF">
        <w:rPr>
          <w:rFonts w:cs="Calibri"/>
          <w:b/>
        </w:rPr>
        <w:t>4: Comparison to residual samples</w:t>
      </w:r>
      <w:r>
        <w:rPr>
          <w:rFonts w:cs="Calibri"/>
          <w:b/>
        </w:rPr>
        <w:t xml:space="preserve"> by age </w:t>
      </w:r>
      <w:r w:rsidR="009968D6">
        <w:rPr>
          <w:rFonts w:cs="Calibri"/>
          <w:b/>
        </w:rPr>
        <w:t>strata</w:t>
      </w:r>
      <w:r>
        <w:rPr>
          <w:rFonts w:cs="Calibri"/>
          <w:b/>
        </w:rPr>
        <w:t xml:space="preserve"> with a total sample size of 2300</w:t>
      </w:r>
    </w:p>
    <w:tbl>
      <w:tblPr>
        <w:tblpPr w:leftFromText="180" w:rightFromText="180" w:vertAnchor="text" w:horzAnchor="page" w:tblpX="1725" w:tblpY="131"/>
        <w:tblW w:w="6799" w:type="dxa"/>
        <w:tblCellMar>
          <w:left w:w="10" w:type="dxa"/>
          <w:right w:w="10" w:type="dxa"/>
        </w:tblCellMar>
        <w:tblLook w:val="04A0" w:firstRow="1" w:lastRow="0" w:firstColumn="1" w:lastColumn="0" w:noHBand="0" w:noVBand="1"/>
      </w:tblPr>
      <w:tblGrid>
        <w:gridCol w:w="3559"/>
        <w:gridCol w:w="3240"/>
      </w:tblGrid>
      <w:tr w:rsidR="008B0C32" w14:paraId="2DE3E829" w14:textId="77777777" w:rsidTr="008B0C32">
        <w:trPr>
          <w:trHeight w:val="288"/>
        </w:trPr>
        <w:tc>
          <w:tcPr>
            <w:tcW w:w="3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56139DB" w14:textId="77777777" w:rsidR="008B0C32" w:rsidRPr="001F58E1" w:rsidRDefault="008B0C32" w:rsidP="008B0C32">
            <w:pPr>
              <w:spacing w:after="0" w:line="240" w:lineRule="auto"/>
              <w:jc w:val="center"/>
              <w:rPr>
                <w:rFonts w:eastAsia="Times New Roman" w:cs="Calibri"/>
                <w:b/>
                <w:color w:val="000000"/>
              </w:rPr>
            </w:pPr>
            <w:r w:rsidRPr="001F58E1">
              <w:rPr>
                <w:rFonts w:eastAsia="Times New Roman" w:cs="Calibri"/>
                <w:b/>
                <w:color w:val="000000"/>
              </w:rPr>
              <w:t>Age</w:t>
            </w:r>
          </w:p>
        </w:tc>
        <w:tc>
          <w:tcPr>
            <w:tcW w:w="324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center"/>
            <w:hideMark/>
          </w:tcPr>
          <w:p w14:paraId="5DF57DB1" w14:textId="77777777" w:rsidR="008B0C32" w:rsidRPr="001F58E1" w:rsidRDefault="008B0C32" w:rsidP="008B0C32">
            <w:pPr>
              <w:spacing w:after="0" w:line="240" w:lineRule="auto"/>
              <w:jc w:val="center"/>
              <w:rPr>
                <w:rFonts w:eastAsia="Times New Roman" w:cs="Calibri"/>
                <w:b/>
                <w:color w:val="000000"/>
              </w:rPr>
            </w:pPr>
            <w:r w:rsidRPr="001F58E1">
              <w:rPr>
                <w:rFonts w:eastAsia="Times New Roman" w:cs="Calibri"/>
                <w:b/>
                <w:color w:val="000000"/>
              </w:rPr>
              <w:t>Detectable difference from 50%  (80% power, 5% significance)</w:t>
            </w:r>
          </w:p>
        </w:tc>
      </w:tr>
      <w:tr w:rsidR="008B0C32" w14:paraId="7ED9FD3F" w14:textId="77777777" w:rsidTr="008B0C32">
        <w:trPr>
          <w:trHeight w:val="288"/>
        </w:trPr>
        <w:tc>
          <w:tcPr>
            <w:tcW w:w="35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B4E4636"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&lt;4</w:t>
            </w:r>
          </w:p>
        </w:tc>
        <w:tc>
          <w:tcPr>
            <w:tcW w:w="324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4E84CE0"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10.7</w:t>
            </w:r>
          </w:p>
        </w:tc>
      </w:tr>
      <w:tr w:rsidR="008B0C32" w14:paraId="75C48C93" w14:textId="77777777" w:rsidTr="008B0C32">
        <w:trPr>
          <w:trHeight w:val="288"/>
        </w:trPr>
        <w:tc>
          <w:tcPr>
            <w:tcW w:w="35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BD54BDB"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4 to 8</w:t>
            </w:r>
          </w:p>
        </w:tc>
        <w:tc>
          <w:tcPr>
            <w:tcW w:w="324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0CBCEAD"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8.7</w:t>
            </w:r>
          </w:p>
        </w:tc>
      </w:tr>
      <w:tr w:rsidR="008B0C32" w14:paraId="5D694F50" w14:textId="77777777" w:rsidTr="008B0C32">
        <w:trPr>
          <w:trHeight w:val="288"/>
        </w:trPr>
        <w:tc>
          <w:tcPr>
            <w:tcW w:w="35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051D96B"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9 to 13</w:t>
            </w:r>
          </w:p>
        </w:tc>
        <w:tc>
          <w:tcPr>
            <w:tcW w:w="324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F0E94A5"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8.1</w:t>
            </w:r>
          </w:p>
        </w:tc>
      </w:tr>
      <w:tr w:rsidR="008B0C32" w14:paraId="3AF8CB98" w14:textId="77777777" w:rsidTr="008B0C32">
        <w:trPr>
          <w:trHeight w:val="288"/>
        </w:trPr>
        <w:tc>
          <w:tcPr>
            <w:tcW w:w="35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C1493F2"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14 to 24</w:t>
            </w:r>
          </w:p>
        </w:tc>
        <w:tc>
          <w:tcPr>
            <w:tcW w:w="324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C7C6343"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5.7</w:t>
            </w:r>
          </w:p>
        </w:tc>
      </w:tr>
      <w:tr w:rsidR="008B0C32" w14:paraId="092E4967" w14:textId="77777777" w:rsidTr="008B0C32">
        <w:trPr>
          <w:trHeight w:val="288"/>
        </w:trPr>
        <w:tc>
          <w:tcPr>
            <w:tcW w:w="3559"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5A76048"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All Age</w:t>
            </w:r>
          </w:p>
        </w:tc>
        <w:tc>
          <w:tcPr>
            <w:tcW w:w="324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12590BC" w14:textId="77777777" w:rsidR="008B0C32" w:rsidRDefault="008B0C32" w:rsidP="008B0C32">
            <w:pPr>
              <w:spacing w:after="0" w:line="240" w:lineRule="auto"/>
              <w:jc w:val="center"/>
              <w:rPr>
                <w:rFonts w:eastAsia="Times New Roman" w:cs="Calibri"/>
                <w:color w:val="000000"/>
              </w:rPr>
            </w:pPr>
            <w:r>
              <w:rPr>
                <w:rFonts w:eastAsia="Times New Roman" w:cs="Calibri"/>
                <w:color w:val="000000"/>
              </w:rPr>
              <w:t>3.9</w:t>
            </w:r>
          </w:p>
        </w:tc>
      </w:tr>
    </w:tbl>
    <w:p w14:paraId="32BD36BE" w14:textId="1FE9F270" w:rsidR="008B0C32" w:rsidRDefault="008B0C32" w:rsidP="001F58E1">
      <w:pPr>
        <w:jc w:val="both"/>
        <w:rPr>
          <w:rFonts w:cs="Calibri"/>
          <w:b/>
        </w:rPr>
      </w:pPr>
    </w:p>
    <w:p w14:paraId="6D067D3D" w14:textId="4FC2A45F" w:rsidR="008B0C32" w:rsidRDefault="008B0C32" w:rsidP="001F58E1">
      <w:pPr>
        <w:jc w:val="both"/>
        <w:rPr>
          <w:rFonts w:cs="Calibri"/>
          <w:b/>
        </w:rPr>
      </w:pPr>
    </w:p>
    <w:p w14:paraId="7928B3F0" w14:textId="3F6AB90E" w:rsidR="008B0C32" w:rsidRDefault="008B0C32" w:rsidP="001F58E1">
      <w:pPr>
        <w:jc w:val="both"/>
        <w:rPr>
          <w:rFonts w:cs="Calibri"/>
          <w:b/>
        </w:rPr>
      </w:pPr>
    </w:p>
    <w:p w14:paraId="7C4A1B55" w14:textId="0D1948E9" w:rsidR="008B0C32" w:rsidRDefault="008B0C32" w:rsidP="001F58E1">
      <w:pPr>
        <w:jc w:val="both"/>
        <w:rPr>
          <w:rFonts w:cs="Calibri"/>
          <w:b/>
        </w:rPr>
      </w:pPr>
    </w:p>
    <w:p w14:paraId="1E0EBFFB" w14:textId="285AA195" w:rsidR="008B0C32" w:rsidRDefault="008B0C32" w:rsidP="001F58E1">
      <w:pPr>
        <w:jc w:val="both"/>
        <w:rPr>
          <w:rFonts w:cs="Calibri"/>
          <w:b/>
        </w:rPr>
      </w:pPr>
    </w:p>
    <w:p w14:paraId="76A4A0A9" w14:textId="0735344E" w:rsidR="008B0C32" w:rsidRPr="007E400E" w:rsidRDefault="00CD4D71" w:rsidP="007E400E">
      <w:pPr>
        <w:pStyle w:val="Heading3"/>
        <w:spacing w:before="120" w:after="120" w:line="360" w:lineRule="auto"/>
        <w:rPr>
          <w:rFonts w:cstheme="minorHAnsi"/>
          <w:b w:val="0"/>
        </w:rPr>
      </w:pPr>
      <w:bookmarkStart w:id="133" w:name="_Toc62129171"/>
      <w:r w:rsidRPr="007E400E">
        <w:rPr>
          <w:rFonts w:asciiTheme="minorHAnsi" w:hAnsiTheme="minorHAnsi" w:cstheme="minorHAnsi"/>
        </w:rPr>
        <w:lastRenderedPageBreak/>
        <w:t xml:space="preserve">11.2.2: </w:t>
      </w:r>
      <w:r w:rsidR="008B0C32" w:rsidRPr="007E400E">
        <w:rPr>
          <w:rFonts w:asciiTheme="minorHAnsi" w:hAnsiTheme="minorHAnsi" w:cstheme="minorHAnsi"/>
        </w:rPr>
        <w:t>Group 1 and 2 combined</w:t>
      </w:r>
      <w:bookmarkEnd w:id="133"/>
    </w:p>
    <w:p w14:paraId="24B458ED" w14:textId="536A30BC" w:rsidR="008B0C32" w:rsidRPr="005D418D" w:rsidRDefault="008B0C32" w:rsidP="008B0C32">
      <w:pPr>
        <w:jc w:val="both"/>
        <w:rPr>
          <w:b/>
        </w:rPr>
      </w:pPr>
      <w:r>
        <w:rPr>
          <w:b/>
        </w:rPr>
        <w:t xml:space="preserve">Sample size for SARS-COV-2 </w:t>
      </w:r>
      <w:r w:rsidRPr="005D418D">
        <w:rPr>
          <w:b/>
        </w:rPr>
        <w:t>incidence based on change in prevalence</w:t>
      </w:r>
      <w:r w:rsidR="007C0517">
        <w:rPr>
          <w:b/>
        </w:rPr>
        <w:t xml:space="preserve"> </w:t>
      </w:r>
    </w:p>
    <w:p w14:paraId="35C4345F" w14:textId="6654B522" w:rsidR="008B0C32" w:rsidRDefault="008B0C32" w:rsidP="008B0C32">
      <w:pPr>
        <w:jc w:val="both"/>
      </w:pPr>
      <w:r>
        <w:t xml:space="preserve">Across group 1 and 2 combined there will </w:t>
      </w:r>
      <w:r w:rsidR="0072391B">
        <w:t xml:space="preserve">be </w:t>
      </w:r>
      <w:r w:rsidR="009F5951">
        <w:t xml:space="preserve">over 3500 </w:t>
      </w:r>
      <w:r w:rsidR="0072391B">
        <w:t xml:space="preserve">blood samples from </w:t>
      </w:r>
      <w:r w:rsidR="009F5951">
        <w:t>2800 to</w:t>
      </w:r>
      <w:r w:rsidR="0072391B">
        <w:t xml:space="preserve"> </w:t>
      </w:r>
      <w:r>
        <w:t xml:space="preserve">3500 participants in total, </w:t>
      </w:r>
      <w:r w:rsidR="0072391B">
        <w:t xml:space="preserve">at least </w:t>
      </w:r>
      <w:r>
        <w:t xml:space="preserve">3200 of </w:t>
      </w:r>
      <w:r w:rsidR="0072391B">
        <w:t xml:space="preserve">which </w:t>
      </w:r>
      <w:r>
        <w:t xml:space="preserve">will be </w:t>
      </w:r>
      <w:r w:rsidR="00AE0D02">
        <w:t xml:space="preserve">from participants </w:t>
      </w:r>
      <w:r>
        <w:t xml:space="preserve">19 years of age or younger. The intent of this is to </w:t>
      </w:r>
      <w:r w:rsidR="00AE0D02">
        <w:t xml:space="preserve">obtain </w:t>
      </w:r>
      <w:r>
        <w:t xml:space="preserve"> </w:t>
      </w:r>
      <w:r w:rsidR="240EF7F7">
        <w:t xml:space="preserve">blood samples </w:t>
      </w:r>
      <w:r w:rsidR="00AE0D02">
        <w:t>across</w:t>
      </w:r>
      <w:r>
        <w:t xml:space="preserve"> 4 age bands (i.e. 100 in each of 0 -4 years, 5-9 years, 10-14 years, 15-19 years)</w:t>
      </w:r>
      <w:r w:rsidR="006E56B4">
        <w:t>to the end of the study</w:t>
      </w:r>
      <w:r>
        <w:t>.</w:t>
      </w:r>
      <w:r w:rsidR="514E0592">
        <w:t xml:space="preserve"> This will include sample taken from the longitudinal cohort, with seroprevalence calculations taking into account </w:t>
      </w:r>
      <w:r w:rsidR="77E07D4B">
        <w:t>over-sampling of participants with positive SARS-Cov_2 antibodies at V1.</w:t>
      </w:r>
    </w:p>
    <w:p w14:paraId="6EC34FC4" w14:textId="79532218" w:rsidR="007C0517" w:rsidRDefault="008B0C32" w:rsidP="008B0C32">
      <w:pPr>
        <w:jc w:val="both"/>
      </w:pPr>
      <w:r>
        <w:t>The table below shows the precision (95% CI</w:t>
      </w:r>
      <w:r w:rsidR="007C0517">
        <w:t>)</w:t>
      </w:r>
      <w:r>
        <w:t xml:space="preserve"> of estimates of change in prevalence (incidence) with 100 samples at each of two time points. For example with a prevalence of 10% at baseline and 30% at the next time point the incidence is 20% with 95% CI 9.3-30.7.  The aim is to achieve 100 in each of 4 age groups at each time point.</w:t>
      </w:r>
    </w:p>
    <w:p w14:paraId="0D5C66C3" w14:textId="0598D684" w:rsidR="007C0517" w:rsidRDefault="007C0517" w:rsidP="008B0C32">
      <w:pPr>
        <w:jc w:val="both"/>
      </w:pPr>
      <w:r>
        <w:t>Table 5: Precision of estimates of change in prevalence with 100 samples at two time points.</w:t>
      </w:r>
    </w:p>
    <w:tbl>
      <w:tblPr>
        <w:tblpPr w:leftFromText="180" w:rightFromText="180" w:vertAnchor="text" w:horzAnchor="margin" w:tblpY="10"/>
        <w:tblW w:w="6692" w:type="dxa"/>
        <w:tblLook w:val="00A0" w:firstRow="1" w:lastRow="0" w:firstColumn="1" w:lastColumn="0" w:noHBand="0" w:noVBand="0"/>
      </w:tblPr>
      <w:tblGrid>
        <w:gridCol w:w="1580"/>
        <w:gridCol w:w="1704"/>
        <w:gridCol w:w="1704"/>
        <w:gridCol w:w="1704"/>
      </w:tblGrid>
      <w:tr w:rsidR="008C4959" w:rsidRPr="00D472A9" w14:paraId="7966AE1A" w14:textId="77777777" w:rsidTr="003A41ED">
        <w:trPr>
          <w:trHeight w:val="300"/>
        </w:trPr>
        <w:tc>
          <w:tcPr>
            <w:tcW w:w="1580" w:type="dxa"/>
            <w:tcBorders>
              <w:top w:val="single" w:sz="4" w:space="0" w:color="auto"/>
              <w:left w:val="nil"/>
              <w:bottom w:val="nil"/>
              <w:right w:val="nil"/>
            </w:tcBorders>
            <w:shd w:val="clear" w:color="auto" w:fill="D9D9D9"/>
            <w:noWrap/>
            <w:vAlign w:val="bottom"/>
          </w:tcPr>
          <w:p w14:paraId="5344E74B" w14:textId="77777777" w:rsidR="008C4959" w:rsidRPr="00D472A9" w:rsidRDefault="008C4959" w:rsidP="00BF5DCE">
            <w:pPr>
              <w:spacing w:after="0" w:line="360" w:lineRule="auto"/>
              <w:jc w:val="center"/>
              <w:rPr>
                <w:rFonts w:ascii="Calibri" w:eastAsia="Calibri" w:hAnsi="Calibri" w:cs="Calibri"/>
                <w:b/>
                <w:bCs/>
                <w:color w:val="000000"/>
                <w:lang w:val="en-US" w:eastAsia="en-US"/>
              </w:rPr>
            </w:pPr>
          </w:p>
        </w:tc>
        <w:tc>
          <w:tcPr>
            <w:tcW w:w="5112" w:type="dxa"/>
            <w:gridSpan w:val="3"/>
            <w:tcBorders>
              <w:top w:val="single" w:sz="4" w:space="0" w:color="auto"/>
              <w:left w:val="nil"/>
              <w:bottom w:val="nil"/>
              <w:right w:val="nil"/>
            </w:tcBorders>
            <w:shd w:val="clear" w:color="auto" w:fill="D9D9D9"/>
            <w:noWrap/>
            <w:vAlign w:val="bottom"/>
          </w:tcPr>
          <w:p w14:paraId="20B92254" w14:textId="6A0E7C7F" w:rsidR="008C4959" w:rsidRPr="00D472A9" w:rsidRDefault="008C4959" w:rsidP="008C4959">
            <w:pPr>
              <w:spacing w:after="0" w:line="360" w:lineRule="auto"/>
              <w:jc w:val="center"/>
              <w:rPr>
                <w:rFonts w:ascii="Calibri" w:eastAsia="Calibri" w:hAnsi="Calibri" w:cs="Calibri"/>
                <w:b/>
                <w:bCs/>
                <w:color w:val="000000"/>
                <w:lang w:val="en-US" w:eastAsia="en-US"/>
              </w:rPr>
            </w:pPr>
            <w:r>
              <w:rPr>
                <w:rFonts w:ascii="Calibri" w:eastAsia="Calibri" w:hAnsi="Calibri" w:cs="Calibri"/>
                <w:b/>
                <w:bCs/>
                <w:color w:val="000000"/>
                <w:lang w:val="en-US" w:eastAsia="en-US"/>
              </w:rPr>
              <w:t>baseline</w:t>
            </w:r>
            <w:r w:rsidRPr="00D472A9">
              <w:rPr>
                <w:rFonts w:ascii="Calibri" w:eastAsia="Calibri" w:hAnsi="Calibri" w:cs="Calibri"/>
                <w:b/>
                <w:bCs/>
                <w:color w:val="000000"/>
                <w:lang w:val="en-US" w:eastAsia="en-US"/>
              </w:rPr>
              <w:t xml:space="preserve"> prevalence</w:t>
            </w:r>
          </w:p>
        </w:tc>
      </w:tr>
      <w:tr w:rsidR="008B0C32" w:rsidRPr="00D472A9" w14:paraId="78EBE878" w14:textId="77777777" w:rsidTr="00BF5DCE">
        <w:trPr>
          <w:trHeight w:val="300"/>
        </w:trPr>
        <w:tc>
          <w:tcPr>
            <w:tcW w:w="1580" w:type="dxa"/>
            <w:tcBorders>
              <w:top w:val="nil"/>
              <w:left w:val="nil"/>
              <w:bottom w:val="single" w:sz="4" w:space="0" w:color="auto"/>
              <w:right w:val="nil"/>
            </w:tcBorders>
            <w:shd w:val="clear" w:color="auto" w:fill="D9D9D9"/>
            <w:noWrap/>
            <w:vAlign w:val="bottom"/>
          </w:tcPr>
          <w:p w14:paraId="7332277C" w14:textId="77777777" w:rsidR="008B0C32"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Prevalence</w:t>
            </w:r>
          </w:p>
          <w:p w14:paraId="6621AC9E"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Pr>
                <w:rFonts w:ascii="Calibri" w:eastAsia="Calibri" w:hAnsi="Calibri" w:cs="Calibri"/>
                <w:b/>
                <w:bCs/>
                <w:color w:val="000000"/>
                <w:lang w:val="en-US" w:eastAsia="en-US"/>
              </w:rPr>
              <w:t>At next time point</w:t>
            </w:r>
          </w:p>
        </w:tc>
        <w:tc>
          <w:tcPr>
            <w:tcW w:w="1704" w:type="dxa"/>
            <w:tcBorders>
              <w:top w:val="nil"/>
              <w:left w:val="nil"/>
              <w:bottom w:val="single" w:sz="4" w:space="0" w:color="auto"/>
              <w:right w:val="nil"/>
            </w:tcBorders>
            <w:shd w:val="clear" w:color="auto" w:fill="D9D9D9"/>
            <w:noWrap/>
            <w:vAlign w:val="bottom"/>
          </w:tcPr>
          <w:p w14:paraId="34E80AE2"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0%</w:t>
            </w:r>
          </w:p>
        </w:tc>
        <w:tc>
          <w:tcPr>
            <w:tcW w:w="1704" w:type="dxa"/>
            <w:tcBorders>
              <w:top w:val="nil"/>
              <w:left w:val="nil"/>
              <w:bottom w:val="single" w:sz="4" w:space="0" w:color="auto"/>
              <w:right w:val="nil"/>
            </w:tcBorders>
            <w:shd w:val="clear" w:color="auto" w:fill="D9D9D9"/>
            <w:noWrap/>
            <w:vAlign w:val="bottom"/>
          </w:tcPr>
          <w:p w14:paraId="44F63FA4"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10%</w:t>
            </w:r>
          </w:p>
        </w:tc>
        <w:tc>
          <w:tcPr>
            <w:tcW w:w="1704" w:type="dxa"/>
            <w:tcBorders>
              <w:top w:val="nil"/>
              <w:left w:val="nil"/>
              <w:bottom w:val="single" w:sz="4" w:space="0" w:color="auto"/>
              <w:right w:val="nil"/>
            </w:tcBorders>
            <w:shd w:val="clear" w:color="auto" w:fill="D9D9D9"/>
            <w:noWrap/>
            <w:vAlign w:val="bottom"/>
          </w:tcPr>
          <w:p w14:paraId="35F4519E"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20%</w:t>
            </w:r>
          </w:p>
        </w:tc>
      </w:tr>
      <w:tr w:rsidR="008B0C32" w:rsidRPr="00D472A9" w14:paraId="3235255F" w14:textId="77777777" w:rsidTr="00BF5DCE">
        <w:trPr>
          <w:trHeight w:val="300"/>
        </w:trPr>
        <w:tc>
          <w:tcPr>
            <w:tcW w:w="1580" w:type="dxa"/>
            <w:tcBorders>
              <w:top w:val="nil"/>
              <w:left w:val="nil"/>
              <w:bottom w:val="nil"/>
              <w:right w:val="nil"/>
            </w:tcBorders>
            <w:shd w:val="clear" w:color="auto" w:fill="D9D9D9"/>
            <w:noWrap/>
            <w:vAlign w:val="bottom"/>
          </w:tcPr>
          <w:p w14:paraId="0D424E24"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10%</w:t>
            </w:r>
          </w:p>
        </w:tc>
        <w:tc>
          <w:tcPr>
            <w:tcW w:w="1704" w:type="dxa"/>
            <w:tcBorders>
              <w:top w:val="nil"/>
              <w:left w:val="nil"/>
              <w:bottom w:val="nil"/>
              <w:right w:val="nil"/>
            </w:tcBorders>
            <w:noWrap/>
            <w:vAlign w:val="bottom"/>
          </w:tcPr>
          <w:p w14:paraId="43BC6902"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10 (4.1, 15.9)</w:t>
            </w:r>
          </w:p>
        </w:tc>
        <w:tc>
          <w:tcPr>
            <w:tcW w:w="1704" w:type="dxa"/>
            <w:tcBorders>
              <w:top w:val="nil"/>
              <w:left w:val="nil"/>
              <w:bottom w:val="nil"/>
              <w:right w:val="nil"/>
            </w:tcBorders>
            <w:shd w:val="clear" w:color="000000" w:fill="D8D8D8"/>
            <w:noWrap/>
            <w:vAlign w:val="bottom"/>
          </w:tcPr>
          <w:p w14:paraId="2E1558D4" w14:textId="77777777" w:rsidR="008B0C32" w:rsidRPr="00D472A9" w:rsidRDefault="008B0C32" w:rsidP="00BF5DCE">
            <w:pPr>
              <w:spacing w:after="0" w:line="360" w:lineRule="auto"/>
              <w:jc w:val="center"/>
              <w:rPr>
                <w:rFonts w:ascii="Calibri" w:eastAsia="Calibri" w:hAnsi="Calibri" w:cs="Calibri"/>
                <w:color w:val="000000"/>
                <w:lang w:val="en-US" w:eastAsia="en-US"/>
              </w:rPr>
            </w:pPr>
            <w:r w:rsidRPr="00D472A9">
              <w:rPr>
                <w:rFonts w:ascii="Calibri" w:eastAsia="Calibri" w:hAnsi="Calibri" w:cs="Calibri"/>
                <w:color w:val="000000"/>
                <w:lang w:val="en-US" w:eastAsia="en-US"/>
              </w:rPr>
              <w:t> </w:t>
            </w:r>
          </w:p>
        </w:tc>
        <w:tc>
          <w:tcPr>
            <w:tcW w:w="1704" w:type="dxa"/>
            <w:tcBorders>
              <w:top w:val="nil"/>
              <w:left w:val="nil"/>
              <w:bottom w:val="nil"/>
              <w:right w:val="nil"/>
            </w:tcBorders>
            <w:shd w:val="clear" w:color="000000" w:fill="D8D8D8"/>
            <w:noWrap/>
            <w:vAlign w:val="bottom"/>
          </w:tcPr>
          <w:p w14:paraId="03FD9476" w14:textId="77777777" w:rsidR="008B0C32" w:rsidRPr="00D472A9" w:rsidRDefault="008B0C32" w:rsidP="00BF5DCE">
            <w:pPr>
              <w:spacing w:after="0" w:line="360" w:lineRule="auto"/>
              <w:jc w:val="center"/>
              <w:rPr>
                <w:rFonts w:ascii="Calibri" w:eastAsia="Calibri" w:hAnsi="Calibri" w:cs="Calibri"/>
                <w:color w:val="000000"/>
                <w:lang w:val="en-US" w:eastAsia="en-US"/>
              </w:rPr>
            </w:pPr>
            <w:r w:rsidRPr="00D472A9">
              <w:rPr>
                <w:rFonts w:ascii="Calibri" w:eastAsia="Calibri" w:hAnsi="Calibri" w:cs="Calibri"/>
                <w:color w:val="000000"/>
                <w:lang w:val="en-US" w:eastAsia="en-US"/>
              </w:rPr>
              <w:t> </w:t>
            </w:r>
          </w:p>
        </w:tc>
      </w:tr>
      <w:tr w:rsidR="008B0C32" w:rsidRPr="00D472A9" w14:paraId="1B57AEB1" w14:textId="77777777" w:rsidTr="00BF5DCE">
        <w:trPr>
          <w:trHeight w:val="300"/>
        </w:trPr>
        <w:tc>
          <w:tcPr>
            <w:tcW w:w="1580" w:type="dxa"/>
            <w:tcBorders>
              <w:top w:val="nil"/>
              <w:left w:val="nil"/>
              <w:bottom w:val="nil"/>
              <w:right w:val="nil"/>
            </w:tcBorders>
            <w:shd w:val="clear" w:color="auto" w:fill="D9D9D9"/>
            <w:noWrap/>
            <w:vAlign w:val="bottom"/>
          </w:tcPr>
          <w:p w14:paraId="3BE77153"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20%</w:t>
            </w:r>
          </w:p>
        </w:tc>
        <w:tc>
          <w:tcPr>
            <w:tcW w:w="1704" w:type="dxa"/>
            <w:tcBorders>
              <w:top w:val="nil"/>
              <w:left w:val="nil"/>
              <w:bottom w:val="nil"/>
              <w:right w:val="nil"/>
            </w:tcBorders>
            <w:noWrap/>
            <w:vAlign w:val="bottom"/>
          </w:tcPr>
          <w:p w14:paraId="38F33F64"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20 (12.2, 27.8)</w:t>
            </w:r>
          </w:p>
        </w:tc>
        <w:tc>
          <w:tcPr>
            <w:tcW w:w="1704" w:type="dxa"/>
            <w:tcBorders>
              <w:top w:val="nil"/>
              <w:left w:val="nil"/>
              <w:bottom w:val="nil"/>
              <w:right w:val="nil"/>
            </w:tcBorders>
            <w:noWrap/>
            <w:vAlign w:val="bottom"/>
          </w:tcPr>
          <w:p w14:paraId="66D3A8AE"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10 (0.2, 19.8)</w:t>
            </w:r>
          </w:p>
        </w:tc>
        <w:tc>
          <w:tcPr>
            <w:tcW w:w="1704" w:type="dxa"/>
            <w:tcBorders>
              <w:top w:val="nil"/>
              <w:left w:val="nil"/>
              <w:bottom w:val="nil"/>
              <w:right w:val="nil"/>
            </w:tcBorders>
            <w:shd w:val="clear" w:color="000000" w:fill="D8D8D8"/>
            <w:noWrap/>
            <w:vAlign w:val="bottom"/>
          </w:tcPr>
          <w:p w14:paraId="60FB14BE"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 </w:t>
            </w:r>
          </w:p>
        </w:tc>
      </w:tr>
      <w:tr w:rsidR="008B0C32" w:rsidRPr="00D472A9" w14:paraId="167A07DA" w14:textId="77777777" w:rsidTr="00BF5DCE">
        <w:trPr>
          <w:trHeight w:val="300"/>
        </w:trPr>
        <w:tc>
          <w:tcPr>
            <w:tcW w:w="1580" w:type="dxa"/>
            <w:tcBorders>
              <w:top w:val="nil"/>
              <w:left w:val="nil"/>
              <w:bottom w:val="nil"/>
              <w:right w:val="nil"/>
            </w:tcBorders>
            <w:shd w:val="clear" w:color="auto" w:fill="D9D9D9"/>
            <w:noWrap/>
            <w:vAlign w:val="bottom"/>
          </w:tcPr>
          <w:p w14:paraId="0DD584D6"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30%</w:t>
            </w:r>
          </w:p>
        </w:tc>
        <w:tc>
          <w:tcPr>
            <w:tcW w:w="1704" w:type="dxa"/>
            <w:tcBorders>
              <w:top w:val="nil"/>
              <w:left w:val="nil"/>
              <w:bottom w:val="nil"/>
              <w:right w:val="nil"/>
            </w:tcBorders>
            <w:noWrap/>
            <w:vAlign w:val="bottom"/>
          </w:tcPr>
          <w:p w14:paraId="5355B2A0"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30 (21.0, 39.0)</w:t>
            </w:r>
          </w:p>
        </w:tc>
        <w:tc>
          <w:tcPr>
            <w:tcW w:w="1704" w:type="dxa"/>
            <w:tcBorders>
              <w:top w:val="nil"/>
              <w:left w:val="nil"/>
              <w:bottom w:val="nil"/>
              <w:right w:val="nil"/>
            </w:tcBorders>
            <w:noWrap/>
            <w:vAlign w:val="bottom"/>
          </w:tcPr>
          <w:p w14:paraId="19B27666"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20 (9.3, 30.7)</w:t>
            </w:r>
          </w:p>
        </w:tc>
        <w:tc>
          <w:tcPr>
            <w:tcW w:w="1704" w:type="dxa"/>
            <w:tcBorders>
              <w:top w:val="nil"/>
              <w:left w:val="nil"/>
              <w:bottom w:val="nil"/>
              <w:right w:val="nil"/>
            </w:tcBorders>
            <w:noWrap/>
            <w:vAlign w:val="bottom"/>
          </w:tcPr>
          <w:p w14:paraId="6E74EB76"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10 (0.0, 21.9)</w:t>
            </w:r>
          </w:p>
        </w:tc>
      </w:tr>
      <w:tr w:rsidR="008B0C32" w:rsidRPr="00D472A9" w14:paraId="77C4826F" w14:textId="77777777" w:rsidTr="00BF5DCE">
        <w:trPr>
          <w:trHeight w:val="300"/>
        </w:trPr>
        <w:tc>
          <w:tcPr>
            <w:tcW w:w="1580" w:type="dxa"/>
            <w:tcBorders>
              <w:top w:val="nil"/>
              <w:left w:val="nil"/>
              <w:bottom w:val="nil"/>
              <w:right w:val="nil"/>
            </w:tcBorders>
            <w:shd w:val="clear" w:color="auto" w:fill="D9D9D9"/>
            <w:noWrap/>
            <w:vAlign w:val="bottom"/>
          </w:tcPr>
          <w:p w14:paraId="628C04F1"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40%</w:t>
            </w:r>
          </w:p>
        </w:tc>
        <w:tc>
          <w:tcPr>
            <w:tcW w:w="1704" w:type="dxa"/>
            <w:tcBorders>
              <w:top w:val="nil"/>
              <w:left w:val="nil"/>
              <w:bottom w:val="nil"/>
              <w:right w:val="nil"/>
            </w:tcBorders>
            <w:noWrap/>
            <w:vAlign w:val="bottom"/>
          </w:tcPr>
          <w:p w14:paraId="30A68E15"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40 (30.4, 49.6)</w:t>
            </w:r>
          </w:p>
        </w:tc>
        <w:tc>
          <w:tcPr>
            <w:tcW w:w="1704" w:type="dxa"/>
            <w:tcBorders>
              <w:top w:val="nil"/>
              <w:left w:val="nil"/>
              <w:bottom w:val="nil"/>
              <w:right w:val="nil"/>
            </w:tcBorders>
            <w:noWrap/>
            <w:vAlign w:val="bottom"/>
          </w:tcPr>
          <w:p w14:paraId="00A59120"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30 (18.7, 41.3)</w:t>
            </w:r>
          </w:p>
        </w:tc>
        <w:tc>
          <w:tcPr>
            <w:tcW w:w="1704" w:type="dxa"/>
            <w:tcBorders>
              <w:top w:val="nil"/>
              <w:left w:val="nil"/>
              <w:bottom w:val="nil"/>
              <w:right w:val="nil"/>
            </w:tcBorders>
            <w:noWrap/>
            <w:vAlign w:val="bottom"/>
          </w:tcPr>
          <w:p w14:paraId="6ABD35C4"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20 (7.6, 32.4)</w:t>
            </w:r>
          </w:p>
        </w:tc>
      </w:tr>
      <w:tr w:rsidR="008B0C32" w:rsidRPr="00D472A9" w14:paraId="6C8B121C" w14:textId="77777777" w:rsidTr="00BF5DCE">
        <w:trPr>
          <w:trHeight w:val="300"/>
        </w:trPr>
        <w:tc>
          <w:tcPr>
            <w:tcW w:w="1580" w:type="dxa"/>
            <w:tcBorders>
              <w:top w:val="nil"/>
              <w:left w:val="nil"/>
              <w:bottom w:val="nil"/>
              <w:right w:val="nil"/>
            </w:tcBorders>
            <w:shd w:val="clear" w:color="auto" w:fill="D9D9D9"/>
            <w:noWrap/>
            <w:vAlign w:val="bottom"/>
          </w:tcPr>
          <w:p w14:paraId="48CCC6A6"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50%</w:t>
            </w:r>
          </w:p>
        </w:tc>
        <w:tc>
          <w:tcPr>
            <w:tcW w:w="1704" w:type="dxa"/>
            <w:tcBorders>
              <w:top w:val="nil"/>
              <w:left w:val="nil"/>
              <w:bottom w:val="nil"/>
              <w:right w:val="nil"/>
            </w:tcBorders>
            <w:noWrap/>
            <w:vAlign w:val="bottom"/>
          </w:tcPr>
          <w:p w14:paraId="72ED9E8D"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50 (40.2, 59.8)</w:t>
            </w:r>
          </w:p>
        </w:tc>
        <w:tc>
          <w:tcPr>
            <w:tcW w:w="1704" w:type="dxa"/>
            <w:tcBorders>
              <w:top w:val="nil"/>
              <w:left w:val="nil"/>
              <w:bottom w:val="nil"/>
              <w:right w:val="nil"/>
            </w:tcBorders>
            <w:noWrap/>
            <w:vAlign w:val="bottom"/>
          </w:tcPr>
          <w:p w14:paraId="20E875AB"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40 (28.6, 51.4)</w:t>
            </w:r>
          </w:p>
        </w:tc>
        <w:tc>
          <w:tcPr>
            <w:tcW w:w="1704" w:type="dxa"/>
            <w:tcBorders>
              <w:top w:val="nil"/>
              <w:left w:val="nil"/>
              <w:bottom w:val="nil"/>
              <w:right w:val="nil"/>
            </w:tcBorders>
            <w:noWrap/>
            <w:vAlign w:val="bottom"/>
          </w:tcPr>
          <w:p w14:paraId="10F6F113"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30 (17.4, 42.6)</w:t>
            </w:r>
          </w:p>
        </w:tc>
      </w:tr>
      <w:tr w:rsidR="008B0C32" w:rsidRPr="00D472A9" w14:paraId="7640A615" w14:textId="77777777" w:rsidTr="00BF5DCE">
        <w:trPr>
          <w:trHeight w:val="300"/>
        </w:trPr>
        <w:tc>
          <w:tcPr>
            <w:tcW w:w="1580" w:type="dxa"/>
            <w:tcBorders>
              <w:top w:val="nil"/>
              <w:left w:val="nil"/>
              <w:bottom w:val="nil"/>
              <w:right w:val="nil"/>
            </w:tcBorders>
            <w:shd w:val="clear" w:color="auto" w:fill="D9D9D9"/>
            <w:noWrap/>
            <w:vAlign w:val="bottom"/>
          </w:tcPr>
          <w:p w14:paraId="2E429C75"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60%</w:t>
            </w:r>
          </w:p>
        </w:tc>
        <w:tc>
          <w:tcPr>
            <w:tcW w:w="1704" w:type="dxa"/>
            <w:tcBorders>
              <w:top w:val="nil"/>
              <w:left w:val="nil"/>
              <w:bottom w:val="nil"/>
              <w:right w:val="nil"/>
            </w:tcBorders>
            <w:noWrap/>
            <w:vAlign w:val="bottom"/>
          </w:tcPr>
          <w:p w14:paraId="4C78F7B7"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60 (50.4, 69.6)</w:t>
            </w:r>
          </w:p>
        </w:tc>
        <w:tc>
          <w:tcPr>
            <w:tcW w:w="1704" w:type="dxa"/>
            <w:tcBorders>
              <w:top w:val="nil"/>
              <w:left w:val="nil"/>
              <w:bottom w:val="nil"/>
              <w:right w:val="nil"/>
            </w:tcBorders>
            <w:noWrap/>
            <w:vAlign w:val="bottom"/>
          </w:tcPr>
          <w:p w14:paraId="57C3FEB2"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50 (38.7, 61.3)</w:t>
            </w:r>
          </w:p>
        </w:tc>
        <w:tc>
          <w:tcPr>
            <w:tcW w:w="1704" w:type="dxa"/>
            <w:tcBorders>
              <w:top w:val="nil"/>
              <w:left w:val="nil"/>
              <w:bottom w:val="nil"/>
              <w:right w:val="nil"/>
            </w:tcBorders>
            <w:noWrap/>
            <w:vAlign w:val="bottom"/>
          </w:tcPr>
          <w:p w14:paraId="150EDCFE"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40 (27.6, 52.4)</w:t>
            </w:r>
          </w:p>
        </w:tc>
      </w:tr>
      <w:tr w:rsidR="008B0C32" w:rsidRPr="00D472A9" w14:paraId="14944308" w14:textId="77777777" w:rsidTr="00BF5DCE">
        <w:trPr>
          <w:trHeight w:val="300"/>
        </w:trPr>
        <w:tc>
          <w:tcPr>
            <w:tcW w:w="1580" w:type="dxa"/>
            <w:tcBorders>
              <w:top w:val="nil"/>
              <w:left w:val="nil"/>
              <w:bottom w:val="single" w:sz="4" w:space="0" w:color="auto"/>
              <w:right w:val="nil"/>
            </w:tcBorders>
            <w:shd w:val="clear" w:color="auto" w:fill="D9D9D9"/>
            <w:noWrap/>
            <w:vAlign w:val="bottom"/>
          </w:tcPr>
          <w:p w14:paraId="29305B1B" w14:textId="77777777" w:rsidR="008B0C32" w:rsidRPr="00D472A9" w:rsidRDefault="008B0C32" w:rsidP="00BF5DCE">
            <w:pPr>
              <w:spacing w:after="0" w:line="360" w:lineRule="auto"/>
              <w:jc w:val="center"/>
              <w:rPr>
                <w:rFonts w:ascii="Calibri" w:eastAsia="Calibri" w:hAnsi="Calibri" w:cs="Calibri"/>
                <w:b/>
                <w:bCs/>
                <w:color w:val="000000"/>
                <w:lang w:val="en-US" w:eastAsia="en-US"/>
              </w:rPr>
            </w:pPr>
            <w:r w:rsidRPr="00D472A9">
              <w:rPr>
                <w:rFonts w:ascii="Calibri" w:eastAsia="Calibri" w:hAnsi="Calibri" w:cs="Calibri"/>
                <w:b/>
                <w:bCs/>
                <w:color w:val="000000"/>
                <w:lang w:val="en-US" w:eastAsia="en-US"/>
              </w:rPr>
              <w:t>70%</w:t>
            </w:r>
          </w:p>
        </w:tc>
        <w:tc>
          <w:tcPr>
            <w:tcW w:w="1704" w:type="dxa"/>
            <w:tcBorders>
              <w:top w:val="nil"/>
              <w:left w:val="nil"/>
              <w:bottom w:val="single" w:sz="4" w:space="0" w:color="auto"/>
              <w:right w:val="nil"/>
            </w:tcBorders>
            <w:noWrap/>
            <w:vAlign w:val="bottom"/>
          </w:tcPr>
          <w:p w14:paraId="3F23EECE"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70 (61.0, 79.0)</w:t>
            </w:r>
          </w:p>
        </w:tc>
        <w:tc>
          <w:tcPr>
            <w:tcW w:w="1704" w:type="dxa"/>
            <w:tcBorders>
              <w:top w:val="nil"/>
              <w:left w:val="nil"/>
              <w:bottom w:val="single" w:sz="4" w:space="0" w:color="auto"/>
              <w:right w:val="nil"/>
            </w:tcBorders>
            <w:noWrap/>
            <w:vAlign w:val="bottom"/>
          </w:tcPr>
          <w:p w14:paraId="608D2010"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60 (49.3, 70.7)</w:t>
            </w:r>
          </w:p>
        </w:tc>
        <w:tc>
          <w:tcPr>
            <w:tcW w:w="1704" w:type="dxa"/>
            <w:tcBorders>
              <w:top w:val="nil"/>
              <w:left w:val="nil"/>
              <w:bottom w:val="single" w:sz="4" w:space="0" w:color="auto"/>
              <w:right w:val="nil"/>
            </w:tcBorders>
            <w:noWrap/>
            <w:vAlign w:val="bottom"/>
          </w:tcPr>
          <w:p w14:paraId="2113EDBE" w14:textId="77777777" w:rsidR="008B0C32" w:rsidRPr="00D472A9" w:rsidRDefault="008B0C32" w:rsidP="00BF5DCE">
            <w:pPr>
              <w:spacing w:after="0" w:line="360" w:lineRule="auto"/>
              <w:rPr>
                <w:rFonts w:ascii="Calibri" w:eastAsia="Calibri" w:hAnsi="Calibri" w:cs="Calibri"/>
                <w:color w:val="000000"/>
                <w:lang w:val="en-US" w:eastAsia="en-US"/>
              </w:rPr>
            </w:pPr>
            <w:r w:rsidRPr="00D472A9">
              <w:rPr>
                <w:rFonts w:ascii="Calibri" w:eastAsia="Calibri" w:hAnsi="Calibri" w:cs="Calibri"/>
                <w:color w:val="000000"/>
                <w:lang w:val="en-US" w:eastAsia="en-US"/>
              </w:rPr>
              <w:t>50 (38.1, 61.9)</w:t>
            </w:r>
          </w:p>
        </w:tc>
      </w:tr>
    </w:tbl>
    <w:p w14:paraId="0DD55B7E" w14:textId="5CEAA185" w:rsidR="00E13D7F" w:rsidRPr="005348CB" w:rsidRDefault="00E13D7F" w:rsidP="001F58E1">
      <w:pPr>
        <w:jc w:val="both"/>
        <w:rPr>
          <w:rFonts w:cs="Calibri"/>
          <w:bCs/>
        </w:rPr>
      </w:pPr>
    </w:p>
    <w:p w14:paraId="23B8E84F" w14:textId="77777777" w:rsidR="001F0901" w:rsidRDefault="001F0901" w:rsidP="001F0901">
      <w:pPr>
        <w:pStyle w:val="Heading2"/>
      </w:pPr>
      <w:bookmarkStart w:id="134" w:name="_Toc32432145"/>
      <w:bookmarkStart w:id="135" w:name="_Toc62129172"/>
      <w:r w:rsidRPr="009E1297">
        <w:t xml:space="preserve">Analysis </w:t>
      </w:r>
      <w:r>
        <w:t>populations</w:t>
      </w:r>
      <w:bookmarkEnd w:id="134"/>
      <w:bookmarkEnd w:id="135"/>
    </w:p>
    <w:p w14:paraId="07B4D52D" w14:textId="77777777" w:rsidR="001F0901" w:rsidRPr="009D78EF" w:rsidRDefault="001F0901" w:rsidP="001F58E1">
      <w:pPr>
        <w:jc w:val="both"/>
      </w:pPr>
      <w:r>
        <w:t>The analysis population for recruitment rates will be all individuals invited, for representativeness will be all individuals providing a sample and for seroprevalence will all individuals providing a sample for which a laboratory result is obtained.</w:t>
      </w:r>
    </w:p>
    <w:p w14:paraId="4209798C" w14:textId="022CE516" w:rsidR="006E56B4" w:rsidRDefault="006E56B4" w:rsidP="001F0901">
      <w:pPr>
        <w:pStyle w:val="Heading2"/>
        <w:jc w:val="both"/>
      </w:pPr>
      <w:bookmarkStart w:id="136" w:name="_Toc62129173"/>
      <w:bookmarkStart w:id="137" w:name="_Toc32432146"/>
      <w:r>
        <w:t>Group 3</w:t>
      </w:r>
      <w:bookmarkEnd w:id="136"/>
    </w:p>
    <w:p w14:paraId="0F5D2C46" w14:textId="6841D2B2" w:rsidR="006E56B4" w:rsidRPr="006E56B4" w:rsidRDefault="006E56B4" w:rsidP="006E56B4">
      <w:pPr>
        <w:jc w:val="both"/>
        <w:rPr>
          <w:rFonts w:ascii="Times New Roman" w:eastAsia="Times New Roman" w:hAnsi="Times New Roman" w:cs="Times New Roman"/>
          <w:sz w:val="24"/>
          <w:szCs w:val="24"/>
        </w:rPr>
      </w:pPr>
      <w:r w:rsidRPr="6D495755">
        <w:rPr>
          <w:color w:val="000000" w:themeColor="text1"/>
        </w:rPr>
        <w:t xml:space="preserve">Following discussions with Public Health England the suggested sample size would be 300 participants, with at least 100 from the Black/ African/ Caribbean/Black British community. This is based on preliminary data suggesting rates of seropositivity in adult males identifying as BAME are double that of the white community, and in those identifying as </w:t>
      </w:r>
      <w:r w:rsidRPr="6D495755">
        <w:rPr>
          <w:rFonts w:ascii="Calibri" w:eastAsia="Times New Roman" w:hAnsi="Calibri" w:cs="Calibri"/>
          <w:color w:val="000000" w:themeColor="text1"/>
        </w:rPr>
        <w:t>Black/ African/ Caribbean/Black British</w:t>
      </w:r>
      <w:r w:rsidRPr="6D495755">
        <w:rPr>
          <w:color w:val="000000" w:themeColor="text1"/>
        </w:rPr>
        <w:t xml:space="preserve"> are 3 fold higher. Based on these proportions, and an estimate of 4% seropositivity in the white community, the above numbers would provide 80% power to detect similar differences in the paediatric populations.</w:t>
      </w:r>
    </w:p>
    <w:p w14:paraId="3F62D4D9" w14:textId="551281C6" w:rsidR="001F0901" w:rsidRPr="00743E6D" w:rsidRDefault="001F0901" w:rsidP="001F0901">
      <w:pPr>
        <w:pStyle w:val="Heading2"/>
        <w:jc w:val="both"/>
      </w:pPr>
      <w:bookmarkStart w:id="138" w:name="_Toc62129174"/>
      <w:r w:rsidRPr="00743E6D">
        <w:t>The Level of Statistical Significance</w:t>
      </w:r>
      <w:bookmarkEnd w:id="137"/>
      <w:bookmarkEnd w:id="138"/>
    </w:p>
    <w:p w14:paraId="4D8C56D5" w14:textId="77777777" w:rsidR="001F0901" w:rsidRDefault="001F0901" w:rsidP="001F58E1">
      <w:pPr>
        <w:jc w:val="both"/>
      </w:pPr>
      <w:r>
        <w:t>5% and 95% confidence intervals will be reported. For comparison across individual age bands for seroprevalence differences will be inferred based on non-overlapping 95% confidence intervals.</w:t>
      </w:r>
    </w:p>
    <w:p w14:paraId="1BEC0698" w14:textId="77777777" w:rsidR="001F0901" w:rsidRPr="00743E6D" w:rsidRDefault="001F0901" w:rsidP="001F0901">
      <w:pPr>
        <w:pStyle w:val="Heading2"/>
        <w:jc w:val="both"/>
      </w:pPr>
      <w:bookmarkStart w:id="139" w:name="_Toc32432147"/>
      <w:bookmarkStart w:id="140" w:name="_Toc62129175"/>
      <w:r w:rsidRPr="00743E6D">
        <w:lastRenderedPageBreak/>
        <w:t>Procedure for Accounting for Missing, Unused, and Spurious Data.</w:t>
      </w:r>
      <w:bookmarkEnd w:id="139"/>
      <w:bookmarkEnd w:id="140"/>
    </w:p>
    <w:p w14:paraId="48C5A732" w14:textId="77777777" w:rsidR="001F0901" w:rsidRPr="0085394C" w:rsidRDefault="001F0901" w:rsidP="001F0901">
      <w:pPr>
        <w:jc w:val="both"/>
      </w:pPr>
      <w:r w:rsidRPr="0085394C">
        <w:t xml:space="preserve">The reason for missing data (consent withdrawn or unable to obtain any laboratory results) will be indicated. Missing data will not be imputed. </w:t>
      </w:r>
    </w:p>
    <w:p w14:paraId="61AC08EC" w14:textId="77777777" w:rsidR="001F0901" w:rsidRPr="00743E6D" w:rsidRDefault="001F0901" w:rsidP="001F0901">
      <w:pPr>
        <w:pStyle w:val="Heading2"/>
        <w:jc w:val="both"/>
      </w:pPr>
      <w:bookmarkStart w:id="141" w:name="_Toc32432148"/>
      <w:bookmarkStart w:id="142" w:name="_Toc62129176"/>
      <w:r w:rsidRPr="00743E6D">
        <w:t>Procedures for Reporting any Deviation(s) from the Original Statistical Plan</w:t>
      </w:r>
      <w:bookmarkEnd w:id="141"/>
      <w:bookmarkEnd w:id="142"/>
    </w:p>
    <w:p w14:paraId="24DD28CB" w14:textId="47CBDEED" w:rsidR="006B7B71" w:rsidRDefault="001F0901" w:rsidP="001F58E1">
      <w:pPr>
        <w:jc w:val="both"/>
      </w:pPr>
      <w:r>
        <w:t xml:space="preserve">If there are any changes after finalisation of the analysis plan that would be documented and justified in the analysis plan.  </w:t>
      </w:r>
    </w:p>
    <w:p w14:paraId="6F038919" w14:textId="69798278" w:rsidR="007E3D66" w:rsidRDefault="007E3D66" w:rsidP="001F58E1">
      <w:pPr>
        <w:pStyle w:val="Heading1"/>
        <w:spacing w:before="0"/>
      </w:pPr>
      <w:bookmarkStart w:id="143" w:name="_Toc517942680"/>
      <w:bookmarkStart w:id="144" w:name="_Toc517966588"/>
      <w:bookmarkStart w:id="145" w:name="_Toc517966743"/>
      <w:bookmarkStart w:id="146" w:name="_Toc517967024"/>
      <w:bookmarkStart w:id="147" w:name="_Toc517967128"/>
      <w:bookmarkStart w:id="148" w:name="_Toc517966744"/>
      <w:bookmarkStart w:id="149" w:name="_Toc517967025"/>
      <w:bookmarkStart w:id="150" w:name="_Toc517967129"/>
      <w:bookmarkStart w:id="151" w:name="_Toc517942685"/>
      <w:bookmarkStart w:id="152" w:name="_Toc517966593"/>
      <w:bookmarkStart w:id="153" w:name="_Toc517966748"/>
      <w:bookmarkStart w:id="154" w:name="_Toc517967029"/>
      <w:bookmarkStart w:id="155" w:name="_Toc517967133"/>
      <w:bookmarkStart w:id="156" w:name="_Toc508089402"/>
      <w:bookmarkStart w:id="157" w:name="_Toc508089531"/>
      <w:bookmarkStart w:id="158" w:name="_Toc508266914"/>
      <w:bookmarkStart w:id="159" w:name="_Toc508283356"/>
      <w:bookmarkStart w:id="160" w:name="_Toc508350782"/>
      <w:bookmarkStart w:id="161" w:name="_Toc508350887"/>
      <w:bookmarkStart w:id="162" w:name="_Toc512247676"/>
      <w:bookmarkStart w:id="163" w:name="_Toc512248105"/>
      <w:bookmarkStart w:id="164" w:name="_Toc508089403"/>
      <w:bookmarkStart w:id="165" w:name="_Toc508089532"/>
      <w:bookmarkStart w:id="166" w:name="_Toc508266915"/>
      <w:bookmarkStart w:id="167" w:name="_Toc508283357"/>
      <w:bookmarkStart w:id="168" w:name="_Toc508350783"/>
      <w:bookmarkStart w:id="169" w:name="_Toc508350888"/>
      <w:bookmarkStart w:id="170" w:name="_Toc512247677"/>
      <w:bookmarkStart w:id="171" w:name="_Toc512248106"/>
      <w:bookmarkStart w:id="172" w:name="_Toc508089405"/>
      <w:bookmarkStart w:id="173" w:name="_Toc508089534"/>
      <w:bookmarkStart w:id="174" w:name="_Toc508266917"/>
      <w:bookmarkStart w:id="175" w:name="_Toc508283359"/>
      <w:bookmarkStart w:id="176" w:name="_Toc508350785"/>
      <w:bookmarkStart w:id="177" w:name="_Toc508350890"/>
      <w:bookmarkStart w:id="178" w:name="_Toc512247679"/>
      <w:bookmarkStart w:id="179" w:name="_Toc512248108"/>
      <w:bookmarkStart w:id="180" w:name="_Toc508089407"/>
      <w:bookmarkStart w:id="181" w:name="_Toc508089536"/>
      <w:bookmarkStart w:id="182" w:name="_Toc508266919"/>
      <w:bookmarkStart w:id="183" w:name="_Toc508283361"/>
      <w:bookmarkStart w:id="184" w:name="_Toc508350787"/>
      <w:bookmarkStart w:id="185" w:name="_Toc508350892"/>
      <w:bookmarkStart w:id="186" w:name="_Toc512247681"/>
      <w:bookmarkStart w:id="187" w:name="_Toc512248110"/>
      <w:bookmarkStart w:id="188" w:name="_Toc32432149"/>
      <w:bookmarkStart w:id="189" w:name="_Toc6212917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9E1297">
        <w:t>DATA MANAGEMENT</w:t>
      </w:r>
      <w:bookmarkEnd w:id="188"/>
      <w:bookmarkEnd w:id="189"/>
    </w:p>
    <w:p w14:paraId="4B5F2A84" w14:textId="69E88C23" w:rsidR="00167C98" w:rsidRDefault="00167C98" w:rsidP="001F58E1">
      <w:pPr>
        <w:pStyle w:val="Heading2"/>
        <w:spacing w:before="0"/>
      </w:pPr>
      <w:bookmarkStart w:id="190" w:name="_Toc32432150"/>
      <w:bookmarkStart w:id="191" w:name="_Toc62129178"/>
      <w:r>
        <w:t>Source Data</w:t>
      </w:r>
      <w:bookmarkEnd w:id="190"/>
      <w:bookmarkEnd w:id="191"/>
    </w:p>
    <w:p w14:paraId="2E8B5EA2" w14:textId="4B6967E4" w:rsidR="00681FBC" w:rsidRPr="00F21DFD" w:rsidRDefault="00681FBC" w:rsidP="001F58E1">
      <w:pPr>
        <w:jc w:val="both"/>
      </w:pPr>
      <w:r w:rsidRPr="00F21DFD">
        <w:t xml:space="preserve">Source documents are original documents, data, and records from which participants’ CRF data are obtained. These include, but are not limited to, hospital records (from which medical history and previous and concurrent medication may be summarised into the CRF), clinical and office charts, laboratory and pharmacy records, diaries, radiographs, and correspondence. </w:t>
      </w:r>
    </w:p>
    <w:p w14:paraId="33BA3C6D" w14:textId="23D817A9" w:rsidR="00681FBC" w:rsidRPr="00681FBC" w:rsidRDefault="00681FBC" w:rsidP="001F58E1">
      <w:pPr>
        <w:jc w:val="both"/>
      </w:pPr>
      <w:r w:rsidRPr="00F21DFD">
        <w:t xml:space="preserve">Information on study participants will </w:t>
      </w:r>
      <w:r w:rsidR="000A5DD1">
        <w:t xml:space="preserve">either </w:t>
      </w:r>
      <w:r w:rsidRPr="00F21DFD">
        <w:t xml:space="preserve">be recorded </w:t>
      </w:r>
      <w:r w:rsidR="000A5DD1">
        <w:t xml:space="preserve">directly into </w:t>
      </w:r>
      <w:r w:rsidR="000A5DD1" w:rsidRPr="00F21DFD">
        <w:t xml:space="preserve">a web based electronic CRF </w:t>
      </w:r>
      <w:r w:rsidR="000A5DD1">
        <w:t xml:space="preserve">or </w:t>
      </w:r>
      <w:r w:rsidR="00D007CD" w:rsidRPr="00F21DFD">
        <w:t>on</w:t>
      </w:r>
      <w:r w:rsidR="00D007CD">
        <w:t>to</w:t>
      </w:r>
      <w:r w:rsidR="000A5DD1">
        <w:t xml:space="preserve"> </w:t>
      </w:r>
      <w:r>
        <w:t xml:space="preserve">paper </w:t>
      </w:r>
      <w:r w:rsidR="000A5DD1" w:rsidRPr="00F21DFD">
        <w:t xml:space="preserve">source document </w:t>
      </w:r>
      <w:r w:rsidRPr="00F21DFD">
        <w:t xml:space="preserve">and </w:t>
      </w:r>
      <w:r w:rsidR="000A5DD1">
        <w:t xml:space="preserve">later </w:t>
      </w:r>
      <w:r>
        <w:t>transferred</w:t>
      </w:r>
      <w:r w:rsidRPr="00F21DFD">
        <w:t xml:space="preserve"> into a web based electronic CRF (</w:t>
      </w:r>
      <w:r w:rsidR="00AD60F9">
        <w:t>e.g. REDCap</w:t>
      </w:r>
      <w:r w:rsidR="00C87664">
        <w:t xml:space="preserve"> </w:t>
      </w:r>
      <w:r w:rsidRPr="00F21DFD">
        <w:t xml:space="preserve">database stored on a secure University of Oxford server). </w:t>
      </w:r>
      <w:r w:rsidR="00AD60F9">
        <w:t>REDCap</w:t>
      </w:r>
      <w:r w:rsidR="00D007CD">
        <w:t xml:space="preserve"> </w:t>
      </w:r>
      <w:r w:rsidRPr="00F21DFD">
        <w:t xml:space="preserve">is clinical </w:t>
      </w:r>
      <w:r w:rsidR="00E52591" w:rsidRPr="00191C9D">
        <w:t>research study</w:t>
      </w:r>
      <w:r w:rsidRPr="00F21DFD">
        <w:t xml:space="preserve"> software for electronic data capture (EDC) and clinical data management (CDM), which enables compliance with regulatory guidelines such as 21 CFR Part 11. </w:t>
      </w:r>
    </w:p>
    <w:p w14:paraId="75AF754C" w14:textId="77777777" w:rsidR="007E3D66" w:rsidRPr="009E1297" w:rsidRDefault="007E3D66" w:rsidP="004D7919">
      <w:pPr>
        <w:pStyle w:val="Heading2"/>
      </w:pPr>
      <w:bookmarkStart w:id="192" w:name="_Toc32432151"/>
      <w:bookmarkStart w:id="193" w:name="_Toc62129179"/>
      <w:r w:rsidRPr="009E1297">
        <w:t>Access to Data</w:t>
      </w:r>
      <w:bookmarkEnd w:id="192"/>
      <w:bookmarkEnd w:id="193"/>
    </w:p>
    <w:p w14:paraId="6733D021" w14:textId="77777777" w:rsidR="007E3D66" w:rsidRPr="009E1297" w:rsidRDefault="008A1215" w:rsidP="001F58E1">
      <w:pPr>
        <w:jc w:val="both"/>
      </w:pPr>
      <w:r w:rsidRPr="009E1297">
        <w:t>Direct access will be granted to authorised re</w:t>
      </w:r>
      <w:r w:rsidR="00B62203">
        <w:t>p</w:t>
      </w:r>
      <w:r w:rsidR="00295F5A">
        <w:t>resentatives from the Sponsor and</w:t>
      </w:r>
      <w:r w:rsidR="00B62203">
        <w:t xml:space="preserve"> </w:t>
      </w:r>
      <w:r w:rsidRPr="009E1297">
        <w:t xml:space="preserve">host institution for monitoring and/or audit of the study to ensure </w:t>
      </w:r>
      <w:r w:rsidR="00B62203">
        <w:t>compliance</w:t>
      </w:r>
      <w:r w:rsidRPr="009E1297">
        <w:t xml:space="preserve"> with regulations.</w:t>
      </w:r>
    </w:p>
    <w:p w14:paraId="27CC2C8C" w14:textId="51DE53CD" w:rsidR="001A6ECC" w:rsidRPr="001A6ECC" w:rsidRDefault="007E3D66">
      <w:pPr>
        <w:pStyle w:val="Heading2"/>
      </w:pPr>
      <w:bookmarkStart w:id="194" w:name="_Toc32432152"/>
      <w:bookmarkStart w:id="195" w:name="_Toc62129180"/>
      <w:r w:rsidRPr="009E1297">
        <w:t xml:space="preserve">Data </w:t>
      </w:r>
      <w:r w:rsidR="00B62203">
        <w:t>Record</w:t>
      </w:r>
      <w:r w:rsidRPr="009E1297">
        <w:t>ing and Record Keeping</w:t>
      </w:r>
      <w:bookmarkEnd w:id="194"/>
      <w:bookmarkEnd w:id="195"/>
    </w:p>
    <w:p w14:paraId="26D79A19" w14:textId="0C211C4A" w:rsidR="006D37E9" w:rsidRDefault="006D37E9" w:rsidP="001F58E1">
      <w:pPr>
        <w:jc w:val="both"/>
      </w:pPr>
      <w:bookmarkStart w:id="196" w:name="_Toc517967042"/>
      <w:bookmarkStart w:id="197" w:name="_Toc517967145"/>
      <w:bookmarkEnd w:id="196"/>
      <w:bookmarkEnd w:id="197"/>
      <w:r>
        <w:t>CRF data will be recorded directly into an EDC system (e.g.</w:t>
      </w:r>
      <w:r w:rsidR="00D007CD">
        <w:t xml:space="preserve"> </w:t>
      </w:r>
      <w:r>
        <w:t>REDCap) or onto a paper source document for later entry into EDC if direct entry is not available.   Any additional information that needs recording but is not relevant for the CRF (such as sites for venepuncture, parental availability etc) will be recorded on a separate paper source document. All documents will be stored safely in confidential conditions.</w:t>
      </w:r>
      <w:r w:rsidR="0021143D">
        <w:t xml:space="preserve">  The database includes a complete suite of features which are compliant with EU and UK regulations and NHS security policies, including a full audit trail, user-based privileges, and integration with the institutional LDAP server. The MySQL database and the web server will both be housed on secure servers operated by the University of Oxford IT Services. The servers are in a physically secure location in Oxford and are backed up in Oxford, with the backups stored in accordance with the IT department schedule of daily, weekly, and monthly tapes retained for 1 month, 3 months, and 6 months, respectively. Weekly backup tapes are stored offsite. The IT servers provide a stable, secure, well-maintained, and high capacity data storage environment, Drupal and MySQL are widely-used, powerful, reliable, well-supported systems. Access to the study's database and the diary will be restricted to the members of the study team by username and password. </w:t>
      </w:r>
    </w:p>
    <w:p w14:paraId="7748C258" w14:textId="77777777" w:rsidR="006D37E9" w:rsidRDefault="006D37E9" w:rsidP="001F58E1">
      <w:pPr>
        <w:jc w:val="both"/>
      </w:pPr>
      <w:r>
        <w:t xml:space="preserve">All entries made to the research notes should be printed legibly. If any entry error has been made, to correct such an error, a single straight line should be drawn through the incorrect entry and the correct data entered above it. All such changes must be initialled and dated. DO NOT ERASE OR WHITE OUT ERRORS. For clarification of illegible or uncertain entries, the clarification should be printed above the item, </w:t>
      </w:r>
      <w:r>
        <w:lastRenderedPageBreak/>
        <w:t xml:space="preserve">and this should also be initialled and dated. Information entered into the research notes must be subsequently transferred onto the database by the site collecting the data.  The participants will be identified by a unique study specific number in any database. The name and any other identifying detail will NOT be included in any study data file.  </w:t>
      </w:r>
    </w:p>
    <w:p w14:paraId="3D54AC7F" w14:textId="1BF9F6B9" w:rsidR="006D37E9" w:rsidRDefault="006D37E9" w:rsidP="001F58E1">
      <w:pPr>
        <w:jc w:val="both"/>
      </w:pPr>
      <w:r>
        <w:t>The investigator at each investigational site must make arrangements to store the essential study documents, (as defined in Essential Documents for the Conduct of a Clinical Trial (International Conference on Harmonisation (ICH) E6, Guideline for Good Clinical Practice) including the Investigator Site File. Copies of all study documents</w:t>
      </w:r>
      <w:r w:rsidR="00142D00">
        <w:t xml:space="preserve"> with participant identifiable information</w:t>
      </w:r>
      <w:r>
        <w:t xml:space="preserve"> will be retained after the completion or discontinuation of the study for 3 years after the youngest participant turns 18 years. In addition, the investigator is responsible for archiving of all relevant source documents so that the study data can be compared against source data after completion of the study (e.g. in case of inspection from authorities).</w:t>
      </w:r>
      <w:r w:rsidR="00142D00" w:rsidRPr="001F58E1">
        <w:t xml:space="preserve">  Storage of anonymised research data will be reviewed every 5 years and files will be confidentially destroyed if storage is no longer required. </w:t>
      </w:r>
      <w:r>
        <w:t xml:space="preserve"> The investigator is required to ensure the continued storage of the documents, even if the investigator, for example, leaves the clinic/practice or retires before the end of required storage period. Delegation of this transfer of responsibility to their successor must be documented in writing.  </w:t>
      </w:r>
    </w:p>
    <w:p w14:paraId="793998EA" w14:textId="757B5AF6" w:rsidR="006B7B71" w:rsidRDefault="006D37E9" w:rsidP="001F58E1">
      <w:pPr>
        <w:jc w:val="both"/>
      </w:pPr>
      <w:r>
        <w:t xml:space="preserve">The participants will be identified by a unique </w:t>
      </w:r>
      <w:r w:rsidR="00B87056">
        <w:t>research study</w:t>
      </w:r>
      <w:r>
        <w:t xml:space="preserve"> specific number and/or code in any database.   </w:t>
      </w:r>
    </w:p>
    <w:p w14:paraId="7F6734DB" w14:textId="4DC22C33" w:rsidR="0032476B" w:rsidRPr="00981734" w:rsidRDefault="001A6ECC" w:rsidP="00FE6E7C">
      <w:pPr>
        <w:pStyle w:val="Heading1"/>
      </w:pPr>
      <w:bookmarkStart w:id="198" w:name="_Toc32432153"/>
      <w:bookmarkStart w:id="199" w:name="_Toc62129181"/>
      <w:r w:rsidRPr="00352AD3">
        <w:t>QUALITY ASSURANCE PROCEDURES</w:t>
      </w:r>
      <w:bookmarkEnd w:id="198"/>
      <w:bookmarkEnd w:id="199"/>
    </w:p>
    <w:p w14:paraId="0865FAA7" w14:textId="561F5639" w:rsidR="00681FBC" w:rsidRDefault="00681FBC" w:rsidP="00681FBC">
      <w:pPr>
        <w:jc w:val="both"/>
      </w:pPr>
      <w:r w:rsidRPr="00E80573">
        <w:t>The study may be monitored, or audited in accordance with the current approved protocol, GCP, relevant regulations and standard operating procedures</w:t>
      </w:r>
      <w:r>
        <w:t>. The study may</w:t>
      </w:r>
      <w:r w:rsidRPr="000B26C7">
        <w:t xml:space="preserve"> be inspected by the Clinical Trials and Research Governance Office (CTRG), University of Oxford</w:t>
      </w:r>
      <w:r>
        <w:t xml:space="preserve">. </w:t>
      </w:r>
    </w:p>
    <w:p w14:paraId="7F981D74" w14:textId="795D0D82" w:rsidR="00C61FF0" w:rsidRDefault="00C61FF0" w:rsidP="00681FBC">
      <w:pPr>
        <w:jc w:val="both"/>
      </w:pPr>
      <w:r>
        <w:t xml:space="preserve">Following </w:t>
      </w:r>
      <w:r w:rsidR="00A7151B">
        <w:t xml:space="preserve">a risk based </w:t>
      </w:r>
      <w:r>
        <w:t xml:space="preserve">monitoring plan, the monitors will verify that the clinical </w:t>
      </w:r>
      <w:r w:rsidR="00B87056">
        <w:t>research study</w:t>
      </w:r>
      <w:r>
        <w:t xml:space="preserve"> is conducted and data are generated, documented and reported in compliance with the protocol, GCP and the applicable regulatory requirements.</w:t>
      </w:r>
    </w:p>
    <w:p w14:paraId="08D16014" w14:textId="77777777" w:rsidR="00370565" w:rsidRDefault="00370565" w:rsidP="00370565">
      <w:pPr>
        <w:pStyle w:val="Heading1"/>
        <w:jc w:val="both"/>
      </w:pPr>
      <w:bookmarkStart w:id="200" w:name="_Toc517947689"/>
      <w:bookmarkStart w:id="201" w:name="_Toc32432154"/>
      <w:bookmarkStart w:id="202" w:name="_Toc62129182"/>
      <w:r>
        <w:t>PROTOCOL DEVIATIONS</w:t>
      </w:r>
      <w:bookmarkEnd w:id="200"/>
      <w:bookmarkEnd w:id="201"/>
      <w:bookmarkEnd w:id="202"/>
      <w:r>
        <w:t xml:space="preserve"> </w:t>
      </w:r>
    </w:p>
    <w:p w14:paraId="0D5F6E1C" w14:textId="69DF9B7C" w:rsidR="006B7B71" w:rsidRPr="001F58E1" w:rsidRDefault="00370565" w:rsidP="001F58E1">
      <w:pPr>
        <w:jc w:val="both"/>
      </w:pPr>
      <w:r w:rsidRPr="001F58E1">
        <w:t xml:space="preserve">A study related deviation is a departure from the ethically approved </w:t>
      </w:r>
      <w:r w:rsidR="001D4B65" w:rsidRPr="001F58E1">
        <w:t xml:space="preserve">study </w:t>
      </w:r>
      <w:r w:rsidRPr="001F58E1">
        <w:t xml:space="preserve">protocol or other </w:t>
      </w:r>
      <w:r w:rsidR="001D4B65" w:rsidRPr="001F58E1">
        <w:t xml:space="preserve">study </w:t>
      </w:r>
      <w:r w:rsidRPr="001F58E1">
        <w:t>document or process (e.g. consent process or administration of study intervention) or from Good Clinical Practice (GCP) or any applicable regulatory requirements. Any deviations from the protocol will be documented in a protocol deviation form and filed in the study master file.</w:t>
      </w:r>
    </w:p>
    <w:p w14:paraId="2F970AEE" w14:textId="77723D8D" w:rsidR="00B34EE6" w:rsidRPr="00743E6D" w:rsidRDefault="00B34EE6" w:rsidP="00B34EE6">
      <w:pPr>
        <w:pStyle w:val="Heading1"/>
        <w:jc w:val="both"/>
      </w:pPr>
      <w:bookmarkStart w:id="203" w:name="_Toc517947691"/>
      <w:bookmarkStart w:id="204" w:name="_Toc32432155"/>
      <w:bookmarkStart w:id="205" w:name="_Toc62129183"/>
      <w:r w:rsidRPr="00743E6D">
        <w:t>SERIOUS BREACHES</w:t>
      </w:r>
      <w:bookmarkEnd w:id="203"/>
      <w:bookmarkEnd w:id="204"/>
      <w:bookmarkEnd w:id="205"/>
    </w:p>
    <w:p w14:paraId="42970F28" w14:textId="731B81CB" w:rsidR="00B34EE6" w:rsidRPr="00743E6D" w:rsidRDefault="005E5326" w:rsidP="001F58E1">
      <w:pPr>
        <w:jc w:val="both"/>
      </w:pPr>
      <w:r>
        <w:t>A</w:t>
      </w:r>
      <w:r w:rsidR="00B34EE6">
        <w:t xml:space="preserve"> </w:t>
      </w:r>
      <w:r>
        <w:t>“</w:t>
      </w:r>
      <w:r w:rsidR="00B34EE6">
        <w:t>serious breach</w:t>
      </w:r>
      <w:r>
        <w:t>”</w:t>
      </w:r>
      <w:r w:rsidR="00B34EE6">
        <w:t xml:space="preserve"> </w:t>
      </w:r>
      <w:r>
        <w:t xml:space="preserve">is </w:t>
      </w:r>
      <w:r w:rsidR="00B34EE6">
        <w:t>a breach of the protocol or of the conditions or principles of Good Clinical Practice which is likely to affect to a significant degree –</w:t>
      </w:r>
    </w:p>
    <w:p w14:paraId="64F4969B" w14:textId="2724A432" w:rsidR="00B34EE6" w:rsidRPr="00743E6D" w:rsidRDefault="00B34EE6" w:rsidP="00B34EE6">
      <w:pPr>
        <w:ind w:firstLine="426"/>
      </w:pPr>
      <w:r w:rsidRPr="00743E6D">
        <w:t xml:space="preserve"> (a) </w:t>
      </w:r>
      <w:r>
        <w:t xml:space="preserve">the safety or physical or mental integrity of the </w:t>
      </w:r>
      <w:r w:rsidR="00B87056">
        <w:t>research study</w:t>
      </w:r>
      <w:r>
        <w:t xml:space="preserve"> subjects;</w:t>
      </w:r>
      <w:r w:rsidRPr="00743E6D">
        <w:t xml:space="preserve"> or</w:t>
      </w:r>
    </w:p>
    <w:p w14:paraId="1642B00C" w14:textId="6D9FD8E3" w:rsidR="00B34EE6" w:rsidRPr="00743E6D" w:rsidRDefault="00B34EE6" w:rsidP="00B34EE6">
      <w:pPr>
        <w:ind w:firstLine="426"/>
      </w:pPr>
      <w:r w:rsidRPr="00743E6D">
        <w:t xml:space="preserve">(b) the scientific value of the </w:t>
      </w:r>
      <w:r>
        <w:t>research</w:t>
      </w:r>
      <w:r w:rsidR="00935B18">
        <w:t>.</w:t>
      </w:r>
    </w:p>
    <w:p w14:paraId="0CB8CBE4" w14:textId="2BDC91A3" w:rsidR="006B7B71" w:rsidRPr="00FE6E7C" w:rsidRDefault="00B34EE6" w:rsidP="001F58E1">
      <w:pPr>
        <w:jc w:val="both"/>
      </w:pPr>
      <w:r w:rsidRPr="00743E6D">
        <w:t xml:space="preserve">In the event that a serious breach is suspected the Sponsor must be contacted within 1 working day. In collaboration with the C.I., the serious breach will be reviewed by the Sponsor and, if appropriate, the Sponsor will report it to the </w:t>
      </w:r>
      <w:r w:rsidR="00EE6F50">
        <w:t xml:space="preserve">approving </w:t>
      </w:r>
      <w:r w:rsidRPr="00743E6D">
        <w:t>REC committee and the</w:t>
      </w:r>
      <w:r>
        <w:t xml:space="preserve"> relevant </w:t>
      </w:r>
      <w:r w:rsidRPr="00743E6D">
        <w:t>NHS host organisation within seven calendar days.</w:t>
      </w:r>
      <w:r w:rsidR="005E5326">
        <w:t xml:space="preserve"> </w:t>
      </w:r>
    </w:p>
    <w:p w14:paraId="12A500D3" w14:textId="23B37B7E" w:rsidR="007E3D66" w:rsidRPr="009E1297" w:rsidRDefault="007E3D66" w:rsidP="001F58E1">
      <w:pPr>
        <w:pStyle w:val="Heading1"/>
        <w:spacing w:before="0"/>
      </w:pPr>
      <w:bookmarkStart w:id="206" w:name="_Toc517966613"/>
      <w:bookmarkStart w:id="207" w:name="_Toc517966768"/>
      <w:bookmarkStart w:id="208" w:name="_Toc517967049"/>
      <w:bookmarkStart w:id="209" w:name="_Toc517967152"/>
      <w:bookmarkStart w:id="210" w:name="_Toc32432156"/>
      <w:bookmarkStart w:id="211" w:name="_Toc62129184"/>
      <w:bookmarkEnd w:id="206"/>
      <w:bookmarkEnd w:id="207"/>
      <w:bookmarkEnd w:id="208"/>
      <w:bookmarkEnd w:id="209"/>
      <w:r w:rsidRPr="009E1297">
        <w:lastRenderedPageBreak/>
        <w:t>ETHICAL AND REGULATORY CONSIDERATIONS</w:t>
      </w:r>
      <w:bookmarkEnd w:id="210"/>
      <w:bookmarkEnd w:id="211"/>
    </w:p>
    <w:p w14:paraId="5F1D6AEE" w14:textId="77777777" w:rsidR="007E3D66" w:rsidRPr="009E1297" w:rsidRDefault="007E3D66" w:rsidP="001F58E1">
      <w:pPr>
        <w:pStyle w:val="Heading2"/>
        <w:spacing w:before="0"/>
      </w:pPr>
      <w:bookmarkStart w:id="212" w:name="_Toc32432157"/>
      <w:bookmarkStart w:id="213" w:name="_Toc62129185"/>
      <w:r w:rsidRPr="009E1297">
        <w:t>Declaration of Helsinki</w:t>
      </w:r>
      <w:bookmarkEnd w:id="212"/>
      <w:bookmarkEnd w:id="213"/>
    </w:p>
    <w:p w14:paraId="069C02DB" w14:textId="6B821307" w:rsidR="007E3D66" w:rsidRPr="009E1297" w:rsidRDefault="008A1215" w:rsidP="001F58E1">
      <w:pPr>
        <w:jc w:val="both"/>
      </w:pPr>
      <w:r w:rsidRPr="009E1297">
        <w:t>The Investigator will ensure that this study is conducted in accordance with the principles of the Declaration of Helsinki.</w:t>
      </w:r>
    </w:p>
    <w:p w14:paraId="2A264F98" w14:textId="6ACE9F33" w:rsidR="007E3D66" w:rsidRPr="009E1297" w:rsidRDefault="007E3D66" w:rsidP="004D7919">
      <w:pPr>
        <w:pStyle w:val="Heading2"/>
      </w:pPr>
      <w:bookmarkStart w:id="214" w:name="_Toc32432158"/>
      <w:bookmarkStart w:id="215" w:name="_Toc62129186"/>
      <w:r w:rsidRPr="009E1297">
        <w:t>Guidelines for Good Clinical Practice</w:t>
      </w:r>
      <w:bookmarkEnd w:id="214"/>
      <w:bookmarkEnd w:id="215"/>
    </w:p>
    <w:p w14:paraId="1AC8515D" w14:textId="77777777" w:rsidR="007E3D66" w:rsidRPr="009E1297" w:rsidRDefault="008A1215" w:rsidP="001F58E1">
      <w:pPr>
        <w:jc w:val="both"/>
      </w:pPr>
      <w:r w:rsidRPr="009E1297">
        <w:t xml:space="preserve">The Investigator will ensure that this study is conducted in </w:t>
      </w:r>
      <w:r w:rsidR="0072344A">
        <w:t>accordance</w:t>
      </w:r>
      <w:r w:rsidRPr="009E1297">
        <w:t xml:space="preserve"> with relevant regulations </w:t>
      </w:r>
      <w:r w:rsidR="0072344A">
        <w:t xml:space="preserve">and with </w:t>
      </w:r>
      <w:r w:rsidRPr="009E1297">
        <w:t>Good Clinical Prac</w:t>
      </w:r>
      <w:r w:rsidR="0072344A">
        <w:t>tice</w:t>
      </w:r>
      <w:r w:rsidRPr="009E1297">
        <w:t>.</w:t>
      </w:r>
    </w:p>
    <w:p w14:paraId="11E619C8" w14:textId="77777777" w:rsidR="007E3D66" w:rsidRPr="009E1297" w:rsidRDefault="007E3D66" w:rsidP="004D7919">
      <w:pPr>
        <w:pStyle w:val="Heading2"/>
      </w:pPr>
      <w:bookmarkStart w:id="216" w:name="_Toc32432159"/>
      <w:bookmarkStart w:id="217" w:name="_Toc62129187"/>
      <w:r w:rsidRPr="009E1297">
        <w:t>Approvals</w:t>
      </w:r>
      <w:bookmarkEnd w:id="216"/>
      <w:bookmarkEnd w:id="217"/>
    </w:p>
    <w:p w14:paraId="0BF54CB5" w14:textId="77777777" w:rsidR="008C7DE4" w:rsidRPr="009E1297" w:rsidRDefault="008C7DE4" w:rsidP="008C7DE4">
      <w:pPr>
        <w:jc w:val="both"/>
      </w:pPr>
      <w:r w:rsidRPr="009E1297">
        <w:t>The protocol, informed consent form, participant information sheet and any proposed advertising material will be submitted to an appropriate Research Ethics Committee (REC), and host institution(s) for written approval.</w:t>
      </w:r>
    </w:p>
    <w:p w14:paraId="5C8C74EC" w14:textId="77777777" w:rsidR="008C7DE4" w:rsidRPr="006573D7" w:rsidRDefault="008C7DE4" w:rsidP="008C7DE4">
      <w:pPr>
        <w:jc w:val="both"/>
      </w:pPr>
      <w:r w:rsidRPr="009E1297">
        <w:t>The Investigator will submit and, where necessary, obtain approval from the above parties for all substantial amendments to the original approved documents.</w:t>
      </w:r>
    </w:p>
    <w:p w14:paraId="095D6243" w14:textId="77777777" w:rsidR="00B62203" w:rsidRPr="00B62203" w:rsidRDefault="00B62203" w:rsidP="00B62203">
      <w:pPr>
        <w:pStyle w:val="Heading2"/>
      </w:pPr>
      <w:bookmarkStart w:id="218" w:name="_Toc32432160"/>
      <w:bookmarkStart w:id="219" w:name="_Toc62129188"/>
      <w:r w:rsidRPr="00B62203">
        <w:t>Report</w:t>
      </w:r>
      <w:r>
        <w:t>ing</w:t>
      </w:r>
      <w:bookmarkEnd w:id="218"/>
      <w:bookmarkEnd w:id="219"/>
    </w:p>
    <w:p w14:paraId="0F22E0E4" w14:textId="77777777" w:rsidR="008C7DE4" w:rsidRDefault="008C7DE4" w:rsidP="008C7DE4">
      <w:pPr>
        <w:jc w:val="both"/>
      </w:pPr>
      <w:r w:rsidRPr="00B62203">
        <w:t>The CI shall submit once a year throughout the study, or on request, an Annual Progress report to the REC Committee, host organisation and Sponsor.</w:t>
      </w:r>
      <w:r>
        <w:t xml:space="preserve">  In addition, an End of Study notification and final report will be submitted to the same parties.</w:t>
      </w:r>
    </w:p>
    <w:p w14:paraId="3E9B6268" w14:textId="77777777" w:rsidR="007E3D66" w:rsidRPr="009E1297" w:rsidRDefault="007E3D66" w:rsidP="004D7919">
      <w:pPr>
        <w:pStyle w:val="Heading2"/>
      </w:pPr>
      <w:bookmarkStart w:id="220" w:name="_Toc32432161"/>
      <w:bookmarkStart w:id="221" w:name="_Toc62129189"/>
      <w:r w:rsidRPr="009E1297">
        <w:t>Participant Confidentiality</w:t>
      </w:r>
      <w:bookmarkEnd w:id="220"/>
      <w:bookmarkEnd w:id="221"/>
    </w:p>
    <w:p w14:paraId="345BCAE9" w14:textId="2EA42763" w:rsidR="008C7DE4" w:rsidRDefault="008C7DE4" w:rsidP="008C7DE4">
      <w:pPr>
        <w:jc w:val="both"/>
      </w:pPr>
      <w:r>
        <w:t xml:space="preserve">All documents will be stored securely and only accessible by </w:t>
      </w:r>
      <w:r w:rsidR="00B87056">
        <w:t>research study</w:t>
      </w:r>
      <w:r>
        <w:t xml:space="preserve"> staff and authorised personnel. The study will comply with the </w:t>
      </w:r>
      <w:r w:rsidR="006161DB">
        <w:t>General Data Protection Regulation</w:t>
      </w:r>
      <w:r w:rsidR="009C7E86">
        <w:t>s</w:t>
      </w:r>
      <w:r w:rsidR="006161DB">
        <w:t xml:space="preserve"> (GDPR) </w:t>
      </w:r>
      <w:r>
        <w:t>which requires data to be anonymised as soon as it is practical to do so. Any data or samples that relate to participants and that leave the study site will be identified by study number only. All documents will be stored securely and only accessible by study staff and authorised personnel.</w:t>
      </w:r>
    </w:p>
    <w:p w14:paraId="4EA882E6" w14:textId="2D444EFE" w:rsidR="00BC0550" w:rsidRPr="00BC0550" w:rsidRDefault="007E3D66" w:rsidP="00BC0550">
      <w:pPr>
        <w:pStyle w:val="Heading2"/>
      </w:pPr>
      <w:bookmarkStart w:id="222" w:name="_Toc32432162"/>
      <w:bookmarkStart w:id="223" w:name="_Toc62129190"/>
      <w:r w:rsidRPr="009E1297">
        <w:t>Expenses and Benefits</w:t>
      </w:r>
      <w:bookmarkEnd w:id="222"/>
      <w:bookmarkEnd w:id="223"/>
    </w:p>
    <w:p w14:paraId="7B185780" w14:textId="4B01CBCE" w:rsidR="008C7DE4" w:rsidRDefault="008C7DE4" w:rsidP="001F58E1">
      <w:pPr>
        <w:jc w:val="both"/>
      </w:pPr>
      <w:bookmarkStart w:id="224" w:name="_Toc364696283"/>
      <w:bookmarkStart w:id="225" w:name="_Toc364696526"/>
      <w:bookmarkStart w:id="226" w:name="_Toc474240773"/>
      <w:r w:rsidRPr="00F21D0C">
        <w:t xml:space="preserve">Participants will </w:t>
      </w:r>
      <w:r>
        <w:t>not</w:t>
      </w:r>
      <w:r w:rsidRPr="00F21D0C">
        <w:t xml:space="preserve"> be reimbursed for taking part in the study</w:t>
      </w:r>
      <w:bookmarkEnd w:id="224"/>
      <w:bookmarkEnd w:id="225"/>
      <w:r>
        <w:t xml:space="preserve"> if we travel to their home. Should participants attend a clinic then they will be reimbursed £20</w:t>
      </w:r>
      <w:r w:rsidR="00795680">
        <w:t xml:space="preserve"> in the form of a voucher</w:t>
      </w:r>
      <w:r w:rsidR="00D24194">
        <w:t xml:space="preserve"> for travel</w:t>
      </w:r>
      <w:r w:rsidR="00F4050E">
        <w:t xml:space="preserve"> e.g. a book voucher</w:t>
      </w:r>
      <w:r>
        <w:t>.</w:t>
      </w:r>
      <w:bookmarkEnd w:id="226"/>
      <w:r>
        <w:t xml:space="preserve"> </w:t>
      </w:r>
    </w:p>
    <w:p w14:paraId="41F5C7BB" w14:textId="4B8433F3" w:rsidR="008C7DE4" w:rsidRDefault="008C7DE4" w:rsidP="001F58E1">
      <w:pPr>
        <w:jc w:val="both"/>
      </w:pPr>
      <w:r>
        <w:t>The information gained from this study will help to inform any strengths or vulnerabilities in vaccine strategy and may help future vaccine design.</w:t>
      </w:r>
    </w:p>
    <w:p w14:paraId="29C9E0EC" w14:textId="77777777" w:rsidR="006B7B71" w:rsidRDefault="006B7B71" w:rsidP="001F58E1">
      <w:pPr>
        <w:jc w:val="both"/>
      </w:pPr>
    </w:p>
    <w:p w14:paraId="76906DA2" w14:textId="77777777" w:rsidR="007E3D66" w:rsidRPr="009E1297" w:rsidRDefault="007E3D66" w:rsidP="006B7B71">
      <w:pPr>
        <w:pStyle w:val="Heading1"/>
        <w:spacing w:before="0"/>
      </w:pPr>
      <w:bookmarkStart w:id="227" w:name="_Toc32432163"/>
      <w:bookmarkStart w:id="228" w:name="_Toc62129191"/>
      <w:r w:rsidRPr="009E1297">
        <w:t>FINANCE AND INSURANCE</w:t>
      </w:r>
      <w:bookmarkEnd w:id="227"/>
      <w:bookmarkEnd w:id="228"/>
    </w:p>
    <w:p w14:paraId="1DCAE514" w14:textId="77777777" w:rsidR="00DA14BC" w:rsidRPr="009E1297" w:rsidRDefault="00DA14BC" w:rsidP="006B7B71">
      <w:pPr>
        <w:pStyle w:val="Heading2"/>
        <w:spacing w:before="0"/>
      </w:pPr>
      <w:bookmarkStart w:id="229" w:name="_Toc32432164"/>
      <w:bookmarkStart w:id="230" w:name="_Toc62129192"/>
      <w:r w:rsidRPr="009E1297">
        <w:t>Funding</w:t>
      </w:r>
      <w:bookmarkEnd w:id="229"/>
      <w:bookmarkEnd w:id="230"/>
    </w:p>
    <w:p w14:paraId="0BC2E23F" w14:textId="7A2049AB" w:rsidR="00DA14BC" w:rsidRPr="009E1297" w:rsidRDefault="008973FF" w:rsidP="00DA14BC">
      <w:r w:rsidRPr="00BF7E3D">
        <w:t xml:space="preserve">This study is being funded by the National Institute for Health Research Policy Research Programme </w:t>
      </w:r>
    </w:p>
    <w:p w14:paraId="4E6E4448" w14:textId="77777777" w:rsidR="00DA14BC" w:rsidRPr="009E1297" w:rsidRDefault="00FC5D38" w:rsidP="00DA14BC">
      <w:pPr>
        <w:pStyle w:val="Heading2"/>
      </w:pPr>
      <w:bookmarkStart w:id="231" w:name="_Toc32432165"/>
      <w:bookmarkStart w:id="232" w:name="_Toc62129193"/>
      <w:r>
        <w:t>Insurance</w:t>
      </w:r>
      <w:bookmarkEnd w:id="231"/>
      <w:bookmarkEnd w:id="232"/>
    </w:p>
    <w:p w14:paraId="3BFE5EF1" w14:textId="5D30D82D" w:rsidR="008A1215" w:rsidRPr="006B7B71" w:rsidRDefault="005F6E5D" w:rsidP="006B7B71">
      <w:pPr>
        <w:jc w:val="both"/>
      </w:pPr>
      <w:r w:rsidRPr="006B7B71">
        <w:lastRenderedPageBreak/>
        <w:t>The University</w:t>
      </w:r>
      <w:r w:rsidR="008E4212" w:rsidRPr="006B7B71">
        <w:t xml:space="preserve"> of Oxford</w:t>
      </w:r>
      <w:r w:rsidRPr="006B7B71">
        <w:t xml:space="preserve"> has a specialist insurance policy in place which would operate in the event of any participant suffering harm as a result of their involvement in the research (Newline Underwriting Management Ltd, at Lloyd’s of Lo</w:t>
      </w:r>
      <w:r w:rsidR="00520A71" w:rsidRPr="006B7B71">
        <w:t>ndon</w:t>
      </w:r>
      <w:r w:rsidRPr="006B7B71">
        <w:t>)</w:t>
      </w:r>
      <w:r w:rsidR="008A1215" w:rsidRPr="005F6E5D">
        <w:t>.</w:t>
      </w:r>
      <w:r w:rsidR="00ED19FA">
        <w:t xml:space="preserve"> </w:t>
      </w:r>
      <w:r w:rsidR="008A1215" w:rsidRPr="006B7B71">
        <w:t xml:space="preserve"> NHS indemnity operates in respect of the clinical treatment </w:t>
      </w:r>
      <w:r w:rsidR="00DD6405" w:rsidRPr="006B7B71">
        <w:t>that</w:t>
      </w:r>
      <w:r w:rsidR="008A1215" w:rsidRPr="006B7B71">
        <w:t xml:space="preserve"> is provided.</w:t>
      </w:r>
    </w:p>
    <w:p w14:paraId="23B04339" w14:textId="4F317663" w:rsidR="00EF101F" w:rsidRPr="00ED7C3F" w:rsidRDefault="00EF101F" w:rsidP="00ED7C3F">
      <w:pPr>
        <w:pStyle w:val="Heading2"/>
      </w:pPr>
      <w:bookmarkStart w:id="233" w:name="_Toc32432166"/>
      <w:bookmarkStart w:id="234" w:name="_Toc62129194"/>
      <w:r w:rsidRPr="00ED7C3F">
        <w:t>Contractual arrangements</w:t>
      </w:r>
      <w:bookmarkEnd w:id="233"/>
      <w:bookmarkEnd w:id="234"/>
      <w:r w:rsidRPr="00ED7C3F">
        <w:t xml:space="preserve"> </w:t>
      </w:r>
    </w:p>
    <w:p w14:paraId="3602E45D" w14:textId="07234151" w:rsidR="00EF101F" w:rsidRPr="009E1297" w:rsidRDefault="00EF101F" w:rsidP="008A1215">
      <w:r w:rsidRPr="00ED7C3F">
        <w:t xml:space="preserve">Appropriate contractual arrangements will be put in place with all third parties. </w:t>
      </w:r>
    </w:p>
    <w:p w14:paraId="332EC5DB" w14:textId="77777777" w:rsidR="007E3D66" w:rsidRPr="009E1297" w:rsidRDefault="005B19EB" w:rsidP="004D7919">
      <w:pPr>
        <w:pStyle w:val="Heading1"/>
      </w:pPr>
      <w:bookmarkStart w:id="235" w:name="_Toc32432167"/>
      <w:bookmarkStart w:id="236" w:name="_Toc62129195"/>
      <w:r w:rsidRPr="009E1297">
        <w:t>PUBLICATION POLICY</w:t>
      </w:r>
      <w:bookmarkEnd w:id="235"/>
      <w:bookmarkEnd w:id="236"/>
    </w:p>
    <w:p w14:paraId="4185F2E5" w14:textId="77777777" w:rsidR="008E4212" w:rsidRPr="006B7B71" w:rsidRDefault="008E4212" w:rsidP="008E4212">
      <w:pPr>
        <w:jc w:val="both"/>
      </w:pPr>
      <w:bookmarkStart w:id="237" w:name="_Toc517947704"/>
      <w:bookmarkStart w:id="238" w:name="_Toc496087305"/>
      <w:r w:rsidRPr="006B7B71">
        <w:t>The investigators will co-ordinate dissemination of data from this study. All publications (e.g. manuscripts, abstracts, oral/slide presentations, book chapters) based on this study will be reviewed by all investigators prior to submission. Participants will have access to a summary of our study results either by post or an emailed link to our website with an abstract.</w:t>
      </w:r>
    </w:p>
    <w:p w14:paraId="4685AC74" w14:textId="42923F4E" w:rsidR="005B19EB" w:rsidRPr="009E1297" w:rsidRDefault="005B19EB" w:rsidP="004D7919">
      <w:pPr>
        <w:pStyle w:val="Heading1"/>
      </w:pPr>
      <w:bookmarkStart w:id="239" w:name="_Toc32432168"/>
      <w:bookmarkStart w:id="240" w:name="_Toc62129196"/>
      <w:bookmarkEnd w:id="237"/>
      <w:bookmarkEnd w:id="238"/>
      <w:r w:rsidRPr="009E1297">
        <w:t>REFERENCES</w:t>
      </w:r>
      <w:bookmarkEnd w:id="239"/>
      <w:bookmarkEnd w:id="240"/>
    </w:p>
    <w:p w14:paraId="2F8531FA" w14:textId="77777777" w:rsidR="00D36E5F" w:rsidRPr="00D36E5F" w:rsidRDefault="00EC6BD7" w:rsidP="00837CD0">
      <w:pPr>
        <w:pStyle w:val="EndNoteBibliography"/>
        <w:spacing w:after="0"/>
        <w:ind w:left="720" w:hanging="720"/>
        <w:jc w:val="both"/>
      </w:pPr>
      <w:r w:rsidRPr="00783E20">
        <w:rPr>
          <w:b/>
          <w:sz w:val="24"/>
        </w:rPr>
        <w:fldChar w:fldCharType="begin"/>
      </w:r>
      <w:r w:rsidRPr="00B97284">
        <w:rPr>
          <w:b/>
          <w:sz w:val="24"/>
        </w:rPr>
        <w:instrText xml:space="preserve"> ADDIN EN.REFLIST </w:instrText>
      </w:r>
      <w:r w:rsidRPr="00783E20">
        <w:rPr>
          <w:b/>
          <w:sz w:val="24"/>
        </w:rPr>
        <w:fldChar w:fldCharType="separate"/>
      </w:r>
      <w:r w:rsidR="00D36E5F" w:rsidRPr="00D36E5F">
        <w:t>2009, The immunolgical basis for immunization series. Module 2: Diphtheria, Update 2009 Geneva, World Health Organization.</w:t>
      </w:r>
    </w:p>
    <w:p w14:paraId="4FBF39DF" w14:textId="77777777" w:rsidR="00D36E5F" w:rsidRPr="00D36E5F" w:rsidRDefault="00D36E5F" w:rsidP="00837CD0">
      <w:pPr>
        <w:pStyle w:val="EndNoteBibliography"/>
        <w:spacing w:after="0"/>
        <w:ind w:left="720" w:hanging="720"/>
        <w:jc w:val="both"/>
      </w:pPr>
      <w:r w:rsidRPr="00D36E5F">
        <w:t>Borrow, R., P. Balmer, and E. Miller, 2005, Meningococcal surrogates of protection- serum bactericidal antibody activity: Vaccine, p. 2222-2227.</w:t>
      </w:r>
    </w:p>
    <w:p w14:paraId="289AE566" w14:textId="77777777" w:rsidR="00D36E5F" w:rsidRPr="00D36E5F" w:rsidRDefault="00D36E5F" w:rsidP="00837CD0">
      <w:pPr>
        <w:pStyle w:val="EndNoteBibliography"/>
        <w:spacing w:after="0"/>
        <w:ind w:left="720" w:hanging="720"/>
        <w:jc w:val="both"/>
      </w:pPr>
      <w:r w:rsidRPr="00D36E5F">
        <w:t>De Melker, H. E., and M. A. E. Conyn-Van Spaendonck, 1998, Immunosurveillance and the evaluation of national immunization programmes: a population-based approach.</w:t>
      </w:r>
    </w:p>
    <w:p w14:paraId="6C5960D8" w14:textId="77777777" w:rsidR="00D36E5F" w:rsidRPr="00D36E5F" w:rsidRDefault="00D36E5F" w:rsidP="00837CD0">
      <w:pPr>
        <w:pStyle w:val="EndNoteBibliography"/>
        <w:spacing w:after="0"/>
        <w:ind w:left="720" w:hanging="720"/>
        <w:jc w:val="both"/>
      </w:pPr>
      <w:r w:rsidRPr="00D36E5F">
        <w:t>Findlow, H., H. Campbell, J. Lucidarme, N. Andrews, E. Linley, S. Ladhani, and R. Borrow, 2019, Serogroup C Neisseria meningitidis disease epidemiology, seroprevalence, vaccine effectiveness and waning immunity, England, 1998/99 to 2015/16: Eurosurveillance, v. 24, p. 1700818.</w:t>
      </w:r>
    </w:p>
    <w:p w14:paraId="057D35CF" w14:textId="77777777" w:rsidR="00D36E5F" w:rsidRPr="00D36E5F" w:rsidRDefault="00D36E5F" w:rsidP="00837CD0">
      <w:pPr>
        <w:pStyle w:val="EndNoteBibliography"/>
        <w:spacing w:after="0"/>
        <w:ind w:left="720" w:hanging="720"/>
        <w:jc w:val="both"/>
      </w:pPr>
      <w:r w:rsidRPr="00D36E5F">
        <w:t>Klis, F. v. d., L. Mollema, G. Berbers, H. d. Melker, and R. Coutinho, 2009, Second national serum bank for population-based seroprevalence studies in the Netherlands: The Netherlands Journal of Medicine, p. 301-8.</w:t>
      </w:r>
    </w:p>
    <w:p w14:paraId="04CA1920" w14:textId="77777777" w:rsidR="00D36E5F" w:rsidRPr="00D36E5F" w:rsidRDefault="00D36E5F" w:rsidP="00837CD0">
      <w:pPr>
        <w:pStyle w:val="EndNoteBibliography"/>
        <w:spacing w:after="0"/>
        <w:ind w:left="720" w:hanging="720"/>
        <w:jc w:val="both"/>
      </w:pPr>
      <w:r w:rsidRPr="00D36E5F">
        <w:t>Maslanka, S., L. Gheesling, D. Libutti, K. Donaldson, H. Harakeh, and J. Dykes, 1997, Standardisation and a multilaboratory comparison of Neisseria meningitidis group A and C serum bactericidal assays.: Clin Diagn Lab Immunol, v. 4, p. 156-67.</w:t>
      </w:r>
    </w:p>
    <w:p w14:paraId="0DCE4E46" w14:textId="77777777" w:rsidR="00D36E5F" w:rsidRPr="00D36E5F" w:rsidRDefault="00D36E5F" w:rsidP="00837CD0">
      <w:pPr>
        <w:pStyle w:val="EndNoteBibliography"/>
        <w:spacing w:after="0"/>
        <w:ind w:left="720" w:hanging="720"/>
        <w:jc w:val="both"/>
      </w:pPr>
      <w:r w:rsidRPr="00D36E5F">
        <w:t>Melker, H. D., and M. C.-v. Spaendonck, 1998, Immunosurveillance and the evaluation of national immunization programmes: a population-based approach: Epidemiology and infection, p. 637-43.</w:t>
      </w:r>
    </w:p>
    <w:p w14:paraId="6105CEEA" w14:textId="77777777" w:rsidR="00D36E5F" w:rsidRPr="00D36E5F" w:rsidRDefault="00D36E5F" w:rsidP="00837CD0">
      <w:pPr>
        <w:pStyle w:val="EndNoteBibliography"/>
        <w:spacing w:after="0"/>
        <w:ind w:left="720" w:hanging="720"/>
        <w:jc w:val="both"/>
      </w:pPr>
      <w:r w:rsidRPr="00D36E5F">
        <w:t>Mis, N. F., K. Kennedy, M. Fewtrell, C. Campoy, and B. Koletzko, 2018, The Role of Incentives in Long-Term Nutritional and Growth Studies in Children: J Pediatr Gastroenterol Nutr.</w:t>
      </w:r>
    </w:p>
    <w:p w14:paraId="5A95C498" w14:textId="77777777" w:rsidR="00D36E5F" w:rsidRPr="00D36E5F" w:rsidRDefault="00D36E5F" w:rsidP="00837CD0">
      <w:pPr>
        <w:pStyle w:val="EndNoteBibliography"/>
        <w:spacing w:after="0"/>
        <w:ind w:left="720" w:hanging="720"/>
        <w:jc w:val="both"/>
      </w:pPr>
      <w:r w:rsidRPr="00D36E5F">
        <w:t>Pickering, J., T. Martins, M. Schroder, and H. Hill, 2002, Comparison of a multiplex flow cytometric assay with enzyme linked immunosorbent assay for auantitation of antibodies to tetanus, diphtheria, and Hameophilus influenzae type b. : Clin Diagn Lab Immunol, v. 9, p. 872-6.</w:t>
      </w:r>
    </w:p>
    <w:p w14:paraId="1EFC284A" w14:textId="77777777" w:rsidR="00D36E5F" w:rsidRPr="00D36E5F" w:rsidRDefault="00D36E5F" w:rsidP="00837CD0">
      <w:pPr>
        <w:pStyle w:val="EndNoteBibliography"/>
        <w:spacing w:after="0"/>
        <w:ind w:left="720" w:hanging="720"/>
        <w:jc w:val="both"/>
      </w:pPr>
      <w:r w:rsidRPr="00D36E5F">
        <w:t>Sekine, T., A. Perez-Potti, O. Rivera-Ballesteros, K. Strålin, J.-B. Gorin, A. Olsson, S. Llewellyn-Lacey, H. Kamal, G. Bogdanovic, S. Muschiol, D. J. Wullimann, T. Kammann, J. Emgård, T. Parrot, E. Folkesson, O. Rooyackers, L. I. Eriksson, A. Sönnerborg, T. Allander, J. Albert, M. Nielsen, J. Klingström, S. Gredmark-Russ, N. K. Björkström, J. K. Sandberg, D. A. Price, H.-G. Ljunggren, S. Aleman, and M. Buggert, 2020, Robust T cell immunity in convalescent individuals with asymptomatic or mild COVID-19: bioRxiv, p. 2020.06.29.174888.</w:t>
      </w:r>
    </w:p>
    <w:p w14:paraId="502D25DE" w14:textId="77777777" w:rsidR="00D36E5F" w:rsidRPr="00D36E5F" w:rsidRDefault="00D36E5F" w:rsidP="00D36E5F">
      <w:pPr>
        <w:pStyle w:val="EndNoteBibliography"/>
        <w:spacing w:after="0"/>
        <w:ind w:left="720" w:hanging="720"/>
      </w:pPr>
      <w:r w:rsidRPr="00D36E5F">
        <w:t>Wagner, K., J. White, N. Andrews, R. Borrow, E. Stanford, E. Newton, and R. Pebody, Immunity to tetanus and diphtheria in the UK in 2009: Vaccine, p. 7111 - 7117.</w:t>
      </w:r>
    </w:p>
    <w:p w14:paraId="4FB783BE" w14:textId="77777777" w:rsidR="00D36E5F" w:rsidRPr="00D36E5F" w:rsidRDefault="00D36E5F" w:rsidP="00D36E5F">
      <w:pPr>
        <w:pStyle w:val="EndNoteBibliography"/>
        <w:ind w:left="720" w:hanging="720"/>
      </w:pPr>
      <w:r w:rsidRPr="00D36E5F">
        <w:t>Wagner, K. S., J. M. White, N. J. Andrews, R. Borrow, E. Stanford, E. Newton, and R. G. Pebody, 2012, Immunity to tetanus and diphtheria in the UK in 2009: Vaccine, v. 30, p. 7111-7.</w:t>
      </w:r>
    </w:p>
    <w:p w14:paraId="1569E1FA" w14:textId="39BAD62E" w:rsidR="005B19EB" w:rsidRPr="008075C1" w:rsidRDefault="00EC6BD7" w:rsidP="006B7B71">
      <w:pPr>
        <w:spacing w:after="0"/>
        <w:ind w:firstLine="720"/>
        <w:jc w:val="both"/>
        <w:rPr>
          <w:rFonts w:eastAsiaTheme="majorEastAsia" w:cstheme="majorBidi"/>
          <w:b/>
          <w:bCs/>
          <w:sz w:val="24"/>
          <w:szCs w:val="28"/>
        </w:rPr>
      </w:pPr>
      <w:r w:rsidRPr="00783E20">
        <w:rPr>
          <w:b/>
          <w:sz w:val="24"/>
        </w:rPr>
        <w:fldChar w:fldCharType="end"/>
      </w:r>
      <w:r w:rsidR="005A3497" w:rsidRPr="009E1297">
        <w:br w:type="page"/>
      </w:r>
      <w:r w:rsidR="00DA14BC" w:rsidRPr="009E1297">
        <w:lastRenderedPageBreak/>
        <w:t>APPENDIX C</w:t>
      </w:r>
      <w:r w:rsidR="005B19EB" w:rsidRPr="009E1297">
        <w:t>:  AMENDMENT HISTORY</w:t>
      </w:r>
    </w:p>
    <w:p w14:paraId="1A0EEF64" w14:textId="77777777" w:rsidR="008A1215" w:rsidRPr="009E1297" w:rsidRDefault="008A1215" w:rsidP="008A1215"/>
    <w:tbl>
      <w:tblPr>
        <w:tblStyle w:val="TableGrid"/>
        <w:tblW w:w="9213" w:type="dxa"/>
        <w:tblLook w:val="01E0" w:firstRow="1" w:lastRow="1" w:firstColumn="1" w:lastColumn="1" w:noHBand="0" w:noVBand="0"/>
      </w:tblPr>
      <w:tblGrid>
        <w:gridCol w:w="1391"/>
        <w:gridCol w:w="1226"/>
        <w:gridCol w:w="1141"/>
        <w:gridCol w:w="1910"/>
        <w:gridCol w:w="3545"/>
      </w:tblGrid>
      <w:tr w:rsidR="008A1215" w:rsidRPr="009E1297" w14:paraId="7A726F58" w14:textId="77777777" w:rsidTr="00876BDC">
        <w:tc>
          <w:tcPr>
            <w:tcW w:w="1391" w:type="dxa"/>
          </w:tcPr>
          <w:p w14:paraId="4A029250" w14:textId="77777777" w:rsidR="008A1215" w:rsidRPr="009E1297" w:rsidRDefault="008A1215" w:rsidP="00ED19FA">
            <w:pPr>
              <w:rPr>
                <w:b/>
              </w:rPr>
            </w:pPr>
            <w:r w:rsidRPr="009E1297">
              <w:rPr>
                <w:b/>
              </w:rPr>
              <w:t>Amendment No.</w:t>
            </w:r>
          </w:p>
        </w:tc>
        <w:tc>
          <w:tcPr>
            <w:tcW w:w="1227" w:type="dxa"/>
          </w:tcPr>
          <w:p w14:paraId="5FB3EFBC" w14:textId="77777777" w:rsidR="008A1215" w:rsidRPr="009E1297" w:rsidRDefault="008A1215" w:rsidP="00ED19FA">
            <w:pPr>
              <w:rPr>
                <w:b/>
              </w:rPr>
            </w:pPr>
            <w:r w:rsidRPr="009E1297">
              <w:rPr>
                <w:b/>
              </w:rPr>
              <w:t>Protocol Version No.</w:t>
            </w:r>
          </w:p>
        </w:tc>
        <w:tc>
          <w:tcPr>
            <w:tcW w:w="1132" w:type="dxa"/>
          </w:tcPr>
          <w:p w14:paraId="1500F5FC" w14:textId="77777777" w:rsidR="008A1215" w:rsidRPr="009E1297" w:rsidRDefault="008A1215" w:rsidP="00ED19FA">
            <w:pPr>
              <w:rPr>
                <w:b/>
              </w:rPr>
            </w:pPr>
            <w:r w:rsidRPr="009E1297">
              <w:rPr>
                <w:b/>
              </w:rPr>
              <w:t>Date issued</w:t>
            </w:r>
          </w:p>
        </w:tc>
        <w:tc>
          <w:tcPr>
            <w:tcW w:w="1915" w:type="dxa"/>
          </w:tcPr>
          <w:p w14:paraId="60E99398" w14:textId="77777777" w:rsidR="008A1215" w:rsidRPr="009E1297" w:rsidRDefault="008A1215" w:rsidP="00ED19FA">
            <w:pPr>
              <w:rPr>
                <w:b/>
              </w:rPr>
            </w:pPr>
            <w:r w:rsidRPr="009E1297">
              <w:rPr>
                <w:b/>
              </w:rPr>
              <w:t>Author(s) of changes</w:t>
            </w:r>
          </w:p>
        </w:tc>
        <w:tc>
          <w:tcPr>
            <w:tcW w:w="3548" w:type="dxa"/>
          </w:tcPr>
          <w:p w14:paraId="7BD02042" w14:textId="77777777" w:rsidR="008A1215" w:rsidRPr="009E1297" w:rsidRDefault="008A1215" w:rsidP="00ED19FA">
            <w:pPr>
              <w:rPr>
                <w:b/>
              </w:rPr>
            </w:pPr>
            <w:r w:rsidRPr="009E1297">
              <w:rPr>
                <w:b/>
              </w:rPr>
              <w:t>Details of Changes made</w:t>
            </w:r>
          </w:p>
        </w:tc>
      </w:tr>
      <w:tr w:rsidR="008A1215" w:rsidRPr="009E1297" w14:paraId="26CBC013" w14:textId="77777777" w:rsidTr="00876BDC">
        <w:tc>
          <w:tcPr>
            <w:tcW w:w="1391" w:type="dxa"/>
          </w:tcPr>
          <w:p w14:paraId="13268E6A" w14:textId="290AEDA0" w:rsidR="008A1215" w:rsidRPr="009E1297" w:rsidRDefault="001A6C11" w:rsidP="00ED19FA">
            <w:r>
              <w:t>1</w:t>
            </w:r>
          </w:p>
        </w:tc>
        <w:tc>
          <w:tcPr>
            <w:tcW w:w="1227" w:type="dxa"/>
          </w:tcPr>
          <w:p w14:paraId="49322D55" w14:textId="3735E4CE" w:rsidR="008A1215" w:rsidRPr="009E1297" w:rsidRDefault="001A6C11" w:rsidP="00ED19FA">
            <w:r>
              <w:t>V1.1</w:t>
            </w:r>
          </w:p>
        </w:tc>
        <w:tc>
          <w:tcPr>
            <w:tcW w:w="1132" w:type="dxa"/>
          </w:tcPr>
          <w:p w14:paraId="2501F1E5" w14:textId="29978209" w:rsidR="008A1215" w:rsidRPr="009E1297" w:rsidRDefault="001A6C11" w:rsidP="00ED19FA">
            <w:r>
              <w:t>21-June-2019</w:t>
            </w:r>
          </w:p>
        </w:tc>
        <w:tc>
          <w:tcPr>
            <w:tcW w:w="1915" w:type="dxa"/>
          </w:tcPr>
          <w:p w14:paraId="56A993C4" w14:textId="0BB1FD3C" w:rsidR="008A1215" w:rsidRPr="009E1297" w:rsidRDefault="001A6C11" w:rsidP="00ED19FA">
            <w:r>
              <w:t>Helen Ratcliffe</w:t>
            </w:r>
          </w:p>
        </w:tc>
        <w:tc>
          <w:tcPr>
            <w:tcW w:w="3548" w:type="dxa"/>
          </w:tcPr>
          <w:p w14:paraId="0937FE1E" w14:textId="77777777" w:rsidR="008A1215" w:rsidRDefault="001A6C11" w:rsidP="00AA6458">
            <w:pPr>
              <w:pStyle w:val="ListParagraph"/>
              <w:numPr>
                <w:ilvl w:val="0"/>
                <w:numId w:val="18"/>
              </w:numPr>
            </w:pPr>
            <w:r>
              <w:t>Clarification information storage according to GDPR guidelines</w:t>
            </w:r>
          </w:p>
          <w:p w14:paraId="42969B2C" w14:textId="0764BB95" w:rsidR="001A6C11" w:rsidRPr="009E1297" w:rsidRDefault="001A6C11" w:rsidP="00AA6458">
            <w:pPr>
              <w:pStyle w:val="ListParagraph"/>
              <w:numPr>
                <w:ilvl w:val="0"/>
                <w:numId w:val="18"/>
              </w:numPr>
            </w:pPr>
            <w:r>
              <w:t>Removal of minimum blood volume.</w:t>
            </w:r>
          </w:p>
        </w:tc>
      </w:tr>
      <w:tr w:rsidR="001A6C11" w:rsidRPr="009E1297" w14:paraId="0569BABD" w14:textId="77777777" w:rsidTr="00876BDC">
        <w:tc>
          <w:tcPr>
            <w:tcW w:w="1391" w:type="dxa"/>
          </w:tcPr>
          <w:p w14:paraId="36929BDC" w14:textId="0A16A582" w:rsidR="001A6C11" w:rsidRDefault="001A6C11" w:rsidP="00ED19FA">
            <w:r>
              <w:t>2</w:t>
            </w:r>
          </w:p>
        </w:tc>
        <w:tc>
          <w:tcPr>
            <w:tcW w:w="1227" w:type="dxa"/>
          </w:tcPr>
          <w:p w14:paraId="31721A8B" w14:textId="5102F327" w:rsidR="001A6C11" w:rsidRDefault="00030B8D" w:rsidP="00FA1960">
            <w:r>
              <w:t>V2.</w:t>
            </w:r>
            <w:r w:rsidR="00FA1960">
              <w:t>0</w:t>
            </w:r>
          </w:p>
        </w:tc>
        <w:tc>
          <w:tcPr>
            <w:tcW w:w="1132" w:type="dxa"/>
          </w:tcPr>
          <w:p w14:paraId="01711540" w14:textId="201E051A" w:rsidR="001A6C11" w:rsidRDefault="00FA1960" w:rsidP="00ED19FA">
            <w:r>
              <w:t>09-Aug</w:t>
            </w:r>
            <w:r w:rsidR="001A6C11">
              <w:t>-2019</w:t>
            </w:r>
          </w:p>
        </w:tc>
        <w:tc>
          <w:tcPr>
            <w:tcW w:w="1915" w:type="dxa"/>
          </w:tcPr>
          <w:p w14:paraId="6A48E80D" w14:textId="2CC26425" w:rsidR="001A6C11" w:rsidRDefault="001A6C11" w:rsidP="00ED19FA">
            <w:r>
              <w:t>Helen Ratcliffe</w:t>
            </w:r>
          </w:p>
        </w:tc>
        <w:tc>
          <w:tcPr>
            <w:tcW w:w="3548" w:type="dxa"/>
          </w:tcPr>
          <w:p w14:paraId="664669C9" w14:textId="77777777" w:rsidR="001A6C11" w:rsidRDefault="001A6C11" w:rsidP="00AA6458">
            <w:pPr>
              <w:pStyle w:val="ListParagraph"/>
              <w:numPr>
                <w:ilvl w:val="0"/>
                <w:numId w:val="38"/>
              </w:numPr>
            </w:pPr>
            <w:r>
              <w:t>Change of PI for Bristol University NHS Trust to Dr Marion Roderick</w:t>
            </w:r>
          </w:p>
          <w:p w14:paraId="7DF3A9B9" w14:textId="77777777" w:rsidR="001A6C11" w:rsidRDefault="001A6C11" w:rsidP="00AA6458">
            <w:pPr>
              <w:pStyle w:val="ListParagraph"/>
              <w:numPr>
                <w:ilvl w:val="0"/>
                <w:numId w:val="38"/>
              </w:numPr>
            </w:pPr>
            <w:r>
              <w:t>Change of PI for St Georges NHS trust to Dr Eva Galiza</w:t>
            </w:r>
          </w:p>
          <w:p w14:paraId="4B5216CE" w14:textId="2C0196C0" w:rsidR="001A6C11" w:rsidRDefault="001A6C11" w:rsidP="00AA6458">
            <w:pPr>
              <w:pStyle w:val="ListParagraph"/>
              <w:numPr>
                <w:ilvl w:val="0"/>
                <w:numId w:val="38"/>
              </w:numPr>
            </w:pPr>
            <w:r>
              <w:t>Clarification of reimbursement which is for travel and not time taken to participate in study.</w:t>
            </w:r>
          </w:p>
          <w:p w14:paraId="54010E27" w14:textId="3B1F1337" w:rsidR="00051F6E" w:rsidRDefault="00051F6E" w:rsidP="00AA6458">
            <w:pPr>
              <w:pStyle w:val="ListParagraph"/>
              <w:numPr>
                <w:ilvl w:val="0"/>
                <w:numId w:val="38"/>
              </w:numPr>
            </w:pPr>
            <w:r>
              <w:t>Addition of anaesthetic spray which can be used instead of anaesthetic cream.</w:t>
            </w:r>
          </w:p>
          <w:p w14:paraId="1352DEEA" w14:textId="77777777" w:rsidR="001A6C11" w:rsidRDefault="001A6C11" w:rsidP="00AA6458">
            <w:pPr>
              <w:pStyle w:val="ListParagraph"/>
              <w:numPr>
                <w:ilvl w:val="0"/>
                <w:numId w:val="38"/>
              </w:numPr>
            </w:pPr>
            <w:r>
              <w:t xml:space="preserve">Change in exclusion criteria. </w:t>
            </w:r>
          </w:p>
          <w:p w14:paraId="09FB3695" w14:textId="4C266D5E" w:rsidR="00FA1960" w:rsidRDefault="00FA1960" w:rsidP="00AA6458">
            <w:pPr>
              <w:pStyle w:val="ListParagraph"/>
              <w:numPr>
                <w:ilvl w:val="0"/>
                <w:numId w:val="38"/>
              </w:numPr>
            </w:pPr>
            <w:r>
              <w:t>Clarification of data storage durations in section 13.3</w:t>
            </w:r>
          </w:p>
        </w:tc>
      </w:tr>
      <w:tr w:rsidR="00C86A12" w:rsidRPr="009E1297" w14:paraId="461EEBDE" w14:textId="77777777" w:rsidTr="00876BDC">
        <w:tc>
          <w:tcPr>
            <w:tcW w:w="1391" w:type="dxa"/>
          </w:tcPr>
          <w:p w14:paraId="57DFDB9B" w14:textId="3163F0CF" w:rsidR="00C86A12" w:rsidRDefault="00C86A12" w:rsidP="00ED19FA">
            <w:r>
              <w:t>3</w:t>
            </w:r>
          </w:p>
        </w:tc>
        <w:tc>
          <w:tcPr>
            <w:tcW w:w="1227" w:type="dxa"/>
          </w:tcPr>
          <w:p w14:paraId="41F8AF5C" w14:textId="14B323C4" w:rsidR="00C86A12" w:rsidRDefault="00C86A12" w:rsidP="00FA1960">
            <w:r>
              <w:t>V2.1</w:t>
            </w:r>
          </w:p>
        </w:tc>
        <w:tc>
          <w:tcPr>
            <w:tcW w:w="1132" w:type="dxa"/>
          </w:tcPr>
          <w:p w14:paraId="7C6C4565" w14:textId="4107FE30" w:rsidR="00C86A12" w:rsidRDefault="00C86A12" w:rsidP="00ED19FA">
            <w:r>
              <w:t>03-Oct-2019</w:t>
            </w:r>
          </w:p>
        </w:tc>
        <w:tc>
          <w:tcPr>
            <w:tcW w:w="1915" w:type="dxa"/>
          </w:tcPr>
          <w:p w14:paraId="60AF1FE3" w14:textId="77777777" w:rsidR="00C86A12" w:rsidRDefault="00C86A12" w:rsidP="00ED19FA"/>
        </w:tc>
        <w:tc>
          <w:tcPr>
            <w:tcW w:w="3548" w:type="dxa"/>
          </w:tcPr>
          <w:p w14:paraId="40B0CCD5" w14:textId="23BDA9CD" w:rsidR="00C86A12" w:rsidRDefault="00C86A12" w:rsidP="00AA6458">
            <w:pPr>
              <w:pStyle w:val="ListParagraph"/>
              <w:numPr>
                <w:ilvl w:val="0"/>
                <w:numId w:val="22"/>
              </w:numPr>
            </w:pPr>
            <w:r>
              <w:t>Removal of duplicated section heading</w:t>
            </w:r>
            <w:r w:rsidR="006B7B71">
              <w:t xml:space="preserve"> and addition of section numbering</w:t>
            </w:r>
          </w:p>
          <w:p w14:paraId="60AEED45" w14:textId="77777777" w:rsidR="00C86A12" w:rsidRDefault="00C86A12" w:rsidP="00AA6458">
            <w:pPr>
              <w:pStyle w:val="ListParagraph"/>
              <w:numPr>
                <w:ilvl w:val="0"/>
                <w:numId w:val="22"/>
              </w:numPr>
            </w:pPr>
            <w:r>
              <w:t>Removal of sentence from section</w:t>
            </w:r>
            <w:r w:rsidR="006B7B71">
              <w:t xml:space="preserve"> definition of end of research study</w:t>
            </w:r>
            <w:r>
              <w:t xml:space="preserve"> </w:t>
            </w:r>
          </w:p>
          <w:p w14:paraId="39672C65" w14:textId="0F0E5EF5" w:rsidR="006B7B71" w:rsidRDefault="006B7B71" w:rsidP="00AA6458">
            <w:pPr>
              <w:pStyle w:val="ListParagraph"/>
              <w:numPr>
                <w:ilvl w:val="0"/>
                <w:numId w:val="22"/>
              </w:numPr>
            </w:pPr>
            <w:r>
              <w:t>Change in table numbering</w:t>
            </w:r>
          </w:p>
        </w:tc>
      </w:tr>
      <w:tr w:rsidR="00E24228" w:rsidRPr="009E1297" w14:paraId="19B0F199" w14:textId="77777777" w:rsidTr="00876BDC">
        <w:tc>
          <w:tcPr>
            <w:tcW w:w="1391" w:type="dxa"/>
          </w:tcPr>
          <w:p w14:paraId="56E36C7D" w14:textId="7D74EA47" w:rsidR="00E24228" w:rsidRDefault="00E24228" w:rsidP="00E24228">
            <w:r>
              <w:t>4</w:t>
            </w:r>
          </w:p>
        </w:tc>
        <w:tc>
          <w:tcPr>
            <w:tcW w:w="1227" w:type="dxa"/>
          </w:tcPr>
          <w:p w14:paraId="6DC5E88D" w14:textId="767D9927" w:rsidR="00E24228" w:rsidRDefault="00E24228" w:rsidP="00E24228">
            <w:r>
              <w:t>V3.0</w:t>
            </w:r>
          </w:p>
        </w:tc>
        <w:tc>
          <w:tcPr>
            <w:tcW w:w="1132" w:type="dxa"/>
          </w:tcPr>
          <w:p w14:paraId="5C774DB3" w14:textId="6058ABBD" w:rsidR="00E24228" w:rsidRDefault="00E24228" w:rsidP="00E24228">
            <w:r>
              <w:t>21-Feb-2020</w:t>
            </w:r>
          </w:p>
        </w:tc>
        <w:tc>
          <w:tcPr>
            <w:tcW w:w="1915" w:type="dxa"/>
          </w:tcPr>
          <w:p w14:paraId="67ECBC31" w14:textId="5EB37388" w:rsidR="00E24228" w:rsidRDefault="00E24228" w:rsidP="00E24228">
            <w:r>
              <w:t>Helen Ratcliffe</w:t>
            </w:r>
          </w:p>
        </w:tc>
        <w:tc>
          <w:tcPr>
            <w:tcW w:w="3548" w:type="dxa"/>
          </w:tcPr>
          <w:p w14:paraId="6A9920E5" w14:textId="50187374" w:rsidR="00E24228" w:rsidRDefault="00E24228" w:rsidP="00AA6458">
            <w:pPr>
              <w:pStyle w:val="ListParagraph"/>
              <w:numPr>
                <w:ilvl w:val="0"/>
                <w:numId w:val="21"/>
              </w:numPr>
            </w:pPr>
            <w:r>
              <w:t>Addition of testing for SARS-COV-2</w:t>
            </w:r>
          </w:p>
          <w:p w14:paraId="7FFCA0C7" w14:textId="0853ED6E" w:rsidR="00E24228" w:rsidRDefault="00E24228" w:rsidP="00AA6458">
            <w:pPr>
              <w:pStyle w:val="ListParagraph"/>
              <w:numPr>
                <w:ilvl w:val="0"/>
                <w:numId w:val="21"/>
              </w:numPr>
            </w:pPr>
            <w:r>
              <w:t>Questionnaire questions regarding respiratory infections introduced</w:t>
            </w:r>
          </w:p>
        </w:tc>
      </w:tr>
      <w:tr w:rsidR="00E24228" w:rsidRPr="009E1297" w14:paraId="004DAF20" w14:textId="77777777" w:rsidTr="00876BDC">
        <w:tc>
          <w:tcPr>
            <w:tcW w:w="1391" w:type="dxa"/>
          </w:tcPr>
          <w:p w14:paraId="0618F648" w14:textId="3C630E5D" w:rsidR="00E24228" w:rsidRDefault="00E24228" w:rsidP="00E24228">
            <w:r>
              <w:t>5</w:t>
            </w:r>
          </w:p>
        </w:tc>
        <w:tc>
          <w:tcPr>
            <w:tcW w:w="1227" w:type="dxa"/>
          </w:tcPr>
          <w:p w14:paraId="06ACD2B8" w14:textId="24B6D432" w:rsidR="00E24228" w:rsidRDefault="00E24228" w:rsidP="00E24228">
            <w:r>
              <w:t>V</w:t>
            </w:r>
            <w:r w:rsidR="006B3AC4">
              <w:t>4</w:t>
            </w:r>
            <w:r>
              <w:t>.0</w:t>
            </w:r>
          </w:p>
        </w:tc>
        <w:tc>
          <w:tcPr>
            <w:tcW w:w="1132" w:type="dxa"/>
          </w:tcPr>
          <w:p w14:paraId="2F1C96EA" w14:textId="23533520" w:rsidR="00E24228" w:rsidRDefault="00E24228" w:rsidP="00E24228">
            <w:r>
              <w:t>19-Mar-2020</w:t>
            </w:r>
          </w:p>
        </w:tc>
        <w:tc>
          <w:tcPr>
            <w:tcW w:w="1915" w:type="dxa"/>
          </w:tcPr>
          <w:p w14:paraId="76D66014" w14:textId="32A19250" w:rsidR="00E24228" w:rsidRDefault="00E24228" w:rsidP="00E24228">
            <w:r>
              <w:t>Helen Ratcliffe</w:t>
            </w:r>
          </w:p>
        </w:tc>
        <w:tc>
          <w:tcPr>
            <w:tcW w:w="3548" w:type="dxa"/>
          </w:tcPr>
          <w:p w14:paraId="7A1C6E59" w14:textId="05F03F35" w:rsidR="00E24228" w:rsidRDefault="00E24228" w:rsidP="00AA6458">
            <w:pPr>
              <w:pStyle w:val="ListParagraph"/>
              <w:numPr>
                <w:ilvl w:val="0"/>
                <w:numId w:val="23"/>
              </w:numPr>
            </w:pPr>
            <w:r>
              <w:t>Addition of additional 1200 participants aged 0-19 years of age</w:t>
            </w:r>
          </w:p>
          <w:p w14:paraId="6CB591EB" w14:textId="68963274" w:rsidR="000075DF" w:rsidRDefault="000075DF" w:rsidP="00AA6458">
            <w:pPr>
              <w:pStyle w:val="ListParagraph"/>
              <w:numPr>
                <w:ilvl w:val="0"/>
                <w:numId w:val="23"/>
              </w:numPr>
            </w:pPr>
            <w:r>
              <w:t>Addition of end-points for comparisons between group 1 and group 2</w:t>
            </w:r>
          </w:p>
          <w:p w14:paraId="43C5473B" w14:textId="1C4ACD67" w:rsidR="00E24228" w:rsidRDefault="00E24228" w:rsidP="00AA6458">
            <w:pPr>
              <w:pStyle w:val="ListParagraph"/>
              <w:numPr>
                <w:ilvl w:val="0"/>
                <w:numId w:val="23"/>
              </w:numPr>
            </w:pPr>
            <w:r>
              <w:t xml:space="preserve">Change to exclusion criteria </w:t>
            </w:r>
            <w:r w:rsidR="001768F4">
              <w:t xml:space="preserve">to specify selected post-code does not apply to </w:t>
            </w:r>
            <w:r>
              <w:t xml:space="preserve">the </w:t>
            </w:r>
            <w:r w:rsidR="003B3348">
              <w:t>additional 1200</w:t>
            </w:r>
            <w:r>
              <w:t xml:space="preserve"> participants</w:t>
            </w:r>
          </w:p>
          <w:p w14:paraId="25E2714D" w14:textId="5AACEF69" w:rsidR="00535CD1" w:rsidRDefault="00535CD1" w:rsidP="00AA6458">
            <w:pPr>
              <w:pStyle w:val="ListParagraph"/>
              <w:numPr>
                <w:ilvl w:val="0"/>
                <w:numId w:val="23"/>
              </w:numPr>
            </w:pPr>
            <w:r>
              <w:t xml:space="preserve">Inclusion criteria changed in protocol to reflect the different age groups for Group 1 and 2 </w:t>
            </w:r>
          </w:p>
          <w:p w14:paraId="11F87E27" w14:textId="425A71A5" w:rsidR="00E24228" w:rsidRDefault="00535CD1" w:rsidP="00AA6458">
            <w:pPr>
              <w:pStyle w:val="ListParagraph"/>
              <w:numPr>
                <w:ilvl w:val="0"/>
                <w:numId w:val="23"/>
              </w:numPr>
            </w:pPr>
            <w:r>
              <w:t>Recruitment method details for the new</w:t>
            </w:r>
            <w:r w:rsidR="005E0683">
              <w:t xml:space="preserve">ly added Group 2, which include </w:t>
            </w:r>
            <w:r w:rsidR="005E0683" w:rsidRPr="005E0683">
              <w:t xml:space="preserve">generalised mail outs, press releases, social media </w:t>
            </w:r>
            <w:r w:rsidR="005E0683" w:rsidRPr="005E0683">
              <w:lastRenderedPageBreak/>
              <w:t xml:space="preserve">adverts, schools or community clinics.  </w:t>
            </w:r>
          </w:p>
          <w:p w14:paraId="5CE30A71" w14:textId="5ABF5E10" w:rsidR="007C0517" w:rsidRDefault="007C0517" w:rsidP="00AA6458">
            <w:pPr>
              <w:pStyle w:val="ListParagraph"/>
              <w:numPr>
                <w:ilvl w:val="0"/>
                <w:numId w:val="23"/>
              </w:numPr>
            </w:pPr>
            <w:r>
              <w:t>Update of sample size calculation section to include additional 1200 participants</w:t>
            </w:r>
          </w:p>
          <w:p w14:paraId="1930CDA3" w14:textId="72A253F9" w:rsidR="00E24228" w:rsidRDefault="00A6770F" w:rsidP="00AA6458">
            <w:pPr>
              <w:pStyle w:val="ListParagraph"/>
              <w:numPr>
                <w:ilvl w:val="0"/>
                <w:numId w:val="23"/>
              </w:numPr>
            </w:pPr>
            <w:r>
              <w:t>Addition of temporary exclusion criteria for suspected COVID-19</w:t>
            </w:r>
          </w:p>
        </w:tc>
      </w:tr>
      <w:tr w:rsidR="00AE0D02" w:rsidRPr="009E1297" w14:paraId="34689FDA" w14:textId="77777777" w:rsidTr="00876BDC">
        <w:tc>
          <w:tcPr>
            <w:tcW w:w="1391" w:type="dxa"/>
          </w:tcPr>
          <w:p w14:paraId="2D3A90F8" w14:textId="00EE5193" w:rsidR="00AE0D02" w:rsidRDefault="00AE0D02" w:rsidP="00AE0D02">
            <w:r>
              <w:lastRenderedPageBreak/>
              <w:t>6</w:t>
            </w:r>
          </w:p>
        </w:tc>
        <w:tc>
          <w:tcPr>
            <w:tcW w:w="1227" w:type="dxa"/>
          </w:tcPr>
          <w:p w14:paraId="3AD84A31" w14:textId="59FFC6CF" w:rsidR="00AE0D02" w:rsidRDefault="009F5951" w:rsidP="00E24228">
            <w:r>
              <w:t>V5.0</w:t>
            </w:r>
          </w:p>
        </w:tc>
        <w:tc>
          <w:tcPr>
            <w:tcW w:w="1132" w:type="dxa"/>
          </w:tcPr>
          <w:p w14:paraId="16A31A50" w14:textId="5C7664BA" w:rsidR="00AE0D02" w:rsidRDefault="009F5951" w:rsidP="00E24228">
            <w:r>
              <w:t>30</w:t>
            </w:r>
            <w:r w:rsidRPr="007E400E">
              <w:rPr>
                <w:vertAlign w:val="superscript"/>
              </w:rPr>
              <w:t>th</w:t>
            </w:r>
            <w:r>
              <w:t xml:space="preserve"> April 2020</w:t>
            </w:r>
          </w:p>
        </w:tc>
        <w:tc>
          <w:tcPr>
            <w:tcW w:w="1915" w:type="dxa"/>
          </w:tcPr>
          <w:p w14:paraId="0A3520BE" w14:textId="4D500F3A" w:rsidR="00AE0D02" w:rsidRDefault="009F5951" w:rsidP="00E24228">
            <w:r>
              <w:t>Matthew Snape</w:t>
            </w:r>
          </w:p>
        </w:tc>
        <w:tc>
          <w:tcPr>
            <w:tcW w:w="3548" w:type="dxa"/>
          </w:tcPr>
          <w:p w14:paraId="47A82455" w14:textId="77777777" w:rsidR="009F5951" w:rsidRDefault="009F5951" w:rsidP="00AA6458">
            <w:pPr>
              <w:pStyle w:val="ListParagraph"/>
              <w:numPr>
                <w:ilvl w:val="0"/>
                <w:numId w:val="27"/>
              </w:numPr>
            </w:pPr>
            <w:r>
              <w:t>Incorporation of additional study sites and Principal investigators</w:t>
            </w:r>
          </w:p>
          <w:p w14:paraId="1886A0D5" w14:textId="77777777" w:rsidR="009F5951" w:rsidRDefault="009F5951" w:rsidP="00AA6458">
            <w:pPr>
              <w:pStyle w:val="ListParagraph"/>
              <w:numPr>
                <w:ilvl w:val="0"/>
                <w:numId w:val="27"/>
              </w:numPr>
            </w:pPr>
            <w:r>
              <w:t>Change of sample size from 3500 to ‘2800 to 3500’, to change emphasis to at least 400 samples per month, inclusive of repeat blood samples from longitudinal cohort.</w:t>
            </w:r>
          </w:p>
          <w:p w14:paraId="7FD4B795" w14:textId="77777777" w:rsidR="009F5951" w:rsidRDefault="009F5951" w:rsidP="00AA6458">
            <w:pPr>
              <w:pStyle w:val="ListParagraph"/>
              <w:numPr>
                <w:ilvl w:val="0"/>
                <w:numId w:val="27"/>
              </w:numPr>
            </w:pPr>
            <w:r>
              <w:t>Addition of longitudinal sampling cohort, with repeat blood samples, and saliva samples</w:t>
            </w:r>
          </w:p>
          <w:p w14:paraId="1E93D5C7" w14:textId="77777777" w:rsidR="009F5951" w:rsidRDefault="009F5951" w:rsidP="00AA6458">
            <w:pPr>
              <w:pStyle w:val="ListParagraph"/>
              <w:numPr>
                <w:ilvl w:val="0"/>
                <w:numId w:val="27"/>
              </w:numPr>
            </w:pPr>
            <w:r>
              <w:t>Update of lay summary and background and Rationale to better explain COVID-19 methodology and longitudinal sampling cohort</w:t>
            </w:r>
          </w:p>
          <w:p w14:paraId="287CF681" w14:textId="77777777" w:rsidR="009F5951" w:rsidRDefault="009F5951" w:rsidP="00AA6458">
            <w:pPr>
              <w:pStyle w:val="ListParagraph"/>
              <w:numPr>
                <w:ilvl w:val="0"/>
                <w:numId w:val="27"/>
              </w:numPr>
            </w:pPr>
            <w:r>
              <w:t xml:space="preserve">Update of study objectives to </w:t>
            </w:r>
          </w:p>
          <w:p w14:paraId="5D098A14" w14:textId="77777777" w:rsidR="009F5951" w:rsidRDefault="009F5951" w:rsidP="00AA6458">
            <w:pPr>
              <w:pStyle w:val="ListParagraph"/>
              <w:numPr>
                <w:ilvl w:val="1"/>
                <w:numId w:val="27"/>
              </w:numPr>
            </w:pPr>
            <w:r>
              <w:t>Substitute ‘antibody concentrations’ for ‘immunity’</w:t>
            </w:r>
          </w:p>
          <w:p w14:paraId="52030B97" w14:textId="77777777" w:rsidR="009F5951" w:rsidRDefault="009F5951" w:rsidP="00AA6458">
            <w:pPr>
              <w:pStyle w:val="ListParagraph"/>
              <w:numPr>
                <w:ilvl w:val="1"/>
                <w:numId w:val="27"/>
              </w:numPr>
            </w:pPr>
            <w:r>
              <w:t>Substitute SARS-CoV-2 where appropriate</w:t>
            </w:r>
          </w:p>
          <w:p w14:paraId="59E07007" w14:textId="77777777" w:rsidR="009F5951" w:rsidRDefault="009F5951" w:rsidP="00AA6458">
            <w:pPr>
              <w:pStyle w:val="ListParagraph"/>
              <w:numPr>
                <w:ilvl w:val="1"/>
                <w:numId w:val="27"/>
              </w:numPr>
            </w:pPr>
            <w:r>
              <w:t xml:space="preserve">Add in cross sectional </w:t>
            </w:r>
            <w:proofErr w:type="spellStart"/>
            <w:r>
              <w:t>sero</w:t>
            </w:r>
            <w:proofErr w:type="spellEnd"/>
            <w:r>
              <w:t xml:space="preserve">-epidemiology for SARS-CoV-2 </w:t>
            </w:r>
          </w:p>
          <w:p w14:paraId="1236A406" w14:textId="77777777" w:rsidR="009F5951" w:rsidRDefault="009F5951" w:rsidP="00AA6458">
            <w:pPr>
              <w:pStyle w:val="ListParagraph"/>
              <w:numPr>
                <w:ilvl w:val="1"/>
                <w:numId w:val="27"/>
              </w:numPr>
            </w:pPr>
            <w:r>
              <w:t>Add in assessment of SARS-CoV-2 antibody kinetics for longitudinal cohort</w:t>
            </w:r>
          </w:p>
          <w:p w14:paraId="553F27BC" w14:textId="77777777" w:rsidR="009F5951" w:rsidRDefault="009F5951" w:rsidP="00AA6458">
            <w:pPr>
              <w:pStyle w:val="ListParagraph"/>
              <w:numPr>
                <w:ilvl w:val="1"/>
                <w:numId w:val="27"/>
              </w:numPr>
            </w:pPr>
            <w:r>
              <w:t>Add in objectives for saliva sample collection</w:t>
            </w:r>
          </w:p>
          <w:p w14:paraId="72E441EB" w14:textId="77777777" w:rsidR="009F5951" w:rsidRDefault="009F5951" w:rsidP="00AA6458">
            <w:pPr>
              <w:pStyle w:val="ListParagraph"/>
              <w:numPr>
                <w:ilvl w:val="0"/>
                <w:numId w:val="27"/>
              </w:numPr>
            </w:pPr>
            <w:r>
              <w:t xml:space="preserve"> Extensive expansion of section 7.1 ‘Study design’ to:</w:t>
            </w:r>
          </w:p>
          <w:p w14:paraId="39C1C06B" w14:textId="77777777" w:rsidR="009F5951" w:rsidRDefault="009F5951" w:rsidP="00AA6458">
            <w:pPr>
              <w:pStyle w:val="ListParagraph"/>
              <w:numPr>
                <w:ilvl w:val="1"/>
                <w:numId w:val="27"/>
              </w:numPr>
            </w:pPr>
            <w:r>
              <w:t>Explain the goals of the study, and allocation of participants to Group 1, Group 2 and longitudinal cohort study</w:t>
            </w:r>
          </w:p>
          <w:p w14:paraId="58FFA003" w14:textId="77777777" w:rsidR="009F5951" w:rsidRDefault="009F5951" w:rsidP="00AA6458">
            <w:pPr>
              <w:pStyle w:val="ListParagraph"/>
              <w:numPr>
                <w:ilvl w:val="1"/>
                <w:numId w:val="27"/>
              </w:numPr>
            </w:pPr>
            <w:r>
              <w:t>Give guidelines for recruitment in light of the above</w:t>
            </w:r>
          </w:p>
          <w:p w14:paraId="61AA7671" w14:textId="77777777" w:rsidR="009F5951" w:rsidRDefault="009F5951" w:rsidP="00AA6458">
            <w:pPr>
              <w:pStyle w:val="ListParagraph"/>
              <w:numPr>
                <w:ilvl w:val="0"/>
                <w:numId w:val="27"/>
              </w:numPr>
            </w:pPr>
            <w:r>
              <w:t>Deletion of previous section 7.2 (inclusion criteria) as a duplication of latter sections of protocol</w:t>
            </w:r>
          </w:p>
          <w:p w14:paraId="638EC7B5" w14:textId="77777777" w:rsidR="009F5951" w:rsidRDefault="009F5951" w:rsidP="00AA6458">
            <w:pPr>
              <w:pStyle w:val="ListParagraph"/>
              <w:numPr>
                <w:ilvl w:val="0"/>
                <w:numId w:val="27"/>
              </w:numPr>
            </w:pPr>
            <w:r>
              <w:lastRenderedPageBreak/>
              <w:t>Simplification of section 7.4 (sample size)</w:t>
            </w:r>
          </w:p>
          <w:p w14:paraId="779051DA" w14:textId="77777777" w:rsidR="009F5951" w:rsidRDefault="009F5951" w:rsidP="00AA6458">
            <w:pPr>
              <w:pStyle w:val="ListParagraph"/>
              <w:numPr>
                <w:ilvl w:val="0"/>
                <w:numId w:val="27"/>
              </w:numPr>
            </w:pPr>
            <w:r>
              <w:t>Adding in household contacts for questionnaire (question section 7.6)</w:t>
            </w:r>
          </w:p>
          <w:p w14:paraId="76A115FF" w14:textId="77777777" w:rsidR="009F5951" w:rsidRDefault="009F5951" w:rsidP="00AA6458">
            <w:pPr>
              <w:pStyle w:val="ListParagraph"/>
              <w:numPr>
                <w:ilvl w:val="0"/>
                <w:numId w:val="27"/>
              </w:numPr>
            </w:pPr>
            <w:r>
              <w:t>Clarification that £20 compensation will apply for visit for longitudinal sample</w:t>
            </w:r>
          </w:p>
          <w:p w14:paraId="1CD5D6F1" w14:textId="77777777" w:rsidR="009F5951" w:rsidRDefault="009F5951" w:rsidP="00AA6458">
            <w:pPr>
              <w:pStyle w:val="ListParagraph"/>
              <w:numPr>
                <w:ilvl w:val="0"/>
                <w:numId w:val="27"/>
              </w:numPr>
            </w:pPr>
            <w:r>
              <w:t xml:space="preserve">Deletion of ‘interim analysis’ from section 9.1 (inappropriate for cross-sectional </w:t>
            </w:r>
            <w:proofErr w:type="spellStart"/>
            <w:r>
              <w:t>sero</w:t>
            </w:r>
            <w:proofErr w:type="spellEnd"/>
            <w:r>
              <w:t>-prevalence study), instead allocation to Group 1 to be applied retrospectively</w:t>
            </w:r>
          </w:p>
          <w:p w14:paraId="52A3A667" w14:textId="77777777" w:rsidR="009F5951" w:rsidRDefault="009F5951" w:rsidP="00AA6458">
            <w:pPr>
              <w:pStyle w:val="ListParagraph"/>
              <w:numPr>
                <w:ilvl w:val="0"/>
                <w:numId w:val="27"/>
              </w:numPr>
            </w:pPr>
            <w:r>
              <w:t>Amendment to section 9.4 (informed consent), to address optional consent for longitudinal sample cohort</w:t>
            </w:r>
          </w:p>
          <w:p w14:paraId="6B33A8DD" w14:textId="77777777" w:rsidR="009F5951" w:rsidRDefault="009F5951" w:rsidP="00AA6458">
            <w:pPr>
              <w:pStyle w:val="ListParagraph"/>
              <w:numPr>
                <w:ilvl w:val="0"/>
                <w:numId w:val="27"/>
              </w:numPr>
            </w:pPr>
            <w:r>
              <w:t>New section 9.5.2 to incorporate subsequent visits</w:t>
            </w:r>
          </w:p>
          <w:p w14:paraId="37E21242" w14:textId="77777777" w:rsidR="009F5951" w:rsidRDefault="009F5951" w:rsidP="00AA6458">
            <w:pPr>
              <w:pStyle w:val="ListParagraph"/>
              <w:numPr>
                <w:ilvl w:val="0"/>
                <w:numId w:val="27"/>
              </w:numPr>
            </w:pPr>
            <w:r>
              <w:t>Paragraph now under laboratory methods (‘The blood sample obtained..’ moved from study visits</w:t>
            </w:r>
          </w:p>
          <w:p w14:paraId="3335DCE9" w14:textId="20C0D7D3" w:rsidR="00AE0D02" w:rsidRDefault="009F5951" w:rsidP="00AA6458">
            <w:pPr>
              <w:pStyle w:val="ListParagraph"/>
              <w:numPr>
                <w:ilvl w:val="0"/>
                <w:numId w:val="27"/>
              </w:numPr>
            </w:pPr>
            <w:r>
              <w:t>Update of statistical analysis plan to incorporate new study objectives</w:t>
            </w:r>
          </w:p>
        </w:tc>
      </w:tr>
      <w:tr w:rsidR="00AF5BCA" w:rsidRPr="009E1297" w14:paraId="59490A22" w14:textId="77777777" w:rsidTr="00876BDC">
        <w:trPr>
          <w:trHeight w:val="70"/>
        </w:trPr>
        <w:tc>
          <w:tcPr>
            <w:tcW w:w="1391" w:type="dxa"/>
          </w:tcPr>
          <w:p w14:paraId="4805A937" w14:textId="3C7E395C" w:rsidR="00AF5BCA" w:rsidRDefault="00AF5BCA" w:rsidP="00AE0D02">
            <w:r>
              <w:lastRenderedPageBreak/>
              <w:t>7</w:t>
            </w:r>
          </w:p>
        </w:tc>
        <w:tc>
          <w:tcPr>
            <w:tcW w:w="1227" w:type="dxa"/>
          </w:tcPr>
          <w:p w14:paraId="6E3633D5" w14:textId="7511BF83" w:rsidR="00AF5BCA" w:rsidRDefault="00AF5BCA" w:rsidP="00E24228">
            <w:r>
              <w:t>V</w:t>
            </w:r>
            <w:r w:rsidR="00510335">
              <w:t>6.0</w:t>
            </w:r>
          </w:p>
          <w:p w14:paraId="546EFF76" w14:textId="77777777" w:rsidR="00510335" w:rsidRDefault="00510335" w:rsidP="00E24228"/>
          <w:p w14:paraId="1C398969" w14:textId="5AA704C6" w:rsidR="00510335" w:rsidRDefault="00510335" w:rsidP="00E24228"/>
        </w:tc>
        <w:tc>
          <w:tcPr>
            <w:tcW w:w="1132" w:type="dxa"/>
          </w:tcPr>
          <w:p w14:paraId="6659403B" w14:textId="2E02F527" w:rsidR="00AF5BCA" w:rsidRDefault="00AF5BCA" w:rsidP="00E24228">
            <w:r>
              <w:t>1</w:t>
            </w:r>
            <w:r w:rsidR="00510335">
              <w:t>5</w:t>
            </w:r>
            <w:r w:rsidRPr="00E77CB0">
              <w:rPr>
                <w:vertAlign w:val="superscript"/>
              </w:rPr>
              <w:t>th</w:t>
            </w:r>
            <w:r>
              <w:t xml:space="preserve"> June 2020</w:t>
            </w:r>
          </w:p>
        </w:tc>
        <w:tc>
          <w:tcPr>
            <w:tcW w:w="1915" w:type="dxa"/>
          </w:tcPr>
          <w:p w14:paraId="09021564" w14:textId="1AADED70" w:rsidR="00AF5BCA" w:rsidRDefault="00AF5BCA" w:rsidP="00E24228">
            <w:r>
              <w:t>Helen Ratcliffe</w:t>
            </w:r>
          </w:p>
        </w:tc>
        <w:tc>
          <w:tcPr>
            <w:tcW w:w="3548" w:type="dxa"/>
          </w:tcPr>
          <w:p w14:paraId="19C6E819" w14:textId="182360FD" w:rsidR="00AF5BCA" w:rsidRDefault="00AF5BCA" w:rsidP="00AA6458">
            <w:pPr>
              <w:pStyle w:val="ListParagraph"/>
              <w:numPr>
                <w:ilvl w:val="0"/>
                <w:numId w:val="30"/>
              </w:numPr>
            </w:pPr>
            <w:r>
              <w:t>Correction of study end date</w:t>
            </w:r>
            <w:r w:rsidR="009B0540">
              <w:t xml:space="preserve"> in section 3.Synopsis</w:t>
            </w:r>
          </w:p>
          <w:p w14:paraId="72E26C97" w14:textId="10731E92" w:rsidR="007B06A2" w:rsidRDefault="00AF5BCA" w:rsidP="00AA6458">
            <w:pPr>
              <w:pStyle w:val="ListParagraph"/>
              <w:numPr>
                <w:ilvl w:val="0"/>
                <w:numId w:val="30"/>
              </w:numPr>
            </w:pPr>
            <w:r>
              <w:t>Correction of age groups</w:t>
            </w:r>
            <w:r w:rsidR="009B0540">
              <w:t xml:space="preserve"> in section 7.1 Study design</w:t>
            </w:r>
          </w:p>
          <w:p w14:paraId="2B6891D2" w14:textId="3C1B5159" w:rsidR="006217F5" w:rsidRPr="00E77CB0" w:rsidRDefault="006217F5" w:rsidP="00AA6458">
            <w:pPr>
              <w:pStyle w:val="ListParagraph"/>
              <w:numPr>
                <w:ilvl w:val="0"/>
                <w:numId w:val="30"/>
              </w:numPr>
            </w:pPr>
            <w:r>
              <w:t xml:space="preserve">Correction of collection of samples to </w:t>
            </w:r>
            <w:r w:rsidRPr="6217F8DA">
              <w:rPr>
                <w:rFonts w:eastAsia="Times New Roman"/>
                <w:color w:val="000000" w:themeColor="text1"/>
              </w:rPr>
              <w:t>December 2020</w:t>
            </w:r>
            <w:r>
              <w:rPr>
                <w:rFonts w:eastAsia="Times New Roman"/>
                <w:color w:val="000000" w:themeColor="text1"/>
              </w:rPr>
              <w:t xml:space="preserve"> in section 7.1 Study design</w:t>
            </w:r>
          </w:p>
          <w:p w14:paraId="7F0C8EEE" w14:textId="613CFD30" w:rsidR="006217F5" w:rsidRPr="007B06A2" w:rsidRDefault="006217F5" w:rsidP="00AA6458">
            <w:pPr>
              <w:pStyle w:val="ListParagraph"/>
              <w:numPr>
                <w:ilvl w:val="0"/>
                <w:numId w:val="30"/>
              </w:numPr>
            </w:pPr>
            <w:r>
              <w:t xml:space="preserve">Extension of time between longitudinal visits in 7.1 Study design and </w:t>
            </w:r>
            <w:r w:rsidRPr="006217F5">
              <w:t>9.5.2 Subsequent visits (longitudinal sampling cohort)</w:t>
            </w:r>
            <w:r>
              <w:t xml:space="preserve"> </w:t>
            </w:r>
          </w:p>
          <w:p w14:paraId="6B46D82E" w14:textId="71F9C1CB" w:rsidR="003E231F" w:rsidRDefault="00AF5BCA" w:rsidP="00AA6458">
            <w:pPr>
              <w:pStyle w:val="ListParagraph"/>
              <w:numPr>
                <w:ilvl w:val="0"/>
                <w:numId w:val="30"/>
              </w:numPr>
            </w:pPr>
            <w:r>
              <w:t xml:space="preserve">Clarification on the difference between withdrawal and failed enrolment </w:t>
            </w:r>
            <w:r w:rsidR="009B0540">
              <w:t xml:space="preserve">in sections 9.4 Informed Consent and 9.7 </w:t>
            </w:r>
            <w:r w:rsidR="009B0540" w:rsidRPr="009B0540">
              <w:t>Discontinuation/Withdrawal of participants from research study</w:t>
            </w:r>
          </w:p>
          <w:p w14:paraId="158C8DBF" w14:textId="0D27792C" w:rsidR="006217F5" w:rsidRDefault="006217F5" w:rsidP="00AA6458">
            <w:pPr>
              <w:pStyle w:val="ListParagraph"/>
              <w:numPr>
                <w:ilvl w:val="0"/>
                <w:numId w:val="30"/>
              </w:numPr>
            </w:pPr>
            <w:r>
              <w:t>Simplification of recruitment guidelines (referred to clinical study plan) in 7.1 Study design</w:t>
            </w:r>
          </w:p>
          <w:p w14:paraId="56A3B14C" w14:textId="414137F2" w:rsidR="006217F5" w:rsidRDefault="006217F5" w:rsidP="00AA6458">
            <w:pPr>
              <w:pStyle w:val="ListParagraph"/>
              <w:numPr>
                <w:ilvl w:val="0"/>
                <w:numId w:val="30"/>
              </w:numPr>
            </w:pPr>
            <w:r>
              <w:t>Correction of Plymouth Hospitals NHS Trust to University Hospitals Plymouth NHS Trust in section 7.2 Study sites</w:t>
            </w:r>
          </w:p>
          <w:p w14:paraId="7E0C1407" w14:textId="58725DAD" w:rsidR="0064256A" w:rsidRDefault="0064256A" w:rsidP="00AA6458">
            <w:pPr>
              <w:pStyle w:val="ListParagraph"/>
              <w:numPr>
                <w:ilvl w:val="0"/>
                <w:numId w:val="30"/>
              </w:numPr>
            </w:pPr>
            <w:r>
              <w:lastRenderedPageBreak/>
              <w:t xml:space="preserve">Clarification that </w:t>
            </w:r>
            <w:r w:rsidRPr="0064256A">
              <w:t xml:space="preserve">study information </w:t>
            </w:r>
            <w:r>
              <w:t xml:space="preserve">can be disseminated </w:t>
            </w:r>
            <w:r w:rsidRPr="0064256A">
              <w:t>through GP practices</w:t>
            </w:r>
            <w:r>
              <w:t xml:space="preserve"> in section 9.1 Recruitment Group1 and 9.2 Recruitment Group 2</w:t>
            </w:r>
          </w:p>
          <w:p w14:paraId="3E6047A7" w14:textId="1C7F7B96" w:rsidR="006217F5" w:rsidRDefault="006217F5" w:rsidP="00AA6458">
            <w:pPr>
              <w:pStyle w:val="ListParagraph"/>
              <w:numPr>
                <w:ilvl w:val="0"/>
                <w:numId w:val="30"/>
              </w:numPr>
            </w:pPr>
            <w:r>
              <w:t>Change to SARS-CoV-2 IgG testing from spike protein to spike protein and/or</w:t>
            </w:r>
            <w:r>
              <w:rPr>
                <w:rFonts w:eastAsia="Times New Roman"/>
              </w:rPr>
              <w:t xml:space="preserve"> </w:t>
            </w:r>
            <w:r>
              <w:t xml:space="preserve">nucleocapsid in section 6.Objectives and </w:t>
            </w:r>
            <w:r w:rsidRPr="00034E86">
              <w:t>Outcome Measures</w:t>
            </w:r>
            <w:r>
              <w:t xml:space="preserve"> and section 9.6 Laboratory methods</w:t>
            </w:r>
          </w:p>
          <w:p w14:paraId="2FFB5DC5" w14:textId="6E42B55B" w:rsidR="008506CE" w:rsidRDefault="008506CE" w:rsidP="00E77CB0">
            <w:pPr>
              <w:pStyle w:val="ListParagraph"/>
            </w:pPr>
          </w:p>
        </w:tc>
      </w:tr>
      <w:tr w:rsidR="00162B20" w:rsidRPr="009E1297" w14:paraId="2A334320" w14:textId="77777777" w:rsidTr="00876BDC">
        <w:trPr>
          <w:trHeight w:val="70"/>
        </w:trPr>
        <w:tc>
          <w:tcPr>
            <w:tcW w:w="1391" w:type="dxa"/>
          </w:tcPr>
          <w:p w14:paraId="3C59934D" w14:textId="0E696279" w:rsidR="00162B20" w:rsidRDefault="00D35F91" w:rsidP="00AE0D02">
            <w:r>
              <w:lastRenderedPageBreak/>
              <w:t>8</w:t>
            </w:r>
          </w:p>
        </w:tc>
        <w:tc>
          <w:tcPr>
            <w:tcW w:w="1227" w:type="dxa"/>
          </w:tcPr>
          <w:p w14:paraId="5374D12F" w14:textId="403C7434" w:rsidR="00162B20" w:rsidRDefault="00D35F91" w:rsidP="00E24228">
            <w:r>
              <w:t>V7.0</w:t>
            </w:r>
          </w:p>
        </w:tc>
        <w:tc>
          <w:tcPr>
            <w:tcW w:w="1132" w:type="dxa"/>
          </w:tcPr>
          <w:p w14:paraId="4389CB3F" w14:textId="09DA7196" w:rsidR="00162B20" w:rsidRDefault="005C755A" w:rsidP="00E24228">
            <w:r>
              <w:t>21</w:t>
            </w:r>
            <w:r w:rsidRPr="008854BC">
              <w:rPr>
                <w:vertAlign w:val="superscript"/>
              </w:rPr>
              <w:t>st</w:t>
            </w:r>
            <w:r>
              <w:t xml:space="preserve"> </w:t>
            </w:r>
            <w:r w:rsidR="00D35F91">
              <w:t>July</w:t>
            </w:r>
            <w:r w:rsidR="00147D53">
              <w:t xml:space="preserve"> 2020</w:t>
            </w:r>
          </w:p>
        </w:tc>
        <w:tc>
          <w:tcPr>
            <w:tcW w:w="1915" w:type="dxa"/>
          </w:tcPr>
          <w:p w14:paraId="1846FB31" w14:textId="211BC966" w:rsidR="00162B20" w:rsidRDefault="00147D53" w:rsidP="00E24228">
            <w:r>
              <w:t>Helen Ratcliffe</w:t>
            </w:r>
          </w:p>
        </w:tc>
        <w:tc>
          <w:tcPr>
            <w:tcW w:w="3548" w:type="dxa"/>
          </w:tcPr>
          <w:p w14:paraId="1741E08E" w14:textId="18D206A8" w:rsidR="00162B20" w:rsidRDefault="00147D53" w:rsidP="00AA6458">
            <w:pPr>
              <w:pStyle w:val="ListParagraph"/>
              <w:numPr>
                <w:ilvl w:val="0"/>
                <w:numId w:val="39"/>
              </w:numPr>
              <w:jc w:val="both"/>
            </w:pPr>
            <w:r>
              <w:t xml:space="preserve">Extension of the recruitment period for first study </w:t>
            </w:r>
            <w:r w:rsidR="005945BD">
              <w:t>visit</w:t>
            </w:r>
            <w:r w:rsidR="005C755A">
              <w:t xml:space="preserve"> to March 2021 in Synopsis</w:t>
            </w:r>
          </w:p>
          <w:p w14:paraId="4C561CAB" w14:textId="6515673E" w:rsidR="009A5934" w:rsidRDefault="009A5934" w:rsidP="00AA6458">
            <w:pPr>
              <w:pStyle w:val="ListParagraph"/>
              <w:numPr>
                <w:ilvl w:val="0"/>
                <w:numId w:val="39"/>
              </w:numPr>
              <w:jc w:val="both"/>
            </w:pPr>
            <w:r>
              <w:t>Update of exploratory objectives and outcome measures in Synopsis and section 6.</w:t>
            </w:r>
            <w:r w:rsidR="00953AC1">
              <w:t xml:space="preserve"> Objectives and outcome measure.</w:t>
            </w:r>
          </w:p>
          <w:p w14:paraId="09752CA7" w14:textId="281A7EDD" w:rsidR="005945BD" w:rsidRPr="00BA40B5" w:rsidRDefault="005945BD" w:rsidP="00AA6458">
            <w:pPr>
              <w:pStyle w:val="ListParagraph"/>
              <w:numPr>
                <w:ilvl w:val="0"/>
                <w:numId w:val="39"/>
              </w:numPr>
            </w:pPr>
            <w:r>
              <w:t xml:space="preserve">Addition of taking </w:t>
            </w:r>
            <w:r w:rsidR="00D51256">
              <w:t xml:space="preserve">PBMCs in the longitudinal cohort to allow </w:t>
            </w:r>
            <w:r w:rsidR="000F0E4F">
              <w:t>examination of T cell responses</w:t>
            </w:r>
            <w:r w:rsidR="00953AC1">
              <w:t xml:space="preserve"> in sections 5. Background and Rational, 7.1 Study Design, </w:t>
            </w:r>
            <w:r w:rsidR="00953AC1" w:rsidRPr="006B3F43">
              <w:rPr>
                <w:rFonts w:cstheme="minorHAnsi"/>
              </w:rPr>
              <w:t>9.5.2 Subsequent visits</w:t>
            </w:r>
            <w:r w:rsidR="00953AC1">
              <w:rPr>
                <w:rFonts w:cstheme="minorHAnsi"/>
              </w:rPr>
              <w:t xml:space="preserve"> and 9.6 Laboratory methods</w:t>
            </w:r>
          </w:p>
          <w:p w14:paraId="1B819DAF" w14:textId="2DD8B698" w:rsidR="00BA40B5" w:rsidRDefault="00BA40B5" w:rsidP="00AA6458">
            <w:pPr>
              <w:pStyle w:val="ListParagraph"/>
              <w:numPr>
                <w:ilvl w:val="0"/>
                <w:numId w:val="39"/>
              </w:numPr>
            </w:pPr>
            <w:r>
              <w:t>Option to add GP practices as PICs in section 7.2 Study Sites</w:t>
            </w:r>
          </w:p>
          <w:p w14:paraId="78F3BEBC" w14:textId="459F44F7" w:rsidR="000F0E4F" w:rsidRDefault="7246F0DB" w:rsidP="00AA6458">
            <w:pPr>
              <w:pStyle w:val="ListParagraph"/>
              <w:numPr>
                <w:ilvl w:val="0"/>
                <w:numId w:val="39"/>
              </w:numPr>
            </w:pPr>
            <w:r>
              <w:t>Re-consent for all in l</w:t>
            </w:r>
            <w:r w:rsidR="5E0442CE">
              <w:t>ongitudinal</w:t>
            </w:r>
            <w:r w:rsidR="000F0E4F">
              <w:t xml:space="preserve"> cohort</w:t>
            </w:r>
            <w:r w:rsidR="00953AC1">
              <w:t xml:space="preserve">, section 9.4 </w:t>
            </w:r>
            <w:r w:rsidR="00953AC1" w:rsidRPr="00953AC1">
              <w:t>Informed Consent</w:t>
            </w:r>
          </w:p>
          <w:p w14:paraId="0A259EB0" w14:textId="3AAB64D4" w:rsidR="00953AC1" w:rsidRDefault="00953AC1" w:rsidP="00AA6458">
            <w:pPr>
              <w:pStyle w:val="ListParagraph"/>
              <w:numPr>
                <w:ilvl w:val="0"/>
                <w:numId w:val="39"/>
              </w:numPr>
            </w:pPr>
            <w:r w:rsidRPr="00953AC1">
              <w:t>Sample size for SARS-COV-2</w:t>
            </w:r>
            <w:r>
              <w:t xml:space="preserve"> clarification, section 11.2.2.</w:t>
            </w:r>
            <w:r w:rsidRPr="00953AC1">
              <w:t xml:space="preserve"> Group 1 and 2 combined</w:t>
            </w:r>
          </w:p>
          <w:p w14:paraId="5C47F421" w14:textId="338573E4" w:rsidR="00CC20A4" w:rsidRDefault="00CC20A4" w:rsidP="00AA6458">
            <w:pPr>
              <w:pStyle w:val="ListParagraph"/>
              <w:numPr>
                <w:ilvl w:val="0"/>
                <w:numId w:val="39"/>
              </w:numPr>
            </w:pPr>
            <w:r>
              <w:t>Addition of investigator</w:t>
            </w:r>
          </w:p>
          <w:p w14:paraId="761F4F54" w14:textId="6853336F" w:rsidR="000F0E4F" w:rsidRDefault="000F0E4F" w:rsidP="008854BC">
            <w:pPr>
              <w:pStyle w:val="ListParagraph"/>
            </w:pPr>
          </w:p>
        </w:tc>
      </w:tr>
      <w:tr w:rsidR="006E56B4" w:rsidRPr="009E1297" w14:paraId="2EBE167F" w14:textId="77777777" w:rsidTr="00876BDC">
        <w:trPr>
          <w:trHeight w:val="70"/>
        </w:trPr>
        <w:tc>
          <w:tcPr>
            <w:tcW w:w="1391" w:type="dxa"/>
          </w:tcPr>
          <w:p w14:paraId="4DE43705" w14:textId="73172454" w:rsidR="006E56B4" w:rsidRDefault="006E56B4" w:rsidP="006E56B4">
            <w:r>
              <w:t>9</w:t>
            </w:r>
          </w:p>
        </w:tc>
        <w:tc>
          <w:tcPr>
            <w:tcW w:w="1227" w:type="dxa"/>
          </w:tcPr>
          <w:p w14:paraId="471F87FE" w14:textId="285C9372" w:rsidR="006E56B4" w:rsidRDefault="006E56B4" w:rsidP="006E56B4">
            <w:r>
              <w:t>V8.0</w:t>
            </w:r>
          </w:p>
        </w:tc>
        <w:tc>
          <w:tcPr>
            <w:tcW w:w="1132" w:type="dxa"/>
          </w:tcPr>
          <w:p w14:paraId="1FB0F890" w14:textId="1168ECF7" w:rsidR="006E56B4" w:rsidRDefault="00365EA6" w:rsidP="006E56B4">
            <w:r>
              <w:t>02</w:t>
            </w:r>
            <w:r w:rsidRPr="00365EA6">
              <w:rPr>
                <w:vertAlign w:val="superscript"/>
              </w:rPr>
              <w:t>nd</w:t>
            </w:r>
            <w:r>
              <w:t xml:space="preserve"> December 2020</w:t>
            </w:r>
          </w:p>
        </w:tc>
        <w:tc>
          <w:tcPr>
            <w:tcW w:w="1915" w:type="dxa"/>
          </w:tcPr>
          <w:p w14:paraId="633C6542" w14:textId="07F93A3B" w:rsidR="006E56B4" w:rsidRDefault="006E56B4" w:rsidP="006E56B4">
            <w:r>
              <w:t>Helen Ratcliffe</w:t>
            </w:r>
          </w:p>
        </w:tc>
        <w:tc>
          <w:tcPr>
            <w:tcW w:w="3548" w:type="dxa"/>
          </w:tcPr>
          <w:p w14:paraId="51E724F4" w14:textId="77777777" w:rsidR="006E56B4" w:rsidRDefault="006E56B4" w:rsidP="00AA6458">
            <w:pPr>
              <w:pStyle w:val="ListParagraph"/>
              <w:numPr>
                <w:ilvl w:val="0"/>
                <w:numId w:val="34"/>
              </w:numPr>
              <w:jc w:val="both"/>
            </w:pPr>
            <w:r>
              <w:t>Removal of the upper time limit between visits for the longitudinal cohort</w:t>
            </w:r>
          </w:p>
          <w:p w14:paraId="2B818945" w14:textId="77777777" w:rsidR="006E56B4" w:rsidRDefault="006E56B4" w:rsidP="00AA6458">
            <w:pPr>
              <w:pStyle w:val="ListParagraph"/>
              <w:numPr>
                <w:ilvl w:val="0"/>
                <w:numId w:val="34"/>
              </w:numPr>
              <w:jc w:val="both"/>
            </w:pPr>
            <w:r>
              <w:t>Addition of the rationale behind adding enhanced recruitment amongst the BAME population.</w:t>
            </w:r>
          </w:p>
          <w:p w14:paraId="237BF3BC" w14:textId="77777777" w:rsidR="006E56B4" w:rsidRDefault="006E56B4" w:rsidP="00AA6458">
            <w:pPr>
              <w:pStyle w:val="ListParagraph"/>
              <w:numPr>
                <w:ilvl w:val="0"/>
                <w:numId w:val="34"/>
              </w:numPr>
              <w:jc w:val="both"/>
            </w:pPr>
            <w:r>
              <w:t>Addition of Group 3 which aims to recruit 300 participants from the BAME population</w:t>
            </w:r>
          </w:p>
          <w:p w14:paraId="65423AB4" w14:textId="59CF0E0E" w:rsidR="006E56B4" w:rsidRDefault="006E56B4" w:rsidP="00AA6458">
            <w:pPr>
              <w:pStyle w:val="ListParagraph"/>
              <w:numPr>
                <w:ilvl w:val="0"/>
                <w:numId w:val="34"/>
              </w:numPr>
              <w:jc w:val="both"/>
            </w:pPr>
            <w:r>
              <w:t>Recruitment methods for group</w:t>
            </w:r>
            <w:r w:rsidR="00876BDC">
              <w:t xml:space="preserve"> </w:t>
            </w:r>
            <w:r>
              <w:t>3</w:t>
            </w:r>
          </w:p>
          <w:p w14:paraId="38D2E934" w14:textId="77777777" w:rsidR="006E56B4" w:rsidRDefault="006E56B4" w:rsidP="00AA6458">
            <w:pPr>
              <w:pStyle w:val="ListParagraph"/>
              <w:numPr>
                <w:ilvl w:val="0"/>
                <w:numId w:val="34"/>
              </w:numPr>
              <w:jc w:val="both"/>
            </w:pPr>
            <w:r>
              <w:t xml:space="preserve">Update of statistical analysis section to include sample size justification of group 3 </w:t>
            </w:r>
          </w:p>
          <w:p w14:paraId="7AE1310F" w14:textId="77777777" w:rsidR="006E56B4" w:rsidRDefault="006E56B4" w:rsidP="00AA6458">
            <w:pPr>
              <w:pStyle w:val="ListParagraph"/>
              <w:numPr>
                <w:ilvl w:val="0"/>
                <w:numId w:val="34"/>
              </w:numPr>
              <w:jc w:val="both"/>
            </w:pPr>
            <w:r>
              <w:t xml:space="preserve">Updating the analysis of representativeness of population </w:t>
            </w:r>
            <w:r>
              <w:lastRenderedPageBreak/>
              <w:t>sampled of the local region and NHS region.</w:t>
            </w:r>
          </w:p>
          <w:p w14:paraId="01DADF81" w14:textId="77777777" w:rsidR="006E56B4" w:rsidRDefault="006E56B4" w:rsidP="00AA6458">
            <w:pPr>
              <w:pStyle w:val="ListParagraph"/>
              <w:numPr>
                <w:ilvl w:val="0"/>
                <w:numId w:val="34"/>
              </w:numPr>
              <w:jc w:val="both"/>
            </w:pPr>
            <w:r>
              <w:t xml:space="preserve">Addition of </w:t>
            </w:r>
            <w:r w:rsidR="00ED5DDB">
              <w:t>investigators</w:t>
            </w:r>
            <w:r>
              <w:t xml:space="preserve"> and sites  </w:t>
            </w:r>
          </w:p>
          <w:p w14:paraId="6B3BF794" w14:textId="43D5EE97" w:rsidR="00ED5DDB" w:rsidRDefault="00ED5DDB" w:rsidP="00AA6458">
            <w:pPr>
              <w:pStyle w:val="ListParagraph"/>
              <w:numPr>
                <w:ilvl w:val="0"/>
                <w:numId w:val="34"/>
              </w:numPr>
              <w:jc w:val="both"/>
            </w:pPr>
            <w:r>
              <w:t>Section 9.5: Addition of videoconference consent in case of omissions or errors</w:t>
            </w:r>
          </w:p>
          <w:p w14:paraId="1C8E8663" w14:textId="77777777" w:rsidR="00ED5DDB" w:rsidRDefault="00ED5DDB" w:rsidP="00AA6458">
            <w:pPr>
              <w:pStyle w:val="ListParagraph"/>
              <w:numPr>
                <w:ilvl w:val="0"/>
                <w:numId w:val="34"/>
              </w:numPr>
              <w:jc w:val="both"/>
            </w:pPr>
            <w:r>
              <w:t>Section 9.1: Update of recruitment methods with printed publication option</w:t>
            </w:r>
          </w:p>
          <w:p w14:paraId="1F05709E" w14:textId="5E32955F" w:rsidR="00ED5DDB" w:rsidRDefault="00ED5DDB" w:rsidP="00AA6458">
            <w:pPr>
              <w:pStyle w:val="ListParagraph"/>
              <w:numPr>
                <w:ilvl w:val="0"/>
                <w:numId w:val="34"/>
              </w:numPr>
              <w:jc w:val="both"/>
            </w:pPr>
            <w:r>
              <w:t xml:space="preserve">Addition of receipt of samples from other studies </w:t>
            </w:r>
          </w:p>
        </w:tc>
      </w:tr>
      <w:tr w:rsidR="00866DD0" w:rsidRPr="009E1297" w14:paraId="441ACE7A" w14:textId="77777777" w:rsidTr="00876BDC">
        <w:trPr>
          <w:trHeight w:val="70"/>
        </w:trPr>
        <w:tc>
          <w:tcPr>
            <w:tcW w:w="1391" w:type="dxa"/>
          </w:tcPr>
          <w:p w14:paraId="7C08AD33" w14:textId="2F3FDF28" w:rsidR="00866DD0" w:rsidRDefault="00FF4C12" w:rsidP="006E56B4">
            <w:r>
              <w:lastRenderedPageBreak/>
              <w:t>10</w:t>
            </w:r>
          </w:p>
        </w:tc>
        <w:tc>
          <w:tcPr>
            <w:tcW w:w="1227" w:type="dxa"/>
          </w:tcPr>
          <w:p w14:paraId="73E987D8" w14:textId="5CDEBFA2" w:rsidR="00866DD0" w:rsidRDefault="00866DD0" w:rsidP="006E56B4">
            <w:r>
              <w:t>V8.1</w:t>
            </w:r>
          </w:p>
        </w:tc>
        <w:tc>
          <w:tcPr>
            <w:tcW w:w="1132" w:type="dxa"/>
          </w:tcPr>
          <w:p w14:paraId="610D4F4B" w14:textId="7EEB9CA8" w:rsidR="00866DD0" w:rsidRDefault="00EB71DD" w:rsidP="006E56B4">
            <w:r>
              <w:t>20</w:t>
            </w:r>
            <w:r w:rsidRPr="00EB71DD">
              <w:rPr>
                <w:vertAlign w:val="superscript"/>
              </w:rPr>
              <w:t xml:space="preserve">th </w:t>
            </w:r>
            <w:r>
              <w:t>January 2021</w:t>
            </w:r>
          </w:p>
        </w:tc>
        <w:tc>
          <w:tcPr>
            <w:tcW w:w="1915" w:type="dxa"/>
          </w:tcPr>
          <w:p w14:paraId="56A7EAC1" w14:textId="4032A9CA" w:rsidR="00866DD0" w:rsidRDefault="00866DD0" w:rsidP="006E56B4">
            <w:r>
              <w:t>Iason Vichos</w:t>
            </w:r>
          </w:p>
        </w:tc>
        <w:tc>
          <w:tcPr>
            <w:tcW w:w="3548" w:type="dxa"/>
          </w:tcPr>
          <w:p w14:paraId="29F68015" w14:textId="6A93DF53" w:rsidR="00866DD0" w:rsidRDefault="00866DD0" w:rsidP="00AA6458">
            <w:pPr>
              <w:pStyle w:val="ListParagraph"/>
              <w:numPr>
                <w:ilvl w:val="0"/>
                <w:numId w:val="35"/>
              </w:numPr>
            </w:pPr>
            <w:r>
              <w:t xml:space="preserve">Addition of Pharmacies as a way of </w:t>
            </w:r>
            <w:r w:rsidR="00316BCF">
              <w:t>identifying participants</w:t>
            </w:r>
            <w:r>
              <w:t xml:space="preserve"> in </w:t>
            </w:r>
            <w:r w:rsidR="0071785B">
              <w:t xml:space="preserve">section </w:t>
            </w:r>
            <w:r w:rsidR="00316BCF">
              <w:t xml:space="preserve"> 7.2 Study Sites and </w:t>
            </w:r>
            <w:r w:rsidR="0071785B">
              <w:t xml:space="preserve">9.3 </w:t>
            </w:r>
            <w:r w:rsidRPr="00866DD0">
              <w:t>Group 3</w:t>
            </w:r>
          </w:p>
          <w:p w14:paraId="02E5C748" w14:textId="11CABE62" w:rsidR="00866DD0" w:rsidRDefault="00866DD0" w:rsidP="00AA6458">
            <w:pPr>
              <w:pStyle w:val="ListParagraph"/>
              <w:numPr>
                <w:ilvl w:val="0"/>
                <w:numId w:val="35"/>
              </w:numPr>
              <w:jc w:val="both"/>
            </w:pPr>
            <w:r>
              <w:t xml:space="preserve">Correction of eligible age group in section </w:t>
            </w:r>
            <w:r w:rsidRPr="00866DD0">
              <w:t>9.6.2 Subsequent visits (longitudinal sampling cohort)</w:t>
            </w:r>
          </w:p>
        </w:tc>
      </w:tr>
      <w:tr w:rsidR="00E54765" w:rsidRPr="009E1297" w14:paraId="797B0A6F" w14:textId="77777777" w:rsidTr="00876BDC">
        <w:trPr>
          <w:trHeight w:val="70"/>
        </w:trPr>
        <w:tc>
          <w:tcPr>
            <w:tcW w:w="1391" w:type="dxa"/>
          </w:tcPr>
          <w:p w14:paraId="7A5969EA" w14:textId="2082377B" w:rsidR="00E54765" w:rsidRDefault="00E54765" w:rsidP="006E56B4">
            <w:r>
              <w:t>11</w:t>
            </w:r>
          </w:p>
        </w:tc>
        <w:tc>
          <w:tcPr>
            <w:tcW w:w="1227" w:type="dxa"/>
          </w:tcPr>
          <w:p w14:paraId="53411CA9" w14:textId="40C675E6" w:rsidR="00E54765" w:rsidRDefault="00E54765" w:rsidP="006E56B4">
            <w:r>
              <w:t>V8.2</w:t>
            </w:r>
          </w:p>
        </w:tc>
        <w:tc>
          <w:tcPr>
            <w:tcW w:w="1132" w:type="dxa"/>
          </w:tcPr>
          <w:p w14:paraId="03F5538B" w14:textId="1D533DA8" w:rsidR="00E54765" w:rsidRDefault="00E54765" w:rsidP="006E56B4">
            <w:r>
              <w:t>2</w:t>
            </w:r>
            <w:r w:rsidR="006B2444">
              <w:t xml:space="preserve">6th </w:t>
            </w:r>
            <w:r>
              <w:t>February</w:t>
            </w:r>
            <w:r w:rsidR="008969CA">
              <w:t xml:space="preserve"> 2021</w:t>
            </w:r>
          </w:p>
        </w:tc>
        <w:tc>
          <w:tcPr>
            <w:tcW w:w="1915" w:type="dxa"/>
          </w:tcPr>
          <w:p w14:paraId="7592AE4B" w14:textId="1CFBA526" w:rsidR="00E54765" w:rsidRDefault="00E54765" w:rsidP="006E56B4">
            <w:r>
              <w:t>Iason Vichos</w:t>
            </w:r>
          </w:p>
        </w:tc>
        <w:tc>
          <w:tcPr>
            <w:tcW w:w="3548" w:type="dxa"/>
          </w:tcPr>
          <w:p w14:paraId="4FE2933E" w14:textId="2F894A58" w:rsidR="00E54765" w:rsidRDefault="00E54765" w:rsidP="00AA6458">
            <w:pPr>
              <w:pStyle w:val="ListParagraph"/>
              <w:numPr>
                <w:ilvl w:val="0"/>
                <w:numId w:val="36"/>
              </w:numPr>
              <w:jc w:val="both"/>
            </w:pPr>
            <w:r>
              <w:t>Extension of the recruitment period for first study visit to May 2021 in Synopsis</w:t>
            </w:r>
          </w:p>
          <w:p w14:paraId="1735794C" w14:textId="133B5B98" w:rsidR="00E54765" w:rsidRDefault="00046744" w:rsidP="00AA6458">
            <w:pPr>
              <w:pStyle w:val="ListParagraph"/>
              <w:numPr>
                <w:ilvl w:val="0"/>
                <w:numId w:val="36"/>
              </w:numPr>
            </w:pPr>
            <w:r>
              <w:t>Addition of recruitment methods in section 9.0: radio, identification of participants by study team</w:t>
            </w:r>
            <w:r w:rsidR="009B47BC">
              <w:t>, as long as potential participants are not patients.</w:t>
            </w:r>
          </w:p>
        </w:tc>
      </w:tr>
      <w:tr w:rsidR="009D6D75" w:rsidRPr="009E1297" w14:paraId="626B7C0C" w14:textId="77777777" w:rsidTr="00876BDC">
        <w:trPr>
          <w:trHeight w:val="70"/>
        </w:trPr>
        <w:tc>
          <w:tcPr>
            <w:tcW w:w="1391" w:type="dxa"/>
          </w:tcPr>
          <w:p w14:paraId="56F24C4C" w14:textId="11289099" w:rsidR="009D6D75" w:rsidRDefault="009D6D75" w:rsidP="006E56B4">
            <w:r>
              <w:t>12</w:t>
            </w:r>
          </w:p>
        </w:tc>
        <w:tc>
          <w:tcPr>
            <w:tcW w:w="1227" w:type="dxa"/>
          </w:tcPr>
          <w:p w14:paraId="2865D854" w14:textId="3167EE5F" w:rsidR="009D6D75" w:rsidRDefault="009D6D75" w:rsidP="006E56B4">
            <w:r>
              <w:t>V8.3</w:t>
            </w:r>
          </w:p>
        </w:tc>
        <w:tc>
          <w:tcPr>
            <w:tcW w:w="1132" w:type="dxa"/>
          </w:tcPr>
          <w:p w14:paraId="6628C463" w14:textId="6E416CB8" w:rsidR="009D6D75" w:rsidRDefault="008969CA" w:rsidP="006E56B4">
            <w:r>
              <w:t>21st</w:t>
            </w:r>
            <w:r w:rsidR="009D6D75">
              <w:t xml:space="preserve"> May 2021</w:t>
            </w:r>
          </w:p>
        </w:tc>
        <w:tc>
          <w:tcPr>
            <w:tcW w:w="1915" w:type="dxa"/>
          </w:tcPr>
          <w:p w14:paraId="4502FACF" w14:textId="3AD2DDCF" w:rsidR="009D6D75" w:rsidRDefault="009D6D75" w:rsidP="006E56B4">
            <w:r>
              <w:t>Iason Vichos</w:t>
            </w:r>
          </w:p>
        </w:tc>
        <w:tc>
          <w:tcPr>
            <w:tcW w:w="3548" w:type="dxa"/>
          </w:tcPr>
          <w:p w14:paraId="0A13970E" w14:textId="77777777" w:rsidR="009D6D75" w:rsidRDefault="009D6D75" w:rsidP="00AA6458">
            <w:pPr>
              <w:pStyle w:val="ListParagraph"/>
              <w:numPr>
                <w:ilvl w:val="0"/>
                <w:numId w:val="37"/>
              </w:numPr>
              <w:jc w:val="both"/>
            </w:pPr>
            <w:r>
              <w:t>Synopsis: Extension of the recruitment period for first study visit to June 2021</w:t>
            </w:r>
          </w:p>
          <w:p w14:paraId="6C942DC6" w14:textId="77777777" w:rsidR="00FA361D" w:rsidRDefault="009D6D75" w:rsidP="00AA6458">
            <w:pPr>
              <w:pStyle w:val="ListParagraph"/>
              <w:numPr>
                <w:ilvl w:val="0"/>
                <w:numId w:val="37"/>
              </w:numPr>
              <w:jc w:val="both"/>
            </w:pPr>
            <w:r>
              <w:t>Lay Summary: Removal of outdated text</w:t>
            </w:r>
          </w:p>
          <w:p w14:paraId="62298B37" w14:textId="6D52F6F4" w:rsidR="00FA361D" w:rsidRDefault="00FA361D" w:rsidP="00AA6458">
            <w:pPr>
              <w:pStyle w:val="ListParagraph"/>
              <w:numPr>
                <w:ilvl w:val="0"/>
                <w:numId w:val="37"/>
              </w:numPr>
              <w:jc w:val="both"/>
            </w:pPr>
            <w:r>
              <w:t>Background and rationale: removal of the requirement of 300-400 blood samples per month</w:t>
            </w:r>
          </w:p>
          <w:p w14:paraId="1E5C9FCF" w14:textId="470343EE" w:rsidR="009D6D75" w:rsidRDefault="00FA361D" w:rsidP="00AA6458">
            <w:pPr>
              <w:pStyle w:val="ListParagraph"/>
              <w:numPr>
                <w:ilvl w:val="0"/>
                <w:numId w:val="37"/>
              </w:numPr>
              <w:jc w:val="both"/>
            </w:pPr>
            <w:r>
              <w:t>Study sites: Removal of Birmingham</w:t>
            </w:r>
            <w:r w:rsidR="002B526C">
              <w:t xml:space="preserve"> Heartlands Hos</w:t>
            </w:r>
            <w:r>
              <w:t>pital</w:t>
            </w:r>
          </w:p>
        </w:tc>
      </w:tr>
      <w:tr w:rsidR="00E33211" w:rsidRPr="009E1297" w14:paraId="1BD2DAF9" w14:textId="77777777" w:rsidTr="00876BDC">
        <w:trPr>
          <w:trHeight w:val="70"/>
        </w:trPr>
        <w:tc>
          <w:tcPr>
            <w:tcW w:w="1391" w:type="dxa"/>
          </w:tcPr>
          <w:p w14:paraId="1CBD6EC1" w14:textId="31B23732" w:rsidR="00E33211" w:rsidRDefault="00E33211" w:rsidP="006E56B4">
            <w:r>
              <w:t>13</w:t>
            </w:r>
          </w:p>
        </w:tc>
        <w:tc>
          <w:tcPr>
            <w:tcW w:w="1227" w:type="dxa"/>
          </w:tcPr>
          <w:p w14:paraId="2A4E9BE2" w14:textId="2EE2C84C" w:rsidR="00E33211" w:rsidRDefault="00E33211" w:rsidP="006E56B4">
            <w:r>
              <w:t>V</w:t>
            </w:r>
            <w:r w:rsidR="002E05C0">
              <w:t>9.0</w:t>
            </w:r>
          </w:p>
        </w:tc>
        <w:tc>
          <w:tcPr>
            <w:tcW w:w="1132" w:type="dxa"/>
          </w:tcPr>
          <w:p w14:paraId="24BF08AA" w14:textId="7B92A96A" w:rsidR="00E33211" w:rsidRDefault="00E33211" w:rsidP="006E56B4">
            <w:r>
              <w:t>28</w:t>
            </w:r>
            <w:r w:rsidRPr="00E33211">
              <w:rPr>
                <w:vertAlign w:val="superscript"/>
              </w:rPr>
              <w:t>th</w:t>
            </w:r>
            <w:r>
              <w:t xml:space="preserve"> June 2021</w:t>
            </w:r>
          </w:p>
        </w:tc>
        <w:tc>
          <w:tcPr>
            <w:tcW w:w="1915" w:type="dxa"/>
          </w:tcPr>
          <w:p w14:paraId="4FBC3A3F" w14:textId="611893E1" w:rsidR="00E33211" w:rsidRDefault="00E33211" w:rsidP="006E56B4">
            <w:r>
              <w:t>Iason Vichos</w:t>
            </w:r>
          </w:p>
        </w:tc>
        <w:tc>
          <w:tcPr>
            <w:tcW w:w="3548" w:type="dxa"/>
          </w:tcPr>
          <w:p w14:paraId="30D27C47" w14:textId="77777777" w:rsidR="00E33211" w:rsidRDefault="00E33211" w:rsidP="00E33211">
            <w:pPr>
              <w:pStyle w:val="ListParagraph"/>
              <w:numPr>
                <w:ilvl w:val="0"/>
                <w:numId w:val="42"/>
              </w:numPr>
              <w:jc w:val="both"/>
            </w:pPr>
            <w:r>
              <w:t>Section 3. Synopsis: Extension of P</w:t>
            </w:r>
            <w:r w:rsidRPr="00E33211">
              <w:t>lanned Study Period</w:t>
            </w:r>
            <w:r>
              <w:t xml:space="preserve"> to</w:t>
            </w:r>
            <w:r w:rsidRPr="00E33211">
              <w:t xml:space="preserve"> August 2021</w:t>
            </w:r>
          </w:p>
          <w:p w14:paraId="03137096" w14:textId="783C2EAB" w:rsidR="000B04C7" w:rsidRDefault="00E33211" w:rsidP="002E05C0">
            <w:pPr>
              <w:pStyle w:val="ListParagraph"/>
              <w:numPr>
                <w:ilvl w:val="0"/>
                <w:numId w:val="42"/>
              </w:numPr>
              <w:jc w:val="both"/>
            </w:pPr>
            <w:r>
              <w:t>Section 9.9: end of study definition amended to include the completion of data collection</w:t>
            </w:r>
          </w:p>
        </w:tc>
      </w:tr>
      <w:tr w:rsidR="00BC2815" w:rsidRPr="009E1297" w14:paraId="157E0B4A" w14:textId="77777777" w:rsidTr="00876BDC">
        <w:trPr>
          <w:trHeight w:val="70"/>
        </w:trPr>
        <w:tc>
          <w:tcPr>
            <w:tcW w:w="1391" w:type="dxa"/>
          </w:tcPr>
          <w:p w14:paraId="56BDBD06" w14:textId="604502A0" w:rsidR="00BC2815" w:rsidRDefault="00BC2815" w:rsidP="006E56B4">
            <w:r>
              <w:t>14</w:t>
            </w:r>
          </w:p>
        </w:tc>
        <w:tc>
          <w:tcPr>
            <w:tcW w:w="1227" w:type="dxa"/>
          </w:tcPr>
          <w:p w14:paraId="480973E2" w14:textId="24CA6B86" w:rsidR="00BC2815" w:rsidRDefault="00BC2815" w:rsidP="006E56B4">
            <w:r>
              <w:t>V9.1</w:t>
            </w:r>
          </w:p>
        </w:tc>
        <w:tc>
          <w:tcPr>
            <w:tcW w:w="1132" w:type="dxa"/>
          </w:tcPr>
          <w:p w14:paraId="2DAF83BD" w14:textId="2DB3AB54" w:rsidR="00BC2815" w:rsidRDefault="00BC2815" w:rsidP="006E56B4">
            <w:r>
              <w:t>20</w:t>
            </w:r>
            <w:r w:rsidRPr="00BC2815">
              <w:rPr>
                <w:vertAlign w:val="superscript"/>
              </w:rPr>
              <w:t>th</w:t>
            </w:r>
            <w:r>
              <w:t xml:space="preserve"> August 2021</w:t>
            </w:r>
          </w:p>
        </w:tc>
        <w:tc>
          <w:tcPr>
            <w:tcW w:w="1915" w:type="dxa"/>
          </w:tcPr>
          <w:p w14:paraId="415DACF2" w14:textId="354B1820" w:rsidR="00BC2815" w:rsidRDefault="00BC2815" w:rsidP="006E56B4">
            <w:r>
              <w:t>Iason Vichos</w:t>
            </w:r>
          </w:p>
        </w:tc>
        <w:tc>
          <w:tcPr>
            <w:tcW w:w="3548" w:type="dxa"/>
          </w:tcPr>
          <w:p w14:paraId="41C09E19" w14:textId="1C070FEC" w:rsidR="00BC2815" w:rsidRDefault="00BC2815" w:rsidP="00BC2815">
            <w:pPr>
              <w:pStyle w:val="ListParagraph"/>
              <w:numPr>
                <w:ilvl w:val="0"/>
                <w:numId w:val="44"/>
              </w:numPr>
              <w:jc w:val="both"/>
            </w:pPr>
            <w:r>
              <w:t>Extensio</w:t>
            </w:r>
            <w:r w:rsidR="00590019">
              <w:t>n of study end date to October</w:t>
            </w:r>
            <w:r>
              <w:t xml:space="preserve"> 2021 to allow more time for data collection</w:t>
            </w:r>
          </w:p>
        </w:tc>
      </w:tr>
    </w:tbl>
    <w:p w14:paraId="7194719D" w14:textId="2741AF7C" w:rsidR="008A1215" w:rsidRPr="009E1297" w:rsidRDefault="008A1215" w:rsidP="008A1215">
      <w:pPr>
        <w:rPr>
          <w:highlight w:val="yellow"/>
        </w:rPr>
      </w:pPr>
    </w:p>
    <w:p w14:paraId="66D796A2" w14:textId="47319E71" w:rsidR="005B19EB" w:rsidRDefault="008A1215" w:rsidP="008A1215">
      <w:r w:rsidRPr="00EA1726">
        <w:t>List details of all protocol amendments here whenever a new version of the protocol is produced.</w:t>
      </w:r>
      <w:r w:rsidRPr="009E1297">
        <w:t xml:space="preserve">  </w:t>
      </w:r>
    </w:p>
    <w:p w14:paraId="43A4C9E0" w14:textId="52348A63" w:rsidR="005A06E5" w:rsidRPr="009E1297" w:rsidRDefault="005A06E5" w:rsidP="008A1215">
      <w:r w:rsidRPr="00743E6D">
        <w:t>Protocol amend</w:t>
      </w:r>
      <w:r>
        <w:t>ments must be submitted to the S</w:t>
      </w:r>
      <w:r w:rsidRPr="00743E6D">
        <w:t>ponsor for approval prior to submission to the REC</w:t>
      </w:r>
      <w:r>
        <w:t xml:space="preserve"> </w:t>
      </w:r>
      <w:r w:rsidRPr="00743E6D">
        <w:t>committee</w:t>
      </w:r>
      <w:r>
        <w:t xml:space="preserve"> and HRA (where required)</w:t>
      </w:r>
      <w:r w:rsidRPr="00743E6D">
        <w:t>.</w:t>
      </w:r>
    </w:p>
    <w:sectPr w:rsidR="005A06E5" w:rsidRPr="009E1297" w:rsidSect="000929A7">
      <w:headerReference w:type="default" r:id="rId20"/>
      <w:footerReference w:type="default" r:id="rId21"/>
      <w:pgSz w:w="11906" w:h="16838" w:code="9"/>
      <w:pgMar w:top="993" w:right="1247" w:bottom="1418" w:left="1247" w:header="454"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DE4B" w14:textId="77777777" w:rsidR="008C38EC" w:rsidRDefault="008C38EC" w:rsidP="00740DF2">
      <w:pPr>
        <w:spacing w:after="0" w:line="240" w:lineRule="auto"/>
      </w:pPr>
      <w:r>
        <w:separator/>
      </w:r>
    </w:p>
  </w:endnote>
  <w:endnote w:type="continuationSeparator" w:id="0">
    <w:p w14:paraId="19BE430C" w14:textId="77777777" w:rsidR="008C38EC" w:rsidRDefault="008C38EC" w:rsidP="00740DF2">
      <w:pPr>
        <w:spacing w:after="0" w:line="240" w:lineRule="auto"/>
      </w:pPr>
      <w:r>
        <w:continuationSeparator/>
      </w:r>
    </w:p>
  </w:endnote>
  <w:endnote w:type="continuationNotice" w:id="1">
    <w:p w14:paraId="4107E2B5" w14:textId="77777777" w:rsidR="008C38EC" w:rsidRDefault="008C3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GulliverR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7013" w14:textId="4BC2383B" w:rsidR="00877CC3" w:rsidRDefault="00877CC3" w:rsidP="00006A50">
    <w:pPr>
      <w:spacing w:after="0"/>
      <w:jc w:val="center"/>
      <w:rPr>
        <w:b/>
        <w:sz w:val="20"/>
        <w:szCs w:val="20"/>
      </w:rPr>
    </w:pPr>
    <w:r w:rsidRPr="008075C1">
      <w:rPr>
        <w:b/>
        <w:sz w:val="20"/>
        <w:szCs w:val="20"/>
      </w:rPr>
      <w:t xml:space="preserve">What’s the </w:t>
    </w:r>
    <w:proofErr w:type="gramStart"/>
    <w:r w:rsidRPr="008075C1">
      <w:rPr>
        <w:b/>
        <w:sz w:val="20"/>
        <w:szCs w:val="20"/>
      </w:rPr>
      <w:t>STORY?;</w:t>
    </w:r>
    <w:proofErr w:type="gramEnd"/>
    <w:r w:rsidRPr="008075C1">
      <w:rPr>
        <w:b/>
        <w:sz w:val="20"/>
        <w:szCs w:val="20"/>
      </w:rPr>
      <w:t xml:space="preserve"> OVG 2019/01</w:t>
    </w:r>
    <w:r>
      <w:rPr>
        <w:b/>
        <w:sz w:val="20"/>
        <w:szCs w:val="20"/>
      </w:rPr>
      <w:t xml:space="preserve">; Protocol; REC </w:t>
    </w:r>
    <w:r w:rsidRPr="00FA1960">
      <w:rPr>
        <w:b/>
        <w:sz w:val="20"/>
        <w:szCs w:val="20"/>
      </w:rPr>
      <w:t>Ref 19/LO/1040;</w:t>
    </w:r>
  </w:p>
  <w:p w14:paraId="59A1DDDB" w14:textId="53DB0F3E" w:rsidR="00877CC3" w:rsidRDefault="00877CC3" w:rsidP="00006A50">
    <w:pPr>
      <w:jc w:val="center"/>
      <w:rPr>
        <w:b/>
        <w:sz w:val="20"/>
        <w:szCs w:val="20"/>
        <w:highlight w:val="yellow"/>
      </w:rPr>
    </w:pPr>
    <w:r>
      <w:rPr>
        <w:b/>
        <w:sz w:val="20"/>
        <w:szCs w:val="20"/>
      </w:rPr>
      <w:t xml:space="preserve">IRAS 263097; </w:t>
    </w:r>
    <w:r w:rsidRPr="00FA1960">
      <w:rPr>
        <w:b/>
        <w:sz w:val="20"/>
        <w:szCs w:val="20"/>
      </w:rPr>
      <w:t xml:space="preserve">Version </w:t>
    </w:r>
    <w:r w:rsidR="00120E97">
      <w:rPr>
        <w:b/>
        <w:sz w:val="20"/>
        <w:szCs w:val="20"/>
      </w:rPr>
      <w:t>9.</w:t>
    </w:r>
    <w:r w:rsidR="00BC2815">
      <w:rPr>
        <w:b/>
        <w:sz w:val="20"/>
        <w:szCs w:val="20"/>
      </w:rPr>
      <w:t>1</w:t>
    </w:r>
    <w:r w:rsidRPr="00FA1960">
      <w:rPr>
        <w:b/>
        <w:sz w:val="20"/>
        <w:szCs w:val="20"/>
      </w:rPr>
      <w:t xml:space="preserve">; Dated </w:t>
    </w:r>
    <w:r>
      <w:rPr>
        <w:b/>
        <w:sz w:val="20"/>
        <w:szCs w:val="20"/>
      </w:rPr>
      <w:t>2</w:t>
    </w:r>
    <w:r w:rsidR="00BC2815">
      <w:rPr>
        <w:b/>
        <w:sz w:val="20"/>
        <w:szCs w:val="20"/>
      </w:rPr>
      <w:t>0</w:t>
    </w:r>
    <w:r>
      <w:rPr>
        <w:b/>
        <w:sz w:val="20"/>
        <w:szCs w:val="20"/>
      </w:rPr>
      <w:t>-</w:t>
    </w:r>
    <w:r w:rsidR="00BC2815">
      <w:rPr>
        <w:b/>
        <w:sz w:val="20"/>
        <w:szCs w:val="20"/>
      </w:rPr>
      <w:t>AUG</w:t>
    </w:r>
    <w:r>
      <w:rPr>
        <w:b/>
        <w:sz w:val="20"/>
        <w:szCs w:val="20"/>
      </w:rPr>
      <w:t>-2021</w:t>
    </w:r>
  </w:p>
  <w:p w14:paraId="5515F6BD" w14:textId="0A2BAC1C" w:rsidR="00877CC3" w:rsidRPr="00006A50" w:rsidRDefault="000228E3" w:rsidP="003413DF">
    <w:sdt>
      <w:sdtPr>
        <w:rPr>
          <w:sz w:val="20"/>
          <w:szCs w:val="20"/>
        </w:rPr>
        <w:id w:val="250395305"/>
        <w:docPartObj>
          <w:docPartGallery w:val="Page Numbers (Top of Page)"/>
          <w:docPartUnique/>
        </w:docPartObj>
      </w:sdtPr>
      <w:sdtEndPr/>
      <w:sdtContent>
        <w:r w:rsidR="00877CC3" w:rsidRPr="005A11CC">
          <w:rPr>
            <w:sz w:val="20"/>
            <w:szCs w:val="20"/>
          </w:rPr>
          <w:t xml:space="preserve">Page </w:t>
        </w:r>
        <w:r w:rsidR="00877CC3" w:rsidRPr="005A11CC">
          <w:rPr>
            <w:sz w:val="20"/>
            <w:szCs w:val="20"/>
          </w:rPr>
          <w:fldChar w:fldCharType="begin"/>
        </w:r>
        <w:r w:rsidR="00877CC3" w:rsidRPr="005A11CC">
          <w:rPr>
            <w:sz w:val="20"/>
            <w:szCs w:val="20"/>
          </w:rPr>
          <w:instrText xml:space="preserve"> PAGE </w:instrText>
        </w:r>
        <w:r w:rsidR="00877CC3" w:rsidRPr="005A11CC">
          <w:rPr>
            <w:sz w:val="20"/>
            <w:szCs w:val="20"/>
          </w:rPr>
          <w:fldChar w:fldCharType="separate"/>
        </w:r>
        <w:r w:rsidR="00590019">
          <w:rPr>
            <w:noProof/>
            <w:sz w:val="20"/>
            <w:szCs w:val="20"/>
          </w:rPr>
          <w:t>4</w:t>
        </w:r>
        <w:r w:rsidR="00877CC3" w:rsidRPr="005A11CC">
          <w:rPr>
            <w:sz w:val="20"/>
            <w:szCs w:val="20"/>
          </w:rPr>
          <w:fldChar w:fldCharType="end"/>
        </w:r>
        <w:r w:rsidR="00877CC3" w:rsidRPr="005A11CC">
          <w:rPr>
            <w:sz w:val="20"/>
            <w:szCs w:val="20"/>
          </w:rPr>
          <w:t xml:space="preserve"> of </w:t>
        </w:r>
        <w:r w:rsidR="00877CC3" w:rsidRPr="005A11CC">
          <w:rPr>
            <w:sz w:val="20"/>
            <w:szCs w:val="20"/>
          </w:rPr>
          <w:fldChar w:fldCharType="begin"/>
        </w:r>
        <w:r w:rsidR="00877CC3" w:rsidRPr="005A11CC">
          <w:rPr>
            <w:sz w:val="20"/>
            <w:szCs w:val="20"/>
          </w:rPr>
          <w:instrText xml:space="preserve"> NUMPAGES  </w:instrText>
        </w:r>
        <w:r w:rsidR="00877CC3" w:rsidRPr="005A11CC">
          <w:rPr>
            <w:sz w:val="20"/>
            <w:szCs w:val="20"/>
          </w:rPr>
          <w:fldChar w:fldCharType="separate"/>
        </w:r>
        <w:r w:rsidR="00590019">
          <w:rPr>
            <w:noProof/>
            <w:sz w:val="20"/>
            <w:szCs w:val="20"/>
          </w:rPr>
          <w:t>42</w:t>
        </w:r>
        <w:r w:rsidR="00877CC3" w:rsidRPr="005A11C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CB29" w14:textId="143D7D28" w:rsidR="00877CC3" w:rsidRDefault="00877CC3" w:rsidP="00761FB2">
    <w:pPr>
      <w:pStyle w:val="Footer"/>
      <w:jc w:val="center"/>
      <w:rPr>
        <w:b/>
        <w:sz w:val="20"/>
        <w:szCs w:val="20"/>
      </w:rPr>
    </w:pPr>
    <w:r w:rsidRPr="008075C1">
      <w:rPr>
        <w:b/>
        <w:sz w:val="20"/>
        <w:szCs w:val="20"/>
      </w:rPr>
      <w:t xml:space="preserve">What’s the </w:t>
    </w:r>
    <w:proofErr w:type="gramStart"/>
    <w:r w:rsidRPr="008075C1">
      <w:rPr>
        <w:b/>
        <w:sz w:val="20"/>
        <w:szCs w:val="20"/>
      </w:rPr>
      <w:t>STORY?;</w:t>
    </w:r>
    <w:proofErr w:type="gramEnd"/>
    <w:r w:rsidRPr="008075C1">
      <w:rPr>
        <w:b/>
        <w:sz w:val="20"/>
        <w:szCs w:val="20"/>
      </w:rPr>
      <w:t xml:space="preserve"> OVG 2019/01</w:t>
    </w:r>
    <w:r>
      <w:rPr>
        <w:b/>
        <w:sz w:val="20"/>
        <w:szCs w:val="20"/>
      </w:rPr>
      <w:t xml:space="preserve">; Protocol; REC </w:t>
    </w:r>
    <w:r w:rsidRPr="00FA1960">
      <w:rPr>
        <w:b/>
        <w:sz w:val="20"/>
        <w:szCs w:val="20"/>
      </w:rPr>
      <w:t>Ref 19/LO/1040;</w:t>
    </w:r>
  </w:p>
  <w:p w14:paraId="7581FA29" w14:textId="0C966BDD" w:rsidR="00877CC3" w:rsidRDefault="00877CC3" w:rsidP="00761FB2">
    <w:pPr>
      <w:pStyle w:val="Footer"/>
      <w:jc w:val="center"/>
      <w:rPr>
        <w:b/>
        <w:sz w:val="20"/>
        <w:szCs w:val="20"/>
      </w:rPr>
    </w:pPr>
    <w:r>
      <w:rPr>
        <w:b/>
        <w:sz w:val="20"/>
        <w:szCs w:val="20"/>
      </w:rPr>
      <w:t xml:space="preserve">IRAS 263097; </w:t>
    </w:r>
    <w:r w:rsidRPr="00FA1960">
      <w:rPr>
        <w:b/>
        <w:sz w:val="20"/>
        <w:szCs w:val="20"/>
      </w:rPr>
      <w:t xml:space="preserve">Version </w:t>
    </w:r>
    <w:r w:rsidR="00120E97">
      <w:rPr>
        <w:b/>
        <w:sz w:val="20"/>
        <w:szCs w:val="20"/>
      </w:rPr>
      <w:t>9.</w:t>
    </w:r>
    <w:r w:rsidR="00BC2815">
      <w:rPr>
        <w:b/>
        <w:sz w:val="20"/>
        <w:szCs w:val="20"/>
      </w:rPr>
      <w:t>1</w:t>
    </w:r>
    <w:r w:rsidRPr="00FA1960">
      <w:rPr>
        <w:b/>
        <w:sz w:val="20"/>
        <w:szCs w:val="20"/>
      </w:rPr>
      <w:t xml:space="preserve">; Dated </w:t>
    </w:r>
    <w:r>
      <w:rPr>
        <w:b/>
        <w:sz w:val="20"/>
        <w:szCs w:val="20"/>
      </w:rPr>
      <w:t>2</w:t>
    </w:r>
    <w:r w:rsidR="00BC2815">
      <w:rPr>
        <w:b/>
        <w:sz w:val="20"/>
        <w:szCs w:val="20"/>
      </w:rPr>
      <w:t>0</w:t>
    </w:r>
    <w:r>
      <w:rPr>
        <w:b/>
        <w:sz w:val="20"/>
        <w:szCs w:val="20"/>
      </w:rPr>
      <w:t>-</w:t>
    </w:r>
    <w:r w:rsidR="00BC2815">
      <w:rPr>
        <w:b/>
        <w:sz w:val="20"/>
        <w:szCs w:val="20"/>
      </w:rPr>
      <w:t>AUG</w:t>
    </w:r>
    <w:r>
      <w:rPr>
        <w:b/>
        <w:sz w:val="20"/>
        <w:szCs w:val="20"/>
      </w:rPr>
      <w:t>-2021</w:t>
    </w:r>
  </w:p>
  <w:p w14:paraId="08907C76" w14:textId="5E7A31D0" w:rsidR="00877CC3" w:rsidRPr="00761FB2" w:rsidRDefault="00877CC3" w:rsidP="00761FB2">
    <w:pPr>
      <w:pStyle w:val="Footer"/>
      <w:rPr>
        <w:sz w:val="20"/>
        <w:szCs w:val="20"/>
      </w:rPr>
    </w:pPr>
    <w:r w:rsidRPr="00761FB2">
      <w:rPr>
        <w:sz w:val="20"/>
        <w:szCs w:val="20"/>
      </w:rPr>
      <w:t xml:space="preserve">Page </w:t>
    </w:r>
    <w:sdt>
      <w:sdtPr>
        <w:rPr>
          <w:sz w:val="20"/>
          <w:szCs w:val="20"/>
        </w:rPr>
        <w:id w:val="106165879"/>
        <w:docPartObj>
          <w:docPartGallery w:val="Page Numbers (Bottom of Page)"/>
          <w:docPartUnique/>
        </w:docPartObj>
      </w:sdtPr>
      <w:sdtEndPr/>
      <w:sdtContent>
        <w:r w:rsidRPr="00761FB2">
          <w:rPr>
            <w:sz w:val="20"/>
            <w:szCs w:val="20"/>
          </w:rPr>
          <w:fldChar w:fldCharType="begin"/>
        </w:r>
        <w:r w:rsidRPr="00761FB2">
          <w:rPr>
            <w:sz w:val="20"/>
            <w:szCs w:val="20"/>
          </w:rPr>
          <w:instrText xml:space="preserve"> PAGE   \* MERGEFORMAT </w:instrText>
        </w:r>
        <w:r w:rsidRPr="00761FB2">
          <w:rPr>
            <w:sz w:val="20"/>
            <w:szCs w:val="20"/>
          </w:rPr>
          <w:fldChar w:fldCharType="separate"/>
        </w:r>
        <w:r w:rsidR="00590019">
          <w:rPr>
            <w:noProof/>
            <w:sz w:val="20"/>
            <w:szCs w:val="20"/>
          </w:rPr>
          <w:t>41</w:t>
        </w:r>
        <w:r w:rsidRPr="00761FB2">
          <w:rPr>
            <w:sz w:val="20"/>
            <w:szCs w:val="20"/>
          </w:rPr>
          <w:fldChar w:fldCharType="end"/>
        </w:r>
        <w:r w:rsidRPr="00761FB2">
          <w:rPr>
            <w:sz w:val="20"/>
            <w:szCs w:val="20"/>
          </w:rPr>
          <w:t xml:space="preserve"> of </w:t>
        </w:r>
        <w:r w:rsidRPr="002E05C0">
          <w:rPr>
            <w:sz w:val="20"/>
            <w:szCs w:val="20"/>
          </w:rPr>
          <w:t>4</w:t>
        </w:r>
        <w:r w:rsidR="002E05C0" w:rsidRPr="002E05C0">
          <w:rPr>
            <w:sz w:val="20"/>
            <w:szCs w:val="20"/>
          </w:rPr>
          <w:t>2</w:t>
        </w:r>
      </w:sdtContent>
    </w:sdt>
  </w:p>
  <w:p w14:paraId="412E630C" w14:textId="751D3425" w:rsidR="00877CC3" w:rsidRDefault="00877CC3" w:rsidP="0088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6C905" w14:textId="77777777" w:rsidR="008C38EC" w:rsidRDefault="008C38EC" w:rsidP="00740DF2">
      <w:pPr>
        <w:spacing w:after="0" w:line="240" w:lineRule="auto"/>
      </w:pPr>
      <w:r>
        <w:separator/>
      </w:r>
    </w:p>
  </w:footnote>
  <w:footnote w:type="continuationSeparator" w:id="0">
    <w:p w14:paraId="30A1755F" w14:textId="77777777" w:rsidR="008C38EC" w:rsidRDefault="008C38EC" w:rsidP="00740DF2">
      <w:pPr>
        <w:spacing w:after="0" w:line="240" w:lineRule="auto"/>
      </w:pPr>
      <w:r>
        <w:continuationSeparator/>
      </w:r>
    </w:p>
  </w:footnote>
  <w:footnote w:type="continuationNotice" w:id="1">
    <w:p w14:paraId="24783F19" w14:textId="77777777" w:rsidR="008C38EC" w:rsidRDefault="008C3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2791" w14:textId="62D5F433" w:rsidR="00877CC3" w:rsidRPr="00726C48" w:rsidRDefault="00877CC3" w:rsidP="000066E1">
    <w:pPr>
      <w:pStyle w:val="Header"/>
      <w:rPr>
        <w:sz w:val="20"/>
        <w:szCs w:val="20"/>
      </w:rPr>
    </w:pPr>
    <w:r w:rsidRPr="00726C48">
      <w:rPr>
        <w:sz w:val="20"/>
        <w:szCs w:val="20"/>
      </w:rPr>
      <w:t>Date and version No</w:t>
    </w:r>
    <w:r w:rsidRPr="00964B2F">
      <w:rPr>
        <w:sz w:val="20"/>
        <w:szCs w:val="20"/>
      </w:rPr>
      <w:t xml:space="preserve">:    </w:t>
    </w:r>
    <w:r>
      <w:rPr>
        <w:sz w:val="20"/>
        <w:szCs w:val="20"/>
      </w:rPr>
      <w:t>2</w:t>
    </w:r>
    <w:r w:rsidR="00BC2815">
      <w:rPr>
        <w:sz w:val="20"/>
        <w:szCs w:val="20"/>
      </w:rPr>
      <w:t>0</w:t>
    </w:r>
    <w:r>
      <w:rPr>
        <w:sz w:val="20"/>
        <w:szCs w:val="20"/>
      </w:rPr>
      <w:t>-</w:t>
    </w:r>
    <w:r w:rsidR="00BC2815">
      <w:rPr>
        <w:sz w:val="20"/>
        <w:szCs w:val="20"/>
      </w:rPr>
      <w:t>AUG</w:t>
    </w:r>
    <w:r>
      <w:rPr>
        <w:sz w:val="20"/>
        <w:szCs w:val="20"/>
      </w:rPr>
      <w:t>-2021</w:t>
    </w:r>
    <w:r w:rsidRPr="008C67A2">
      <w:rPr>
        <w:sz w:val="20"/>
      </w:rPr>
      <w:t xml:space="preserve"> Version </w:t>
    </w:r>
    <w:r w:rsidR="00120E97">
      <w:rPr>
        <w:sz w:val="20"/>
        <w:szCs w:val="20"/>
      </w:rPr>
      <w:t>9.</w:t>
    </w:r>
    <w:r w:rsidR="00BC2815">
      <w:rPr>
        <w:sz w:val="20"/>
        <w:szCs w:val="20"/>
      </w:rPr>
      <w:t>1</w:t>
    </w:r>
  </w:p>
  <w:p w14:paraId="28C7DDCA" w14:textId="77777777" w:rsidR="00877CC3" w:rsidRDefault="00877CC3" w:rsidP="00C815CA">
    <w:pPr>
      <w:pStyle w:val="Header"/>
      <w:rPr>
        <w:sz w:val="20"/>
        <w:szCs w:val="20"/>
      </w:rPr>
    </w:pPr>
  </w:p>
  <w:p w14:paraId="16944875" w14:textId="77777777" w:rsidR="00877CC3" w:rsidRPr="00726C48" w:rsidRDefault="00877CC3" w:rsidP="008075C1">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7D72" w14:textId="77777777" w:rsidR="00877CC3" w:rsidRPr="00274A32" w:rsidRDefault="00877CC3">
    <w:pPr>
      <w:pStyle w:val="Header"/>
      <w:rPr>
        <w:sz w:val="20"/>
        <w:szCs w:val="20"/>
      </w:rPr>
    </w:pPr>
    <w:r w:rsidRPr="00726C48">
      <w:rPr>
        <w:sz w:val="20"/>
        <w:szCs w:val="20"/>
      </w:rPr>
      <w:t xml:space="preserve">Date and version No:     </w:t>
    </w:r>
    <w:r w:rsidRPr="00726C48">
      <w:rPr>
        <w:sz w:val="20"/>
        <w:szCs w:val="20"/>
        <w:highlight w:val="yellow"/>
      </w:rPr>
      <w:t>insert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A558" w14:textId="56ABAF86" w:rsidR="00877CC3" w:rsidRDefault="00877CC3" w:rsidP="0088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77C"/>
    <w:multiLevelType w:val="hybridMultilevel"/>
    <w:tmpl w:val="A240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C3DBE"/>
    <w:multiLevelType w:val="hybridMultilevel"/>
    <w:tmpl w:val="D7A6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545A"/>
    <w:multiLevelType w:val="hybridMultilevel"/>
    <w:tmpl w:val="9E722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A7095"/>
    <w:multiLevelType w:val="hybridMultilevel"/>
    <w:tmpl w:val="7326E5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515A1"/>
    <w:multiLevelType w:val="multilevel"/>
    <w:tmpl w:val="C8726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09CF"/>
    <w:multiLevelType w:val="multilevel"/>
    <w:tmpl w:val="ADA29B98"/>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681B98"/>
    <w:multiLevelType w:val="hybridMultilevel"/>
    <w:tmpl w:val="AAD418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138F1"/>
    <w:multiLevelType w:val="hybridMultilevel"/>
    <w:tmpl w:val="FBF224FC"/>
    <w:lvl w:ilvl="0" w:tplc="0809000F">
      <w:start w:val="1"/>
      <w:numFmt w:val="decimal"/>
      <w:lvlText w:val="%1."/>
      <w:lvlJc w:val="left"/>
      <w:pPr>
        <w:ind w:left="1545" w:hanging="72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8" w15:restartNumberingAfterBreak="0">
    <w:nsid w:val="20A4732B"/>
    <w:multiLevelType w:val="hybridMultilevel"/>
    <w:tmpl w:val="7CE6F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17AC8"/>
    <w:multiLevelType w:val="hybridMultilevel"/>
    <w:tmpl w:val="A276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28863D6">
      <w:start w:val="20"/>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249B9"/>
    <w:multiLevelType w:val="hybridMultilevel"/>
    <w:tmpl w:val="EA8A5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D684B"/>
    <w:multiLevelType w:val="hybridMultilevel"/>
    <w:tmpl w:val="6EAE7F1C"/>
    <w:lvl w:ilvl="0" w:tplc="670E202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21C0E"/>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3A365E"/>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AD79DC"/>
    <w:multiLevelType w:val="hybridMultilevel"/>
    <w:tmpl w:val="67BC2320"/>
    <w:lvl w:ilvl="0" w:tplc="0809000F">
      <w:start w:val="1"/>
      <w:numFmt w:val="decimal"/>
      <w:lvlText w:val="%1."/>
      <w:lvlJc w:val="left"/>
      <w:pPr>
        <w:ind w:left="360"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2D320B18"/>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801BCA"/>
    <w:multiLevelType w:val="hybridMultilevel"/>
    <w:tmpl w:val="9D6A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14F2F"/>
    <w:multiLevelType w:val="hybridMultilevel"/>
    <w:tmpl w:val="7144C17E"/>
    <w:lvl w:ilvl="0" w:tplc="30EE91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67E98"/>
    <w:multiLevelType w:val="hybridMultilevel"/>
    <w:tmpl w:val="7DFCC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364161"/>
    <w:multiLevelType w:val="hybridMultilevel"/>
    <w:tmpl w:val="BA8A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746"/>
    <w:multiLevelType w:val="hybridMultilevel"/>
    <w:tmpl w:val="C8A2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6625C"/>
    <w:multiLevelType w:val="hybridMultilevel"/>
    <w:tmpl w:val="67BC2320"/>
    <w:lvl w:ilvl="0" w:tplc="0809000F">
      <w:start w:val="1"/>
      <w:numFmt w:val="decimal"/>
      <w:lvlText w:val="%1."/>
      <w:lvlJc w:val="left"/>
      <w:pPr>
        <w:ind w:left="360"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15:restartNumberingAfterBreak="0">
    <w:nsid w:val="3DCD2FE7"/>
    <w:multiLevelType w:val="hybridMultilevel"/>
    <w:tmpl w:val="67BC2320"/>
    <w:lvl w:ilvl="0" w:tplc="0809000F">
      <w:start w:val="1"/>
      <w:numFmt w:val="decimal"/>
      <w:lvlText w:val="%1."/>
      <w:lvlJc w:val="left"/>
      <w:pPr>
        <w:ind w:left="360" w:hanging="360"/>
      </w:p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4" w15:restartNumberingAfterBreak="0">
    <w:nsid w:val="44610907"/>
    <w:multiLevelType w:val="hybridMultilevel"/>
    <w:tmpl w:val="A6C6A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272702"/>
    <w:multiLevelType w:val="hybridMultilevel"/>
    <w:tmpl w:val="6FEC4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D6309D"/>
    <w:multiLevelType w:val="hybridMultilevel"/>
    <w:tmpl w:val="6240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E7566"/>
    <w:multiLevelType w:val="hybridMultilevel"/>
    <w:tmpl w:val="C06C8DAE"/>
    <w:lvl w:ilvl="0" w:tplc="08090001">
      <w:start w:val="1"/>
      <w:numFmt w:val="bullet"/>
      <w:lvlText w:val=""/>
      <w:lvlJc w:val="left"/>
      <w:pPr>
        <w:ind w:left="2160" w:hanging="360"/>
      </w:pPr>
      <w:rPr>
        <w:rFonts w:ascii="Symbol" w:hAnsi="Symbol" w:hint="default"/>
      </w:rPr>
    </w:lvl>
    <w:lvl w:ilvl="1" w:tplc="0F0ED106">
      <w:numFmt w:val="bullet"/>
      <w:lvlText w:val="·"/>
      <w:lvlJc w:val="left"/>
      <w:pPr>
        <w:ind w:left="2880" w:hanging="360"/>
      </w:pPr>
      <w:rPr>
        <w:rFonts w:ascii="Calibri" w:eastAsia="Times New Roman" w:hAnsi="Calibri" w:cs="Calibri" w:hint="default"/>
        <w:color w:val="FF0000"/>
        <w:sz w:val="20"/>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40D34E2"/>
    <w:multiLevelType w:val="hybridMultilevel"/>
    <w:tmpl w:val="94503E8C"/>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80CFD"/>
    <w:multiLevelType w:val="hybridMultilevel"/>
    <w:tmpl w:val="38FA3A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5B48C8"/>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97745DE"/>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D13088"/>
    <w:multiLevelType w:val="hybridMultilevel"/>
    <w:tmpl w:val="6BFE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526219"/>
    <w:multiLevelType w:val="hybridMultilevel"/>
    <w:tmpl w:val="324A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27385"/>
    <w:multiLevelType w:val="hybridMultilevel"/>
    <w:tmpl w:val="0272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242D5"/>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A04E26"/>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997DE1"/>
    <w:multiLevelType w:val="hybridMultilevel"/>
    <w:tmpl w:val="67BC2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9D1ABF"/>
    <w:multiLevelType w:val="hybridMultilevel"/>
    <w:tmpl w:val="EC284F6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9235F1"/>
    <w:multiLevelType w:val="hybridMultilevel"/>
    <w:tmpl w:val="79A425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2A337C5"/>
    <w:multiLevelType w:val="hybridMultilevel"/>
    <w:tmpl w:val="5B0A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F064DD"/>
    <w:multiLevelType w:val="hybridMultilevel"/>
    <w:tmpl w:val="79A425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9"/>
  </w:num>
  <w:num w:numId="4">
    <w:abstractNumId w:val="21"/>
  </w:num>
  <w:num w:numId="5">
    <w:abstractNumId w:val="7"/>
  </w:num>
  <w:num w:numId="6">
    <w:abstractNumId w:val="11"/>
  </w:num>
  <w:num w:numId="7">
    <w:abstractNumId w:val="18"/>
  </w:num>
  <w:num w:numId="8">
    <w:abstractNumId w:val="20"/>
  </w:num>
  <w:num w:numId="9">
    <w:abstractNumId w:val="28"/>
  </w:num>
  <w:num w:numId="10">
    <w:abstractNumId w:val="26"/>
  </w:num>
  <w:num w:numId="11">
    <w:abstractNumId w:val="9"/>
  </w:num>
  <w:num w:numId="12">
    <w:abstractNumId w:val="42"/>
  </w:num>
  <w:num w:numId="13">
    <w:abstractNumId w:val="10"/>
  </w:num>
  <w:num w:numId="14">
    <w:abstractNumId w:val="32"/>
  </w:num>
  <w:num w:numId="15">
    <w:abstractNumId w:val="8"/>
  </w:num>
  <w:num w:numId="16">
    <w:abstractNumId w:val="40"/>
  </w:num>
  <w:num w:numId="17">
    <w:abstractNumId w:val="3"/>
  </w:num>
  <w:num w:numId="18">
    <w:abstractNumId w:val="14"/>
  </w:num>
  <w:num w:numId="19">
    <w:abstractNumId w:val="29"/>
  </w:num>
  <w:num w:numId="20">
    <w:abstractNumId w:val="2"/>
  </w:num>
  <w:num w:numId="21">
    <w:abstractNumId w:val="37"/>
  </w:num>
  <w:num w:numId="22">
    <w:abstractNumId w:val="23"/>
  </w:num>
  <w:num w:numId="23">
    <w:abstractNumId w:val="24"/>
  </w:num>
  <w:num w:numId="24">
    <w:abstractNumId w:val="0"/>
  </w:num>
  <w:num w:numId="25">
    <w:abstractNumId w:val="6"/>
  </w:num>
  <w:num w:numId="26">
    <w:abstractNumId w:val="4"/>
  </w:num>
  <w:num w:numId="27">
    <w:abstractNumId w:val="38"/>
  </w:num>
  <w:num w:numId="28">
    <w:abstractNumId w:val="25"/>
  </w:num>
  <w:num w:numId="29">
    <w:abstractNumId w:val="16"/>
  </w:num>
  <w:num w:numId="30">
    <w:abstractNumId w:val="39"/>
  </w:num>
  <w:num w:numId="31">
    <w:abstractNumId w:val="27"/>
  </w:num>
  <w:num w:numId="32">
    <w:abstractNumId w:val="31"/>
  </w:num>
  <w:num w:numId="33">
    <w:abstractNumId w:val="0"/>
  </w:num>
  <w:num w:numId="34">
    <w:abstractNumId w:val="30"/>
  </w:num>
  <w:num w:numId="35">
    <w:abstractNumId w:val="36"/>
  </w:num>
  <w:num w:numId="36">
    <w:abstractNumId w:val="12"/>
  </w:num>
  <w:num w:numId="37">
    <w:abstractNumId w:val="35"/>
  </w:num>
  <w:num w:numId="38">
    <w:abstractNumId w:val="22"/>
  </w:num>
  <w:num w:numId="39">
    <w:abstractNumId w:val="41"/>
  </w:num>
  <w:num w:numId="40">
    <w:abstractNumId w:val="1"/>
  </w:num>
  <w:num w:numId="41">
    <w:abstractNumId w:val="34"/>
  </w:num>
  <w:num w:numId="42">
    <w:abstractNumId w:val="13"/>
  </w:num>
  <w:num w:numId="43">
    <w:abstractNumId w:val="33"/>
  </w:num>
  <w:num w:numId="44">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APG Bulleti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F1606"/>
    <w:rsid w:val="00000089"/>
    <w:rsid w:val="00001420"/>
    <w:rsid w:val="00003B88"/>
    <w:rsid w:val="000066E1"/>
    <w:rsid w:val="00006A50"/>
    <w:rsid w:val="000075DF"/>
    <w:rsid w:val="00013B63"/>
    <w:rsid w:val="0001443C"/>
    <w:rsid w:val="00015405"/>
    <w:rsid w:val="00015636"/>
    <w:rsid w:val="00020A71"/>
    <w:rsid w:val="000228E3"/>
    <w:rsid w:val="00022E92"/>
    <w:rsid w:val="0002508F"/>
    <w:rsid w:val="0002531C"/>
    <w:rsid w:val="000303AF"/>
    <w:rsid w:val="000304E2"/>
    <w:rsid w:val="00030B8D"/>
    <w:rsid w:val="00030BEF"/>
    <w:rsid w:val="000334AE"/>
    <w:rsid w:val="00033A80"/>
    <w:rsid w:val="00034E86"/>
    <w:rsid w:val="00035D60"/>
    <w:rsid w:val="0003635F"/>
    <w:rsid w:val="000406E7"/>
    <w:rsid w:val="00041535"/>
    <w:rsid w:val="00041E93"/>
    <w:rsid w:val="00043C59"/>
    <w:rsid w:val="00046744"/>
    <w:rsid w:val="00046787"/>
    <w:rsid w:val="00047A82"/>
    <w:rsid w:val="00047E74"/>
    <w:rsid w:val="00051F6E"/>
    <w:rsid w:val="00057B5D"/>
    <w:rsid w:val="000636E7"/>
    <w:rsid w:val="00063DC5"/>
    <w:rsid w:val="00070AFF"/>
    <w:rsid w:val="000719E7"/>
    <w:rsid w:val="00071F41"/>
    <w:rsid w:val="00072EFD"/>
    <w:rsid w:val="00073114"/>
    <w:rsid w:val="00075F7A"/>
    <w:rsid w:val="00083976"/>
    <w:rsid w:val="000854DD"/>
    <w:rsid w:val="00087CE7"/>
    <w:rsid w:val="0009030C"/>
    <w:rsid w:val="000929A7"/>
    <w:rsid w:val="0009482D"/>
    <w:rsid w:val="00096190"/>
    <w:rsid w:val="00097CDA"/>
    <w:rsid w:val="000A0E80"/>
    <w:rsid w:val="000A2395"/>
    <w:rsid w:val="000A2C9B"/>
    <w:rsid w:val="000A49FB"/>
    <w:rsid w:val="000A5DD1"/>
    <w:rsid w:val="000B04C7"/>
    <w:rsid w:val="000B0D1A"/>
    <w:rsid w:val="000B0E2C"/>
    <w:rsid w:val="000B1596"/>
    <w:rsid w:val="000B3953"/>
    <w:rsid w:val="000B3A10"/>
    <w:rsid w:val="000B59E5"/>
    <w:rsid w:val="000C0D3D"/>
    <w:rsid w:val="000C1A90"/>
    <w:rsid w:val="000C2098"/>
    <w:rsid w:val="000C45D8"/>
    <w:rsid w:val="000C6801"/>
    <w:rsid w:val="000C7CB4"/>
    <w:rsid w:val="000D3A16"/>
    <w:rsid w:val="000D50D5"/>
    <w:rsid w:val="000D558F"/>
    <w:rsid w:val="000E0BD7"/>
    <w:rsid w:val="000E6234"/>
    <w:rsid w:val="000F0E4F"/>
    <w:rsid w:val="000F262D"/>
    <w:rsid w:val="000F34AB"/>
    <w:rsid w:val="000F4540"/>
    <w:rsid w:val="000F5258"/>
    <w:rsid w:val="000F582D"/>
    <w:rsid w:val="000F5909"/>
    <w:rsid w:val="000F5CE7"/>
    <w:rsid w:val="00102536"/>
    <w:rsid w:val="00104EF0"/>
    <w:rsid w:val="00105207"/>
    <w:rsid w:val="00105D23"/>
    <w:rsid w:val="00106C2F"/>
    <w:rsid w:val="00110785"/>
    <w:rsid w:val="00110C9A"/>
    <w:rsid w:val="00110D3E"/>
    <w:rsid w:val="001115FF"/>
    <w:rsid w:val="0011345F"/>
    <w:rsid w:val="0011498F"/>
    <w:rsid w:val="001149BF"/>
    <w:rsid w:val="00114E9A"/>
    <w:rsid w:val="00115887"/>
    <w:rsid w:val="00116670"/>
    <w:rsid w:val="00120E1B"/>
    <w:rsid w:val="00120E97"/>
    <w:rsid w:val="00121E40"/>
    <w:rsid w:val="00122CAF"/>
    <w:rsid w:val="00122FD8"/>
    <w:rsid w:val="001239F6"/>
    <w:rsid w:val="00127EA8"/>
    <w:rsid w:val="00131FE7"/>
    <w:rsid w:val="0013377C"/>
    <w:rsid w:val="00134351"/>
    <w:rsid w:val="00135527"/>
    <w:rsid w:val="0013560B"/>
    <w:rsid w:val="00136C63"/>
    <w:rsid w:val="001418B2"/>
    <w:rsid w:val="00142D00"/>
    <w:rsid w:val="00144144"/>
    <w:rsid w:val="0014494E"/>
    <w:rsid w:val="0014524F"/>
    <w:rsid w:val="00146DC7"/>
    <w:rsid w:val="00147D53"/>
    <w:rsid w:val="00147E26"/>
    <w:rsid w:val="0015278D"/>
    <w:rsid w:val="0015355B"/>
    <w:rsid w:val="001550CC"/>
    <w:rsid w:val="00155398"/>
    <w:rsid w:val="00155DE5"/>
    <w:rsid w:val="00156534"/>
    <w:rsid w:val="00162B20"/>
    <w:rsid w:val="001635D5"/>
    <w:rsid w:val="0016458E"/>
    <w:rsid w:val="0016514E"/>
    <w:rsid w:val="00165FD8"/>
    <w:rsid w:val="001669DB"/>
    <w:rsid w:val="00167C98"/>
    <w:rsid w:val="001721C1"/>
    <w:rsid w:val="00172D75"/>
    <w:rsid w:val="00173358"/>
    <w:rsid w:val="001752D0"/>
    <w:rsid w:val="0017570F"/>
    <w:rsid w:val="001768F4"/>
    <w:rsid w:val="001818EC"/>
    <w:rsid w:val="00182FCC"/>
    <w:rsid w:val="00183250"/>
    <w:rsid w:val="0018335D"/>
    <w:rsid w:val="00183661"/>
    <w:rsid w:val="0018374E"/>
    <w:rsid w:val="00184A27"/>
    <w:rsid w:val="001863A2"/>
    <w:rsid w:val="001901D9"/>
    <w:rsid w:val="0019029E"/>
    <w:rsid w:val="001918CF"/>
    <w:rsid w:val="00191C9D"/>
    <w:rsid w:val="001937F3"/>
    <w:rsid w:val="001941FE"/>
    <w:rsid w:val="00196027"/>
    <w:rsid w:val="001A0ADA"/>
    <w:rsid w:val="001A1221"/>
    <w:rsid w:val="001A187C"/>
    <w:rsid w:val="001A1980"/>
    <w:rsid w:val="001A19BC"/>
    <w:rsid w:val="001A1F4C"/>
    <w:rsid w:val="001A4BC2"/>
    <w:rsid w:val="001A5368"/>
    <w:rsid w:val="001A5BD6"/>
    <w:rsid w:val="001A6C11"/>
    <w:rsid w:val="001A6ECC"/>
    <w:rsid w:val="001B0317"/>
    <w:rsid w:val="001B06AD"/>
    <w:rsid w:val="001B12ED"/>
    <w:rsid w:val="001B4FAD"/>
    <w:rsid w:val="001B520C"/>
    <w:rsid w:val="001B7998"/>
    <w:rsid w:val="001C2B3A"/>
    <w:rsid w:val="001C2DDC"/>
    <w:rsid w:val="001C68AF"/>
    <w:rsid w:val="001C6A7B"/>
    <w:rsid w:val="001C7D50"/>
    <w:rsid w:val="001D29DB"/>
    <w:rsid w:val="001D2F14"/>
    <w:rsid w:val="001D34DD"/>
    <w:rsid w:val="001D440B"/>
    <w:rsid w:val="001D4B65"/>
    <w:rsid w:val="001D5CFF"/>
    <w:rsid w:val="001D69A7"/>
    <w:rsid w:val="001D73D3"/>
    <w:rsid w:val="001D793B"/>
    <w:rsid w:val="001D7E4A"/>
    <w:rsid w:val="001D7E73"/>
    <w:rsid w:val="001E3B74"/>
    <w:rsid w:val="001E50E5"/>
    <w:rsid w:val="001E54FA"/>
    <w:rsid w:val="001F0901"/>
    <w:rsid w:val="001F0EB4"/>
    <w:rsid w:val="001F1733"/>
    <w:rsid w:val="001F27FC"/>
    <w:rsid w:val="001F4A20"/>
    <w:rsid w:val="001F4EA4"/>
    <w:rsid w:val="001F58E1"/>
    <w:rsid w:val="001F6F16"/>
    <w:rsid w:val="001F7B6B"/>
    <w:rsid w:val="00201878"/>
    <w:rsid w:val="0020241E"/>
    <w:rsid w:val="00204319"/>
    <w:rsid w:val="002072D0"/>
    <w:rsid w:val="0020783D"/>
    <w:rsid w:val="00210742"/>
    <w:rsid w:val="00210D34"/>
    <w:rsid w:val="0021143D"/>
    <w:rsid w:val="00212CED"/>
    <w:rsid w:val="00213880"/>
    <w:rsid w:val="00216436"/>
    <w:rsid w:val="002214E3"/>
    <w:rsid w:val="002239BD"/>
    <w:rsid w:val="00223BFD"/>
    <w:rsid w:val="00224814"/>
    <w:rsid w:val="00233371"/>
    <w:rsid w:val="00236374"/>
    <w:rsid w:val="00237274"/>
    <w:rsid w:val="002378E5"/>
    <w:rsid w:val="0024070F"/>
    <w:rsid w:val="00241927"/>
    <w:rsid w:val="00241A7C"/>
    <w:rsid w:val="00242D09"/>
    <w:rsid w:val="00243E60"/>
    <w:rsid w:val="0024415C"/>
    <w:rsid w:val="00244254"/>
    <w:rsid w:val="0024594E"/>
    <w:rsid w:val="00246E6F"/>
    <w:rsid w:val="00247A75"/>
    <w:rsid w:val="00247FAF"/>
    <w:rsid w:val="0025080E"/>
    <w:rsid w:val="002515F4"/>
    <w:rsid w:val="0025179D"/>
    <w:rsid w:val="00253DEA"/>
    <w:rsid w:val="002549C0"/>
    <w:rsid w:val="0025597A"/>
    <w:rsid w:val="00256E11"/>
    <w:rsid w:val="00261B7F"/>
    <w:rsid w:val="00261DA2"/>
    <w:rsid w:val="00262455"/>
    <w:rsid w:val="0026293E"/>
    <w:rsid w:val="00265489"/>
    <w:rsid w:val="00265689"/>
    <w:rsid w:val="00274A32"/>
    <w:rsid w:val="002760F1"/>
    <w:rsid w:val="0028045D"/>
    <w:rsid w:val="002810C0"/>
    <w:rsid w:val="00286AB9"/>
    <w:rsid w:val="00287F48"/>
    <w:rsid w:val="002905DF"/>
    <w:rsid w:val="0029256E"/>
    <w:rsid w:val="00293F76"/>
    <w:rsid w:val="00295F5A"/>
    <w:rsid w:val="002960D1"/>
    <w:rsid w:val="002975EC"/>
    <w:rsid w:val="002A09C6"/>
    <w:rsid w:val="002A1CB9"/>
    <w:rsid w:val="002A1EF5"/>
    <w:rsid w:val="002A24B0"/>
    <w:rsid w:val="002A26B8"/>
    <w:rsid w:val="002A336B"/>
    <w:rsid w:val="002A4FF4"/>
    <w:rsid w:val="002A6985"/>
    <w:rsid w:val="002B022D"/>
    <w:rsid w:val="002B088F"/>
    <w:rsid w:val="002B3A06"/>
    <w:rsid w:val="002B526C"/>
    <w:rsid w:val="002C17F1"/>
    <w:rsid w:val="002C2344"/>
    <w:rsid w:val="002C30AE"/>
    <w:rsid w:val="002E04FE"/>
    <w:rsid w:val="002E0550"/>
    <w:rsid w:val="002E05C0"/>
    <w:rsid w:val="002E6C35"/>
    <w:rsid w:val="002F0D14"/>
    <w:rsid w:val="002F17C4"/>
    <w:rsid w:val="002F1AC9"/>
    <w:rsid w:val="002F37FE"/>
    <w:rsid w:val="002F4D8B"/>
    <w:rsid w:val="002F5817"/>
    <w:rsid w:val="002F70B3"/>
    <w:rsid w:val="00302479"/>
    <w:rsid w:val="00304CAF"/>
    <w:rsid w:val="003051B1"/>
    <w:rsid w:val="00306C5F"/>
    <w:rsid w:val="003106F9"/>
    <w:rsid w:val="00311D4B"/>
    <w:rsid w:val="00313652"/>
    <w:rsid w:val="00316BCF"/>
    <w:rsid w:val="003214A5"/>
    <w:rsid w:val="0032476B"/>
    <w:rsid w:val="0032688F"/>
    <w:rsid w:val="00326A2E"/>
    <w:rsid w:val="003316E2"/>
    <w:rsid w:val="00332791"/>
    <w:rsid w:val="00334E78"/>
    <w:rsid w:val="00336C33"/>
    <w:rsid w:val="00337F73"/>
    <w:rsid w:val="0034112B"/>
    <w:rsid w:val="003413DF"/>
    <w:rsid w:val="0034295C"/>
    <w:rsid w:val="00344998"/>
    <w:rsid w:val="00345BF5"/>
    <w:rsid w:val="0034780C"/>
    <w:rsid w:val="003511B2"/>
    <w:rsid w:val="00352AD3"/>
    <w:rsid w:val="00355D5C"/>
    <w:rsid w:val="00355FAA"/>
    <w:rsid w:val="00356A46"/>
    <w:rsid w:val="00356B86"/>
    <w:rsid w:val="00357A4E"/>
    <w:rsid w:val="00361100"/>
    <w:rsid w:val="003640EA"/>
    <w:rsid w:val="003646DE"/>
    <w:rsid w:val="00364A43"/>
    <w:rsid w:val="00365497"/>
    <w:rsid w:val="00365A83"/>
    <w:rsid w:val="00365AB2"/>
    <w:rsid w:val="00365EA6"/>
    <w:rsid w:val="00366E09"/>
    <w:rsid w:val="00370565"/>
    <w:rsid w:val="003731BB"/>
    <w:rsid w:val="003743B2"/>
    <w:rsid w:val="00374638"/>
    <w:rsid w:val="00375A96"/>
    <w:rsid w:val="003822D5"/>
    <w:rsid w:val="00383631"/>
    <w:rsid w:val="00383FCC"/>
    <w:rsid w:val="0038568A"/>
    <w:rsid w:val="00386CEE"/>
    <w:rsid w:val="00390A77"/>
    <w:rsid w:val="00391ED5"/>
    <w:rsid w:val="00393962"/>
    <w:rsid w:val="003957E8"/>
    <w:rsid w:val="003A41ED"/>
    <w:rsid w:val="003A4E45"/>
    <w:rsid w:val="003A4F7D"/>
    <w:rsid w:val="003A5E74"/>
    <w:rsid w:val="003B3348"/>
    <w:rsid w:val="003B6253"/>
    <w:rsid w:val="003B642F"/>
    <w:rsid w:val="003B6E37"/>
    <w:rsid w:val="003C3AEF"/>
    <w:rsid w:val="003C3D11"/>
    <w:rsid w:val="003C47C2"/>
    <w:rsid w:val="003D0E70"/>
    <w:rsid w:val="003D1D7A"/>
    <w:rsid w:val="003D2F67"/>
    <w:rsid w:val="003D3107"/>
    <w:rsid w:val="003D4579"/>
    <w:rsid w:val="003D6731"/>
    <w:rsid w:val="003D7356"/>
    <w:rsid w:val="003E0A95"/>
    <w:rsid w:val="003E231F"/>
    <w:rsid w:val="003E3BC1"/>
    <w:rsid w:val="003E45B7"/>
    <w:rsid w:val="003E4917"/>
    <w:rsid w:val="003E72FC"/>
    <w:rsid w:val="003E78E7"/>
    <w:rsid w:val="003E79E8"/>
    <w:rsid w:val="003F0811"/>
    <w:rsid w:val="003F1580"/>
    <w:rsid w:val="003F1983"/>
    <w:rsid w:val="003F402C"/>
    <w:rsid w:val="003F5F3C"/>
    <w:rsid w:val="004004A7"/>
    <w:rsid w:val="004024CC"/>
    <w:rsid w:val="004046B8"/>
    <w:rsid w:val="00404E47"/>
    <w:rsid w:val="00405749"/>
    <w:rsid w:val="0041013E"/>
    <w:rsid w:val="004103B2"/>
    <w:rsid w:val="00412A97"/>
    <w:rsid w:val="00413B51"/>
    <w:rsid w:val="00414C97"/>
    <w:rsid w:val="00414F27"/>
    <w:rsid w:val="00415879"/>
    <w:rsid w:val="00420373"/>
    <w:rsid w:val="0042144F"/>
    <w:rsid w:val="004255C2"/>
    <w:rsid w:val="00426B16"/>
    <w:rsid w:val="0043072D"/>
    <w:rsid w:val="00433181"/>
    <w:rsid w:val="0043349C"/>
    <w:rsid w:val="004335D1"/>
    <w:rsid w:val="004343BD"/>
    <w:rsid w:val="00435B2B"/>
    <w:rsid w:val="00436236"/>
    <w:rsid w:val="0043631F"/>
    <w:rsid w:val="00437C9D"/>
    <w:rsid w:val="00440498"/>
    <w:rsid w:val="00440663"/>
    <w:rsid w:val="004419C6"/>
    <w:rsid w:val="00441EC4"/>
    <w:rsid w:val="00443509"/>
    <w:rsid w:val="00444258"/>
    <w:rsid w:val="00445792"/>
    <w:rsid w:val="00445858"/>
    <w:rsid w:val="00445F60"/>
    <w:rsid w:val="0044628C"/>
    <w:rsid w:val="0044654F"/>
    <w:rsid w:val="00447DA0"/>
    <w:rsid w:val="00450B80"/>
    <w:rsid w:val="00450D95"/>
    <w:rsid w:val="0045148E"/>
    <w:rsid w:val="00457652"/>
    <w:rsid w:val="00457BF5"/>
    <w:rsid w:val="00462541"/>
    <w:rsid w:val="00463A73"/>
    <w:rsid w:val="00464749"/>
    <w:rsid w:val="00465551"/>
    <w:rsid w:val="004659A4"/>
    <w:rsid w:val="0046611A"/>
    <w:rsid w:val="0047043C"/>
    <w:rsid w:val="0047052D"/>
    <w:rsid w:val="00473388"/>
    <w:rsid w:val="00474642"/>
    <w:rsid w:val="00475D38"/>
    <w:rsid w:val="0048166D"/>
    <w:rsid w:val="004914B4"/>
    <w:rsid w:val="0049219A"/>
    <w:rsid w:val="00495C2E"/>
    <w:rsid w:val="0049616D"/>
    <w:rsid w:val="0049779F"/>
    <w:rsid w:val="00497B8C"/>
    <w:rsid w:val="004A16EA"/>
    <w:rsid w:val="004A1F92"/>
    <w:rsid w:val="004A2FE2"/>
    <w:rsid w:val="004A34C4"/>
    <w:rsid w:val="004A64F4"/>
    <w:rsid w:val="004A748F"/>
    <w:rsid w:val="004A7D4C"/>
    <w:rsid w:val="004B25F5"/>
    <w:rsid w:val="004B2F1E"/>
    <w:rsid w:val="004B51B4"/>
    <w:rsid w:val="004B5706"/>
    <w:rsid w:val="004C0DEC"/>
    <w:rsid w:val="004C15C2"/>
    <w:rsid w:val="004C17B3"/>
    <w:rsid w:val="004C2E07"/>
    <w:rsid w:val="004C4DCB"/>
    <w:rsid w:val="004D0DF4"/>
    <w:rsid w:val="004D2590"/>
    <w:rsid w:val="004D522E"/>
    <w:rsid w:val="004D740D"/>
    <w:rsid w:val="004D7919"/>
    <w:rsid w:val="004D7D88"/>
    <w:rsid w:val="004D7E0E"/>
    <w:rsid w:val="004E14F4"/>
    <w:rsid w:val="004E1600"/>
    <w:rsid w:val="004E5166"/>
    <w:rsid w:val="004E5CCA"/>
    <w:rsid w:val="004E5FB1"/>
    <w:rsid w:val="004E65EA"/>
    <w:rsid w:val="004F0D0A"/>
    <w:rsid w:val="004F189F"/>
    <w:rsid w:val="004F3F11"/>
    <w:rsid w:val="004F4C69"/>
    <w:rsid w:val="004F73FF"/>
    <w:rsid w:val="004F746A"/>
    <w:rsid w:val="004F7882"/>
    <w:rsid w:val="0050400B"/>
    <w:rsid w:val="00505885"/>
    <w:rsid w:val="00506298"/>
    <w:rsid w:val="0051031D"/>
    <w:rsid w:val="00510335"/>
    <w:rsid w:val="00511BB3"/>
    <w:rsid w:val="00515AC8"/>
    <w:rsid w:val="0051697B"/>
    <w:rsid w:val="00517981"/>
    <w:rsid w:val="00520A70"/>
    <w:rsid w:val="00520A71"/>
    <w:rsid w:val="0053052A"/>
    <w:rsid w:val="00530B62"/>
    <w:rsid w:val="00530BD5"/>
    <w:rsid w:val="0053128A"/>
    <w:rsid w:val="00533E1E"/>
    <w:rsid w:val="005348CB"/>
    <w:rsid w:val="00535CD1"/>
    <w:rsid w:val="00536A3E"/>
    <w:rsid w:val="00541597"/>
    <w:rsid w:val="00543DC1"/>
    <w:rsid w:val="0055065A"/>
    <w:rsid w:val="0055094D"/>
    <w:rsid w:val="00553D9C"/>
    <w:rsid w:val="005541C8"/>
    <w:rsid w:val="00554BD2"/>
    <w:rsid w:val="00556BF8"/>
    <w:rsid w:val="00557B21"/>
    <w:rsid w:val="00560668"/>
    <w:rsid w:val="0056081B"/>
    <w:rsid w:val="0056150D"/>
    <w:rsid w:val="00561CAA"/>
    <w:rsid w:val="00562EBA"/>
    <w:rsid w:val="0056382F"/>
    <w:rsid w:val="005651B7"/>
    <w:rsid w:val="00566AF2"/>
    <w:rsid w:val="00567B2C"/>
    <w:rsid w:val="00567BE3"/>
    <w:rsid w:val="00567EBA"/>
    <w:rsid w:val="005716E6"/>
    <w:rsid w:val="00571EF8"/>
    <w:rsid w:val="005741F6"/>
    <w:rsid w:val="00577F1C"/>
    <w:rsid w:val="005803A1"/>
    <w:rsid w:val="00581F0A"/>
    <w:rsid w:val="005845E4"/>
    <w:rsid w:val="00585BED"/>
    <w:rsid w:val="00585F81"/>
    <w:rsid w:val="0058789A"/>
    <w:rsid w:val="00590019"/>
    <w:rsid w:val="00590DF8"/>
    <w:rsid w:val="00592163"/>
    <w:rsid w:val="005945BD"/>
    <w:rsid w:val="0059542E"/>
    <w:rsid w:val="0059552F"/>
    <w:rsid w:val="00597E28"/>
    <w:rsid w:val="00597F66"/>
    <w:rsid w:val="005A06E5"/>
    <w:rsid w:val="005A201B"/>
    <w:rsid w:val="005A234F"/>
    <w:rsid w:val="005A3255"/>
    <w:rsid w:val="005A3497"/>
    <w:rsid w:val="005A3669"/>
    <w:rsid w:val="005A392D"/>
    <w:rsid w:val="005A3B11"/>
    <w:rsid w:val="005B0479"/>
    <w:rsid w:val="005B19EB"/>
    <w:rsid w:val="005B3F90"/>
    <w:rsid w:val="005B43A2"/>
    <w:rsid w:val="005B4CE7"/>
    <w:rsid w:val="005B5736"/>
    <w:rsid w:val="005B6816"/>
    <w:rsid w:val="005B6BD1"/>
    <w:rsid w:val="005B6D61"/>
    <w:rsid w:val="005B7A92"/>
    <w:rsid w:val="005C29AF"/>
    <w:rsid w:val="005C31E7"/>
    <w:rsid w:val="005C393D"/>
    <w:rsid w:val="005C498A"/>
    <w:rsid w:val="005C5BAD"/>
    <w:rsid w:val="005C747F"/>
    <w:rsid w:val="005C7536"/>
    <w:rsid w:val="005C755A"/>
    <w:rsid w:val="005D0017"/>
    <w:rsid w:val="005D390B"/>
    <w:rsid w:val="005D3D72"/>
    <w:rsid w:val="005D3E7B"/>
    <w:rsid w:val="005D4759"/>
    <w:rsid w:val="005D62EE"/>
    <w:rsid w:val="005D64CF"/>
    <w:rsid w:val="005D693E"/>
    <w:rsid w:val="005E0172"/>
    <w:rsid w:val="005E028F"/>
    <w:rsid w:val="005E0683"/>
    <w:rsid w:val="005E0F97"/>
    <w:rsid w:val="005E13BA"/>
    <w:rsid w:val="005E2A05"/>
    <w:rsid w:val="005E5326"/>
    <w:rsid w:val="005F0C2C"/>
    <w:rsid w:val="005F1BD1"/>
    <w:rsid w:val="005F2094"/>
    <w:rsid w:val="005F2F05"/>
    <w:rsid w:val="005F3DCA"/>
    <w:rsid w:val="005F4D4C"/>
    <w:rsid w:val="005F53AB"/>
    <w:rsid w:val="005F58F9"/>
    <w:rsid w:val="005F67D9"/>
    <w:rsid w:val="005F6E5D"/>
    <w:rsid w:val="006007F0"/>
    <w:rsid w:val="00600E10"/>
    <w:rsid w:val="00603BED"/>
    <w:rsid w:val="006058A9"/>
    <w:rsid w:val="006065EA"/>
    <w:rsid w:val="00607073"/>
    <w:rsid w:val="0061436E"/>
    <w:rsid w:val="00614843"/>
    <w:rsid w:val="00614C64"/>
    <w:rsid w:val="006161A7"/>
    <w:rsid w:val="006161DB"/>
    <w:rsid w:val="006172DE"/>
    <w:rsid w:val="00617DCE"/>
    <w:rsid w:val="006217F5"/>
    <w:rsid w:val="00622053"/>
    <w:rsid w:val="006236D3"/>
    <w:rsid w:val="006236E7"/>
    <w:rsid w:val="006238D2"/>
    <w:rsid w:val="00624C67"/>
    <w:rsid w:val="00624D39"/>
    <w:rsid w:val="0062573D"/>
    <w:rsid w:val="00626174"/>
    <w:rsid w:val="006278E9"/>
    <w:rsid w:val="006304EE"/>
    <w:rsid w:val="00631B26"/>
    <w:rsid w:val="00632441"/>
    <w:rsid w:val="00632B77"/>
    <w:rsid w:val="006354F4"/>
    <w:rsid w:val="00636ACC"/>
    <w:rsid w:val="00637F50"/>
    <w:rsid w:val="006417C6"/>
    <w:rsid w:val="00641B4F"/>
    <w:rsid w:val="00641D2C"/>
    <w:rsid w:val="0064256A"/>
    <w:rsid w:val="00643C78"/>
    <w:rsid w:val="006446A0"/>
    <w:rsid w:val="00645631"/>
    <w:rsid w:val="00645638"/>
    <w:rsid w:val="0065226A"/>
    <w:rsid w:val="00660530"/>
    <w:rsid w:val="00660CCF"/>
    <w:rsid w:val="006628CE"/>
    <w:rsid w:val="00664E04"/>
    <w:rsid w:val="00665E70"/>
    <w:rsid w:val="006660EB"/>
    <w:rsid w:val="00671704"/>
    <w:rsid w:val="006721BE"/>
    <w:rsid w:val="00673859"/>
    <w:rsid w:val="00676718"/>
    <w:rsid w:val="00681FBC"/>
    <w:rsid w:val="006839E6"/>
    <w:rsid w:val="00690A72"/>
    <w:rsid w:val="0069126E"/>
    <w:rsid w:val="00693DAD"/>
    <w:rsid w:val="00697E04"/>
    <w:rsid w:val="006A044B"/>
    <w:rsid w:val="006A2E79"/>
    <w:rsid w:val="006B141E"/>
    <w:rsid w:val="006B2379"/>
    <w:rsid w:val="006B2444"/>
    <w:rsid w:val="006B3AC4"/>
    <w:rsid w:val="006B3F43"/>
    <w:rsid w:val="006B4381"/>
    <w:rsid w:val="006B4BFF"/>
    <w:rsid w:val="006B6F5B"/>
    <w:rsid w:val="006B7964"/>
    <w:rsid w:val="006B7B71"/>
    <w:rsid w:val="006C16BF"/>
    <w:rsid w:val="006C7ED9"/>
    <w:rsid w:val="006D2501"/>
    <w:rsid w:val="006D37E9"/>
    <w:rsid w:val="006D48B8"/>
    <w:rsid w:val="006D4D1E"/>
    <w:rsid w:val="006D5FBF"/>
    <w:rsid w:val="006E0793"/>
    <w:rsid w:val="006E15F4"/>
    <w:rsid w:val="006E31E6"/>
    <w:rsid w:val="006E36DC"/>
    <w:rsid w:val="006E4272"/>
    <w:rsid w:val="006E56B4"/>
    <w:rsid w:val="006E5C62"/>
    <w:rsid w:val="006E5DF1"/>
    <w:rsid w:val="006F0DAF"/>
    <w:rsid w:val="006F19F0"/>
    <w:rsid w:val="006F3A38"/>
    <w:rsid w:val="006F610A"/>
    <w:rsid w:val="006F6160"/>
    <w:rsid w:val="00700677"/>
    <w:rsid w:val="0070764A"/>
    <w:rsid w:val="00707D45"/>
    <w:rsid w:val="00707E66"/>
    <w:rsid w:val="0071219C"/>
    <w:rsid w:val="007156A6"/>
    <w:rsid w:val="00715ED5"/>
    <w:rsid w:val="0071785B"/>
    <w:rsid w:val="00721BE3"/>
    <w:rsid w:val="007231B1"/>
    <w:rsid w:val="0072344A"/>
    <w:rsid w:val="0072391B"/>
    <w:rsid w:val="00723B20"/>
    <w:rsid w:val="007243A5"/>
    <w:rsid w:val="007261B0"/>
    <w:rsid w:val="0073132B"/>
    <w:rsid w:val="00731D30"/>
    <w:rsid w:val="00734960"/>
    <w:rsid w:val="00736692"/>
    <w:rsid w:val="00736ECF"/>
    <w:rsid w:val="0073765E"/>
    <w:rsid w:val="00740677"/>
    <w:rsid w:val="00740DF2"/>
    <w:rsid w:val="00740EA0"/>
    <w:rsid w:val="00745789"/>
    <w:rsid w:val="007461F4"/>
    <w:rsid w:val="00746AB9"/>
    <w:rsid w:val="00746B8B"/>
    <w:rsid w:val="0075136C"/>
    <w:rsid w:val="00751BE6"/>
    <w:rsid w:val="00754615"/>
    <w:rsid w:val="0075536C"/>
    <w:rsid w:val="007610C3"/>
    <w:rsid w:val="007612FF"/>
    <w:rsid w:val="00761FB2"/>
    <w:rsid w:val="00763BCB"/>
    <w:rsid w:val="00765697"/>
    <w:rsid w:val="0076595C"/>
    <w:rsid w:val="007663A4"/>
    <w:rsid w:val="00767237"/>
    <w:rsid w:val="00772A5B"/>
    <w:rsid w:val="00776ACA"/>
    <w:rsid w:val="00777EA7"/>
    <w:rsid w:val="0078149A"/>
    <w:rsid w:val="00782874"/>
    <w:rsid w:val="00782DA2"/>
    <w:rsid w:val="00783E20"/>
    <w:rsid w:val="007919A9"/>
    <w:rsid w:val="0079308A"/>
    <w:rsid w:val="00795680"/>
    <w:rsid w:val="007974B8"/>
    <w:rsid w:val="007A012C"/>
    <w:rsid w:val="007A2747"/>
    <w:rsid w:val="007A35F1"/>
    <w:rsid w:val="007A4B8D"/>
    <w:rsid w:val="007A4D12"/>
    <w:rsid w:val="007A70FD"/>
    <w:rsid w:val="007B0505"/>
    <w:rsid w:val="007B06A2"/>
    <w:rsid w:val="007B13AC"/>
    <w:rsid w:val="007B21FE"/>
    <w:rsid w:val="007B2379"/>
    <w:rsid w:val="007B4805"/>
    <w:rsid w:val="007B645B"/>
    <w:rsid w:val="007B7A1F"/>
    <w:rsid w:val="007C0517"/>
    <w:rsid w:val="007C37C7"/>
    <w:rsid w:val="007C666B"/>
    <w:rsid w:val="007C684F"/>
    <w:rsid w:val="007D0A12"/>
    <w:rsid w:val="007D35B8"/>
    <w:rsid w:val="007D3DB2"/>
    <w:rsid w:val="007D4036"/>
    <w:rsid w:val="007D4F6B"/>
    <w:rsid w:val="007D5E79"/>
    <w:rsid w:val="007D6508"/>
    <w:rsid w:val="007D6980"/>
    <w:rsid w:val="007D78E3"/>
    <w:rsid w:val="007E1076"/>
    <w:rsid w:val="007E1092"/>
    <w:rsid w:val="007E36C7"/>
    <w:rsid w:val="007E3D66"/>
    <w:rsid w:val="007E400E"/>
    <w:rsid w:val="007E5C6B"/>
    <w:rsid w:val="007E7E1B"/>
    <w:rsid w:val="007F0C61"/>
    <w:rsid w:val="007F0FC4"/>
    <w:rsid w:val="007F15A7"/>
    <w:rsid w:val="007F1CE1"/>
    <w:rsid w:val="007F5BA6"/>
    <w:rsid w:val="007F6D85"/>
    <w:rsid w:val="00800E76"/>
    <w:rsid w:val="008016D8"/>
    <w:rsid w:val="00807048"/>
    <w:rsid w:val="008075C1"/>
    <w:rsid w:val="008151DC"/>
    <w:rsid w:val="0081528B"/>
    <w:rsid w:val="0082074A"/>
    <w:rsid w:val="0082230E"/>
    <w:rsid w:val="00825A91"/>
    <w:rsid w:val="008306A7"/>
    <w:rsid w:val="008351F1"/>
    <w:rsid w:val="0083568E"/>
    <w:rsid w:val="008367B4"/>
    <w:rsid w:val="0083683A"/>
    <w:rsid w:val="00836F2B"/>
    <w:rsid w:val="00837458"/>
    <w:rsid w:val="00837CD0"/>
    <w:rsid w:val="0084264A"/>
    <w:rsid w:val="00843373"/>
    <w:rsid w:val="00843C7F"/>
    <w:rsid w:val="0084567F"/>
    <w:rsid w:val="00847BD0"/>
    <w:rsid w:val="008506CE"/>
    <w:rsid w:val="00851D55"/>
    <w:rsid w:val="00854EED"/>
    <w:rsid w:val="00854F45"/>
    <w:rsid w:val="0085520F"/>
    <w:rsid w:val="0085655B"/>
    <w:rsid w:val="00856774"/>
    <w:rsid w:val="00861173"/>
    <w:rsid w:val="0086162F"/>
    <w:rsid w:val="00862964"/>
    <w:rsid w:val="00863B44"/>
    <w:rsid w:val="00864DC7"/>
    <w:rsid w:val="00866DD0"/>
    <w:rsid w:val="0087093D"/>
    <w:rsid w:val="00873431"/>
    <w:rsid w:val="00876BDC"/>
    <w:rsid w:val="00877CC3"/>
    <w:rsid w:val="00880B5E"/>
    <w:rsid w:val="00880E0B"/>
    <w:rsid w:val="00881DC8"/>
    <w:rsid w:val="008848D2"/>
    <w:rsid w:val="008854BC"/>
    <w:rsid w:val="00885D04"/>
    <w:rsid w:val="00886777"/>
    <w:rsid w:val="0089123A"/>
    <w:rsid w:val="00893859"/>
    <w:rsid w:val="00893E64"/>
    <w:rsid w:val="00895D54"/>
    <w:rsid w:val="008969CA"/>
    <w:rsid w:val="008973FF"/>
    <w:rsid w:val="0089754A"/>
    <w:rsid w:val="008A0D22"/>
    <w:rsid w:val="008A1215"/>
    <w:rsid w:val="008A74F4"/>
    <w:rsid w:val="008B059E"/>
    <w:rsid w:val="008B07A0"/>
    <w:rsid w:val="008B0C32"/>
    <w:rsid w:val="008B1797"/>
    <w:rsid w:val="008B19C3"/>
    <w:rsid w:val="008B31A1"/>
    <w:rsid w:val="008B5D4D"/>
    <w:rsid w:val="008B6056"/>
    <w:rsid w:val="008B6ACC"/>
    <w:rsid w:val="008B717B"/>
    <w:rsid w:val="008B77E0"/>
    <w:rsid w:val="008C38EC"/>
    <w:rsid w:val="008C4959"/>
    <w:rsid w:val="008C4F8A"/>
    <w:rsid w:val="008C67A2"/>
    <w:rsid w:val="008C6DA4"/>
    <w:rsid w:val="008C7DE4"/>
    <w:rsid w:val="008D0182"/>
    <w:rsid w:val="008D0FC2"/>
    <w:rsid w:val="008D178A"/>
    <w:rsid w:val="008D3289"/>
    <w:rsid w:val="008D416D"/>
    <w:rsid w:val="008D46B6"/>
    <w:rsid w:val="008D5257"/>
    <w:rsid w:val="008E1B60"/>
    <w:rsid w:val="008E1C4C"/>
    <w:rsid w:val="008E295E"/>
    <w:rsid w:val="008E4212"/>
    <w:rsid w:val="008E5EE0"/>
    <w:rsid w:val="008E7511"/>
    <w:rsid w:val="008E7C48"/>
    <w:rsid w:val="008F1E83"/>
    <w:rsid w:val="008F2309"/>
    <w:rsid w:val="008F3CD3"/>
    <w:rsid w:val="008F43F4"/>
    <w:rsid w:val="008F5F0E"/>
    <w:rsid w:val="008F6257"/>
    <w:rsid w:val="00900442"/>
    <w:rsid w:val="0090309E"/>
    <w:rsid w:val="00903B29"/>
    <w:rsid w:val="009102F9"/>
    <w:rsid w:val="0091135F"/>
    <w:rsid w:val="00922ED0"/>
    <w:rsid w:val="00927787"/>
    <w:rsid w:val="00927950"/>
    <w:rsid w:val="0093058E"/>
    <w:rsid w:val="00930DD0"/>
    <w:rsid w:val="009338AA"/>
    <w:rsid w:val="009344E4"/>
    <w:rsid w:val="00934CC6"/>
    <w:rsid w:val="00935B18"/>
    <w:rsid w:val="00937F02"/>
    <w:rsid w:val="00940082"/>
    <w:rsid w:val="00940A5F"/>
    <w:rsid w:val="00940D1E"/>
    <w:rsid w:val="009438A1"/>
    <w:rsid w:val="00944043"/>
    <w:rsid w:val="00953AC1"/>
    <w:rsid w:val="00954336"/>
    <w:rsid w:val="00955EAD"/>
    <w:rsid w:val="00956EA1"/>
    <w:rsid w:val="009615DC"/>
    <w:rsid w:val="0096195B"/>
    <w:rsid w:val="0096255F"/>
    <w:rsid w:val="00963005"/>
    <w:rsid w:val="009641F1"/>
    <w:rsid w:val="00964B2F"/>
    <w:rsid w:val="00964FC2"/>
    <w:rsid w:val="009672E6"/>
    <w:rsid w:val="00967769"/>
    <w:rsid w:val="009700B3"/>
    <w:rsid w:val="0097121C"/>
    <w:rsid w:val="0097121F"/>
    <w:rsid w:val="00974C01"/>
    <w:rsid w:val="00974D4A"/>
    <w:rsid w:val="009815FA"/>
    <w:rsid w:val="00981734"/>
    <w:rsid w:val="0098211D"/>
    <w:rsid w:val="009834B6"/>
    <w:rsid w:val="00992A0B"/>
    <w:rsid w:val="00993407"/>
    <w:rsid w:val="009938C7"/>
    <w:rsid w:val="00994204"/>
    <w:rsid w:val="00994F2E"/>
    <w:rsid w:val="009968D6"/>
    <w:rsid w:val="009A07D9"/>
    <w:rsid w:val="009A3F24"/>
    <w:rsid w:val="009A5934"/>
    <w:rsid w:val="009B0540"/>
    <w:rsid w:val="009B28A2"/>
    <w:rsid w:val="009B2A4C"/>
    <w:rsid w:val="009B2C8C"/>
    <w:rsid w:val="009B3654"/>
    <w:rsid w:val="009B47BC"/>
    <w:rsid w:val="009B6BD2"/>
    <w:rsid w:val="009C2D15"/>
    <w:rsid w:val="009C3787"/>
    <w:rsid w:val="009C6B13"/>
    <w:rsid w:val="009C6E2C"/>
    <w:rsid w:val="009C6FC0"/>
    <w:rsid w:val="009C7538"/>
    <w:rsid w:val="009C7E86"/>
    <w:rsid w:val="009D435C"/>
    <w:rsid w:val="009D63EF"/>
    <w:rsid w:val="009D6D75"/>
    <w:rsid w:val="009D78EF"/>
    <w:rsid w:val="009E0403"/>
    <w:rsid w:val="009E053B"/>
    <w:rsid w:val="009E1297"/>
    <w:rsid w:val="009E289E"/>
    <w:rsid w:val="009E3E00"/>
    <w:rsid w:val="009E5714"/>
    <w:rsid w:val="009E5E60"/>
    <w:rsid w:val="009E608F"/>
    <w:rsid w:val="009E6F60"/>
    <w:rsid w:val="009F0CD3"/>
    <w:rsid w:val="009F0D3B"/>
    <w:rsid w:val="009F0DF0"/>
    <w:rsid w:val="009F1AB3"/>
    <w:rsid w:val="009F5951"/>
    <w:rsid w:val="009F70ED"/>
    <w:rsid w:val="00A037D4"/>
    <w:rsid w:val="00A055A2"/>
    <w:rsid w:val="00A05F2C"/>
    <w:rsid w:val="00A05F63"/>
    <w:rsid w:val="00A106A0"/>
    <w:rsid w:val="00A11F23"/>
    <w:rsid w:val="00A13861"/>
    <w:rsid w:val="00A14528"/>
    <w:rsid w:val="00A16A91"/>
    <w:rsid w:val="00A16E89"/>
    <w:rsid w:val="00A17B5F"/>
    <w:rsid w:val="00A17CCA"/>
    <w:rsid w:val="00A21870"/>
    <w:rsid w:val="00A21DD8"/>
    <w:rsid w:val="00A223C7"/>
    <w:rsid w:val="00A226C6"/>
    <w:rsid w:val="00A22768"/>
    <w:rsid w:val="00A25E2F"/>
    <w:rsid w:val="00A269EA"/>
    <w:rsid w:val="00A3175A"/>
    <w:rsid w:val="00A4094F"/>
    <w:rsid w:val="00A45DED"/>
    <w:rsid w:val="00A47BD6"/>
    <w:rsid w:val="00A50F9A"/>
    <w:rsid w:val="00A511F7"/>
    <w:rsid w:val="00A5193A"/>
    <w:rsid w:val="00A527F8"/>
    <w:rsid w:val="00A52D9A"/>
    <w:rsid w:val="00A536B1"/>
    <w:rsid w:val="00A56C1D"/>
    <w:rsid w:val="00A56DCE"/>
    <w:rsid w:val="00A57D22"/>
    <w:rsid w:val="00A61663"/>
    <w:rsid w:val="00A6278A"/>
    <w:rsid w:val="00A63B94"/>
    <w:rsid w:val="00A64A1F"/>
    <w:rsid w:val="00A665E4"/>
    <w:rsid w:val="00A6770F"/>
    <w:rsid w:val="00A67DB5"/>
    <w:rsid w:val="00A705DD"/>
    <w:rsid w:val="00A7151B"/>
    <w:rsid w:val="00A757B1"/>
    <w:rsid w:val="00A803F7"/>
    <w:rsid w:val="00A8202B"/>
    <w:rsid w:val="00A821F9"/>
    <w:rsid w:val="00A83D7D"/>
    <w:rsid w:val="00A845B9"/>
    <w:rsid w:val="00A93536"/>
    <w:rsid w:val="00A93F26"/>
    <w:rsid w:val="00A95DC2"/>
    <w:rsid w:val="00A960FC"/>
    <w:rsid w:val="00AA21CD"/>
    <w:rsid w:val="00AA3CD6"/>
    <w:rsid w:val="00AA4124"/>
    <w:rsid w:val="00AA6349"/>
    <w:rsid w:val="00AA6458"/>
    <w:rsid w:val="00AB34BF"/>
    <w:rsid w:val="00AB4855"/>
    <w:rsid w:val="00AB7846"/>
    <w:rsid w:val="00AC0097"/>
    <w:rsid w:val="00AC3577"/>
    <w:rsid w:val="00AC4DA3"/>
    <w:rsid w:val="00AC7BCD"/>
    <w:rsid w:val="00AD01BB"/>
    <w:rsid w:val="00AD04E0"/>
    <w:rsid w:val="00AD5EDE"/>
    <w:rsid w:val="00AD60F9"/>
    <w:rsid w:val="00AE0D02"/>
    <w:rsid w:val="00AF002E"/>
    <w:rsid w:val="00AF0449"/>
    <w:rsid w:val="00AF11C2"/>
    <w:rsid w:val="00AF201A"/>
    <w:rsid w:val="00AF2297"/>
    <w:rsid w:val="00AF3E68"/>
    <w:rsid w:val="00AF40F1"/>
    <w:rsid w:val="00AF4434"/>
    <w:rsid w:val="00AF5BCA"/>
    <w:rsid w:val="00AF6471"/>
    <w:rsid w:val="00AF64A1"/>
    <w:rsid w:val="00AF6980"/>
    <w:rsid w:val="00AF744D"/>
    <w:rsid w:val="00B00DAA"/>
    <w:rsid w:val="00B010DC"/>
    <w:rsid w:val="00B05A1B"/>
    <w:rsid w:val="00B06F54"/>
    <w:rsid w:val="00B10B45"/>
    <w:rsid w:val="00B114D8"/>
    <w:rsid w:val="00B11C9B"/>
    <w:rsid w:val="00B12437"/>
    <w:rsid w:val="00B1265A"/>
    <w:rsid w:val="00B1315B"/>
    <w:rsid w:val="00B13327"/>
    <w:rsid w:val="00B13463"/>
    <w:rsid w:val="00B1448F"/>
    <w:rsid w:val="00B14E91"/>
    <w:rsid w:val="00B2033D"/>
    <w:rsid w:val="00B2490A"/>
    <w:rsid w:val="00B25E7F"/>
    <w:rsid w:val="00B310EC"/>
    <w:rsid w:val="00B312D6"/>
    <w:rsid w:val="00B34EE6"/>
    <w:rsid w:val="00B37BB9"/>
    <w:rsid w:val="00B410C3"/>
    <w:rsid w:val="00B414E6"/>
    <w:rsid w:val="00B44827"/>
    <w:rsid w:val="00B503A8"/>
    <w:rsid w:val="00B52CEF"/>
    <w:rsid w:val="00B534B6"/>
    <w:rsid w:val="00B5438B"/>
    <w:rsid w:val="00B6166F"/>
    <w:rsid w:val="00B61F3C"/>
    <w:rsid w:val="00B62203"/>
    <w:rsid w:val="00B629A0"/>
    <w:rsid w:val="00B62E16"/>
    <w:rsid w:val="00B62E1D"/>
    <w:rsid w:val="00B64BD5"/>
    <w:rsid w:val="00B6643E"/>
    <w:rsid w:val="00B70409"/>
    <w:rsid w:val="00B73BE4"/>
    <w:rsid w:val="00B74714"/>
    <w:rsid w:val="00B766AF"/>
    <w:rsid w:val="00B80D59"/>
    <w:rsid w:val="00B82456"/>
    <w:rsid w:val="00B82D01"/>
    <w:rsid w:val="00B842EB"/>
    <w:rsid w:val="00B86C70"/>
    <w:rsid w:val="00B86D3E"/>
    <w:rsid w:val="00B87056"/>
    <w:rsid w:val="00B903B2"/>
    <w:rsid w:val="00B933DF"/>
    <w:rsid w:val="00B9360F"/>
    <w:rsid w:val="00B94C6D"/>
    <w:rsid w:val="00B94DEF"/>
    <w:rsid w:val="00B97284"/>
    <w:rsid w:val="00B972A4"/>
    <w:rsid w:val="00BA0487"/>
    <w:rsid w:val="00BA1AC3"/>
    <w:rsid w:val="00BA1AF8"/>
    <w:rsid w:val="00BA2221"/>
    <w:rsid w:val="00BA40B5"/>
    <w:rsid w:val="00BA426E"/>
    <w:rsid w:val="00BA530B"/>
    <w:rsid w:val="00BA5AC1"/>
    <w:rsid w:val="00BB032D"/>
    <w:rsid w:val="00BB0E7B"/>
    <w:rsid w:val="00BB1839"/>
    <w:rsid w:val="00BB4142"/>
    <w:rsid w:val="00BB4BB9"/>
    <w:rsid w:val="00BB6A09"/>
    <w:rsid w:val="00BB6CC0"/>
    <w:rsid w:val="00BB6E22"/>
    <w:rsid w:val="00BB6EBB"/>
    <w:rsid w:val="00BC0550"/>
    <w:rsid w:val="00BC2815"/>
    <w:rsid w:val="00BC3005"/>
    <w:rsid w:val="00BC43FA"/>
    <w:rsid w:val="00BC48B1"/>
    <w:rsid w:val="00BC5F05"/>
    <w:rsid w:val="00BD02EB"/>
    <w:rsid w:val="00BD0DD7"/>
    <w:rsid w:val="00BD496E"/>
    <w:rsid w:val="00BD6B79"/>
    <w:rsid w:val="00BD7C70"/>
    <w:rsid w:val="00BD7DA4"/>
    <w:rsid w:val="00BE0BAB"/>
    <w:rsid w:val="00BE21AF"/>
    <w:rsid w:val="00BE2693"/>
    <w:rsid w:val="00BE3725"/>
    <w:rsid w:val="00BF1B9B"/>
    <w:rsid w:val="00BF51EF"/>
    <w:rsid w:val="00BF550A"/>
    <w:rsid w:val="00BF5DCE"/>
    <w:rsid w:val="00BF6C46"/>
    <w:rsid w:val="00BF749B"/>
    <w:rsid w:val="00BF7E3D"/>
    <w:rsid w:val="00C00CF5"/>
    <w:rsid w:val="00C03D16"/>
    <w:rsid w:val="00C043E2"/>
    <w:rsid w:val="00C047D8"/>
    <w:rsid w:val="00C137B9"/>
    <w:rsid w:val="00C13D2A"/>
    <w:rsid w:val="00C16702"/>
    <w:rsid w:val="00C17BF7"/>
    <w:rsid w:val="00C17C2D"/>
    <w:rsid w:val="00C20F49"/>
    <w:rsid w:val="00C242AF"/>
    <w:rsid w:val="00C25551"/>
    <w:rsid w:val="00C30919"/>
    <w:rsid w:val="00C3184B"/>
    <w:rsid w:val="00C34372"/>
    <w:rsid w:val="00C35891"/>
    <w:rsid w:val="00C402CB"/>
    <w:rsid w:val="00C40DC6"/>
    <w:rsid w:val="00C40DF1"/>
    <w:rsid w:val="00C40E02"/>
    <w:rsid w:val="00C4171F"/>
    <w:rsid w:val="00C41FAF"/>
    <w:rsid w:val="00C45A4D"/>
    <w:rsid w:val="00C46789"/>
    <w:rsid w:val="00C50E4F"/>
    <w:rsid w:val="00C51CCB"/>
    <w:rsid w:val="00C527E0"/>
    <w:rsid w:val="00C52FEA"/>
    <w:rsid w:val="00C54368"/>
    <w:rsid w:val="00C56E81"/>
    <w:rsid w:val="00C578ED"/>
    <w:rsid w:val="00C6187E"/>
    <w:rsid w:val="00C61FF0"/>
    <w:rsid w:val="00C62D00"/>
    <w:rsid w:val="00C63D3F"/>
    <w:rsid w:val="00C63DDA"/>
    <w:rsid w:val="00C649F8"/>
    <w:rsid w:val="00C71C23"/>
    <w:rsid w:val="00C72905"/>
    <w:rsid w:val="00C75EF1"/>
    <w:rsid w:val="00C815CA"/>
    <w:rsid w:val="00C830BC"/>
    <w:rsid w:val="00C86A12"/>
    <w:rsid w:val="00C87664"/>
    <w:rsid w:val="00C908EE"/>
    <w:rsid w:val="00C925AE"/>
    <w:rsid w:val="00C932D6"/>
    <w:rsid w:val="00C949AB"/>
    <w:rsid w:val="00CA5190"/>
    <w:rsid w:val="00CA6E98"/>
    <w:rsid w:val="00CA707F"/>
    <w:rsid w:val="00CA790C"/>
    <w:rsid w:val="00CB0555"/>
    <w:rsid w:val="00CB1542"/>
    <w:rsid w:val="00CB18D4"/>
    <w:rsid w:val="00CB19DD"/>
    <w:rsid w:val="00CB31BC"/>
    <w:rsid w:val="00CB378C"/>
    <w:rsid w:val="00CB3F69"/>
    <w:rsid w:val="00CC1D17"/>
    <w:rsid w:val="00CC20A4"/>
    <w:rsid w:val="00CC2E20"/>
    <w:rsid w:val="00CC3A96"/>
    <w:rsid w:val="00CC3B27"/>
    <w:rsid w:val="00CC3D32"/>
    <w:rsid w:val="00CC58C2"/>
    <w:rsid w:val="00CC5A41"/>
    <w:rsid w:val="00CC6210"/>
    <w:rsid w:val="00CC77F6"/>
    <w:rsid w:val="00CC7FC0"/>
    <w:rsid w:val="00CD03B4"/>
    <w:rsid w:val="00CD1D5B"/>
    <w:rsid w:val="00CD2FAF"/>
    <w:rsid w:val="00CD4CAA"/>
    <w:rsid w:val="00CD4D71"/>
    <w:rsid w:val="00CD5FF5"/>
    <w:rsid w:val="00CD6462"/>
    <w:rsid w:val="00CE03FB"/>
    <w:rsid w:val="00CE16DA"/>
    <w:rsid w:val="00CE195E"/>
    <w:rsid w:val="00CE3869"/>
    <w:rsid w:val="00CE5AE6"/>
    <w:rsid w:val="00CE6E32"/>
    <w:rsid w:val="00CF0175"/>
    <w:rsid w:val="00CF07EA"/>
    <w:rsid w:val="00CF0EE7"/>
    <w:rsid w:val="00CF1C87"/>
    <w:rsid w:val="00CF282C"/>
    <w:rsid w:val="00CF2D62"/>
    <w:rsid w:val="00CF7029"/>
    <w:rsid w:val="00CF72AE"/>
    <w:rsid w:val="00D007CD"/>
    <w:rsid w:val="00D00F44"/>
    <w:rsid w:val="00D03303"/>
    <w:rsid w:val="00D03709"/>
    <w:rsid w:val="00D039B0"/>
    <w:rsid w:val="00D044B9"/>
    <w:rsid w:val="00D07CA4"/>
    <w:rsid w:val="00D10ADE"/>
    <w:rsid w:val="00D10C74"/>
    <w:rsid w:val="00D123E2"/>
    <w:rsid w:val="00D14A98"/>
    <w:rsid w:val="00D17F52"/>
    <w:rsid w:val="00D21BDC"/>
    <w:rsid w:val="00D21D01"/>
    <w:rsid w:val="00D21DF6"/>
    <w:rsid w:val="00D232AB"/>
    <w:rsid w:val="00D24194"/>
    <w:rsid w:val="00D24E32"/>
    <w:rsid w:val="00D258ED"/>
    <w:rsid w:val="00D266E7"/>
    <w:rsid w:val="00D27574"/>
    <w:rsid w:val="00D27B06"/>
    <w:rsid w:val="00D30BEA"/>
    <w:rsid w:val="00D30E5A"/>
    <w:rsid w:val="00D30F26"/>
    <w:rsid w:val="00D3128F"/>
    <w:rsid w:val="00D35F91"/>
    <w:rsid w:val="00D36E5F"/>
    <w:rsid w:val="00D37DA7"/>
    <w:rsid w:val="00D4541A"/>
    <w:rsid w:val="00D465CC"/>
    <w:rsid w:val="00D4718F"/>
    <w:rsid w:val="00D50C2C"/>
    <w:rsid w:val="00D51187"/>
    <w:rsid w:val="00D51256"/>
    <w:rsid w:val="00D5702F"/>
    <w:rsid w:val="00D62D39"/>
    <w:rsid w:val="00D6355E"/>
    <w:rsid w:val="00D64ECD"/>
    <w:rsid w:val="00D65964"/>
    <w:rsid w:val="00D70F75"/>
    <w:rsid w:val="00D70FC6"/>
    <w:rsid w:val="00D717FB"/>
    <w:rsid w:val="00D71A0B"/>
    <w:rsid w:val="00D72BE8"/>
    <w:rsid w:val="00D74F2B"/>
    <w:rsid w:val="00D759FE"/>
    <w:rsid w:val="00D75EB7"/>
    <w:rsid w:val="00D77E21"/>
    <w:rsid w:val="00D878C6"/>
    <w:rsid w:val="00D87E84"/>
    <w:rsid w:val="00D921AE"/>
    <w:rsid w:val="00D92DA4"/>
    <w:rsid w:val="00D92FAF"/>
    <w:rsid w:val="00D96DFB"/>
    <w:rsid w:val="00DA043F"/>
    <w:rsid w:val="00DA0A89"/>
    <w:rsid w:val="00DA14BC"/>
    <w:rsid w:val="00DA2A1D"/>
    <w:rsid w:val="00DA2B76"/>
    <w:rsid w:val="00DA4DC6"/>
    <w:rsid w:val="00DA5557"/>
    <w:rsid w:val="00DA62A3"/>
    <w:rsid w:val="00DB049C"/>
    <w:rsid w:val="00DB3FC0"/>
    <w:rsid w:val="00DC6575"/>
    <w:rsid w:val="00DD1BEC"/>
    <w:rsid w:val="00DD32C8"/>
    <w:rsid w:val="00DD3E31"/>
    <w:rsid w:val="00DD4CDA"/>
    <w:rsid w:val="00DD5637"/>
    <w:rsid w:val="00DD6405"/>
    <w:rsid w:val="00DE0942"/>
    <w:rsid w:val="00DE2D6E"/>
    <w:rsid w:val="00DE5E71"/>
    <w:rsid w:val="00DE60D4"/>
    <w:rsid w:val="00DE62FC"/>
    <w:rsid w:val="00DE6899"/>
    <w:rsid w:val="00DF317F"/>
    <w:rsid w:val="00DF37F7"/>
    <w:rsid w:val="00DF65BB"/>
    <w:rsid w:val="00DF67B8"/>
    <w:rsid w:val="00E04B7B"/>
    <w:rsid w:val="00E10A92"/>
    <w:rsid w:val="00E115A9"/>
    <w:rsid w:val="00E12AE6"/>
    <w:rsid w:val="00E13D7F"/>
    <w:rsid w:val="00E16405"/>
    <w:rsid w:val="00E21263"/>
    <w:rsid w:val="00E22A35"/>
    <w:rsid w:val="00E24228"/>
    <w:rsid w:val="00E27BCC"/>
    <w:rsid w:val="00E31016"/>
    <w:rsid w:val="00E320DC"/>
    <w:rsid w:val="00E33211"/>
    <w:rsid w:val="00E35800"/>
    <w:rsid w:val="00E35A23"/>
    <w:rsid w:val="00E36271"/>
    <w:rsid w:val="00E365DB"/>
    <w:rsid w:val="00E407DB"/>
    <w:rsid w:val="00E407F3"/>
    <w:rsid w:val="00E41254"/>
    <w:rsid w:val="00E41965"/>
    <w:rsid w:val="00E44D27"/>
    <w:rsid w:val="00E47187"/>
    <w:rsid w:val="00E47F58"/>
    <w:rsid w:val="00E50BFC"/>
    <w:rsid w:val="00E52591"/>
    <w:rsid w:val="00E54765"/>
    <w:rsid w:val="00E5625F"/>
    <w:rsid w:val="00E60ADE"/>
    <w:rsid w:val="00E61C65"/>
    <w:rsid w:val="00E648EE"/>
    <w:rsid w:val="00E657E3"/>
    <w:rsid w:val="00E66D71"/>
    <w:rsid w:val="00E66FE4"/>
    <w:rsid w:val="00E67D14"/>
    <w:rsid w:val="00E71929"/>
    <w:rsid w:val="00E7249D"/>
    <w:rsid w:val="00E73573"/>
    <w:rsid w:val="00E76210"/>
    <w:rsid w:val="00E77CB0"/>
    <w:rsid w:val="00E81D14"/>
    <w:rsid w:val="00E83C70"/>
    <w:rsid w:val="00E847CA"/>
    <w:rsid w:val="00E84E9A"/>
    <w:rsid w:val="00E90173"/>
    <w:rsid w:val="00E90882"/>
    <w:rsid w:val="00E915CA"/>
    <w:rsid w:val="00EA0E73"/>
    <w:rsid w:val="00EA1726"/>
    <w:rsid w:val="00EA3555"/>
    <w:rsid w:val="00EB00E5"/>
    <w:rsid w:val="00EB1948"/>
    <w:rsid w:val="00EB4804"/>
    <w:rsid w:val="00EB7185"/>
    <w:rsid w:val="00EB71DD"/>
    <w:rsid w:val="00EB7C7E"/>
    <w:rsid w:val="00EC02DF"/>
    <w:rsid w:val="00EC4D52"/>
    <w:rsid w:val="00EC6BD7"/>
    <w:rsid w:val="00EC6DE1"/>
    <w:rsid w:val="00EC7A07"/>
    <w:rsid w:val="00ED19FA"/>
    <w:rsid w:val="00ED356A"/>
    <w:rsid w:val="00ED57C3"/>
    <w:rsid w:val="00ED5DDB"/>
    <w:rsid w:val="00ED6779"/>
    <w:rsid w:val="00ED7C3F"/>
    <w:rsid w:val="00EE1322"/>
    <w:rsid w:val="00EE14FE"/>
    <w:rsid w:val="00EE2A0C"/>
    <w:rsid w:val="00EE5E92"/>
    <w:rsid w:val="00EE6F50"/>
    <w:rsid w:val="00EE7F0E"/>
    <w:rsid w:val="00EF045E"/>
    <w:rsid w:val="00EF058C"/>
    <w:rsid w:val="00EF101F"/>
    <w:rsid w:val="00EF1176"/>
    <w:rsid w:val="00EF1606"/>
    <w:rsid w:val="00EF60A3"/>
    <w:rsid w:val="00EF69FD"/>
    <w:rsid w:val="00F00D93"/>
    <w:rsid w:val="00F0123F"/>
    <w:rsid w:val="00F02A3A"/>
    <w:rsid w:val="00F03D25"/>
    <w:rsid w:val="00F0584A"/>
    <w:rsid w:val="00F06AA2"/>
    <w:rsid w:val="00F136DC"/>
    <w:rsid w:val="00F13D27"/>
    <w:rsid w:val="00F16F34"/>
    <w:rsid w:val="00F2024A"/>
    <w:rsid w:val="00F2129D"/>
    <w:rsid w:val="00F2220A"/>
    <w:rsid w:val="00F23918"/>
    <w:rsid w:val="00F2485E"/>
    <w:rsid w:val="00F26362"/>
    <w:rsid w:val="00F3144B"/>
    <w:rsid w:val="00F32342"/>
    <w:rsid w:val="00F33E73"/>
    <w:rsid w:val="00F344B5"/>
    <w:rsid w:val="00F36681"/>
    <w:rsid w:val="00F37325"/>
    <w:rsid w:val="00F4050E"/>
    <w:rsid w:val="00F40EB5"/>
    <w:rsid w:val="00F413E1"/>
    <w:rsid w:val="00F41647"/>
    <w:rsid w:val="00F4181D"/>
    <w:rsid w:val="00F42412"/>
    <w:rsid w:val="00F427A1"/>
    <w:rsid w:val="00F43423"/>
    <w:rsid w:val="00F43703"/>
    <w:rsid w:val="00F444E5"/>
    <w:rsid w:val="00F46328"/>
    <w:rsid w:val="00F500DA"/>
    <w:rsid w:val="00F532E0"/>
    <w:rsid w:val="00F53322"/>
    <w:rsid w:val="00F554DA"/>
    <w:rsid w:val="00F56125"/>
    <w:rsid w:val="00F60CE4"/>
    <w:rsid w:val="00F61A50"/>
    <w:rsid w:val="00F61C91"/>
    <w:rsid w:val="00F61D2B"/>
    <w:rsid w:val="00F61EBF"/>
    <w:rsid w:val="00F622D0"/>
    <w:rsid w:val="00F63E99"/>
    <w:rsid w:val="00F6571C"/>
    <w:rsid w:val="00F65EE3"/>
    <w:rsid w:val="00F66DE4"/>
    <w:rsid w:val="00F6796E"/>
    <w:rsid w:val="00F711BD"/>
    <w:rsid w:val="00F729CA"/>
    <w:rsid w:val="00F730E9"/>
    <w:rsid w:val="00F73411"/>
    <w:rsid w:val="00F81159"/>
    <w:rsid w:val="00F811E2"/>
    <w:rsid w:val="00F82C33"/>
    <w:rsid w:val="00F860B1"/>
    <w:rsid w:val="00F86C99"/>
    <w:rsid w:val="00F86E4C"/>
    <w:rsid w:val="00F87AF8"/>
    <w:rsid w:val="00F9342B"/>
    <w:rsid w:val="00F94D64"/>
    <w:rsid w:val="00F95F6D"/>
    <w:rsid w:val="00F96059"/>
    <w:rsid w:val="00F97353"/>
    <w:rsid w:val="00F97FB1"/>
    <w:rsid w:val="00FA1960"/>
    <w:rsid w:val="00FA27CD"/>
    <w:rsid w:val="00FA361D"/>
    <w:rsid w:val="00FA4597"/>
    <w:rsid w:val="00FA5B26"/>
    <w:rsid w:val="00FA6710"/>
    <w:rsid w:val="00FB070F"/>
    <w:rsid w:val="00FB11BD"/>
    <w:rsid w:val="00FB59F7"/>
    <w:rsid w:val="00FB5F03"/>
    <w:rsid w:val="00FB6062"/>
    <w:rsid w:val="00FB67B5"/>
    <w:rsid w:val="00FC5D38"/>
    <w:rsid w:val="00FD0EE4"/>
    <w:rsid w:val="00FD27B3"/>
    <w:rsid w:val="00FD29B9"/>
    <w:rsid w:val="00FD2E01"/>
    <w:rsid w:val="00FD3726"/>
    <w:rsid w:val="00FD52C5"/>
    <w:rsid w:val="00FD5F5B"/>
    <w:rsid w:val="00FD64F1"/>
    <w:rsid w:val="00FD7C2A"/>
    <w:rsid w:val="00FE0B36"/>
    <w:rsid w:val="00FE3283"/>
    <w:rsid w:val="00FE39F1"/>
    <w:rsid w:val="00FE640A"/>
    <w:rsid w:val="00FE6E7C"/>
    <w:rsid w:val="00FF129F"/>
    <w:rsid w:val="00FF2D00"/>
    <w:rsid w:val="00FF31CD"/>
    <w:rsid w:val="00FF3D67"/>
    <w:rsid w:val="00FF480F"/>
    <w:rsid w:val="00FF4C12"/>
    <w:rsid w:val="00FF4F10"/>
    <w:rsid w:val="0229192C"/>
    <w:rsid w:val="024FE443"/>
    <w:rsid w:val="028882E7"/>
    <w:rsid w:val="03121D1D"/>
    <w:rsid w:val="037D8785"/>
    <w:rsid w:val="03D9C63F"/>
    <w:rsid w:val="04559C50"/>
    <w:rsid w:val="047CBEBB"/>
    <w:rsid w:val="049F43BD"/>
    <w:rsid w:val="04B4EC75"/>
    <w:rsid w:val="0509331A"/>
    <w:rsid w:val="05F183CF"/>
    <w:rsid w:val="06C11530"/>
    <w:rsid w:val="074257E1"/>
    <w:rsid w:val="08C04433"/>
    <w:rsid w:val="097CD88D"/>
    <w:rsid w:val="098A8AAA"/>
    <w:rsid w:val="09D1B864"/>
    <w:rsid w:val="0A2B229C"/>
    <w:rsid w:val="0A3F0EB3"/>
    <w:rsid w:val="0AC005E0"/>
    <w:rsid w:val="0B592D38"/>
    <w:rsid w:val="0B74C12F"/>
    <w:rsid w:val="0CEA474D"/>
    <w:rsid w:val="0D2BA4F3"/>
    <w:rsid w:val="0E7E22B5"/>
    <w:rsid w:val="0EE6E16F"/>
    <w:rsid w:val="0EF84BC3"/>
    <w:rsid w:val="0F13471A"/>
    <w:rsid w:val="0F535BB2"/>
    <w:rsid w:val="0FE9661B"/>
    <w:rsid w:val="100CBA22"/>
    <w:rsid w:val="104AC8DF"/>
    <w:rsid w:val="12A62C63"/>
    <w:rsid w:val="13ABEE1E"/>
    <w:rsid w:val="1556BB6B"/>
    <w:rsid w:val="163C761D"/>
    <w:rsid w:val="16474ACF"/>
    <w:rsid w:val="165CDDDC"/>
    <w:rsid w:val="165FF5AE"/>
    <w:rsid w:val="167DA50C"/>
    <w:rsid w:val="16DC09FE"/>
    <w:rsid w:val="16E9BAF6"/>
    <w:rsid w:val="175E1D30"/>
    <w:rsid w:val="17832571"/>
    <w:rsid w:val="17D2D5A4"/>
    <w:rsid w:val="17F30D0C"/>
    <w:rsid w:val="1868BE3B"/>
    <w:rsid w:val="18EDA140"/>
    <w:rsid w:val="18F94920"/>
    <w:rsid w:val="18FC1222"/>
    <w:rsid w:val="1902E305"/>
    <w:rsid w:val="19E0258A"/>
    <w:rsid w:val="1A2F4498"/>
    <w:rsid w:val="1A75911F"/>
    <w:rsid w:val="1AF6FC2A"/>
    <w:rsid w:val="1B442D2F"/>
    <w:rsid w:val="1C011123"/>
    <w:rsid w:val="1CD6794C"/>
    <w:rsid w:val="1CED9192"/>
    <w:rsid w:val="1D200C8B"/>
    <w:rsid w:val="1D8C5A88"/>
    <w:rsid w:val="1DF21385"/>
    <w:rsid w:val="1DF3EFD3"/>
    <w:rsid w:val="1E072436"/>
    <w:rsid w:val="1F0353B1"/>
    <w:rsid w:val="1F1CA8B5"/>
    <w:rsid w:val="1F45882F"/>
    <w:rsid w:val="1F78F8A7"/>
    <w:rsid w:val="1F87B547"/>
    <w:rsid w:val="20A28D20"/>
    <w:rsid w:val="20B3A90B"/>
    <w:rsid w:val="20CA227F"/>
    <w:rsid w:val="20E0299A"/>
    <w:rsid w:val="214CE1E6"/>
    <w:rsid w:val="21C5572A"/>
    <w:rsid w:val="21F10E6F"/>
    <w:rsid w:val="21FBA028"/>
    <w:rsid w:val="21FBAFFF"/>
    <w:rsid w:val="22349664"/>
    <w:rsid w:val="2338D968"/>
    <w:rsid w:val="23B4F5BF"/>
    <w:rsid w:val="240D32F7"/>
    <w:rsid w:val="240EF7F7"/>
    <w:rsid w:val="263844C1"/>
    <w:rsid w:val="265F38D8"/>
    <w:rsid w:val="27803878"/>
    <w:rsid w:val="286BDA9B"/>
    <w:rsid w:val="2964CCF6"/>
    <w:rsid w:val="298098C0"/>
    <w:rsid w:val="29E14752"/>
    <w:rsid w:val="2ADD485A"/>
    <w:rsid w:val="2AEF7F3A"/>
    <w:rsid w:val="2B329592"/>
    <w:rsid w:val="2B6B9D7E"/>
    <w:rsid w:val="2BCD2123"/>
    <w:rsid w:val="2C07BD81"/>
    <w:rsid w:val="2C164405"/>
    <w:rsid w:val="2CB5C3FB"/>
    <w:rsid w:val="2CE9F5CC"/>
    <w:rsid w:val="2D048E5B"/>
    <w:rsid w:val="2D229F7B"/>
    <w:rsid w:val="2E0E557E"/>
    <w:rsid w:val="2EADB16F"/>
    <w:rsid w:val="2EE5E33D"/>
    <w:rsid w:val="2EF6A4ED"/>
    <w:rsid w:val="300774D9"/>
    <w:rsid w:val="301F88AA"/>
    <w:rsid w:val="304B3C2A"/>
    <w:rsid w:val="30A932BC"/>
    <w:rsid w:val="314DC1A7"/>
    <w:rsid w:val="3177A293"/>
    <w:rsid w:val="31F327AE"/>
    <w:rsid w:val="328ED3A6"/>
    <w:rsid w:val="32FA702F"/>
    <w:rsid w:val="33B4D962"/>
    <w:rsid w:val="33CAEAD8"/>
    <w:rsid w:val="33E7112E"/>
    <w:rsid w:val="34332F85"/>
    <w:rsid w:val="345234DA"/>
    <w:rsid w:val="346CC9D8"/>
    <w:rsid w:val="347AD53E"/>
    <w:rsid w:val="35040F62"/>
    <w:rsid w:val="358E7BF3"/>
    <w:rsid w:val="3623B5ED"/>
    <w:rsid w:val="36552F70"/>
    <w:rsid w:val="36714784"/>
    <w:rsid w:val="36937EDF"/>
    <w:rsid w:val="3762CD2F"/>
    <w:rsid w:val="379CFEFB"/>
    <w:rsid w:val="382734DA"/>
    <w:rsid w:val="382F21CC"/>
    <w:rsid w:val="384517FA"/>
    <w:rsid w:val="385BEE3F"/>
    <w:rsid w:val="386A67E9"/>
    <w:rsid w:val="395A55B4"/>
    <w:rsid w:val="395BA726"/>
    <w:rsid w:val="39607AEC"/>
    <w:rsid w:val="397FC2A6"/>
    <w:rsid w:val="3A19DAAB"/>
    <w:rsid w:val="3A21369F"/>
    <w:rsid w:val="3A23DAFC"/>
    <w:rsid w:val="3A969C69"/>
    <w:rsid w:val="3AB2005A"/>
    <w:rsid w:val="3B09B620"/>
    <w:rsid w:val="3C816796"/>
    <w:rsid w:val="3CFB2B67"/>
    <w:rsid w:val="3CFE3B9E"/>
    <w:rsid w:val="3D24C035"/>
    <w:rsid w:val="3EF99F6D"/>
    <w:rsid w:val="3F819F69"/>
    <w:rsid w:val="3FADF73F"/>
    <w:rsid w:val="3FB1FA38"/>
    <w:rsid w:val="404E2696"/>
    <w:rsid w:val="41961F75"/>
    <w:rsid w:val="4227FB7D"/>
    <w:rsid w:val="42A59067"/>
    <w:rsid w:val="42AA3B4F"/>
    <w:rsid w:val="4449D0F6"/>
    <w:rsid w:val="44EF1638"/>
    <w:rsid w:val="44FEE552"/>
    <w:rsid w:val="45C1CA1C"/>
    <w:rsid w:val="4600F9B2"/>
    <w:rsid w:val="4635B0F2"/>
    <w:rsid w:val="464952C5"/>
    <w:rsid w:val="4870FA1B"/>
    <w:rsid w:val="4889926B"/>
    <w:rsid w:val="48DDE3ED"/>
    <w:rsid w:val="48F12B3B"/>
    <w:rsid w:val="4913F616"/>
    <w:rsid w:val="4960794F"/>
    <w:rsid w:val="49D6F3F8"/>
    <w:rsid w:val="49D9BB41"/>
    <w:rsid w:val="49F73F92"/>
    <w:rsid w:val="49FFA77B"/>
    <w:rsid w:val="4A60E8AA"/>
    <w:rsid w:val="4BFEA48C"/>
    <w:rsid w:val="4CB19A62"/>
    <w:rsid w:val="4D8ECE13"/>
    <w:rsid w:val="4DAFB1BC"/>
    <w:rsid w:val="4DBB3EDF"/>
    <w:rsid w:val="50586D6D"/>
    <w:rsid w:val="514E0592"/>
    <w:rsid w:val="51EDA3F7"/>
    <w:rsid w:val="522B219C"/>
    <w:rsid w:val="527C62A8"/>
    <w:rsid w:val="539E67D4"/>
    <w:rsid w:val="547D661D"/>
    <w:rsid w:val="55765317"/>
    <w:rsid w:val="557CF0BB"/>
    <w:rsid w:val="564B351F"/>
    <w:rsid w:val="56B67D07"/>
    <w:rsid w:val="56C41C72"/>
    <w:rsid w:val="56E42E64"/>
    <w:rsid w:val="570CC8A2"/>
    <w:rsid w:val="570E3F93"/>
    <w:rsid w:val="57315135"/>
    <w:rsid w:val="573B2CCE"/>
    <w:rsid w:val="575EC7C7"/>
    <w:rsid w:val="57CC8024"/>
    <w:rsid w:val="57EE797F"/>
    <w:rsid w:val="58EB4A42"/>
    <w:rsid w:val="591FAD35"/>
    <w:rsid w:val="59B72B7B"/>
    <w:rsid w:val="59FEA4B1"/>
    <w:rsid w:val="5A07E762"/>
    <w:rsid w:val="5A3F6228"/>
    <w:rsid w:val="5AC49AC9"/>
    <w:rsid w:val="5AFCBBDF"/>
    <w:rsid w:val="5B7A7F3D"/>
    <w:rsid w:val="5B8EA28A"/>
    <w:rsid w:val="5B93BB0B"/>
    <w:rsid w:val="5BAA4C3C"/>
    <w:rsid w:val="5C0A9173"/>
    <w:rsid w:val="5E0442CE"/>
    <w:rsid w:val="5E0A4EFF"/>
    <w:rsid w:val="5E3615F6"/>
    <w:rsid w:val="5EB21507"/>
    <w:rsid w:val="5FF82C1A"/>
    <w:rsid w:val="607441A0"/>
    <w:rsid w:val="6086008C"/>
    <w:rsid w:val="6098C473"/>
    <w:rsid w:val="61BB8E01"/>
    <w:rsid w:val="61ED1B11"/>
    <w:rsid w:val="6217F8DA"/>
    <w:rsid w:val="6305761E"/>
    <w:rsid w:val="6365881D"/>
    <w:rsid w:val="63E28E02"/>
    <w:rsid w:val="645DBF0A"/>
    <w:rsid w:val="646F8D7B"/>
    <w:rsid w:val="648C328E"/>
    <w:rsid w:val="6506458B"/>
    <w:rsid w:val="65F4C972"/>
    <w:rsid w:val="6608381D"/>
    <w:rsid w:val="6756EBCC"/>
    <w:rsid w:val="67C08F08"/>
    <w:rsid w:val="69A33AE2"/>
    <w:rsid w:val="69B3A00F"/>
    <w:rsid w:val="6A08B9C0"/>
    <w:rsid w:val="6B866833"/>
    <w:rsid w:val="6BE6CB9E"/>
    <w:rsid w:val="6C724275"/>
    <w:rsid w:val="6CDB6310"/>
    <w:rsid w:val="6CE5DC72"/>
    <w:rsid w:val="6D13C206"/>
    <w:rsid w:val="6D4D3F9A"/>
    <w:rsid w:val="6D9D9742"/>
    <w:rsid w:val="6DF8C78E"/>
    <w:rsid w:val="6E4F0A56"/>
    <w:rsid w:val="6E65F2A9"/>
    <w:rsid w:val="6E89FC06"/>
    <w:rsid w:val="6EF70598"/>
    <w:rsid w:val="6FEB7D2A"/>
    <w:rsid w:val="708A08E4"/>
    <w:rsid w:val="708F6AB8"/>
    <w:rsid w:val="711BF8EF"/>
    <w:rsid w:val="7158868E"/>
    <w:rsid w:val="7188EB0A"/>
    <w:rsid w:val="71CBBC75"/>
    <w:rsid w:val="7232A23A"/>
    <w:rsid w:val="7246F0DB"/>
    <w:rsid w:val="7422A6C2"/>
    <w:rsid w:val="74406ED6"/>
    <w:rsid w:val="7463D49A"/>
    <w:rsid w:val="749ABC2E"/>
    <w:rsid w:val="74A8EB35"/>
    <w:rsid w:val="74D39501"/>
    <w:rsid w:val="7576FC5A"/>
    <w:rsid w:val="7641038C"/>
    <w:rsid w:val="7644591D"/>
    <w:rsid w:val="76D698CD"/>
    <w:rsid w:val="774B2F02"/>
    <w:rsid w:val="7758DDF2"/>
    <w:rsid w:val="777B4527"/>
    <w:rsid w:val="77E07D4B"/>
    <w:rsid w:val="78365DF3"/>
    <w:rsid w:val="786AABC4"/>
    <w:rsid w:val="79084F9E"/>
    <w:rsid w:val="7948DE77"/>
    <w:rsid w:val="79EB1495"/>
    <w:rsid w:val="7C04CDA8"/>
    <w:rsid w:val="7D0E348F"/>
    <w:rsid w:val="7D63B33B"/>
    <w:rsid w:val="7D6D969C"/>
    <w:rsid w:val="7D8B09C8"/>
    <w:rsid w:val="7E33774B"/>
    <w:rsid w:val="7E73627A"/>
    <w:rsid w:val="7EC5518A"/>
    <w:rsid w:val="7F085DF9"/>
    <w:rsid w:val="7F319C7A"/>
    <w:rsid w:val="7F86C042"/>
    <w:rsid w:val="7F8B30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F6702"/>
  <w15:docId w15:val="{AD04DA19-ABD8-4873-8728-7A7F511F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numPr>
        <w:numId w:val="0"/>
      </w:num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41013E"/>
    <w:pPr>
      <w:tabs>
        <w:tab w:val="left" w:pos="660"/>
        <w:tab w:val="right" w:leader="dot" w:pos="9402"/>
      </w:tabs>
      <w:spacing w:after="100"/>
    </w:pPr>
  </w:style>
  <w:style w:type="paragraph" w:styleId="TOC2">
    <w:name w:val="toc 2"/>
    <w:basedOn w:val="Normal"/>
    <w:next w:val="Normal"/>
    <w:autoRedefine/>
    <w:uiPriority w:val="39"/>
    <w:unhideWhenUsed/>
    <w:rsid w:val="004B51B4"/>
    <w:pPr>
      <w:tabs>
        <w:tab w:val="left" w:pos="1100"/>
        <w:tab w:val="right" w:leader="dot" w:pos="9402"/>
      </w:tabs>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3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rsid w:val="00C13D2A"/>
    <w:pPr>
      <w:spacing w:after="0" w:line="360" w:lineRule="auto"/>
      <w:ind w:left="567"/>
      <w:jc w:val="both"/>
    </w:pPr>
    <w:rPr>
      <w:rFonts w:ascii="Arial" w:eastAsia="Times New Roman" w:hAnsi="Arial" w:cs="Times New Roman"/>
    </w:rPr>
  </w:style>
  <w:style w:type="character" w:styleId="CommentReference">
    <w:name w:val="annotation reference"/>
    <w:basedOn w:val="DefaultParagraphFont"/>
    <w:uiPriority w:val="99"/>
    <w:semiHidden/>
    <w:unhideWhenUsed/>
    <w:rsid w:val="00F500DA"/>
    <w:rPr>
      <w:sz w:val="16"/>
      <w:szCs w:val="16"/>
    </w:rPr>
  </w:style>
  <w:style w:type="paragraph" w:styleId="CommentText">
    <w:name w:val="annotation text"/>
    <w:basedOn w:val="Normal"/>
    <w:link w:val="CommentTextChar"/>
    <w:uiPriority w:val="99"/>
    <w:unhideWhenUsed/>
    <w:rsid w:val="00F500DA"/>
    <w:pPr>
      <w:spacing w:line="240" w:lineRule="auto"/>
    </w:pPr>
    <w:rPr>
      <w:sz w:val="20"/>
      <w:szCs w:val="20"/>
    </w:rPr>
  </w:style>
  <w:style w:type="character" w:customStyle="1" w:styleId="CommentTextChar">
    <w:name w:val="Comment Text Char"/>
    <w:basedOn w:val="DefaultParagraphFont"/>
    <w:link w:val="CommentText"/>
    <w:uiPriority w:val="99"/>
    <w:rsid w:val="00F500DA"/>
    <w:rPr>
      <w:sz w:val="20"/>
      <w:szCs w:val="20"/>
    </w:rPr>
  </w:style>
  <w:style w:type="paragraph" w:styleId="CommentSubject">
    <w:name w:val="annotation subject"/>
    <w:basedOn w:val="CommentText"/>
    <w:next w:val="CommentText"/>
    <w:link w:val="CommentSubjectChar"/>
    <w:uiPriority w:val="99"/>
    <w:semiHidden/>
    <w:unhideWhenUsed/>
    <w:rsid w:val="00F500DA"/>
    <w:rPr>
      <w:b/>
      <w:bCs/>
    </w:rPr>
  </w:style>
  <w:style w:type="character" w:customStyle="1" w:styleId="CommentSubjectChar">
    <w:name w:val="Comment Subject Char"/>
    <w:basedOn w:val="CommentTextChar"/>
    <w:link w:val="CommentSubject"/>
    <w:uiPriority w:val="99"/>
    <w:semiHidden/>
    <w:rsid w:val="00F500DA"/>
    <w:rPr>
      <w:b/>
      <w:bCs/>
      <w:sz w:val="20"/>
      <w:szCs w:val="20"/>
    </w:rPr>
  </w:style>
  <w:style w:type="paragraph" w:customStyle="1" w:styleId="Default">
    <w:name w:val="Default"/>
    <w:rsid w:val="00F97FB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lossary-term">
    <w:name w:val="glossary-term"/>
    <w:basedOn w:val="DefaultParagraphFont"/>
    <w:rsid w:val="008E1B60"/>
  </w:style>
  <w:style w:type="paragraph" w:styleId="TOC3">
    <w:name w:val="toc 3"/>
    <w:basedOn w:val="Normal"/>
    <w:next w:val="Normal"/>
    <w:autoRedefine/>
    <w:uiPriority w:val="39"/>
    <w:unhideWhenUsed/>
    <w:rsid w:val="00641D2C"/>
    <w:pPr>
      <w:spacing w:after="100"/>
      <w:ind w:left="440"/>
    </w:pPr>
  </w:style>
  <w:style w:type="paragraph" w:styleId="Revision">
    <w:name w:val="Revision"/>
    <w:hidden/>
    <w:uiPriority w:val="99"/>
    <w:semiHidden/>
    <w:rsid w:val="00FB6062"/>
    <w:pPr>
      <w:spacing w:after="0" w:line="240" w:lineRule="auto"/>
    </w:pPr>
  </w:style>
  <w:style w:type="character" w:styleId="FollowedHyperlink">
    <w:name w:val="FollowedHyperlink"/>
    <w:basedOn w:val="DefaultParagraphFont"/>
    <w:uiPriority w:val="99"/>
    <w:semiHidden/>
    <w:unhideWhenUsed/>
    <w:rsid w:val="00167C98"/>
    <w:rPr>
      <w:color w:val="800080" w:themeColor="followedHyperlink"/>
      <w:u w:val="single"/>
    </w:rPr>
  </w:style>
  <w:style w:type="character" w:customStyle="1" w:styleId="EndNoteBibliographyChar">
    <w:name w:val="EndNote Bibliography Char"/>
    <w:basedOn w:val="DefaultParagraphFont"/>
    <w:link w:val="EndNoteBibliography"/>
    <w:locked/>
    <w:rsid w:val="00EC6BD7"/>
    <w:rPr>
      <w:rFonts w:ascii="Calibri" w:hAnsi="Calibri" w:cs="Calibri"/>
      <w:noProof/>
      <w:lang w:val="en-US"/>
    </w:rPr>
  </w:style>
  <w:style w:type="paragraph" w:customStyle="1" w:styleId="EndNoteBibliography">
    <w:name w:val="EndNote Bibliography"/>
    <w:basedOn w:val="Normal"/>
    <w:link w:val="EndNoteBibliographyChar"/>
    <w:rsid w:val="00EC6BD7"/>
    <w:pPr>
      <w:spacing w:line="240" w:lineRule="auto"/>
    </w:pPr>
    <w:rPr>
      <w:rFonts w:ascii="Calibri" w:hAnsi="Calibri" w:cs="Calibri"/>
      <w:noProof/>
      <w:lang w:val="en-US"/>
    </w:rPr>
  </w:style>
  <w:style w:type="paragraph" w:styleId="Bibliography">
    <w:name w:val="Bibliography"/>
    <w:basedOn w:val="Normal"/>
    <w:next w:val="Normal"/>
    <w:uiPriority w:val="37"/>
    <w:unhideWhenUsed/>
    <w:rsid w:val="00A67DB5"/>
    <w:pPr>
      <w:jc w:val="both"/>
    </w:pPr>
    <w:rPr>
      <w:lang w:val="en-US" w:eastAsia="en-US" w:bidi="en-US"/>
    </w:rPr>
  </w:style>
  <w:style w:type="character" w:customStyle="1" w:styleId="f">
    <w:name w:val="f"/>
    <w:basedOn w:val="DefaultParagraphFont"/>
    <w:rsid w:val="00304CAF"/>
  </w:style>
  <w:style w:type="paragraph" w:customStyle="1" w:styleId="p1">
    <w:name w:val="p1"/>
    <w:basedOn w:val="Normal"/>
    <w:rsid w:val="00DA0A89"/>
    <w:pPr>
      <w:spacing w:after="0" w:line="240" w:lineRule="auto"/>
    </w:pPr>
    <w:rPr>
      <w:rFonts w:ascii="Helvetica" w:hAnsi="Helvetica" w:cs="Times New Roman"/>
      <w:color w:val="000000"/>
      <w:sz w:val="21"/>
      <w:szCs w:val="21"/>
    </w:rPr>
  </w:style>
  <w:style w:type="paragraph" w:customStyle="1" w:styleId="xmsonormal">
    <w:name w:val="x_msonormal"/>
    <w:basedOn w:val="Normal"/>
    <w:uiPriority w:val="99"/>
    <w:rsid w:val="00967769"/>
    <w:pPr>
      <w:spacing w:after="0" w:line="240" w:lineRule="auto"/>
    </w:pPr>
    <w:rPr>
      <w:rFonts w:ascii="Calibri" w:eastAsiaTheme="minorHAnsi" w:hAnsi="Calibri" w:cs="Times New Roman"/>
    </w:rPr>
  </w:style>
  <w:style w:type="paragraph" w:customStyle="1" w:styleId="EndNoteBibliographyTitle">
    <w:name w:val="EndNote Bibliography Title"/>
    <w:basedOn w:val="Normal"/>
    <w:link w:val="EndNoteBibliographyTitleChar"/>
    <w:rsid w:val="002C30AE"/>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C30AE"/>
    <w:rPr>
      <w:rFonts w:ascii="Calibri" w:hAnsi="Calibri" w:cs="Calibri"/>
    </w:rPr>
  </w:style>
  <w:style w:type="character" w:customStyle="1" w:styleId="UnresolvedMention1">
    <w:name w:val="Unresolved Mention1"/>
    <w:basedOn w:val="DefaultParagraphFont"/>
    <w:uiPriority w:val="99"/>
    <w:semiHidden/>
    <w:unhideWhenUsed/>
    <w:rsid w:val="00660530"/>
    <w:rPr>
      <w:color w:val="605E5C"/>
      <w:shd w:val="clear" w:color="auto" w:fill="E1DFDD"/>
    </w:rPr>
  </w:style>
  <w:style w:type="character" w:customStyle="1" w:styleId="apple-converted-space">
    <w:name w:val="apple-converted-space"/>
    <w:basedOn w:val="DefaultParagraphFont"/>
    <w:rsid w:val="00660530"/>
  </w:style>
  <w:style w:type="paragraph" w:customStyle="1" w:styleId="xmsonormal0">
    <w:name w:val="xmsonormal"/>
    <w:basedOn w:val="Normal"/>
    <w:rsid w:val="003B6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rsid w:val="00CB19DD"/>
    <w:rPr>
      <w:color w:val="605E5C"/>
      <w:shd w:val="clear" w:color="auto" w:fill="E1DFDD"/>
    </w:rPr>
  </w:style>
  <w:style w:type="character" w:customStyle="1" w:styleId="Mention1">
    <w:name w:val="Mention1"/>
    <w:basedOn w:val="DefaultParagraphFont"/>
    <w:uiPriority w:val="99"/>
    <w:unhideWhenUsed/>
    <w:rsid w:val="00CB1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84">
      <w:bodyDiv w:val="1"/>
      <w:marLeft w:val="0"/>
      <w:marRight w:val="0"/>
      <w:marTop w:val="0"/>
      <w:marBottom w:val="0"/>
      <w:divBdr>
        <w:top w:val="none" w:sz="0" w:space="0" w:color="auto"/>
        <w:left w:val="none" w:sz="0" w:space="0" w:color="auto"/>
        <w:bottom w:val="none" w:sz="0" w:space="0" w:color="auto"/>
        <w:right w:val="none" w:sz="0" w:space="0" w:color="auto"/>
      </w:divBdr>
    </w:div>
    <w:div w:id="92090300">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344482744">
      <w:bodyDiv w:val="1"/>
      <w:marLeft w:val="0"/>
      <w:marRight w:val="0"/>
      <w:marTop w:val="0"/>
      <w:marBottom w:val="0"/>
      <w:divBdr>
        <w:top w:val="none" w:sz="0" w:space="0" w:color="auto"/>
        <w:left w:val="none" w:sz="0" w:space="0" w:color="auto"/>
        <w:bottom w:val="none" w:sz="0" w:space="0" w:color="auto"/>
        <w:right w:val="none" w:sz="0" w:space="0" w:color="auto"/>
      </w:divBdr>
    </w:div>
    <w:div w:id="492068106">
      <w:bodyDiv w:val="1"/>
      <w:marLeft w:val="0"/>
      <w:marRight w:val="0"/>
      <w:marTop w:val="0"/>
      <w:marBottom w:val="0"/>
      <w:divBdr>
        <w:top w:val="none" w:sz="0" w:space="0" w:color="auto"/>
        <w:left w:val="none" w:sz="0" w:space="0" w:color="auto"/>
        <w:bottom w:val="none" w:sz="0" w:space="0" w:color="auto"/>
        <w:right w:val="none" w:sz="0" w:space="0" w:color="auto"/>
      </w:divBdr>
    </w:div>
    <w:div w:id="503400907">
      <w:bodyDiv w:val="1"/>
      <w:marLeft w:val="0"/>
      <w:marRight w:val="0"/>
      <w:marTop w:val="0"/>
      <w:marBottom w:val="0"/>
      <w:divBdr>
        <w:top w:val="none" w:sz="0" w:space="0" w:color="auto"/>
        <w:left w:val="none" w:sz="0" w:space="0" w:color="auto"/>
        <w:bottom w:val="none" w:sz="0" w:space="0" w:color="auto"/>
        <w:right w:val="none" w:sz="0" w:space="0" w:color="auto"/>
      </w:divBdr>
    </w:div>
    <w:div w:id="527908158">
      <w:bodyDiv w:val="1"/>
      <w:marLeft w:val="0"/>
      <w:marRight w:val="0"/>
      <w:marTop w:val="0"/>
      <w:marBottom w:val="0"/>
      <w:divBdr>
        <w:top w:val="none" w:sz="0" w:space="0" w:color="auto"/>
        <w:left w:val="none" w:sz="0" w:space="0" w:color="auto"/>
        <w:bottom w:val="none" w:sz="0" w:space="0" w:color="auto"/>
        <w:right w:val="none" w:sz="0" w:space="0" w:color="auto"/>
      </w:divBdr>
    </w:div>
    <w:div w:id="559950413">
      <w:bodyDiv w:val="1"/>
      <w:marLeft w:val="0"/>
      <w:marRight w:val="0"/>
      <w:marTop w:val="0"/>
      <w:marBottom w:val="0"/>
      <w:divBdr>
        <w:top w:val="none" w:sz="0" w:space="0" w:color="auto"/>
        <w:left w:val="none" w:sz="0" w:space="0" w:color="auto"/>
        <w:bottom w:val="none" w:sz="0" w:space="0" w:color="auto"/>
        <w:right w:val="none" w:sz="0" w:space="0" w:color="auto"/>
      </w:divBdr>
    </w:div>
    <w:div w:id="667903102">
      <w:bodyDiv w:val="1"/>
      <w:marLeft w:val="0"/>
      <w:marRight w:val="0"/>
      <w:marTop w:val="0"/>
      <w:marBottom w:val="0"/>
      <w:divBdr>
        <w:top w:val="none" w:sz="0" w:space="0" w:color="auto"/>
        <w:left w:val="none" w:sz="0" w:space="0" w:color="auto"/>
        <w:bottom w:val="none" w:sz="0" w:space="0" w:color="auto"/>
        <w:right w:val="none" w:sz="0" w:space="0" w:color="auto"/>
      </w:divBdr>
    </w:div>
    <w:div w:id="836044477">
      <w:bodyDiv w:val="1"/>
      <w:marLeft w:val="0"/>
      <w:marRight w:val="0"/>
      <w:marTop w:val="0"/>
      <w:marBottom w:val="0"/>
      <w:divBdr>
        <w:top w:val="none" w:sz="0" w:space="0" w:color="auto"/>
        <w:left w:val="none" w:sz="0" w:space="0" w:color="auto"/>
        <w:bottom w:val="none" w:sz="0" w:space="0" w:color="auto"/>
        <w:right w:val="none" w:sz="0" w:space="0" w:color="auto"/>
      </w:divBdr>
    </w:div>
    <w:div w:id="862716322">
      <w:bodyDiv w:val="1"/>
      <w:marLeft w:val="0"/>
      <w:marRight w:val="0"/>
      <w:marTop w:val="0"/>
      <w:marBottom w:val="0"/>
      <w:divBdr>
        <w:top w:val="none" w:sz="0" w:space="0" w:color="auto"/>
        <w:left w:val="none" w:sz="0" w:space="0" w:color="auto"/>
        <w:bottom w:val="none" w:sz="0" w:space="0" w:color="auto"/>
        <w:right w:val="none" w:sz="0" w:space="0" w:color="auto"/>
      </w:divBdr>
    </w:div>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978607727">
      <w:bodyDiv w:val="1"/>
      <w:marLeft w:val="0"/>
      <w:marRight w:val="0"/>
      <w:marTop w:val="0"/>
      <w:marBottom w:val="0"/>
      <w:divBdr>
        <w:top w:val="none" w:sz="0" w:space="0" w:color="auto"/>
        <w:left w:val="none" w:sz="0" w:space="0" w:color="auto"/>
        <w:bottom w:val="none" w:sz="0" w:space="0" w:color="auto"/>
        <w:right w:val="none" w:sz="0" w:space="0" w:color="auto"/>
      </w:divBdr>
    </w:div>
    <w:div w:id="1029377428">
      <w:bodyDiv w:val="1"/>
      <w:marLeft w:val="0"/>
      <w:marRight w:val="0"/>
      <w:marTop w:val="0"/>
      <w:marBottom w:val="0"/>
      <w:divBdr>
        <w:top w:val="none" w:sz="0" w:space="0" w:color="auto"/>
        <w:left w:val="none" w:sz="0" w:space="0" w:color="auto"/>
        <w:bottom w:val="none" w:sz="0" w:space="0" w:color="auto"/>
        <w:right w:val="none" w:sz="0" w:space="0" w:color="auto"/>
      </w:divBdr>
    </w:div>
    <w:div w:id="1041595258">
      <w:bodyDiv w:val="1"/>
      <w:marLeft w:val="0"/>
      <w:marRight w:val="0"/>
      <w:marTop w:val="0"/>
      <w:marBottom w:val="0"/>
      <w:divBdr>
        <w:top w:val="none" w:sz="0" w:space="0" w:color="auto"/>
        <w:left w:val="none" w:sz="0" w:space="0" w:color="auto"/>
        <w:bottom w:val="none" w:sz="0" w:space="0" w:color="auto"/>
        <w:right w:val="none" w:sz="0" w:space="0" w:color="auto"/>
      </w:divBdr>
    </w:div>
    <w:div w:id="1163470346">
      <w:bodyDiv w:val="1"/>
      <w:marLeft w:val="0"/>
      <w:marRight w:val="0"/>
      <w:marTop w:val="0"/>
      <w:marBottom w:val="0"/>
      <w:divBdr>
        <w:top w:val="none" w:sz="0" w:space="0" w:color="auto"/>
        <w:left w:val="none" w:sz="0" w:space="0" w:color="auto"/>
        <w:bottom w:val="none" w:sz="0" w:space="0" w:color="auto"/>
        <w:right w:val="none" w:sz="0" w:space="0" w:color="auto"/>
      </w:divBdr>
    </w:div>
    <w:div w:id="1205561595">
      <w:bodyDiv w:val="1"/>
      <w:marLeft w:val="0"/>
      <w:marRight w:val="0"/>
      <w:marTop w:val="0"/>
      <w:marBottom w:val="0"/>
      <w:divBdr>
        <w:top w:val="none" w:sz="0" w:space="0" w:color="auto"/>
        <w:left w:val="none" w:sz="0" w:space="0" w:color="auto"/>
        <w:bottom w:val="none" w:sz="0" w:space="0" w:color="auto"/>
        <w:right w:val="none" w:sz="0" w:space="0" w:color="auto"/>
      </w:divBdr>
    </w:div>
    <w:div w:id="1210073309">
      <w:bodyDiv w:val="1"/>
      <w:marLeft w:val="0"/>
      <w:marRight w:val="0"/>
      <w:marTop w:val="0"/>
      <w:marBottom w:val="0"/>
      <w:divBdr>
        <w:top w:val="none" w:sz="0" w:space="0" w:color="auto"/>
        <w:left w:val="none" w:sz="0" w:space="0" w:color="auto"/>
        <w:bottom w:val="none" w:sz="0" w:space="0" w:color="auto"/>
        <w:right w:val="none" w:sz="0" w:space="0" w:color="auto"/>
      </w:divBdr>
    </w:div>
    <w:div w:id="1217014316">
      <w:bodyDiv w:val="1"/>
      <w:marLeft w:val="0"/>
      <w:marRight w:val="0"/>
      <w:marTop w:val="0"/>
      <w:marBottom w:val="0"/>
      <w:divBdr>
        <w:top w:val="none" w:sz="0" w:space="0" w:color="auto"/>
        <w:left w:val="none" w:sz="0" w:space="0" w:color="auto"/>
        <w:bottom w:val="none" w:sz="0" w:space="0" w:color="auto"/>
        <w:right w:val="none" w:sz="0" w:space="0" w:color="auto"/>
      </w:divBdr>
    </w:div>
    <w:div w:id="1239292911">
      <w:bodyDiv w:val="1"/>
      <w:marLeft w:val="0"/>
      <w:marRight w:val="0"/>
      <w:marTop w:val="0"/>
      <w:marBottom w:val="0"/>
      <w:divBdr>
        <w:top w:val="none" w:sz="0" w:space="0" w:color="auto"/>
        <w:left w:val="none" w:sz="0" w:space="0" w:color="auto"/>
        <w:bottom w:val="none" w:sz="0" w:space="0" w:color="auto"/>
        <w:right w:val="none" w:sz="0" w:space="0" w:color="auto"/>
      </w:divBdr>
    </w:div>
    <w:div w:id="1266576797">
      <w:bodyDiv w:val="1"/>
      <w:marLeft w:val="0"/>
      <w:marRight w:val="0"/>
      <w:marTop w:val="0"/>
      <w:marBottom w:val="0"/>
      <w:divBdr>
        <w:top w:val="none" w:sz="0" w:space="0" w:color="auto"/>
        <w:left w:val="none" w:sz="0" w:space="0" w:color="auto"/>
        <w:bottom w:val="none" w:sz="0" w:space="0" w:color="auto"/>
        <w:right w:val="none" w:sz="0" w:space="0" w:color="auto"/>
      </w:divBdr>
    </w:div>
    <w:div w:id="1267346715">
      <w:bodyDiv w:val="1"/>
      <w:marLeft w:val="0"/>
      <w:marRight w:val="0"/>
      <w:marTop w:val="0"/>
      <w:marBottom w:val="0"/>
      <w:divBdr>
        <w:top w:val="none" w:sz="0" w:space="0" w:color="auto"/>
        <w:left w:val="none" w:sz="0" w:space="0" w:color="auto"/>
        <w:bottom w:val="none" w:sz="0" w:space="0" w:color="auto"/>
        <w:right w:val="none" w:sz="0" w:space="0" w:color="auto"/>
      </w:divBdr>
    </w:div>
    <w:div w:id="1293748805">
      <w:bodyDiv w:val="1"/>
      <w:marLeft w:val="0"/>
      <w:marRight w:val="0"/>
      <w:marTop w:val="0"/>
      <w:marBottom w:val="0"/>
      <w:divBdr>
        <w:top w:val="none" w:sz="0" w:space="0" w:color="auto"/>
        <w:left w:val="none" w:sz="0" w:space="0" w:color="auto"/>
        <w:bottom w:val="none" w:sz="0" w:space="0" w:color="auto"/>
        <w:right w:val="none" w:sz="0" w:space="0" w:color="auto"/>
      </w:divBdr>
    </w:div>
    <w:div w:id="1398749405">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 w:id="1666319112">
      <w:bodyDiv w:val="1"/>
      <w:marLeft w:val="0"/>
      <w:marRight w:val="0"/>
      <w:marTop w:val="0"/>
      <w:marBottom w:val="0"/>
      <w:divBdr>
        <w:top w:val="none" w:sz="0" w:space="0" w:color="auto"/>
        <w:left w:val="none" w:sz="0" w:space="0" w:color="auto"/>
        <w:bottom w:val="none" w:sz="0" w:space="0" w:color="auto"/>
        <w:right w:val="none" w:sz="0" w:space="0" w:color="auto"/>
      </w:divBdr>
    </w:div>
    <w:div w:id="1776630437">
      <w:bodyDiv w:val="1"/>
      <w:marLeft w:val="0"/>
      <w:marRight w:val="0"/>
      <w:marTop w:val="0"/>
      <w:marBottom w:val="0"/>
      <w:divBdr>
        <w:top w:val="none" w:sz="0" w:space="0" w:color="auto"/>
        <w:left w:val="none" w:sz="0" w:space="0" w:color="auto"/>
        <w:bottom w:val="none" w:sz="0" w:space="0" w:color="auto"/>
        <w:right w:val="none" w:sz="0" w:space="0" w:color="auto"/>
      </w:divBdr>
    </w:div>
    <w:div w:id="1851136970">
      <w:bodyDiv w:val="1"/>
      <w:marLeft w:val="0"/>
      <w:marRight w:val="0"/>
      <w:marTop w:val="0"/>
      <w:marBottom w:val="0"/>
      <w:divBdr>
        <w:top w:val="none" w:sz="0" w:space="0" w:color="auto"/>
        <w:left w:val="none" w:sz="0" w:space="0" w:color="auto"/>
        <w:bottom w:val="none" w:sz="0" w:space="0" w:color="auto"/>
        <w:right w:val="none" w:sz="0" w:space="0" w:color="auto"/>
      </w:divBdr>
    </w:div>
    <w:div w:id="1955019897">
      <w:bodyDiv w:val="1"/>
      <w:marLeft w:val="0"/>
      <w:marRight w:val="0"/>
      <w:marTop w:val="0"/>
      <w:marBottom w:val="0"/>
      <w:divBdr>
        <w:top w:val="none" w:sz="0" w:space="0" w:color="auto"/>
        <w:left w:val="none" w:sz="0" w:space="0" w:color="auto"/>
        <w:bottom w:val="none" w:sz="0" w:space="0" w:color="auto"/>
        <w:right w:val="none" w:sz="0" w:space="0" w:color="auto"/>
      </w:divBdr>
    </w:div>
    <w:div w:id="2026327633">
      <w:bodyDiv w:val="1"/>
      <w:marLeft w:val="0"/>
      <w:marRight w:val="0"/>
      <w:marTop w:val="0"/>
      <w:marBottom w:val="0"/>
      <w:divBdr>
        <w:top w:val="none" w:sz="0" w:space="0" w:color="auto"/>
        <w:left w:val="none" w:sz="0" w:space="0" w:color="auto"/>
        <w:bottom w:val="none" w:sz="0" w:space="0" w:color="auto"/>
        <w:right w:val="none" w:sz="0" w:space="0" w:color="auto"/>
      </w:divBdr>
    </w:div>
    <w:div w:id="20577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o.int/publications-detail/population-based-age-stratified-seroepidemiological-investigation-protocol-for-covid-19-virus-infection" TargetMode="External"/><Relationship Id="rId2" Type="http://schemas.openxmlformats.org/officeDocument/2006/relationships/customXml" Target="../customXml/item2.xml"/><Relationship Id="rId16" Type="http://schemas.openxmlformats.org/officeDocument/2006/relationships/image" Target="NUL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hatsthestory.web.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2B0F5DD0A494CAE23A7D0EA3E3105" ma:contentTypeVersion="6" ma:contentTypeDescription="Create a new document." ma:contentTypeScope="" ma:versionID="cb9f76c695323913bca3c97f02cc6f85">
  <xsd:schema xmlns:xsd="http://www.w3.org/2001/XMLSchema" xmlns:xs="http://www.w3.org/2001/XMLSchema" xmlns:p="http://schemas.microsoft.com/office/2006/metadata/properties" xmlns:ns2="e85e6dc2-3131-4552-9d73-b517f37b8fe1" xmlns:ns3="0625779d-6bda-45f7-8d02-3c05f4c87b2c" targetNamespace="http://schemas.microsoft.com/office/2006/metadata/properties" ma:root="true" ma:fieldsID="1126003a8f827e495e04c888faecc0ff" ns2:_="" ns3:_="">
    <xsd:import namespace="e85e6dc2-3131-4552-9d73-b517f37b8fe1"/>
    <xsd:import namespace="0625779d-6bda-45f7-8d02-3c05f4c87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6dc2-3131-4552-9d73-b517f37b8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5779d-6bda-45f7-8d02-3c05f4c87b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Pub18</b:Tag>
    <b:SourceType>InternetSite</b:SourceType>
    <b:Guid>{ABDA601B-7D5D-4EEC-B058-B96D866AA72A}</b:Guid>
    <b:Author>
      <b:Author>
        <b:Corporate>Publc Health England</b:Corporate>
      </b:Author>
    </b:Author>
    <b:Title>Pertussis Vaccination Programme for Pregnant Women: vaccine coverage estimates in England, April to August 2014</b:Title>
    <b:Year>2018</b:Year>
    <b:Month>July</b:Month>
    <b:Day>27</b:Day>
    <b:YearAccessed>2018</b:YearAccessed>
    <b:MonthAccessed>October</b:MonthAccessed>
    <b:DayAccessed>02</b:DayAccessed>
    <b:RefOrder>12</b:RefOrder>
  </b:Source>
</b:Sources>
</file>

<file path=customXml/itemProps1.xml><?xml version="1.0" encoding="utf-8"?>
<ds:datastoreItem xmlns:ds="http://schemas.openxmlformats.org/officeDocument/2006/customXml" ds:itemID="{3CAF5451-A166-4615-AC0D-64A437C13AFC}">
  <ds:schemaRefs>
    <ds:schemaRef ds:uri="http://schemas.microsoft.com/sharepoint/v3/contenttype/forms"/>
  </ds:schemaRefs>
</ds:datastoreItem>
</file>

<file path=customXml/itemProps2.xml><?xml version="1.0" encoding="utf-8"?>
<ds:datastoreItem xmlns:ds="http://schemas.openxmlformats.org/officeDocument/2006/customXml" ds:itemID="{09CD4278-F3B6-49E2-ABB3-5CFACA50A641}">
  <ds:schemaRefs>
    <ds:schemaRef ds:uri="http://schemas.microsoft.com/office/2006/documentManagement/types"/>
    <ds:schemaRef ds:uri="0625779d-6bda-45f7-8d02-3c05f4c87b2c"/>
    <ds:schemaRef ds:uri="http://purl.org/dc/dcmitype/"/>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e85e6dc2-3131-4552-9d73-b517f37b8fe1"/>
  </ds:schemaRefs>
</ds:datastoreItem>
</file>

<file path=customXml/itemProps3.xml><?xml version="1.0" encoding="utf-8"?>
<ds:datastoreItem xmlns:ds="http://schemas.openxmlformats.org/officeDocument/2006/customXml" ds:itemID="{1F13C74F-90C2-47B3-AA38-5DF0BEBE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e6dc2-3131-4552-9d73-b517f37b8fe1"/>
    <ds:schemaRef ds:uri="0625779d-6bda-45f7-8d02-3c05f4c87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B5006-C5F6-4746-941A-934068A8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15887</Words>
  <Characters>90557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Barnby-Porritt</dc:creator>
  <cp:keywords/>
  <dc:description/>
  <cp:lastModifiedBy>Emma Plested</cp:lastModifiedBy>
  <cp:revision>3</cp:revision>
  <cp:lastPrinted>2020-12-09T20:14:00Z</cp:lastPrinted>
  <dcterms:created xsi:type="dcterms:W3CDTF">2021-08-25T10:45:00Z</dcterms:created>
  <dcterms:modified xsi:type="dcterms:W3CDTF">2021-08-25T10:47:00Z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0x0101008E52B0F5DD0A494CAE23A7D0EA3E3105</vt:lpwstr>
  </property>
</Properties>
</file>