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02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t>Participant flow</w:t>
      </w:r>
    </w:p>
    <w:p w:rsidR="00AB082F" w:rsidRDefault="00A75AD7">
      <w:pPr>
        <w:rPr>
          <w:noProof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B638E6" wp14:editId="11B1A1E7">
                <wp:simplePos x="0" y="0"/>
                <wp:positionH relativeFrom="column">
                  <wp:posOffset>325755</wp:posOffset>
                </wp:positionH>
                <wp:positionV relativeFrom="paragraph">
                  <wp:posOffset>96520</wp:posOffset>
                </wp:positionV>
                <wp:extent cx="5271135" cy="5621020"/>
                <wp:effectExtent l="0" t="0" r="24765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5" cy="5621020"/>
                          <a:chOff x="0" y="0"/>
                          <a:chExt cx="6781800" cy="5803678"/>
                        </a:xfrm>
                      </wpg:grpSpPr>
                      <wps:wsp>
                        <wps:cNvPr id="5" name="TextBox 4"/>
                        <wps:cNvSpPr txBox="1"/>
                        <wps:spPr>
                          <a:xfrm>
                            <a:off x="3810" y="0"/>
                            <a:ext cx="3352800" cy="2769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372 participants screened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5"/>
                        <wps:cNvSpPr txBox="1"/>
                        <wps:spPr>
                          <a:xfrm>
                            <a:off x="2621280" y="405200"/>
                            <a:ext cx="195072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Exclusions (n=62):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 37 Lost to Follow-up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18 Withdrew Consent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  4 Moved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  2 Inadvertent 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Enrollment</w:t>
                              </w:r>
                              <w:proofErr w:type="gramEnd"/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 1 Died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3341566"/>
                            <a:ext cx="33528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296 had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u w:val="single"/>
                                </w:rPr>
                                <w:t>&gt;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 antibody sample after 1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Vaccine Dose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included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mITT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analysis of antibody response)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0"/>
                        <wps:cNvSpPr txBox="1"/>
                        <wps:spPr>
                          <a:xfrm>
                            <a:off x="3810" y="1733789"/>
                            <a:ext cx="3352800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310 received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u w:val="single"/>
                                </w:rPr>
                                <w:t>&gt;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  vaccine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dose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included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in analysis of safety)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1"/>
                        <wps:cNvSpPr txBox="1"/>
                        <wps:spPr>
                          <a:xfrm>
                            <a:off x="3912871" y="3440372"/>
                            <a:ext cx="2868929" cy="2769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198 met per protocol efficacy criteria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12"/>
                        <wps:cNvSpPr txBox="1"/>
                        <wps:spPr>
                          <a:xfrm>
                            <a:off x="3912871" y="4019788"/>
                            <a:ext cx="2868929" cy="64633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186 naïve to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u w:val="single"/>
                                </w:rPr>
                                <w:t>&gt;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 of HPV 6, 11, 16, 18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included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in PPE analysis of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seroconversion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rate and antibody response)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29"/>
                        <wps:cNvSpPr txBox="1"/>
                        <wps:spPr>
                          <a:xfrm>
                            <a:off x="2615565" y="2299645"/>
                            <a:ext cx="1956435" cy="83099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Exclusions (n=14):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7 Lost to Follow-up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6 Withdrew Consent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1 Died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31"/>
                        <wps:cNvSpPr txBox="1"/>
                        <wps:spPr>
                          <a:xfrm>
                            <a:off x="3810" y="4781963"/>
                            <a:ext cx="335280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224 Completed at least 24 months of follow-up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47 Lost to Follow-up  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12 Study closed before 24 months of follow-up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7 Withdrew Consent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6 Moved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Straight Arrow Connector 13"/>
                        <wps:cNvCnPr>
                          <a:stCxn id="5" idx="2"/>
                          <a:endCxn id="8" idx="0"/>
                        </wps:cNvCnPr>
                        <wps:spPr>
                          <a:xfrm>
                            <a:off x="1680210" y="276999"/>
                            <a:ext cx="0" cy="145679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>
                          <a:stCxn id="8" idx="2"/>
                          <a:endCxn id="7" idx="0"/>
                        </wps:cNvCnPr>
                        <wps:spPr>
                          <a:xfrm flipH="1">
                            <a:off x="1676400" y="2195454"/>
                            <a:ext cx="3810" cy="11463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>
                          <a:stCxn id="7" idx="2"/>
                          <a:endCxn id="12" idx="0"/>
                        </wps:cNvCnPr>
                        <wps:spPr>
                          <a:xfrm>
                            <a:off x="1676400" y="3803480"/>
                            <a:ext cx="3810" cy="97883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Box 6"/>
                        <wps:cNvSpPr txBox="1"/>
                        <wps:spPr>
                          <a:xfrm>
                            <a:off x="3810" y="4019788"/>
                            <a:ext cx="3352800" cy="4616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272 naïve to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u w:val="single"/>
                                </w:rPr>
                                <w:t>&gt;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 of HPV 6, 11, 16, 18</w:t>
                              </w:r>
                            </w:p>
                            <w:p w:rsidR="00A75AD7" w:rsidRDefault="00A75AD7" w:rsidP="00A75A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included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mITT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analysis of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seroconversion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rate)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Straight Arrow Connector 17"/>
                        <wps:cNvCnPr>
                          <a:endCxn id="6" idx="1"/>
                        </wps:cNvCnPr>
                        <wps:spPr>
                          <a:xfrm>
                            <a:off x="1676400" y="1005395"/>
                            <a:ext cx="94488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V="1">
                            <a:off x="3360420" y="3587172"/>
                            <a:ext cx="552451" cy="17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>
                          <a:endCxn id="11" idx="1"/>
                        </wps:cNvCnPr>
                        <wps:spPr>
                          <a:xfrm>
                            <a:off x="1680210" y="2715144"/>
                            <a:ext cx="93535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>
                          <a:stCxn id="9" idx="2"/>
                          <a:endCxn id="10" idx="0"/>
                        </wps:cNvCnPr>
                        <wps:spPr>
                          <a:xfrm>
                            <a:off x="5347336" y="3717371"/>
                            <a:ext cx="0" cy="30241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5.65pt;margin-top:7.6pt;width:415.05pt;height:442.6pt;z-index:251659264" coordsize="67818,58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8;width:33528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vkcIA&#10;AADaAAAADwAAAGRycy9kb3ducmV2LnhtbESPS6vCMBSE94L/IRzBnaYKeq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u+RwgAAANoAAAAPAAAAAAAAAAAAAAAAAJgCAABkcnMvZG93&#10;bnJldi54bWxQSwUGAAAAAAQABAD1AAAAhwMAAAAA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372 participants screened</w:t>
                        </w:r>
                      </w:p>
                    </w:txbxContent>
                  </v:textbox>
                </v:shape>
                <v:shape id="TextBox 5" o:spid="_x0000_s1028" type="#_x0000_t202" style="position:absolute;left:26212;top:4052;width:19508;height:12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x5sIA&#10;AADaAAAADwAAAGRycy9kb3ducmV2LnhtbESPS6vCMBSE94L/IRzBnaa6qJdqFB8IIrrwgbg8NMe2&#10;2JyUJmr990YQ7nKYmW+YyawxpXhS7QrLCgb9CARxanXBmYLzad37A+E8ssbSMil4k4PZtN2aYKLt&#10;iw/0PPpMBAi7BBXk3leJlC7NyaDr24o4eDdbG/RB1pnUNb4C3JRyGEWxNFhwWMixomVO6f34MAo2&#10;p/f2MFruY7NdrK67i3SX9WqnVLfTzMcgPDX+P/xrb7SCGL5Xwg2Q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HHmwgAAANoAAAAPAAAAAAAAAAAAAAAAAJgCAABkcnMvZG93&#10;bnJldi54bWxQSwUGAAAAAAQABAD1AAAAhwMAAAAA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Exclusions (n=62):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 37 Lost to Follow-up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18 Withdrew Consent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  4 Moved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  2 Inadvertent 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Enrollment</w:t>
                        </w:r>
                        <w:proofErr w:type="gramEnd"/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 1 Died</w:t>
                        </w:r>
                      </w:p>
                    </w:txbxContent>
                  </v:textbox>
                </v:shape>
                <v:shape id="TextBox 7" o:spid="_x0000_s1029" type="#_x0000_t202" style="position:absolute;top:33415;width:33528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UfcAA&#10;AADaAAAADwAAAGRycy9kb3ducmV2LnhtbESPSwvCMBCE74L/IazgTVM9qFSj+EAQ0YMPxOPSrG2x&#10;2ZQmav33RhA8DjPzDTOZ1aYQT6pcbllBrxuBIE6szjlVcD6tOyMQziNrLCyTgjc5mE2bjQnG2r74&#10;QM+jT0WAsItRQeZ9GUvpkowMuq4tiYN3s5VBH2SVSl3hK8BNIftRNJAGcw4LGZa0zCi5Hx9Gweb0&#10;3h6Gy/3AbBer6+4i3WW92inVbtXzMQhPtf+Hf+2NVjCE75VwA+T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jUfcAAAADaAAAADwAAAAAAAAAAAAAAAACYAgAAZHJzL2Rvd25y&#10;ZXYueG1sUEsFBgAAAAAEAAQA9QAAAIUDAAAAAA==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296 had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u w:val="single"/>
                          </w:rPr>
                          <w:t>&gt;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 antibody sample after 1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st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Vaccine Dose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included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mITT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analysis of antibody response)</w:t>
                        </w:r>
                      </w:p>
                    </w:txbxContent>
                  </v:textbox>
                </v:shape>
                <v:shape id="TextBox 10" o:spid="_x0000_s1030" type="#_x0000_t202" style="position:absolute;left:38;top:17337;width:33528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AD70A&#10;AADaAAAADwAAAGRycy9kb3ducmV2LnhtbERPuwrCMBTdBf8hXMFNUx1UqlF8IIjoYBVxvDTXttjc&#10;lCZq/XszCI6H854tGlOKF9WusKxg0I9AEKdWF5wpuJy3vQkI55E1lpZJwYccLObt1gxjbd98olfi&#10;MxFC2MWoIPe+iqV0aU4GXd9WxIG729qgD7DOpK7xHcJNKYdRNJIGCw4NOVa0zil9JE+jYHf+7E/j&#10;9XFk9qvN7XCV7rrdHJTqdprlFISnxv/FP/dOKwhbw5V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dAD70AAADaAAAADwAAAAAAAAAAAAAAAACYAgAAZHJzL2Rvd25yZXYu&#10;eG1sUEsFBgAAAAAEAAQA9QAAAIIDAAAAAA==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310 received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u w:val="single"/>
                          </w:rPr>
                          <w:t>&gt;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  vaccine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dose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included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in analysis of safety)</w:t>
                        </w:r>
                      </w:p>
                    </w:txbxContent>
                  </v:textbox>
                </v:shape>
                <v:shape id="TextBox 11" o:spid="_x0000_s1031" type="#_x0000_t202" style="position:absolute;left:39128;top:34403;width:2869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llMQA&#10;AADaAAAADwAAAGRycy9kb3ducmV2LnhtbESPT2vCQBTE7wW/w/IEb3WjB62pq2iCEMQe/IP0+Mi+&#10;JqHZtyG7avLt3ULB4zAzv2GW687U4k6tqywrmIwjEMS51RUXCi7n3fsHCOeRNdaWSUFPDtarwdsS&#10;Y20ffKT7yRciQNjFqKD0vomldHlJBt3YNsTB+7GtQR9kW0jd4iPATS2nUTSTBisOCyU2lJSU/55u&#10;RkF27vfHefI1M/tt+n24SnfdpQelRsNu8wnCU+df4f92phUs4O9Ku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5ZTEAAAA2gAAAA8AAAAAAAAAAAAAAAAAmAIAAGRycy9k&#10;b3ducmV2LnhtbFBLBQYAAAAABAAEAPUAAACJAwAAAAA=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198 met per protocol efficacy criteria</w:t>
                        </w:r>
                      </w:p>
                    </w:txbxContent>
                  </v:textbox>
                </v:shape>
                <v:shape id="TextBox 12" o:spid="_x0000_s1032" type="#_x0000_t202" style="position:absolute;left:39128;top:40197;width:28690;height:6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fi8QA&#10;AADbAAAADwAAAGRycy9kb3ducmV2LnhtbESPS4vCQBCE7wv+h6GFva0TPahER/GBIOIefCAem0yb&#10;BDM9ITOr8d/bhwVv3VR11dfTeesq9aAmlJ4N9HsJKOLM25JzA+fT5mcMKkRki5VnMvCiAPNZ52uK&#10;qfVPPtDjGHMlIRxSNFDEWKdah6wgh6Hna2LRbr5xGGVtcm0bfEq4q/QgSYbaYcnSUGBNq4Ky+/HP&#10;GdieXrvDaPU7dLvl+rq/6HDZrPfGfHfbxQRUpDZ+zP/XWyv4Qi+/yAB6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9H4vEAAAA2wAAAA8AAAAAAAAAAAAAAAAAmAIAAGRycy9k&#10;b3ducmV2LnhtbFBLBQYAAAAABAAEAPUAAACJAwAAAAA=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186 naïve to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u w:val="single"/>
                          </w:rPr>
                          <w:t>&gt;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 of HPV 6, 11, 16, 18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included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in PPE analysis of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seroconversion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rate and antibody response)</w:t>
                        </w:r>
                      </w:p>
                    </w:txbxContent>
                  </v:textbox>
                </v:shape>
                <v:shape id="TextBox 29" o:spid="_x0000_s1033" type="#_x0000_t202" style="position:absolute;left:26155;top:22996;width:19565;height:8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6EL8A&#10;AADbAAAADwAAAGRycy9kb3ducmV2LnhtbERPyQrCMBC9C/5DGMGbpnpQqUZxQRDRgwvicWjGtthM&#10;ShO1/r0RBG/zeOtMZrUpxJMql1tW0OtGIIgTq3NOFZxP684IhPPIGgvLpOBNDmbTZmOCsbYvPtDz&#10;6FMRQtjFqCDzvoyldElGBl3XlsSBu9nKoA+wSqWu8BXCTSH7UTSQBnMODRmWtMwouR8fRsHm9N4e&#10;hsv9wGwXq+vuIt1lvdop1W7V8zEIT7X/i3/ujQ7ze/D9JR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boQvwAAANsAAAAPAAAAAAAAAAAAAAAAAJgCAABkcnMvZG93bnJl&#10;di54bWxQSwUGAAAAAAQABAD1AAAAhAMAAAAA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Exclusions (n=14):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7 Lost to Follow-up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6 Withdrew Consent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1 Died</w:t>
                        </w:r>
                      </w:p>
                    </w:txbxContent>
                  </v:textbox>
                </v:shape>
                <v:shape id="TextBox 31" o:spid="_x0000_s1034" type="#_x0000_t202" style="position:absolute;left:38;top:47819;width:33528;height:10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kZ78A&#10;AADbAAAADwAAAGRycy9kb3ducmV2LnhtbERPyQrCMBC9C/5DGMGbpnpQqUZxQRDRgwvicWjGtthM&#10;ShO1/r0RBG/zeOtMZrUpxJMql1tW0OtGIIgTq3NOFZxP684IhPPIGgvLpOBNDmbTZmOCsbYvPtDz&#10;6FMRQtjFqCDzvoyldElGBl3XlsSBu9nKoA+wSqWu8BXCTSH7UTSQBnMODRmWtMwouR8fRsHm9N4e&#10;hsv9wGwXq+vuIt1lvdop1W7V8zEIT7X/i3/ujQ7z+/D9JR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oyRnvwAAANsAAAAPAAAAAAAAAAAAAAAAAJgCAABkcnMvZG93bnJl&#10;di54bWxQSwUGAAAAAAQABAD1AAAAhAMAAAAA&#10;" filled="f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224 Completed at least 24 months of follow-up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47 Lost to Follow-up  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12 Study closed before 24 months of follow-up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7 Withdrew Consent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6 Moved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5" type="#_x0000_t32" style="position:absolute;left:16802;top:2769;width:0;height:14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PHvMMAAADbAAAADwAAAGRycy9kb3ducmV2LnhtbERPzWoCMRC+C32HMEIvRbNWkLoaxYpt&#10;PShl1QcYNuNmcTNZNlFXn74RCt7m4/ud6by1lbhQ40vHCgb9BARx7nTJhYLD/qv3AcIHZI2VY1Jw&#10;Iw/z2Utniql2V87osguFiCHsU1RgQqhTKX1uyKLvu5o4ckfXWAwRNoXUDV5juK3ke5KMpMWSY4PB&#10;mpaG8tPubBWEn/t39nl+axf38rT+3ZvxajPYKvXabRcTEIHa8BT/u9c6zh/C45d4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zx7zDAAAA2wAAAA8AAAAAAAAAAAAA&#10;AAAAoQIAAGRycy9kb3ducmV2LnhtbFBLBQYAAAAABAAEAPkAAACRAwAAAAA=&#10;" strokecolor="black [3213]" strokeweight="1pt">
                  <v:stroke endarrow="open"/>
                </v:shape>
                <v:shape id="Straight Arrow Connector 14" o:spid="_x0000_s1036" type="#_x0000_t32" style="position:absolute;left:16764;top:21954;width:38;height:114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47TcMAAADbAAAADwAAAGRycy9kb3ducmV2LnhtbERPTWvCQBC9F/wPywheim4qtkh0laZQ&#10;yMXWqojHITsmwexs2F1N/PduodDbPN7nLNe9acSNnK8tK3iZJCCIC6trLhUc9p/jOQgfkDU2lknB&#10;nTysV4OnJabadvxDt10oRQxhn6KCKoQ2ldIXFRn0E9sSR+5sncEQoSuldtjFcNPIaZK8SYM1x4YK&#10;W/qoqLjsrkZBNs2Sdnt6/s6/tOuy42Xzes83So2G/fsCRKA+/Iv/3LmO82fw+0s8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OO03DAAAA2wAAAA8AAAAAAAAAAAAA&#10;AAAAoQIAAGRycy9kb3ducmV2LnhtbFBLBQYAAAAABAAEAPkAAACRAwAAAAA=&#10;" strokecolor="black [3213]" strokeweight="1pt">
                  <v:stroke endarrow="open"/>
                </v:shape>
                <v:shape id="Straight Arrow Connector 15" o:spid="_x0000_s1037" type="#_x0000_t32" style="position:absolute;left:16764;top:38034;width:38;height:97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b6U8MAAADbAAAADwAAAGRycy9kb3ducmV2LnhtbERPzWoCMRC+C32HMEIvRbMWlLoaxYpt&#10;PShl1QcYNuNmcTNZNlFXn74RCt7m4/ud6by1lbhQ40vHCgb9BARx7nTJhYLD/qv3AcIHZI2VY1Jw&#10;Iw/z2Utniql2V87osguFiCHsU1RgQqhTKX1uyKLvu5o4ckfXWAwRNoXUDV5juK3ke5KMpMWSY4PB&#10;mpaG8tPubBWEn/t39nl+axf38rT+3ZvxajPYKvXabRcTEIHa8BT/u9c6zh/C45d4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W+lPDAAAA2wAAAA8AAAAAAAAAAAAA&#10;AAAAoQIAAGRycy9kb3ducmV2LnhtbFBLBQYAAAAABAAEAPkAAACRAwAAAAA=&#10;" strokecolor="black [3213]" strokeweight="1pt">
                  <v:stroke endarrow="open"/>
                </v:shape>
                <v:shape id="TextBox 6" o:spid="_x0000_s1038" type="#_x0000_t202" style="position:absolute;left:38;top:40197;width:33528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2PrwA&#10;AADbAAAADwAAAGRycy9kb3ducmV2LnhtbERPSwrCMBDdC94hjOBOUxVEqlFEEFwJ/qDuhmZsi82k&#10;NNG2tzeC4G4e7zurTWtK8abaFZYVTMYRCOLU6oIzBdfLfrQA4TyyxtIyKejIwWbd760w1rbhE73P&#10;PhMhhF2MCnLvq1hKl+Zk0I1tRRy4h60N+gDrTOoamxBuSjmNork0WHBoyLGiXU7p8/wyCo5d99ze&#10;myRJbuiNxpkzd1ooNRy02yUIT63/i3/ugw7z5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w3Y+vAAAANsAAAAPAAAAAAAAAAAAAAAAAJgCAABkcnMvZG93bnJldi54&#10;bWxQSwUGAAAAAAQABAD1AAAAgQMAAAAA&#10;" fillcolor="white [3212]" strokecolor="black [3213]">
                  <v:textbox>
                    <w:txbxContent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272 naïve to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u w:val="single"/>
                          </w:rPr>
                          <w:t>&gt;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 of HPV 6, 11, 16, 18</w:t>
                        </w:r>
                      </w:p>
                      <w:p w:rsidR="00A75AD7" w:rsidRDefault="00A75AD7" w:rsidP="00A75A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included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mITT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analysis of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seroconversion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rate)</w:t>
                        </w:r>
                      </w:p>
                    </w:txbxContent>
                  </v:textbox>
                </v:shape>
                <v:shape id="Straight Arrow Connector 17" o:spid="_x0000_s1039" type="#_x0000_t32" style="position:absolute;left:16764;top:10053;width:94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nyGMEAAADbAAAADwAAAGRycy9kb3ducmV2LnhtbESPQWvDMAyF74X+B6NCb42zDtKR1S2j&#10;tLDr0l52E7ESh8VysN0k+/dzYdCbxHvf09P+ONtejORD51jBS5aDIK6d7rhVcLteNm8gQkTW2Dsm&#10;Bb8U4HhYLvZYajfxF41VbEUK4VCiAhPjUEoZakMWQ+YG4qQ1zluMafWt1B6nFG57uc3zQlrsOF0w&#10;ONDJUP1T3W2qUQ1Nkcfum65nHMfzq+93xiu1Xs0f7yAizfFp/qc/deJ28PglDSA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OfIYwQAAANsAAAAPAAAAAAAAAAAAAAAA&#10;AKECAABkcnMvZG93bnJldi54bWxQSwUGAAAAAAQABAD5AAAAjwMAAAAA&#10;" strokecolor="black [3213]" strokeweight="1pt">
                  <v:stroke dashstyle="3 1" endarrow="open"/>
                </v:shape>
                <v:shape id="Straight Arrow Connector 18" o:spid="_x0000_s1040" type="#_x0000_t32" style="position:absolute;left:33604;top:35871;width:5524;height: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MxSMYAAADbAAAADwAAAGRycy9kb3ducmV2LnhtbESPT2vDMAzF74N9B6NBL6N1VtgoWd2y&#10;DAa5dFv/UHoUsZaExnKw3Sb99tNhsJvEe3rvp+V6dJ26UoitZwNPswwUceVty7WBw/5jugAVE7LF&#10;zjMZuFGE9er+bom59QNv6bpLtZIQjjkaaFLqc61j1ZDDOPM9sWg/PjhMsoZa24CDhLtOz7PsRTts&#10;WRoa7Om9oeq8uzgDxbzI+u/T41f5acNQHM+b51u5MWbyML69gko0pn/z33VpBV9g5Rc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DMUjGAAAA2wAAAA8AAAAAAAAA&#10;AAAAAAAAoQIAAGRycy9kb3ducmV2LnhtbFBLBQYAAAAABAAEAPkAAACUAwAAAAA=&#10;" strokecolor="black [3213]" strokeweight="1pt">
                  <v:stroke endarrow="open"/>
                </v:shape>
                <v:shape id="Straight Arrow Connector 19" o:spid="_x0000_s1041" type="#_x0000_t32" style="position:absolute;left:16802;top:27151;width:93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rD8cAAAADbAAAADwAAAGRycy9kb3ducmV2LnhtbESPT4vCMBDF74LfIcyCN5uugn+6RpFF&#10;wetWL96GZmzKNpOSZGv99kZY8DbDe783bza7wbaiJx8axwo+sxwEceV0w7WCy/k4XYEIEVlj65gU&#10;PCjAbjsebbDQ7s4/1JexFimEQ4EKTIxdIWWoDFkMmeuIk3Zz3mJMq6+l9nhP4baVszxfSIsNpwsG&#10;O/o2VP2WfzbVKLvbIo/Nlc4H7PvD3LdL45WafAz7LxCRhvg2/9Mnnbg1vH5JA8jt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qw/HAAAAA2wAAAA8AAAAAAAAAAAAAAAAA&#10;oQIAAGRycy9kb3ducmV2LnhtbFBLBQYAAAAABAAEAPkAAACOAwAAAAA=&#10;" strokecolor="black [3213]" strokeweight="1pt">
                  <v:stroke dashstyle="3 1" endarrow="open"/>
                </v:shape>
                <v:shape id="Straight Arrow Connector 21" o:spid="_x0000_s1042" type="#_x0000_t32" style="position:absolute;left:53473;top:37173;width:0;height:30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E27cYAAADbAAAADwAAAGRycy9kb3ducmV2LnhtbESPQWvCQBSE74L/YXmFXsRs4kFqmlW0&#10;tNVDS1H7Ax7Z12ww+zZkV0399a4geBxm5humWPS2ESfqfO1YQZakIIhLp2uuFPzuP8YvIHxA1tg4&#10;JgX/5GExHw4KzLU785ZOu1CJCGGfowITQptL6UtDFn3iWuLo/bnOYoiyq6Tu8BzhtpGTNJ1KizXH&#10;BYMtvRkqD7ujVRDWl8/t6jjql5f6sPnZm9n7V/at1PNTv3wFEagPj/C9vdEKJhncvsQf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Nu3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</w:p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AB082F" w:rsidRDefault="00AB082F">
      <w:pPr>
        <w:rPr>
          <w:b/>
          <w:sz w:val="32"/>
        </w:rPr>
      </w:pPr>
      <w:r w:rsidRPr="00AB082F">
        <w:rPr>
          <w:b/>
          <w:sz w:val="32"/>
        </w:rPr>
        <w:lastRenderedPageBreak/>
        <w:t>Baseline characteristics</w:t>
      </w:r>
    </w:p>
    <w:p w:rsidR="00A75AD7" w:rsidRPr="00AB082F" w:rsidRDefault="00A75AD7">
      <w:pPr>
        <w:rPr>
          <w:b/>
          <w:sz w:val="32"/>
        </w:rPr>
      </w:pPr>
      <w:r>
        <w:rPr>
          <w:color w:val="000000"/>
        </w:rPr>
        <w:t>Baseline demographic and clinical characteristics by population (participants ages 15+)</w:t>
      </w:r>
    </w:p>
    <w:tbl>
      <w:tblPr>
        <w:tblW w:w="924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4293"/>
        <w:gridCol w:w="2614"/>
        <w:gridCol w:w="2333"/>
      </w:tblGrid>
      <w:tr w:rsidR="00A75AD7" w:rsidTr="00A75AD7">
        <w:trPr>
          <w:cantSplit/>
          <w:trHeight w:val="20"/>
          <w:tblHeader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lang w:val="en-US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Modified Intent-to-Treat</w:t>
            </w:r>
          </w:p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n=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Per-protocol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n=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198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Age, years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(32-45)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>-46)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Race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White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 (36)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(37)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Black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 (44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(44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Indigenous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(13)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(11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Other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(8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(8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Country of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</w:rPr>
              <w:t>rigin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Canada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(49)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Endemic Country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(40)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(41)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Other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(10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(10)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HIV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risk f</w:t>
            </w:r>
            <w:r>
              <w:rPr>
                <w:rFonts w:ascii="Times New Roman" w:hAnsi="Times New Roman"/>
                <w:color w:val="000000"/>
                <w:sz w:val="24"/>
              </w:rPr>
              <w:t>actor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Sexual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ontact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(71)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(73)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Injection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drug u</w:t>
            </w:r>
            <w:r>
              <w:rPr>
                <w:rFonts w:ascii="Times New Roman" w:hAnsi="Times New Roman"/>
                <w:color w:val="000000"/>
                <w:sz w:val="24"/>
              </w:rPr>
              <w:t>se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 (15)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(10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Perinatal transmission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(8)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Other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 (10)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 (10)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ears since HIV diagnosis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(4-13)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 (4-13)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Suppressed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viral l</w:t>
            </w:r>
            <w:r>
              <w:rPr>
                <w:rFonts w:ascii="Times New Roman" w:hAnsi="Times New Roman"/>
                <w:color w:val="000000"/>
                <w:sz w:val="24"/>
              </w:rPr>
              <w:t>oad at Baseline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(72)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(75)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CD4 Count at Baseline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cells/mm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510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color w:val="000000"/>
                <w:sz w:val="24"/>
              </w:rPr>
              <w:t>-695)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520 (390-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Nadir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CD4 Count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cells/mm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 (120-340)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 (110-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Number of Vaccine Doses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 (89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(100)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(5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 (0)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 (6)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 (0)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Body mass index (kg/m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(23-31)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(23-30)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Smoking Status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Never Smoked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(52)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Current Smoker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 (34)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 (28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Previous Smoker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(16)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Have had intercourse ever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(95)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(95)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Ever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regnant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(83)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 (84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Ever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given 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irth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(74)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 (72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Currently Sexually Active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(63)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(58)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Contraceptive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Current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hormonal c</w:t>
            </w:r>
            <w:r>
              <w:rPr>
                <w:rFonts w:ascii="Times New Roman" w:hAnsi="Times New Roman"/>
                <w:color w:val="000000"/>
                <w:sz w:val="24"/>
              </w:rPr>
              <w:t>ontraception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 (14)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(16)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Usually 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always use c</w:t>
            </w:r>
            <w:r>
              <w:rPr>
                <w:rFonts w:ascii="Times New Roman" w:hAnsi="Times New Roman"/>
                <w:color w:val="000000"/>
                <w:sz w:val="24"/>
              </w:rPr>
              <w:t>ondoms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(40)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 (39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Number of Lifetime Partners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 (3-13)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(3-10)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At least 1 partner before baseline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 (58)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 (52)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At least 1 new partner between screening and baseline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 (6)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(5)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Baseline HPV Positivity to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qHPV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types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At least 1 by serology, Antibody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 (62)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 (61)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At least 1 by PCR, DNA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 (16)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 (16)</w:t>
            </w:r>
          </w:p>
        </w:tc>
      </w:tr>
      <w:tr w:rsidR="00A75AD7" w:rsidTr="00A75AD7">
        <w:trPr>
          <w:cantSplit/>
          <w:trHeight w:val="20"/>
        </w:trPr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AD7" w:rsidRDefault="00A75AD7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At least 1 by serology or PCR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 (65)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5AD7" w:rsidRDefault="00A75A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 (64)</w:t>
            </w:r>
          </w:p>
        </w:tc>
      </w:tr>
    </w:tbl>
    <w:p w:rsidR="00131164" w:rsidRDefault="00AB082F" w:rsidP="00131164">
      <w:pPr>
        <w:rPr>
          <w:b/>
          <w:sz w:val="32"/>
        </w:rPr>
      </w:pPr>
      <w:r w:rsidRPr="00AB082F">
        <w:rPr>
          <w:b/>
          <w:sz w:val="32"/>
        </w:rPr>
        <w:lastRenderedPageBreak/>
        <w:t>Outcome measures</w:t>
      </w:r>
    </w:p>
    <w:p w:rsidR="00131164" w:rsidRDefault="00131164" w:rsidP="0013116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Seroresponsiveness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of HIV positive women to the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quadrivalent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HPV vaccine.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Seroresponsiveness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is measured at 7 and 24 months post vaccine dose 1 in women originally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seronegative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 the specific HPV type, using the proprietary Merck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cLIA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assay, and is reported as geometric mean titres (GMTs) in relation to HPV type-specific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seropositivity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cutoff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values.</w:t>
      </w:r>
    </w:p>
    <w:p w:rsidR="00131164" w:rsidRDefault="00131164" w:rsidP="00131164">
      <w:pPr>
        <w:rPr>
          <w:rFonts w:ascii="Calibri" w:hAnsi="Calibri"/>
        </w:rPr>
      </w:pPr>
      <w:r>
        <w:rPr>
          <w:color w:val="000000"/>
        </w:rPr>
        <w:t> </w:t>
      </w:r>
    </w:p>
    <w:tbl>
      <w:tblPr>
        <w:tblW w:w="8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186"/>
        <w:gridCol w:w="993"/>
        <w:gridCol w:w="2270"/>
        <w:gridCol w:w="851"/>
        <w:gridCol w:w="2554"/>
      </w:tblGrid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Per Protocol*</w:t>
            </w:r>
          </w:p>
        </w:tc>
        <w:tc>
          <w:tcPr>
            <w:tcW w:w="340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Modified Intent-to-Treat**</w:t>
            </w:r>
          </w:p>
        </w:tc>
      </w:tr>
      <w:tr w:rsidR="00131164" w:rsidTr="00131164">
        <w:trPr>
          <w:trHeight w:val="865"/>
        </w:trPr>
        <w:tc>
          <w:tcPr>
            <w:tcW w:w="10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Month</w:t>
            </w:r>
          </w:p>
        </w:tc>
        <w:tc>
          <w:tcPr>
            <w:tcW w:w="1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HPV Type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N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 xml:space="preserve">Above </w:t>
            </w:r>
            <w:proofErr w:type="spellStart"/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Cutoff</w:t>
            </w:r>
            <w:proofErr w:type="spellEnd"/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N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 xml:space="preserve">Above </w:t>
            </w:r>
            <w:proofErr w:type="spellStart"/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Cutoff</w:t>
            </w:r>
            <w:proofErr w:type="spellEnd"/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7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101 (99%)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112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111 (99.1%)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150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148 (98.7%)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163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160 (98.2%)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108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106 (98.1%)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118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116 (98.3%)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18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141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132 (93.6%)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154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141 (91.6%)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24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82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76 (92.7%)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103 (92.8%)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113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106 (93.8%)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147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136 (92.5%)</w:t>
            </w:r>
          </w:p>
        </w:tc>
      </w:tr>
      <w:tr w:rsidR="00131164" w:rsidTr="00131164">
        <w:trPr>
          <w:trHeight w:val="472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16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87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85 (97.7%)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120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116 (96.7%)</w:t>
            </w:r>
          </w:p>
        </w:tc>
      </w:tr>
      <w:tr w:rsidR="00131164" w:rsidTr="00131164">
        <w:trPr>
          <w:trHeight w:val="448"/>
        </w:trPr>
        <w:tc>
          <w:tcPr>
            <w:tcW w:w="1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b/>
                <w:bCs/>
                <w:color w:val="FFFFFF" w:themeColor="light1"/>
                <w:kern w:val="24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18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106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71 (67.0%)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142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31164" w:rsidRDefault="00131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CA" w:eastAsia="en-CA"/>
              </w:rPr>
            </w:pPr>
            <w:r>
              <w:rPr>
                <w:rFonts w:eastAsiaTheme="minorEastAsia" w:hAnsi="Trebuchet MS"/>
                <w:color w:val="000000" w:themeColor="dark1"/>
                <w:kern w:val="24"/>
                <w:sz w:val="28"/>
                <w:szCs w:val="28"/>
                <w:lang w:eastAsia="en-CA"/>
              </w:rPr>
              <w:t>95 (66.9%)</w:t>
            </w:r>
          </w:p>
        </w:tc>
      </w:tr>
    </w:tbl>
    <w:p w:rsidR="00131164" w:rsidRDefault="00131164" w:rsidP="0013116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131164" w:rsidRDefault="00131164" w:rsidP="00131164">
      <w:pPr>
        <w:pStyle w:val="NormalWeb"/>
        <w:kinsoku w:val="0"/>
        <w:overflowPunct w:val="0"/>
        <w:spacing w:before="137" w:beforeAutospacing="0" w:after="0" w:afterAutospacing="0"/>
        <w:textAlignment w:val="baseline"/>
      </w:pPr>
      <w:r>
        <w:rPr>
          <w:rFonts w:asciiTheme="minorHAnsi" w:eastAsia="MS PGothic" w:hAnsi="Calibri" w:cs="Arial"/>
          <w:color w:val="000000" w:themeColor="text1"/>
          <w:kern w:val="24"/>
        </w:rPr>
        <w:t xml:space="preserve">*PP= </w:t>
      </w:r>
      <w:r>
        <w:rPr>
          <w:rFonts w:asciiTheme="minorHAnsi" w:hAnsi="Calibri" w:cstheme="minorBidi"/>
          <w:color w:val="000000" w:themeColor="text1"/>
          <w:kern w:val="24"/>
        </w:rPr>
        <w:t xml:space="preserve">3 doses of the vaccine within 1 year and serology within 60 days of final vaccine dose </w:t>
      </w:r>
    </w:p>
    <w:p w:rsidR="00131164" w:rsidRDefault="00131164" w:rsidP="00131164">
      <w:pPr>
        <w:pStyle w:val="NormalWeb"/>
        <w:kinsoku w:val="0"/>
        <w:overflowPunct w:val="0"/>
        <w:spacing w:before="137" w:beforeAutospacing="0" w:after="0" w:afterAutospacing="0"/>
        <w:textAlignment w:val="baseline"/>
      </w:pPr>
      <w:r>
        <w:rPr>
          <w:rFonts w:asciiTheme="minorHAnsi" w:eastAsia="MS PGothic" w:hAnsi="Calibri" w:cs="Arial"/>
          <w:color w:val="000000" w:themeColor="text1"/>
          <w:kern w:val="24"/>
        </w:rPr>
        <w:t>**</w:t>
      </w:r>
      <w:proofErr w:type="spellStart"/>
      <w:r>
        <w:rPr>
          <w:rFonts w:asciiTheme="minorHAnsi" w:eastAsia="MS PGothic" w:hAnsi="Calibri" w:cs="Arial"/>
          <w:color w:val="000000" w:themeColor="text1"/>
          <w:kern w:val="24"/>
        </w:rPr>
        <w:t>mITT</w:t>
      </w:r>
      <w:proofErr w:type="spellEnd"/>
      <w:r>
        <w:rPr>
          <w:rFonts w:asciiTheme="minorHAnsi" w:eastAsia="MS PGothic" w:hAnsi="Calibri" w:cs="Arial"/>
          <w:color w:val="000000" w:themeColor="text1"/>
          <w:kern w:val="24"/>
        </w:rPr>
        <w:t xml:space="preserve">= originally </w:t>
      </w:r>
      <w:proofErr w:type="spellStart"/>
      <w:r>
        <w:rPr>
          <w:rFonts w:asciiTheme="minorHAnsi" w:eastAsia="MS PGothic" w:hAnsi="Calibri" w:cs="Arial"/>
          <w:color w:val="000000" w:themeColor="text1"/>
          <w:kern w:val="24"/>
        </w:rPr>
        <w:t>seronegative</w:t>
      </w:r>
      <w:proofErr w:type="spellEnd"/>
      <w:r>
        <w:rPr>
          <w:rFonts w:asciiTheme="minorHAnsi" w:eastAsia="MS PGothic" w:hAnsi="Calibri" w:cs="Arial"/>
          <w:color w:val="000000" w:themeColor="text1"/>
          <w:kern w:val="24"/>
        </w:rPr>
        <w:t xml:space="preserve"> for type and 1+ vaccine dose with f/u serology</w:t>
      </w:r>
    </w:p>
    <w:p w:rsidR="00131164" w:rsidRDefault="00131164" w:rsidP="001311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164" w:rsidRDefault="00131164" w:rsidP="00131164">
      <w:pPr>
        <w:rPr>
          <w:b/>
          <w:sz w:val="32"/>
        </w:rPr>
      </w:pPr>
    </w:p>
    <w:p w:rsidR="00131164" w:rsidRPr="00131164" w:rsidRDefault="00131164" w:rsidP="00131164">
      <w:pPr>
        <w:rPr>
          <w:b/>
          <w:sz w:val="32"/>
        </w:rPr>
      </w:pPr>
    </w:p>
    <w:p w:rsidR="00A75AD7" w:rsidRDefault="00A75AD7"/>
    <w:p w:rsidR="00131164" w:rsidRDefault="00131164"/>
    <w:p w:rsidR="00131164" w:rsidRDefault="00131164"/>
    <w:p w:rsidR="00131164" w:rsidRDefault="00131164"/>
    <w:p w:rsidR="00131164" w:rsidRDefault="00131164"/>
    <w:p w:rsidR="00AB082F" w:rsidRDefault="00AB082F"/>
    <w:p w:rsidR="00AB082F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lastRenderedPageBreak/>
        <w:t>Adverse Events</w:t>
      </w: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3745"/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292"/>
        <w:gridCol w:w="1411"/>
        <w:gridCol w:w="1559"/>
        <w:gridCol w:w="1439"/>
        <w:gridCol w:w="1558"/>
      </w:tblGrid>
      <w:tr w:rsidR="00131164" w:rsidTr="00131164">
        <w:trPr>
          <w:cantSplit/>
          <w:trHeight w:val="583"/>
          <w:tblHeader/>
        </w:trPr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AE_TYPE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AE_CODE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Ever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     310)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After Dose1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     310)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After Dose2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     291)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i/>
                <w:iCs/>
                <w:color w:val="00000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After Dose3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     277)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&gt;=1 Reported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111(35.8%)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82(26.5%)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56(19.2%)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61(22.0%)</w:t>
            </w:r>
          </w:p>
        </w:tc>
      </w:tr>
      <w:tr w:rsidR="00131164" w:rsidTr="00131164">
        <w:trPr>
          <w:cantSplit/>
          <w:trHeight w:val="58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95(30.6%)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70(22.6%)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50(17.2%)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49(17.7%)</w:t>
            </w:r>
          </w:p>
        </w:tc>
      </w:tr>
      <w:tr w:rsidR="00131164" w:rsidTr="00131164">
        <w:trPr>
          <w:cantSplit/>
          <w:trHeight w:val="58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PAIN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92(29.7%)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67(21.6%)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48(16.5%)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45(16.2%)</w:t>
            </w:r>
          </w:p>
        </w:tc>
      </w:tr>
      <w:tr w:rsidR="00131164" w:rsidTr="00131164">
        <w:trPr>
          <w:cantSplit/>
          <w:trHeight w:val="58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SWELLING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18(5.8%)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9(2.9%)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7(2.4%)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10(3.6%)</w:t>
            </w:r>
          </w:p>
        </w:tc>
      </w:tr>
      <w:tr w:rsidR="00131164" w:rsidTr="00131164">
        <w:trPr>
          <w:cantSplit/>
          <w:trHeight w:val="58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REDNESS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18(5.8%)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12(3.9%)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7(2.4%)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10(3.6%)</w:t>
            </w:r>
          </w:p>
        </w:tc>
      </w:tr>
      <w:tr w:rsidR="00131164" w:rsidTr="00131164">
        <w:trPr>
          <w:cantSplit/>
          <w:trHeight w:val="59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ITCHINESS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7(2.3%)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2(0.6%)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3(1.0%)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3(1.1%)</w:t>
            </w:r>
          </w:p>
        </w:tc>
      </w:tr>
      <w:tr w:rsidR="00131164" w:rsidTr="00131164">
        <w:trPr>
          <w:cantSplit/>
          <w:trHeight w:val="583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INJECTION SITE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ECCHYMOSIS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62(20.0%)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37(11.9%)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17(5.8%)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30(10.8%)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HEADACHE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33(10.6%)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20(6.5%)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7(2.4%)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13(4.7%)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FATIGUE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28(9.0%)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19(6.1%)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8(2.7%)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11(4.0%)</w:t>
            </w:r>
          </w:p>
        </w:tc>
      </w:tr>
      <w:tr w:rsidR="00131164" w:rsidTr="00131164">
        <w:trPr>
          <w:cantSplit/>
          <w:trHeight w:val="33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MUSCULOSKELETAL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22(7.1%)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12(3.9%)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5(1.7%)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7(2.5%)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GASTROINTESTINAL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14(4.5%)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10(3.2%)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2(0.7%)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5(1.8%)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FEVER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12(3.9%)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6(1.9%)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3(1.0%)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6(2.2%)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HIVES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6(1.9%)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3(1.0%)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3(1.1%)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REDNESS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6(1.9%)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2(0.6%)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4(1.4%)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DIZZINESS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2(0.6%)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1(0.4%)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ITCHINESS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2(0.6%)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2(0.6%)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SYSTEMIC*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ENCEPHALOPATHY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PSYCHOLOGICAL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131164" w:rsidTr="00131164">
        <w:trPr>
          <w:cantSplit/>
          <w:trHeight w:val="347"/>
        </w:trPr>
        <w:tc>
          <w:tcPr>
            <w:tcW w:w="139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RESPIRATORY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43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131164" w:rsidTr="00131164">
        <w:trPr>
          <w:cantSplit/>
          <w:trHeight w:val="357"/>
        </w:trPr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SYSTEMIC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SWEATING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1(0.3%)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:rsidR="00131164" w:rsidRDefault="00131164" w:rsidP="00131164">
            <w:pPr>
              <w:adjustRightInd w:val="0"/>
              <w:spacing w:before="67" w:after="67"/>
              <w:rPr>
                <w:rFonts w:ascii="Arial" w:eastAsia="Calibri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1(0.4%)</w:t>
            </w:r>
          </w:p>
        </w:tc>
      </w:tr>
    </w:tbl>
    <w:p w:rsidR="00AB082F" w:rsidRPr="00131164" w:rsidRDefault="00131164" w:rsidP="00131164">
      <w:pPr>
        <w:rPr>
          <w:rFonts w:ascii="AdvGulliv-R" w:hAnsi="AdvGulliv-R" w:cs="AdvGulliv-R"/>
          <w:szCs w:val="24"/>
          <w:lang w:val="en-CA"/>
        </w:rPr>
      </w:pPr>
      <w:r w:rsidRPr="00131164">
        <w:rPr>
          <w:rFonts w:ascii="Times New Roman" w:hAnsi="Times New Roman"/>
          <w:bCs/>
          <w:szCs w:val="24"/>
        </w:rPr>
        <w:t xml:space="preserve">Adverse events in participant ages 15+.  </w:t>
      </w:r>
      <w:r w:rsidRPr="00131164">
        <w:rPr>
          <w:rFonts w:ascii="AdvGulliv-R" w:hAnsi="AdvGulliv-R" w:cs="AdvGulliv-R"/>
          <w:szCs w:val="24"/>
          <w:lang w:val="en-CA"/>
        </w:rPr>
        <w:t>Participants were observed for 30 minutes after each vaccination and were called 48 hours post-vaccination to review any adverse events (AEs). All AEs were documented up to 30 days after each vaccine dose in a study diary. Serious adverse events (SAEs) were collected throughout the study through patient report and supplementary chart review.</w:t>
      </w:r>
    </w:p>
    <w:p w:rsidR="00131164" w:rsidRDefault="00131164" w:rsidP="00131164">
      <w:pPr>
        <w:autoSpaceDE w:val="0"/>
        <w:autoSpaceDN w:val="0"/>
        <w:adjustRightInd w:val="0"/>
        <w:spacing w:after="0" w:line="240" w:lineRule="auto"/>
        <w:rPr>
          <w:rFonts w:ascii="AdvGulliv-R" w:hAnsi="AdvGulliv-R" w:cs="AdvGulliv-R"/>
          <w:sz w:val="24"/>
          <w:szCs w:val="24"/>
          <w:lang w:val="en-CA"/>
        </w:rPr>
      </w:pPr>
    </w:p>
    <w:p w:rsidR="00131164" w:rsidRPr="00131164" w:rsidRDefault="00131164" w:rsidP="00131164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131164">
        <w:rPr>
          <w:rFonts w:ascii="AdvGulliv-R" w:hAnsi="AdvGulliv-R" w:cs="AdvGulliv-R"/>
          <w:szCs w:val="24"/>
          <w:lang w:val="en-CA"/>
        </w:rPr>
        <w:lastRenderedPageBreak/>
        <w:t xml:space="preserve">*only 1 SAE was classified as possibly associated with the </w:t>
      </w:r>
      <w:proofErr w:type="spellStart"/>
      <w:r w:rsidRPr="00131164">
        <w:rPr>
          <w:rFonts w:ascii="AdvGulliv-R" w:hAnsi="AdvGulliv-R" w:cs="AdvGulliv-R"/>
          <w:szCs w:val="24"/>
          <w:lang w:val="en-CA"/>
        </w:rPr>
        <w:t>qHPV</w:t>
      </w:r>
      <w:proofErr w:type="spellEnd"/>
      <w:r w:rsidRPr="00131164">
        <w:rPr>
          <w:rFonts w:ascii="AdvGulliv-R" w:hAnsi="AdvGulliv-R" w:cs="AdvGulliv-R"/>
          <w:szCs w:val="24"/>
          <w:lang w:val="en-CA"/>
        </w:rPr>
        <w:t xml:space="preserve"> vaccine. This participant developed encephalopathy 7 days after the first dose of the </w:t>
      </w:r>
      <w:proofErr w:type="spellStart"/>
      <w:r w:rsidRPr="00131164">
        <w:rPr>
          <w:rFonts w:ascii="AdvGulliv-R" w:hAnsi="AdvGulliv-R" w:cs="AdvGulliv-R"/>
          <w:szCs w:val="24"/>
          <w:lang w:val="en-CA"/>
        </w:rPr>
        <w:t>qHPV</w:t>
      </w:r>
      <w:proofErr w:type="spellEnd"/>
      <w:r w:rsidRPr="00131164">
        <w:rPr>
          <w:rFonts w:ascii="AdvGulliv-R" w:hAnsi="AdvGulliv-R" w:cs="AdvGulliv-R"/>
          <w:szCs w:val="24"/>
          <w:lang w:val="en-CA"/>
        </w:rPr>
        <w:t xml:space="preserve"> vaccine.  This SAE resolved without clinical </w:t>
      </w:r>
      <w:proofErr w:type="spellStart"/>
      <w:r w:rsidRPr="00131164">
        <w:rPr>
          <w:rFonts w:ascii="AdvGulliv-R" w:hAnsi="AdvGulliv-R" w:cs="AdvGulliv-R"/>
          <w:szCs w:val="24"/>
          <w:lang w:val="en-CA"/>
        </w:rPr>
        <w:t>sequelae</w:t>
      </w:r>
      <w:proofErr w:type="spellEnd"/>
      <w:r w:rsidRPr="00131164">
        <w:rPr>
          <w:rFonts w:ascii="AdvGulliv-R" w:hAnsi="AdvGulliv-R" w:cs="AdvGulliv-R"/>
          <w:szCs w:val="24"/>
          <w:lang w:val="en-CA"/>
        </w:rPr>
        <w:t>.</w:t>
      </w:r>
    </w:p>
    <w:p w:rsidR="00131164" w:rsidRPr="00131164" w:rsidRDefault="00131164" w:rsidP="00131164">
      <w:pPr>
        <w:rPr>
          <w:b/>
          <w:sz w:val="20"/>
        </w:rPr>
      </w:pPr>
    </w:p>
    <w:sectPr w:rsidR="00131164" w:rsidRPr="0013116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8" w:rsidRDefault="00B313B8" w:rsidP="00B313B8">
      <w:pPr>
        <w:spacing w:after="0" w:line="240" w:lineRule="auto"/>
      </w:pPr>
      <w:r>
        <w:separator/>
      </w:r>
    </w:p>
  </w:endnote>
  <w:endnote w:type="continuationSeparator" w:id="0">
    <w:p w:rsidR="00B313B8" w:rsidRDefault="00B313B8" w:rsidP="00B3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dvGulliv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73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3B8" w:rsidRDefault="00B31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1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13B8" w:rsidRDefault="00B3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8" w:rsidRDefault="00B313B8" w:rsidP="00B313B8">
      <w:pPr>
        <w:spacing w:after="0" w:line="240" w:lineRule="auto"/>
      </w:pPr>
      <w:r>
        <w:separator/>
      </w:r>
    </w:p>
  </w:footnote>
  <w:footnote w:type="continuationSeparator" w:id="0">
    <w:p w:rsidR="00B313B8" w:rsidRDefault="00B313B8" w:rsidP="00B31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2F"/>
    <w:rsid w:val="00131164"/>
    <w:rsid w:val="00A75AD7"/>
    <w:rsid w:val="00AB082F"/>
    <w:rsid w:val="00B313B8"/>
    <w:rsid w:val="00BA1F02"/>
    <w:rsid w:val="00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82F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B8"/>
  </w:style>
  <w:style w:type="paragraph" w:styleId="Footer">
    <w:name w:val="footer"/>
    <w:basedOn w:val="Normal"/>
    <w:link w:val="Foot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B8"/>
  </w:style>
  <w:style w:type="paragraph" w:styleId="NormalWeb">
    <w:name w:val="Normal (Web)"/>
    <w:basedOn w:val="Normal"/>
    <w:uiPriority w:val="99"/>
    <w:semiHidden/>
    <w:unhideWhenUsed/>
    <w:rsid w:val="00A75A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82F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B8"/>
  </w:style>
  <w:style w:type="paragraph" w:styleId="Footer">
    <w:name w:val="footer"/>
    <w:basedOn w:val="Normal"/>
    <w:link w:val="Foot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B8"/>
  </w:style>
  <w:style w:type="paragraph" w:styleId="NormalWeb">
    <w:name w:val="Normal (Web)"/>
    <w:basedOn w:val="Normal"/>
    <w:uiPriority w:val="99"/>
    <w:semiHidden/>
    <w:unhideWhenUsed/>
    <w:rsid w:val="00A75A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44EB-C49F-441C-A1C4-E15B0B26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Lippman, Hannah, BioMed Central Ltd.</dc:creator>
  <cp:lastModifiedBy>Lippman, Hannah, BioMed Central Ltd.</cp:lastModifiedBy>
  <cp:revision>3</cp:revision>
  <dcterms:created xsi:type="dcterms:W3CDTF">2016-11-28T12:20:00Z</dcterms:created>
  <dcterms:modified xsi:type="dcterms:W3CDTF">2016-12-02T09:12:00Z</dcterms:modified>
</cp:coreProperties>
</file>