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2932"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tbl>
      <w:tblPr>
        <w:tblW w:w="10188" w:type="dxa"/>
        <w:tblLayout w:type="fixed"/>
        <w:tblCellMar>
          <w:left w:w="158" w:type="dxa"/>
        </w:tblCellMar>
        <w:tblLook w:val="04A0" w:firstRow="1" w:lastRow="0" w:firstColumn="1" w:lastColumn="0" w:noHBand="0" w:noVBand="1"/>
      </w:tblPr>
      <w:tblGrid>
        <w:gridCol w:w="5500"/>
        <w:gridCol w:w="4688"/>
      </w:tblGrid>
      <w:tr w:rsidR="000B2E61" w14:paraId="5A967883" w14:textId="77777777" w:rsidTr="00296F58">
        <w:trPr>
          <w:trHeight w:val="2445"/>
        </w:trPr>
        <w:tc>
          <w:tcPr>
            <w:tcW w:w="10188" w:type="dxa"/>
            <w:gridSpan w:val="2"/>
            <w:tcBorders>
              <w:bottom w:val="single" w:sz="4" w:space="0" w:color="000000"/>
            </w:tcBorders>
            <w:shd w:val="clear" w:color="auto" w:fill="auto"/>
          </w:tcPr>
          <w:p w14:paraId="7B490786" w14:textId="1214C4A5" w:rsidR="000B2E61" w:rsidRDefault="00EA47AB">
            <w:pPr>
              <w:widowControl w:val="0"/>
              <w:spacing w:after="0"/>
              <w:rPr>
                <w:rFonts w:ascii="Calibri" w:hAnsi="Calibri"/>
                <w:b/>
                <w:szCs w:val="22"/>
              </w:rPr>
            </w:pPr>
            <w:r>
              <w:rPr>
                <w:rFonts w:asciiTheme="minorHAnsi" w:hAnsiTheme="minorHAnsi"/>
                <w:noProof/>
                <w:sz w:val="18"/>
                <w:szCs w:val="18"/>
                <w:lang w:eastAsia="en-GB"/>
              </w:rPr>
              <w:drawing>
                <wp:anchor distT="0" distB="0" distL="114300" distR="114300" simplePos="0" relativeHeight="251661312" behindDoc="1" locked="0" layoutInCell="1" allowOverlap="1" wp14:anchorId="19A06110" wp14:editId="7939F6B2">
                  <wp:simplePos x="0" y="0"/>
                  <wp:positionH relativeFrom="column">
                    <wp:posOffset>1102360</wp:posOffset>
                  </wp:positionH>
                  <wp:positionV relativeFrom="paragraph">
                    <wp:posOffset>61595</wp:posOffset>
                  </wp:positionV>
                  <wp:extent cx="5182235" cy="652780"/>
                  <wp:effectExtent l="0" t="0" r="0" b="0"/>
                  <wp:wrapTight wrapText="bothSides">
                    <wp:wrapPolygon edited="0">
                      <wp:start x="6590" y="0"/>
                      <wp:lineTo x="0" y="6304"/>
                      <wp:lineTo x="0" y="20171"/>
                      <wp:lineTo x="6114" y="20802"/>
                      <wp:lineTo x="6908" y="20802"/>
                      <wp:lineTo x="21518" y="20171"/>
                      <wp:lineTo x="21518" y="6304"/>
                      <wp:lineTo x="7543" y="0"/>
                      <wp:lineTo x="659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2235" cy="6527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C7CEA5B" wp14:editId="1A5AE0F4">
                  <wp:simplePos x="0" y="0"/>
                  <wp:positionH relativeFrom="column">
                    <wp:posOffset>0</wp:posOffset>
                  </wp:positionH>
                  <wp:positionV relativeFrom="paragraph">
                    <wp:posOffset>74617</wp:posOffset>
                  </wp:positionV>
                  <wp:extent cx="1036320" cy="1337310"/>
                  <wp:effectExtent l="0" t="0" r="0" b="0"/>
                  <wp:wrapTight wrapText="bothSides">
                    <wp:wrapPolygon edited="0">
                      <wp:start x="0" y="0"/>
                      <wp:lineTo x="0" y="21231"/>
                      <wp:lineTo x="19059" y="21231"/>
                      <wp:lineTo x="19456" y="21231"/>
                      <wp:lineTo x="18662" y="14769"/>
                      <wp:lineTo x="21044" y="12615"/>
                      <wp:lineTo x="21044" y="11077"/>
                      <wp:lineTo x="18265" y="9846"/>
                      <wp:lineTo x="16676" y="3692"/>
                      <wp:lineTo x="12706" y="2154"/>
                      <wp:lineTo x="2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808CC" w14:textId="7B6B52B6" w:rsidR="000B2E61" w:rsidRDefault="000B2E61" w:rsidP="000B2E61">
            <w:pPr>
              <w:widowControl w:val="0"/>
              <w:spacing w:after="0"/>
              <w:jc w:val="left"/>
            </w:pPr>
          </w:p>
        </w:tc>
      </w:tr>
      <w:tr w:rsidR="007C525D" w14:paraId="6B749A4B" w14:textId="77777777" w:rsidTr="000B2E61">
        <w:trPr>
          <w:trHeight w:val="737"/>
        </w:trPr>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99A23D6" w14:textId="77777777" w:rsidR="007C525D" w:rsidRDefault="007C757A">
            <w:pPr>
              <w:widowControl w:val="0"/>
              <w:spacing w:after="0"/>
            </w:pPr>
            <w:r>
              <w:rPr>
                <w:rFonts w:ascii="Calibri" w:hAnsi="Calibri"/>
                <w:b/>
                <w:szCs w:val="22"/>
              </w:rPr>
              <w:t>FULL/LONG TITLE OF THE STUDY</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95DB850" w14:textId="77777777" w:rsidR="007C525D" w:rsidRDefault="007C757A">
            <w:pPr>
              <w:pStyle w:val="Heading1"/>
              <w:widowControl w:val="0"/>
              <w:tabs>
                <w:tab w:val="left" w:pos="1815"/>
              </w:tabs>
              <w:spacing w:before="0"/>
              <w:jc w:val="left"/>
            </w:pPr>
            <w:bookmarkStart w:id="0" w:name="studytitle"/>
            <w:bookmarkStart w:id="1" w:name="_Toc470102453"/>
            <w:r>
              <w:rPr>
                <w:rFonts w:ascii="Calibri" w:hAnsi="Calibri"/>
                <w:color w:val="auto"/>
                <w:sz w:val="22"/>
                <w:szCs w:val="22"/>
              </w:rPr>
              <w:t>Early Protection against meningococcal disease B in infants</w:t>
            </w:r>
            <w:bookmarkEnd w:id="0"/>
            <w:bookmarkEnd w:id="1"/>
          </w:p>
        </w:tc>
      </w:tr>
      <w:tr w:rsidR="007C525D" w14:paraId="14D7F994" w14:textId="77777777" w:rsidTr="000B2E61">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73502927"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SHORT STUDY TITLE / ACRONYM</w:t>
            </w:r>
          </w:p>
          <w:p w14:paraId="6547AB63"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986D64D"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lang w:eastAsia="en-GB"/>
              </w:rPr>
              <w:t xml:space="preserve">LION </w:t>
            </w:r>
            <w:proofErr w:type="spellStart"/>
            <w:r>
              <w:rPr>
                <w:rFonts w:ascii="Calibri" w:hAnsi="Calibri"/>
                <w:b/>
                <w:szCs w:val="22"/>
                <w:lang w:eastAsia="en-GB"/>
              </w:rPr>
              <w:t>MenB</w:t>
            </w:r>
            <w:proofErr w:type="spellEnd"/>
            <w:r>
              <w:rPr>
                <w:rFonts w:ascii="Calibri" w:hAnsi="Calibri"/>
                <w:b/>
                <w:szCs w:val="22"/>
                <w:lang w:eastAsia="en-GB"/>
              </w:rPr>
              <w:t xml:space="preserve"> (</w:t>
            </w:r>
            <w:proofErr w:type="spellStart"/>
            <w:r>
              <w:rPr>
                <w:rFonts w:ascii="Calibri" w:hAnsi="Calibri"/>
                <w:b/>
                <w:szCs w:val="22"/>
                <w:lang w:eastAsia="en-GB"/>
              </w:rPr>
              <w:t>earLy</w:t>
            </w:r>
            <w:proofErr w:type="spellEnd"/>
            <w:r>
              <w:rPr>
                <w:rFonts w:ascii="Calibri" w:hAnsi="Calibri"/>
                <w:b/>
                <w:szCs w:val="22"/>
                <w:lang w:eastAsia="en-GB"/>
              </w:rPr>
              <w:t xml:space="preserve"> </w:t>
            </w:r>
            <w:proofErr w:type="spellStart"/>
            <w:r>
              <w:rPr>
                <w:rFonts w:ascii="Calibri" w:hAnsi="Calibri"/>
                <w:b/>
                <w:szCs w:val="22"/>
                <w:lang w:eastAsia="en-GB"/>
              </w:rPr>
              <w:t>protectIOn</w:t>
            </w:r>
            <w:proofErr w:type="spellEnd"/>
            <w:r>
              <w:rPr>
                <w:rFonts w:ascii="Calibri" w:hAnsi="Calibri"/>
                <w:b/>
                <w:szCs w:val="22"/>
                <w:lang w:eastAsia="en-GB"/>
              </w:rPr>
              <w:t xml:space="preserve"> </w:t>
            </w:r>
            <w:proofErr w:type="spellStart"/>
            <w:r>
              <w:rPr>
                <w:rFonts w:ascii="Calibri" w:hAnsi="Calibri"/>
                <w:b/>
                <w:szCs w:val="22"/>
                <w:lang w:eastAsia="en-GB"/>
              </w:rPr>
              <w:t>agaiNst</w:t>
            </w:r>
            <w:proofErr w:type="spellEnd"/>
            <w:r>
              <w:rPr>
                <w:rFonts w:ascii="Calibri" w:hAnsi="Calibri"/>
                <w:b/>
                <w:szCs w:val="22"/>
                <w:lang w:eastAsia="en-GB"/>
              </w:rPr>
              <w:t xml:space="preserve"> Meningococcal B disease in infants) </w:t>
            </w:r>
          </w:p>
        </w:tc>
      </w:tr>
      <w:tr w:rsidR="007C525D" w14:paraId="4F25A9CF" w14:textId="77777777" w:rsidTr="000B2E61">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C8E5FAF"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PROTOCOL VERSION NUMBER AND DATE</w:t>
            </w:r>
          </w:p>
          <w:p w14:paraId="3CF989E7" w14:textId="77777777" w:rsidR="007C525D" w:rsidRDefault="007C525D">
            <w:pPr>
              <w:pStyle w:val="ListParagraph"/>
              <w:widowControl w:val="0"/>
              <w:spacing w:line="240" w:lineRule="auto"/>
              <w:ind w:left="895"/>
              <w:rPr>
                <w:rFonts w:ascii="Calibri" w:hAnsi="Calibri"/>
                <w:b/>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4C2C27C7" w14:textId="60AFCCD7" w:rsidR="007C525D" w:rsidRDefault="009A4D69">
            <w:pPr>
              <w:widowControl w:val="0"/>
            </w:pPr>
            <w:r>
              <w:rPr>
                <w:rFonts w:ascii="Calibri" w:hAnsi="Calibri"/>
                <w:b/>
                <w:szCs w:val="22"/>
              </w:rPr>
              <w:t>2</w:t>
            </w:r>
            <w:r w:rsidR="007C757A">
              <w:rPr>
                <w:rFonts w:ascii="Calibri" w:hAnsi="Calibri"/>
                <w:b/>
                <w:szCs w:val="22"/>
              </w:rPr>
              <w:t xml:space="preserve">.0 </w:t>
            </w:r>
            <w:r>
              <w:rPr>
                <w:rFonts w:ascii="Calibri" w:hAnsi="Calibri"/>
                <w:b/>
                <w:szCs w:val="22"/>
              </w:rPr>
              <w:t>02</w:t>
            </w:r>
            <w:r w:rsidR="007C757A">
              <w:rPr>
                <w:rFonts w:ascii="Calibri" w:hAnsi="Calibri"/>
                <w:b/>
                <w:szCs w:val="22"/>
              </w:rPr>
              <w:t>/0</w:t>
            </w:r>
            <w:r>
              <w:rPr>
                <w:rFonts w:ascii="Calibri" w:hAnsi="Calibri"/>
                <w:b/>
                <w:szCs w:val="22"/>
              </w:rPr>
              <w:t>6</w:t>
            </w:r>
            <w:r w:rsidR="007C757A">
              <w:rPr>
                <w:rFonts w:ascii="Calibri" w:hAnsi="Calibri"/>
                <w:b/>
                <w:szCs w:val="22"/>
              </w:rPr>
              <w:t>/2021</w:t>
            </w:r>
          </w:p>
          <w:p w14:paraId="54FED45C" w14:textId="77777777" w:rsidR="007C525D" w:rsidRDefault="007C525D">
            <w:pPr>
              <w:widowControl w:val="0"/>
              <w:ind w:firstLine="720"/>
              <w:rPr>
                <w:rFonts w:ascii="Calibri" w:hAnsi="Calibri"/>
                <w:szCs w:val="22"/>
              </w:rPr>
            </w:pPr>
          </w:p>
        </w:tc>
      </w:tr>
      <w:tr w:rsidR="007C525D" w14:paraId="3CF17EE1" w14:textId="77777777" w:rsidTr="000B2E61">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72F0429D"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Study Type / Phase:</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63867C4"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szCs w:val="22"/>
                <w:lang w:eastAsia="en-GB"/>
              </w:rPr>
              <w:t>Phase IV randomisation study of different Men B vaccine primary immunisation schedules in UK infants</w:t>
            </w:r>
          </w:p>
        </w:tc>
      </w:tr>
      <w:tr w:rsidR="007C525D" w14:paraId="2443A33F" w14:textId="77777777" w:rsidTr="000B2E61">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79D4BD1"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IRAS Number:</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08724EBF"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265199</w:t>
            </w:r>
          </w:p>
        </w:tc>
      </w:tr>
      <w:tr w:rsidR="007C525D" w14:paraId="4582FD73" w14:textId="77777777" w:rsidTr="000B2E61">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1DA61A8"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Clinical Studies registry number (ISRCTN Number / Clinical trials.gov Number</w:t>
            </w:r>
            <w:proofErr w:type="gramStart"/>
            <w:r>
              <w:rPr>
                <w:rFonts w:ascii="Calibri" w:hAnsi="Calibri"/>
                <w:b/>
                <w:szCs w:val="22"/>
              </w:rPr>
              <w:t>) :</w:t>
            </w:r>
            <w:proofErr w:type="gramEnd"/>
          </w:p>
          <w:p w14:paraId="41E14598" w14:textId="77777777" w:rsidR="007C525D" w:rsidRDefault="007C525D">
            <w:pPr>
              <w:pStyle w:val="ListParagraph"/>
              <w:widowControl w:val="0"/>
              <w:rPr>
                <w:rFonts w:ascii="Calibri" w:hAnsi="Calibri"/>
                <w:color w:val="0000FF"/>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A37B0B5"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proofErr w:type="spellStart"/>
            <w:r>
              <w:rPr>
                <w:rFonts w:ascii="Calibri" w:hAnsi="Calibri"/>
                <w:b/>
                <w:szCs w:val="22"/>
                <w:shd w:val="clear" w:color="auto" w:fill="FFFF00"/>
              </w:rPr>
              <w:t>xxxx</w:t>
            </w:r>
            <w:proofErr w:type="spellEnd"/>
          </w:p>
        </w:tc>
      </w:tr>
      <w:tr w:rsidR="007C525D" w14:paraId="0A81914E" w14:textId="77777777" w:rsidTr="000B2E61">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D41FB9E"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JRES (sponsor) Reference Number</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75ECA3E"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szCs w:val="22"/>
              </w:rPr>
              <w:t>2020.0027</w:t>
            </w:r>
          </w:p>
        </w:tc>
      </w:tr>
      <w:tr w:rsidR="007C525D" w14:paraId="2A47F8CD" w14:textId="77777777" w:rsidTr="000B2E61">
        <w:trPr>
          <w:trHeight w:val="443"/>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00B050"/>
          </w:tcPr>
          <w:p w14:paraId="27B01CA7"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color w:val="FFFFFF"/>
                <w:szCs w:val="22"/>
              </w:rPr>
              <w:t>This protocol has regard for the HRA guidance and order of content</w:t>
            </w:r>
          </w:p>
        </w:tc>
      </w:tr>
    </w:tbl>
    <w:p w14:paraId="2620AAEA" w14:textId="77777777" w:rsidR="007C525D" w:rsidRDefault="007C757A">
      <w:pPr>
        <w:spacing w:after="0"/>
      </w:pPr>
      <w:r>
        <w:br w:type="page"/>
      </w:r>
    </w:p>
    <w:p w14:paraId="4E498FB3" w14:textId="77777777" w:rsidR="007C525D" w:rsidRDefault="007C757A">
      <w:pPr>
        <w:tabs>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Calibri" w:hAnsi="Calibri"/>
          <w:b/>
          <w:bCs/>
          <w:color w:val="000000"/>
          <w:szCs w:val="22"/>
        </w:rPr>
        <w:lastRenderedPageBreak/>
        <w:t>SIGNATURE PAGE</w:t>
      </w:r>
    </w:p>
    <w:p w14:paraId="771AA4CF" w14:textId="77777777" w:rsidR="007C525D" w:rsidRDefault="007C757A">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(and any other relevant) SOPs, and other regulatory requirements as amended.</w:t>
      </w:r>
    </w:p>
    <w:p w14:paraId="543190C9" w14:textId="77777777" w:rsidR="007C525D" w:rsidRDefault="007C757A">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I agree to ensure that the confidential information contained in this document will not be used for any other purpose other than the evaluation or conduct of the clinical investigation without the prior written consent of the Sponsor</w:t>
      </w:r>
    </w:p>
    <w:p w14:paraId="0C8C44F7" w14:textId="77777777" w:rsidR="007C525D" w:rsidRDefault="007C757A">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I also confirm that I will make the findings of the trial publicly available through publication or other dissemination tools without any unnecessary delay and that an honest accurate and transparent account of the trial will be given; and that any discrepancies and serious breaches of GCP from the trial as planned in this protocol will be explained.</w:t>
      </w:r>
    </w:p>
    <w:p w14:paraId="7C3E7851"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bl>
      <w:tblPr>
        <w:tblW w:w="9468" w:type="dxa"/>
        <w:tblLayout w:type="fixed"/>
        <w:tblLook w:val="04A0" w:firstRow="1" w:lastRow="0" w:firstColumn="1" w:lastColumn="0" w:noHBand="0" w:noVBand="1"/>
      </w:tblPr>
      <w:tblGrid>
        <w:gridCol w:w="6483"/>
        <w:gridCol w:w="1134"/>
        <w:gridCol w:w="1851"/>
      </w:tblGrid>
      <w:tr w:rsidR="007C525D" w14:paraId="5FAA3D6D" w14:textId="77777777">
        <w:tc>
          <w:tcPr>
            <w:tcW w:w="9468" w:type="dxa"/>
            <w:gridSpan w:val="3"/>
            <w:shd w:val="clear" w:color="auto" w:fill="auto"/>
          </w:tcPr>
          <w:p w14:paraId="039AAB4C"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r>
              <w:rPr>
                <w:rFonts w:ascii="Calibri" w:hAnsi="Calibri"/>
                <w:b/>
                <w:szCs w:val="22"/>
              </w:rPr>
              <w:t>For and on behalf of the Trial Sponsor:</w:t>
            </w:r>
          </w:p>
        </w:tc>
      </w:tr>
      <w:tr w:rsidR="007C525D" w14:paraId="7DC1CC33" w14:textId="77777777">
        <w:tc>
          <w:tcPr>
            <w:tcW w:w="6483" w:type="dxa"/>
            <w:shd w:val="clear" w:color="auto" w:fill="auto"/>
          </w:tcPr>
          <w:p w14:paraId="21036EFE"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 xml:space="preserve">Signature: </w:t>
            </w:r>
          </w:p>
          <w:p w14:paraId="1BC5CB6F"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w:t>
            </w:r>
          </w:p>
        </w:tc>
        <w:tc>
          <w:tcPr>
            <w:tcW w:w="1134" w:type="dxa"/>
            <w:shd w:val="clear" w:color="auto" w:fill="auto"/>
          </w:tcPr>
          <w:p w14:paraId="0E1A2DE8"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c>
          <w:tcPr>
            <w:tcW w:w="1851" w:type="dxa"/>
            <w:shd w:val="clear" w:color="auto" w:fill="auto"/>
          </w:tcPr>
          <w:p w14:paraId="1D5FC2D3"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Date: ....../....../......</w:t>
            </w:r>
          </w:p>
        </w:tc>
      </w:tr>
      <w:tr w:rsidR="007C525D" w14:paraId="06CEBEAB" w14:textId="77777777">
        <w:tc>
          <w:tcPr>
            <w:tcW w:w="6483" w:type="dxa"/>
            <w:shd w:val="clear" w:color="auto" w:fill="auto"/>
          </w:tcPr>
          <w:p w14:paraId="0EC3BF89"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Name (please print):</w:t>
            </w:r>
          </w:p>
          <w:p w14:paraId="069799C1"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w:t>
            </w:r>
          </w:p>
        </w:tc>
        <w:tc>
          <w:tcPr>
            <w:tcW w:w="1134" w:type="dxa"/>
            <w:shd w:val="clear" w:color="auto" w:fill="auto"/>
          </w:tcPr>
          <w:p w14:paraId="00F23053"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c>
          <w:tcPr>
            <w:tcW w:w="1851" w:type="dxa"/>
            <w:shd w:val="clear" w:color="auto" w:fill="auto"/>
          </w:tcPr>
          <w:p w14:paraId="66347DE6"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r>
      <w:tr w:rsidR="007C525D" w14:paraId="662C4DB4" w14:textId="77777777">
        <w:tc>
          <w:tcPr>
            <w:tcW w:w="6483" w:type="dxa"/>
            <w:shd w:val="clear" w:color="auto" w:fill="auto"/>
          </w:tcPr>
          <w:p w14:paraId="44756A75"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Position: ......................................................................................................</w:t>
            </w:r>
          </w:p>
        </w:tc>
        <w:tc>
          <w:tcPr>
            <w:tcW w:w="1134" w:type="dxa"/>
            <w:shd w:val="clear" w:color="auto" w:fill="auto"/>
          </w:tcPr>
          <w:p w14:paraId="6781D727"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c>
          <w:tcPr>
            <w:tcW w:w="1851" w:type="dxa"/>
            <w:shd w:val="clear" w:color="auto" w:fill="auto"/>
          </w:tcPr>
          <w:p w14:paraId="7B27EC66"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p w14:paraId="45A50136"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r>
      <w:tr w:rsidR="007C525D" w14:paraId="481564D5" w14:textId="77777777">
        <w:tc>
          <w:tcPr>
            <w:tcW w:w="9468" w:type="dxa"/>
            <w:gridSpan w:val="3"/>
            <w:shd w:val="clear" w:color="auto" w:fill="auto"/>
          </w:tcPr>
          <w:p w14:paraId="4CADF178" w14:textId="77777777"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r>
              <w:rPr>
                <w:rFonts w:ascii="Calibri" w:hAnsi="Calibri"/>
                <w:b/>
                <w:szCs w:val="22"/>
              </w:rPr>
              <w:t>Chief Investigator:</w:t>
            </w:r>
          </w:p>
        </w:tc>
      </w:tr>
      <w:tr w:rsidR="007C525D" w14:paraId="55E21FFF" w14:textId="77777777">
        <w:tc>
          <w:tcPr>
            <w:tcW w:w="6483" w:type="dxa"/>
            <w:shd w:val="clear" w:color="auto" w:fill="auto"/>
          </w:tcPr>
          <w:p w14:paraId="77CA09DB" w14:textId="03F7E6D1" w:rsidR="007C525D" w:rsidRDefault="00167584">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sidRPr="00167584">
              <w:rPr>
                <w:rFonts w:ascii="Calibri" w:hAnsi="Calibri"/>
                <w:noProof/>
                <w:szCs w:val="22"/>
              </w:rPr>
              <w:drawing>
                <wp:anchor distT="0" distB="0" distL="114300" distR="114300" simplePos="0" relativeHeight="251664384" behindDoc="0" locked="0" layoutInCell="1" allowOverlap="1" wp14:anchorId="02665089" wp14:editId="143E437C">
                  <wp:simplePos x="0" y="0"/>
                  <wp:positionH relativeFrom="column">
                    <wp:posOffset>719455</wp:posOffset>
                  </wp:positionH>
                  <wp:positionV relativeFrom="paragraph">
                    <wp:posOffset>22</wp:posOffset>
                  </wp:positionV>
                  <wp:extent cx="1276350" cy="704193"/>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810" r="39604"/>
                          <a:stretch/>
                        </pic:blipFill>
                        <pic:spPr bwMode="auto">
                          <a:xfrm>
                            <a:off x="0" y="0"/>
                            <a:ext cx="1279996" cy="70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57A">
              <w:rPr>
                <w:rFonts w:ascii="Calibri" w:hAnsi="Calibri"/>
                <w:szCs w:val="22"/>
              </w:rPr>
              <w:t xml:space="preserve">Signature: </w:t>
            </w:r>
          </w:p>
        </w:tc>
        <w:tc>
          <w:tcPr>
            <w:tcW w:w="1134" w:type="dxa"/>
            <w:shd w:val="clear" w:color="auto" w:fill="auto"/>
          </w:tcPr>
          <w:p w14:paraId="1CE90588"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c>
          <w:tcPr>
            <w:tcW w:w="1851" w:type="dxa"/>
            <w:shd w:val="clear" w:color="auto" w:fill="auto"/>
          </w:tcPr>
          <w:p w14:paraId="3285E655" w14:textId="3BBC4F7B" w:rsidR="007C525D" w:rsidRDefault="007C757A">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 xml:space="preserve">Date: </w:t>
            </w:r>
            <w:r w:rsidR="00167584">
              <w:rPr>
                <w:rFonts w:ascii="Calibri" w:hAnsi="Calibri"/>
                <w:szCs w:val="22"/>
              </w:rPr>
              <w:t>12-JUL-2021</w:t>
            </w:r>
          </w:p>
        </w:tc>
      </w:tr>
      <w:tr w:rsidR="007C525D" w14:paraId="4E949C3E" w14:textId="77777777">
        <w:tc>
          <w:tcPr>
            <w:tcW w:w="6483" w:type="dxa"/>
            <w:shd w:val="clear" w:color="auto" w:fill="auto"/>
          </w:tcPr>
          <w:p w14:paraId="5EF260A9" w14:textId="77777777" w:rsidR="007C525D" w:rsidRDefault="007C757A">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Name: (please print):</w:t>
            </w:r>
          </w:p>
          <w:p w14:paraId="13732A3C" w14:textId="3079A67C" w:rsidR="007C525D" w:rsidRDefault="00167584">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rPr>
                <w:rFonts w:ascii="Calibri" w:hAnsi="Calibri"/>
                <w:szCs w:val="22"/>
              </w:rPr>
              <w:t>Professor Paul Heath</w:t>
            </w:r>
            <w:r w:rsidR="007C757A">
              <w:rPr>
                <w:rFonts w:ascii="Calibri" w:hAnsi="Calibri"/>
                <w:szCs w:val="22"/>
              </w:rPr>
              <w:tab/>
            </w:r>
          </w:p>
        </w:tc>
        <w:tc>
          <w:tcPr>
            <w:tcW w:w="1134" w:type="dxa"/>
            <w:shd w:val="clear" w:color="auto" w:fill="auto"/>
          </w:tcPr>
          <w:p w14:paraId="4427F66B"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c>
          <w:tcPr>
            <w:tcW w:w="1851" w:type="dxa"/>
            <w:shd w:val="clear" w:color="auto" w:fill="auto"/>
          </w:tcPr>
          <w:p w14:paraId="4C2550AB" w14:textId="77777777" w:rsidR="007C525D" w:rsidRDefault="007C525D">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tc>
      </w:tr>
    </w:tbl>
    <w:p w14:paraId="363AD47C"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09F66A59"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bookmarkStart w:id="2" w:name="_GoBack"/>
      <w:bookmarkEnd w:id="2"/>
    </w:p>
    <w:p w14:paraId="4D5A8EE1"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26283092"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6EDC1AEA"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0D0186F6"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0EA339E7"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26F0FEAE"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06670FB0"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3AD18870"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136BFEB1"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31168326"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tbl>
      <w:tblPr>
        <w:tblW w:w="9962" w:type="dxa"/>
        <w:tblLayout w:type="fixed"/>
        <w:tblLook w:val="04A0" w:firstRow="1" w:lastRow="0" w:firstColumn="1" w:lastColumn="0" w:noHBand="0" w:noVBand="1"/>
      </w:tblPr>
      <w:tblGrid>
        <w:gridCol w:w="2918"/>
        <w:gridCol w:w="7044"/>
      </w:tblGrid>
      <w:tr w:rsidR="007C525D" w14:paraId="17AE6834" w14:textId="77777777">
        <w:tc>
          <w:tcPr>
            <w:tcW w:w="9961" w:type="dxa"/>
            <w:gridSpan w:val="2"/>
            <w:tcBorders>
              <w:top w:val="single" w:sz="4" w:space="0" w:color="000000"/>
              <w:left w:val="single" w:sz="4" w:space="0" w:color="000000"/>
              <w:bottom w:val="single" w:sz="4" w:space="0" w:color="000000"/>
              <w:right w:val="single" w:sz="4" w:space="0" w:color="000000"/>
            </w:tcBorders>
            <w:shd w:val="clear" w:color="auto" w:fill="00B050"/>
          </w:tcPr>
          <w:p w14:paraId="47B22125" w14:textId="77777777" w:rsidR="007C525D" w:rsidRDefault="007C757A">
            <w:pPr>
              <w:pStyle w:val="Heading1"/>
              <w:widowControl w:val="0"/>
              <w:spacing w:before="0" w:after="120"/>
              <w:rPr>
                <w:rFonts w:ascii="Calibri" w:hAnsi="Calibri"/>
                <w:color w:val="FFFFFF"/>
                <w:sz w:val="22"/>
                <w:szCs w:val="22"/>
              </w:rPr>
            </w:pPr>
            <w:r>
              <w:rPr>
                <w:rFonts w:ascii="Calibri" w:hAnsi="Calibri"/>
                <w:color w:val="FFFFFF"/>
                <w:sz w:val="22"/>
                <w:szCs w:val="22"/>
              </w:rPr>
              <w:t>KEY STUDY CONTACTS</w:t>
            </w:r>
          </w:p>
        </w:tc>
      </w:tr>
      <w:tr w:rsidR="007C525D" w14:paraId="49876CEA"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18E04B9D" w14:textId="77777777" w:rsidR="007C525D" w:rsidRDefault="007C757A">
            <w:pPr>
              <w:widowControl w:val="0"/>
            </w:pPr>
            <w:r>
              <w:rPr>
                <w:rFonts w:ascii="Calibri" w:hAnsi="Calibri"/>
                <w:b/>
                <w:szCs w:val="22"/>
              </w:rPr>
              <w:t>Chief Investigator</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6FC18CC4" w14:textId="77777777" w:rsidR="007C525D" w:rsidRDefault="007C757A">
            <w:pPr>
              <w:pStyle w:val="Listofabbreviations"/>
              <w:widowControl w:val="0"/>
              <w:ind w:left="0" w:firstLine="0"/>
              <w:rPr>
                <w:rFonts w:cs="Arial"/>
                <w:lang w:eastAsia="en-GB"/>
              </w:rPr>
            </w:pPr>
            <w:r>
              <w:rPr>
                <w:rFonts w:cs="Arial"/>
                <w:lang w:eastAsia="en-GB"/>
              </w:rPr>
              <w:t>Professor Paul Heath</w:t>
            </w:r>
          </w:p>
          <w:p w14:paraId="6F422706" w14:textId="77777777" w:rsidR="007C525D" w:rsidRDefault="007C757A">
            <w:pPr>
              <w:pStyle w:val="Normal-nospacing"/>
              <w:widowControl w:val="0"/>
              <w:rPr>
                <w:rFonts w:cs="Tahoma"/>
                <w:sz w:val="22"/>
                <w:szCs w:val="22"/>
              </w:rPr>
            </w:pPr>
            <w:r>
              <w:rPr>
                <w:rFonts w:cs="Tahoma"/>
                <w:sz w:val="22"/>
                <w:szCs w:val="22"/>
              </w:rPr>
              <w:t>Professor of Paediatric Infectious Diseases</w:t>
            </w:r>
          </w:p>
          <w:p w14:paraId="57DFF9B4" w14:textId="77777777" w:rsidR="007C525D" w:rsidRDefault="007C757A">
            <w:pPr>
              <w:pStyle w:val="Normal-nospacing"/>
              <w:widowControl w:val="0"/>
              <w:rPr>
                <w:rFonts w:cs="Tahoma"/>
                <w:sz w:val="22"/>
                <w:szCs w:val="22"/>
              </w:rPr>
            </w:pPr>
            <w:r>
              <w:rPr>
                <w:rFonts w:cs="Tahoma"/>
                <w:sz w:val="22"/>
                <w:szCs w:val="22"/>
              </w:rPr>
              <w:t>Paediatric Infectious Diseases Research Group</w:t>
            </w:r>
          </w:p>
          <w:p w14:paraId="467B5737" w14:textId="77777777" w:rsidR="007C525D" w:rsidRDefault="007C757A">
            <w:pPr>
              <w:pStyle w:val="Normal-nospacing"/>
              <w:widowControl w:val="0"/>
              <w:rPr>
                <w:sz w:val="22"/>
                <w:szCs w:val="22"/>
              </w:rPr>
            </w:pPr>
            <w:r>
              <w:rPr>
                <w:sz w:val="22"/>
                <w:szCs w:val="22"/>
              </w:rPr>
              <w:t>St George’s, University of London</w:t>
            </w:r>
          </w:p>
          <w:p w14:paraId="04CDB73F" w14:textId="77777777" w:rsidR="007C525D" w:rsidRDefault="007C757A">
            <w:pPr>
              <w:pStyle w:val="Normal-nospacing"/>
              <w:widowControl w:val="0"/>
            </w:pPr>
            <w:r>
              <w:rPr>
                <w:sz w:val="22"/>
                <w:szCs w:val="22"/>
              </w:rPr>
              <w:t>Cranmer Terrace SW17 0RE</w:t>
            </w:r>
          </w:p>
          <w:p w14:paraId="62FB8C54" w14:textId="77777777" w:rsidR="007C525D" w:rsidRDefault="007C757A">
            <w:pPr>
              <w:pStyle w:val="Normal-nospacing"/>
              <w:widowControl w:val="0"/>
            </w:pPr>
            <w:r>
              <w:rPr>
                <w:rFonts w:cs="Tahoma"/>
                <w:b/>
                <w:sz w:val="22"/>
                <w:szCs w:val="22"/>
              </w:rPr>
              <w:t>Phone:</w:t>
            </w:r>
            <w:r>
              <w:rPr>
                <w:rFonts w:cs="Tahoma"/>
                <w:sz w:val="22"/>
                <w:szCs w:val="22"/>
              </w:rPr>
              <w:t xml:space="preserve"> 02087255980</w:t>
            </w:r>
          </w:p>
          <w:p w14:paraId="6743654E" w14:textId="77777777" w:rsidR="007C525D" w:rsidRDefault="007C757A">
            <w:pPr>
              <w:pStyle w:val="Normal-nospacing"/>
              <w:widowControl w:val="0"/>
            </w:pPr>
            <w:r>
              <w:rPr>
                <w:rFonts w:cs="Tahoma"/>
                <w:b/>
                <w:sz w:val="22"/>
                <w:szCs w:val="22"/>
              </w:rPr>
              <w:t>E-mail:</w:t>
            </w:r>
            <w:r>
              <w:rPr>
                <w:rFonts w:cs="Tahoma"/>
                <w:sz w:val="22"/>
                <w:szCs w:val="22"/>
              </w:rPr>
              <w:t xml:space="preserve"> pheath@sgul.ac.uk</w:t>
            </w:r>
          </w:p>
          <w:p w14:paraId="1F9245AB" w14:textId="77777777" w:rsidR="007C525D" w:rsidRDefault="007C757A">
            <w:pPr>
              <w:pStyle w:val="Listofabbreviations"/>
              <w:widowControl w:val="0"/>
              <w:ind w:left="0" w:firstLine="0"/>
            </w:pPr>
            <w:r>
              <w:rPr>
                <w:rFonts w:cs="Arial"/>
                <w:lang w:eastAsia="en-GB"/>
              </w:rPr>
              <w:tab/>
            </w:r>
          </w:p>
        </w:tc>
      </w:tr>
      <w:tr w:rsidR="007C525D" w14:paraId="3ADC6BC8" w14:textId="77777777">
        <w:trPr>
          <w:trHeight w:val="3176"/>
        </w:trPr>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6B6A24E5" w14:textId="77777777" w:rsidR="007C525D" w:rsidRDefault="007C757A">
            <w:pPr>
              <w:widowControl w:val="0"/>
            </w:pPr>
            <w:r>
              <w:rPr>
                <w:rFonts w:ascii="Calibri" w:hAnsi="Calibri"/>
                <w:szCs w:val="22"/>
              </w:rPr>
              <w:t>Study Co-ordinator</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621667DD" w14:textId="77777777" w:rsidR="007C525D" w:rsidRDefault="007C757A">
            <w:pPr>
              <w:pStyle w:val="Listofabbreviations"/>
              <w:widowControl w:val="0"/>
              <w:ind w:left="2835"/>
              <w:rPr>
                <w:rFonts w:cs="Arial"/>
                <w:lang w:eastAsia="en-GB"/>
              </w:rPr>
            </w:pPr>
            <w:r>
              <w:rPr>
                <w:rFonts w:cs="Arial"/>
                <w:lang w:eastAsia="en-GB"/>
              </w:rPr>
              <w:t>Dr Zsofia Danos</w:t>
            </w:r>
          </w:p>
          <w:p w14:paraId="109B8119" w14:textId="77777777" w:rsidR="007C525D" w:rsidRDefault="007C757A">
            <w:pPr>
              <w:pStyle w:val="Listofabbreviations"/>
              <w:widowControl w:val="0"/>
              <w:ind w:left="2835"/>
              <w:rPr>
                <w:rFonts w:cs="Arial"/>
                <w:lang w:eastAsia="en-GB"/>
              </w:rPr>
            </w:pPr>
            <w:r>
              <w:rPr>
                <w:rFonts w:cs="Arial"/>
                <w:lang w:eastAsia="en-GB"/>
              </w:rPr>
              <w:t>Clinical Research Fellow</w:t>
            </w:r>
          </w:p>
          <w:p w14:paraId="38B46091" w14:textId="77777777" w:rsidR="007C525D" w:rsidRDefault="007C757A">
            <w:pPr>
              <w:pStyle w:val="Listofabbreviations"/>
              <w:widowControl w:val="0"/>
              <w:ind w:left="2835"/>
              <w:rPr>
                <w:rFonts w:cs="Arial"/>
                <w:lang w:eastAsia="en-GB"/>
              </w:rPr>
            </w:pPr>
            <w:r>
              <w:rPr>
                <w:rFonts w:cs="Arial"/>
                <w:lang w:eastAsia="en-GB"/>
              </w:rPr>
              <w:t>Institute for Infection &amp; Immunity</w:t>
            </w:r>
          </w:p>
          <w:p w14:paraId="7AE97543" w14:textId="77777777" w:rsidR="007C525D" w:rsidRDefault="007C757A">
            <w:pPr>
              <w:pStyle w:val="Listofabbreviations"/>
              <w:widowControl w:val="0"/>
              <w:ind w:left="2835"/>
              <w:rPr>
                <w:rFonts w:cs="Arial"/>
                <w:lang w:eastAsia="en-GB"/>
              </w:rPr>
            </w:pPr>
            <w:r>
              <w:rPr>
                <w:rFonts w:cs="Arial"/>
                <w:lang w:eastAsia="en-GB"/>
              </w:rPr>
              <w:t>Paediatric Infectious Diseases Research Group</w:t>
            </w:r>
          </w:p>
          <w:p w14:paraId="69447C54" w14:textId="77777777" w:rsidR="007C525D" w:rsidRDefault="007C757A">
            <w:pPr>
              <w:pStyle w:val="Listofabbreviations"/>
              <w:widowControl w:val="0"/>
              <w:ind w:left="2835"/>
              <w:rPr>
                <w:rFonts w:cs="Arial"/>
                <w:lang w:eastAsia="en-GB"/>
              </w:rPr>
            </w:pPr>
            <w:r>
              <w:rPr>
                <w:rFonts w:cs="Arial"/>
                <w:lang w:eastAsia="en-GB"/>
              </w:rPr>
              <w:t xml:space="preserve">St. George's, University of London, </w:t>
            </w:r>
            <w:r>
              <w:t>Cranmer Terrace SW17 0RE</w:t>
            </w:r>
          </w:p>
          <w:p w14:paraId="03629F6D" w14:textId="77777777" w:rsidR="007C525D" w:rsidRDefault="007C757A">
            <w:pPr>
              <w:pStyle w:val="Listofabbreviations"/>
              <w:widowControl w:val="0"/>
              <w:ind w:left="2835"/>
            </w:pPr>
            <w:r>
              <w:rPr>
                <w:rFonts w:cs="Tahoma"/>
                <w:b/>
              </w:rPr>
              <w:t>Phone</w:t>
            </w:r>
            <w:r>
              <w:rPr>
                <w:rFonts w:cs="Arial"/>
                <w:lang w:eastAsia="en-GB"/>
              </w:rPr>
              <w:t>: 0208 725 4851</w:t>
            </w:r>
          </w:p>
          <w:p w14:paraId="798AC434" w14:textId="77777777" w:rsidR="007C525D" w:rsidRDefault="007C757A">
            <w:pPr>
              <w:pStyle w:val="Listofabbreviations"/>
              <w:widowControl w:val="0"/>
              <w:ind w:left="2835"/>
            </w:pPr>
            <w:r>
              <w:rPr>
                <w:rFonts w:cs="Tahoma"/>
                <w:b/>
              </w:rPr>
              <w:t>E</w:t>
            </w:r>
            <w:r>
              <w:rPr>
                <w:rFonts w:cs="Arial"/>
                <w:b/>
                <w:lang w:eastAsia="en-GB"/>
              </w:rPr>
              <w:t>-mail:</w:t>
            </w:r>
            <w:r>
              <w:rPr>
                <w:rFonts w:cs="Arial"/>
                <w:lang w:eastAsia="en-GB"/>
              </w:rPr>
              <w:t xml:space="preserve"> </w:t>
            </w:r>
            <w:hyperlink r:id="rId10">
              <w:r>
                <w:rPr>
                  <w:rStyle w:val="Hyperlink"/>
                </w:rPr>
                <w:t>zdanos@sgul.ac.uk</w:t>
              </w:r>
            </w:hyperlink>
          </w:p>
          <w:p w14:paraId="5B95F427" w14:textId="77777777" w:rsidR="007C525D" w:rsidRDefault="007C525D">
            <w:pPr>
              <w:pStyle w:val="Listofabbreviations"/>
              <w:widowControl w:val="0"/>
              <w:ind w:left="2835"/>
              <w:rPr>
                <w:rFonts w:cs="Arial"/>
                <w:lang w:eastAsia="en-GB"/>
              </w:rPr>
            </w:pPr>
          </w:p>
          <w:p w14:paraId="22C46059" w14:textId="6B9BACFF" w:rsidR="007C525D" w:rsidRDefault="00E046BF">
            <w:pPr>
              <w:pStyle w:val="Listofabbreviations"/>
              <w:widowControl w:val="0"/>
              <w:ind w:left="0" w:firstLine="0"/>
              <w:rPr>
                <w:rFonts w:cs="Arial"/>
                <w:lang w:eastAsia="en-GB"/>
              </w:rPr>
            </w:pPr>
            <w:r>
              <w:rPr>
                <w:rFonts w:cs="Arial"/>
                <w:lang w:eastAsia="en-GB"/>
              </w:rPr>
              <w:t>Professor</w:t>
            </w:r>
            <w:r w:rsidR="007C757A">
              <w:rPr>
                <w:rFonts w:cs="Arial"/>
                <w:lang w:eastAsia="en-GB"/>
              </w:rPr>
              <w:t xml:space="preserve"> Shamez Ladhani </w:t>
            </w:r>
          </w:p>
          <w:p w14:paraId="62B10A8D" w14:textId="77777777" w:rsidR="007C525D" w:rsidRDefault="007C757A">
            <w:pPr>
              <w:pStyle w:val="Listofabbreviations"/>
              <w:widowControl w:val="0"/>
              <w:ind w:left="0" w:firstLine="0"/>
              <w:rPr>
                <w:rFonts w:cs="Arial"/>
                <w:lang w:eastAsia="en-GB"/>
              </w:rPr>
            </w:pPr>
            <w:r>
              <w:rPr>
                <w:rFonts w:cs="Arial"/>
                <w:lang w:eastAsia="en-GB"/>
              </w:rPr>
              <w:t>Paediatric Infectious Disease Consultant</w:t>
            </w:r>
          </w:p>
          <w:p w14:paraId="3CEEA35B" w14:textId="77777777" w:rsidR="007C525D" w:rsidRDefault="007C757A">
            <w:pPr>
              <w:pStyle w:val="Listofabbreviations"/>
              <w:widowControl w:val="0"/>
              <w:ind w:left="0" w:firstLine="0"/>
              <w:rPr>
                <w:rFonts w:cs="Arial"/>
                <w:lang w:eastAsia="en-GB"/>
              </w:rPr>
            </w:pPr>
            <w:r>
              <w:rPr>
                <w:rFonts w:cs="Arial"/>
                <w:lang w:eastAsia="en-GB"/>
              </w:rPr>
              <w:t>Institute for Infection &amp; Immunity</w:t>
            </w:r>
          </w:p>
          <w:p w14:paraId="29FDB59F" w14:textId="77777777" w:rsidR="007C525D" w:rsidRDefault="007C757A">
            <w:pPr>
              <w:pStyle w:val="Listofabbreviations"/>
              <w:widowControl w:val="0"/>
              <w:ind w:left="2835"/>
              <w:rPr>
                <w:rFonts w:cs="Arial"/>
                <w:lang w:eastAsia="en-GB"/>
              </w:rPr>
            </w:pPr>
            <w:r>
              <w:rPr>
                <w:rFonts w:cs="Arial"/>
                <w:lang w:eastAsia="en-GB"/>
              </w:rPr>
              <w:t>Paediatric Infectious Diseases Research Group</w:t>
            </w:r>
          </w:p>
          <w:p w14:paraId="052D6D42" w14:textId="77777777" w:rsidR="007C525D" w:rsidRDefault="007C757A">
            <w:pPr>
              <w:pStyle w:val="Listofabbreviations"/>
              <w:widowControl w:val="0"/>
              <w:ind w:left="2835"/>
              <w:rPr>
                <w:rFonts w:cs="Arial"/>
                <w:lang w:eastAsia="en-GB"/>
              </w:rPr>
            </w:pPr>
            <w:r>
              <w:rPr>
                <w:rFonts w:cs="Arial"/>
                <w:lang w:eastAsia="en-GB"/>
              </w:rPr>
              <w:t xml:space="preserve">St. George's, University of London, </w:t>
            </w:r>
            <w:r>
              <w:t>Cranmer Terrace SW17 0RE</w:t>
            </w:r>
          </w:p>
          <w:p w14:paraId="3AC51DF2" w14:textId="77777777" w:rsidR="007C525D" w:rsidRDefault="007C757A">
            <w:pPr>
              <w:pStyle w:val="Listofabbreviations"/>
              <w:widowControl w:val="0"/>
              <w:ind w:left="2835"/>
            </w:pPr>
            <w:r>
              <w:rPr>
                <w:rFonts w:cs="Tahoma"/>
                <w:b/>
              </w:rPr>
              <w:t>Phone</w:t>
            </w:r>
            <w:r>
              <w:rPr>
                <w:rFonts w:cs="Arial"/>
                <w:lang w:eastAsia="en-GB"/>
              </w:rPr>
              <w:t>: 0208 725 4851</w:t>
            </w:r>
          </w:p>
          <w:p w14:paraId="371AA3C2" w14:textId="77777777" w:rsidR="007C525D" w:rsidRDefault="007C757A">
            <w:pPr>
              <w:pStyle w:val="Listofabbreviations"/>
              <w:widowControl w:val="0"/>
              <w:ind w:left="0" w:firstLine="0"/>
            </w:pPr>
            <w:r>
              <w:rPr>
                <w:rFonts w:cs="Tahoma"/>
                <w:b/>
              </w:rPr>
              <w:t>E</w:t>
            </w:r>
            <w:r>
              <w:rPr>
                <w:rFonts w:cs="Arial"/>
                <w:b/>
                <w:lang w:eastAsia="en-GB"/>
              </w:rPr>
              <w:t>-mail:</w:t>
            </w:r>
            <w:r>
              <w:rPr>
                <w:rFonts w:cs="Arial"/>
                <w:lang w:eastAsia="en-GB"/>
              </w:rPr>
              <w:t xml:space="preserve"> sladhani@sgul.ac.uk</w:t>
            </w:r>
          </w:p>
          <w:p w14:paraId="140910F6" w14:textId="77777777" w:rsidR="007C525D" w:rsidRDefault="007C525D">
            <w:pPr>
              <w:pStyle w:val="Listofabbreviations"/>
              <w:widowControl w:val="0"/>
              <w:ind w:left="0" w:firstLine="0"/>
              <w:rPr>
                <w:rFonts w:cs="Arial"/>
                <w:color w:val="0000FF"/>
              </w:rPr>
            </w:pPr>
          </w:p>
        </w:tc>
      </w:tr>
      <w:tr w:rsidR="007C525D" w14:paraId="227D5313"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351FBD43" w14:textId="77777777" w:rsidR="007C525D" w:rsidRDefault="007C757A">
            <w:pPr>
              <w:widowControl w:val="0"/>
            </w:pPr>
            <w:r>
              <w:rPr>
                <w:rFonts w:ascii="Calibri" w:hAnsi="Calibri"/>
                <w:szCs w:val="22"/>
              </w:rPr>
              <w:t>Study Trial Manager</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1DAC7282" w14:textId="77777777" w:rsidR="007C525D" w:rsidRDefault="007C757A">
            <w:pPr>
              <w:pStyle w:val="Listofabbreviations"/>
              <w:widowControl w:val="0"/>
              <w:ind w:left="0" w:firstLine="0"/>
              <w:rPr>
                <w:rFonts w:cs="Arial"/>
                <w:lang w:eastAsia="en-GB"/>
              </w:rPr>
            </w:pPr>
            <w:r>
              <w:rPr>
                <w:rFonts w:cs="Arial"/>
                <w:lang w:eastAsia="en-GB"/>
              </w:rPr>
              <w:t>Uzma Khan</w:t>
            </w:r>
          </w:p>
          <w:p w14:paraId="7BB19D6B" w14:textId="77777777" w:rsidR="007C525D" w:rsidRDefault="007C757A">
            <w:pPr>
              <w:pStyle w:val="Listofabbreviations"/>
              <w:widowControl w:val="0"/>
              <w:ind w:left="2835"/>
              <w:jc w:val="left"/>
              <w:rPr>
                <w:rFonts w:cs="Arial"/>
                <w:lang w:eastAsia="en-GB"/>
              </w:rPr>
            </w:pPr>
            <w:r>
              <w:rPr>
                <w:rFonts w:cs="Arial"/>
                <w:lang w:eastAsia="en-GB"/>
              </w:rPr>
              <w:t xml:space="preserve">Paediatric Infectious Diseases Research Group </w:t>
            </w:r>
          </w:p>
          <w:p w14:paraId="67F11AEA" w14:textId="77777777" w:rsidR="007C525D" w:rsidRDefault="007C757A">
            <w:pPr>
              <w:pStyle w:val="Listofabbreviations"/>
              <w:widowControl w:val="0"/>
              <w:ind w:left="2835"/>
              <w:jc w:val="left"/>
              <w:rPr>
                <w:rFonts w:cs="Arial"/>
                <w:lang w:eastAsia="en-GB"/>
              </w:rPr>
            </w:pPr>
            <w:r>
              <w:rPr>
                <w:rFonts w:cs="Arial"/>
                <w:lang w:eastAsia="en-GB"/>
              </w:rPr>
              <w:t>Institute for Infection and Immunity</w:t>
            </w:r>
          </w:p>
          <w:p w14:paraId="27A26564" w14:textId="77777777" w:rsidR="007C525D" w:rsidRDefault="007C757A">
            <w:pPr>
              <w:pStyle w:val="Listofabbreviations"/>
              <w:widowControl w:val="0"/>
              <w:ind w:left="2835"/>
              <w:jc w:val="left"/>
              <w:rPr>
                <w:rFonts w:cs="Arial"/>
                <w:lang w:eastAsia="en-GB"/>
              </w:rPr>
            </w:pPr>
            <w:r>
              <w:rPr>
                <w:rFonts w:cs="Arial"/>
                <w:lang w:eastAsia="en-GB"/>
              </w:rPr>
              <w:t>St George’s, University of London, Jenner Wing</w:t>
            </w:r>
          </w:p>
          <w:p w14:paraId="1C1873C3" w14:textId="4E48AC9F" w:rsidR="007C525D" w:rsidRDefault="007C757A">
            <w:pPr>
              <w:pStyle w:val="Listofabbreviations"/>
              <w:widowControl w:val="0"/>
              <w:ind w:left="2835"/>
              <w:jc w:val="left"/>
              <w:rPr>
                <w:rFonts w:cs="Arial"/>
                <w:lang w:eastAsia="en-GB"/>
              </w:rPr>
            </w:pPr>
            <w:r>
              <w:rPr>
                <w:rFonts w:cs="Arial"/>
                <w:lang w:eastAsia="en-GB"/>
              </w:rPr>
              <w:t xml:space="preserve">Cranmer Terrace, Tooting, London, SW17 0RE </w:t>
            </w:r>
          </w:p>
          <w:p w14:paraId="711DCFC9" w14:textId="77777777" w:rsidR="007C525D" w:rsidRDefault="007C757A">
            <w:pPr>
              <w:pStyle w:val="Listofabbreviations"/>
              <w:widowControl w:val="0"/>
              <w:ind w:left="0" w:firstLine="0"/>
              <w:rPr>
                <w:rFonts w:cs="Arial"/>
                <w:lang w:eastAsia="en-GB"/>
              </w:rPr>
            </w:pPr>
            <w:r>
              <w:rPr>
                <w:rFonts w:cs="Tahoma"/>
                <w:b/>
              </w:rPr>
              <w:t>E</w:t>
            </w:r>
            <w:r>
              <w:rPr>
                <w:rFonts w:cs="Arial"/>
                <w:b/>
                <w:lang w:eastAsia="en-GB"/>
              </w:rPr>
              <w:t>-mail:</w:t>
            </w:r>
            <w:r>
              <w:rPr>
                <w:rFonts w:cs="Arial"/>
                <w:lang w:eastAsia="en-GB"/>
              </w:rPr>
              <w:t xml:space="preserve"> </w:t>
            </w:r>
            <w:hyperlink r:id="rId11">
              <w:r>
                <w:rPr>
                  <w:rStyle w:val="Hyperlink"/>
                  <w:rFonts w:cs="Arial"/>
                  <w:lang w:eastAsia="en-GB"/>
                </w:rPr>
                <w:t>uzkhan@sgul.ac.uk</w:t>
              </w:r>
            </w:hyperlink>
            <w:r>
              <w:rPr>
                <w:rFonts w:cs="Arial"/>
                <w:lang w:eastAsia="en-GB"/>
              </w:rPr>
              <w:t xml:space="preserve"> </w:t>
            </w:r>
          </w:p>
          <w:p w14:paraId="1FB94AF5" w14:textId="77777777" w:rsidR="007C525D" w:rsidRDefault="007C525D">
            <w:pPr>
              <w:pStyle w:val="Listofabbreviations"/>
              <w:widowControl w:val="0"/>
              <w:ind w:left="0" w:firstLine="0"/>
            </w:pPr>
          </w:p>
        </w:tc>
      </w:tr>
      <w:tr w:rsidR="007C525D" w14:paraId="55FC63D8" w14:textId="77777777">
        <w:trPr>
          <w:trHeight w:val="564"/>
        </w:trPr>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3CE8D0FA" w14:textId="77777777" w:rsidR="007C525D" w:rsidRDefault="007C757A">
            <w:pPr>
              <w:widowControl w:val="0"/>
            </w:pPr>
            <w:r>
              <w:rPr>
                <w:rFonts w:ascii="Calibri" w:hAnsi="Calibri"/>
                <w:szCs w:val="22"/>
              </w:rPr>
              <w:t>Sponsor</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4AA5CED3" w14:textId="77777777" w:rsidR="007C525D" w:rsidRDefault="007C757A">
            <w:pPr>
              <w:widowControl w:val="0"/>
            </w:pPr>
            <w:r>
              <w:rPr>
                <w:rFonts w:ascii="Calibri" w:hAnsi="Calibri"/>
                <w:szCs w:val="22"/>
              </w:rPr>
              <w:t>St Georges University of London</w:t>
            </w:r>
          </w:p>
        </w:tc>
      </w:tr>
      <w:tr w:rsidR="007C525D" w14:paraId="0F2C460D"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4E8F4496" w14:textId="77777777" w:rsidR="007C525D" w:rsidRDefault="007C757A">
            <w:pPr>
              <w:widowControl w:val="0"/>
            </w:pPr>
            <w:r>
              <w:rPr>
                <w:rFonts w:ascii="Calibri" w:hAnsi="Calibri"/>
                <w:szCs w:val="22"/>
              </w:rPr>
              <w:t>Sponsor Representative</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694716A4" w14:textId="77777777" w:rsidR="007C525D" w:rsidRDefault="007C757A">
            <w:pPr>
              <w:widowControl w:val="0"/>
              <w:spacing w:after="0"/>
            </w:pPr>
            <w:r>
              <w:rPr>
                <w:rFonts w:ascii="Calibri" w:hAnsi="Calibri"/>
                <w:szCs w:val="22"/>
              </w:rPr>
              <w:t>Subhir Bedi</w:t>
            </w:r>
          </w:p>
          <w:p w14:paraId="673C7DD9" w14:textId="77777777" w:rsidR="007C525D" w:rsidRDefault="007C757A">
            <w:pPr>
              <w:widowControl w:val="0"/>
              <w:spacing w:after="0"/>
            </w:pPr>
            <w:r>
              <w:rPr>
                <w:rFonts w:ascii="Calibri" w:hAnsi="Calibri"/>
                <w:szCs w:val="22"/>
              </w:rPr>
              <w:t>St George's Joint Research Enterprise Services</w:t>
            </w:r>
          </w:p>
          <w:p w14:paraId="16B4D9BB" w14:textId="77777777" w:rsidR="007C525D" w:rsidRDefault="007C757A">
            <w:pPr>
              <w:widowControl w:val="0"/>
              <w:spacing w:after="0"/>
            </w:pPr>
            <w:r>
              <w:rPr>
                <w:rFonts w:ascii="Calibri" w:hAnsi="Calibri"/>
                <w:szCs w:val="22"/>
              </w:rPr>
              <w:t xml:space="preserve">Jenner Wing, Ground Floor,  </w:t>
            </w:r>
          </w:p>
          <w:p w14:paraId="3311A3FD" w14:textId="77777777" w:rsidR="007C525D" w:rsidRDefault="007C757A">
            <w:pPr>
              <w:widowControl w:val="0"/>
              <w:spacing w:after="0"/>
            </w:pPr>
            <w:r>
              <w:rPr>
                <w:rFonts w:ascii="Calibri" w:hAnsi="Calibri"/>
                <w:szCs w:val="22"/>
              </w:rPr>
              <w:t>Cranmer Terrace SW17 ORE</w:t>
            </w:r>
          </w:p>
          <w:p w14:paraId="46CCFE92" w14:textId="77777777" w:rsidR="007C525D" w:rsidRDefault="007C757A">
            <w:pPr>
              <w:widowControl w:val="0"/>
              <w:spacing w:after="0"/>
            </w:pPr>
            <w:r>
              <w:rPr>
                <w:rFonts w:ascii="Calibri" w:hAnsi="Calibri"/>
                <w:b/>
                <w:szCs w:val="22"/>
              </w:rPr>
              <w:t>Phone</w:t>
            </w:r>
            <w:r>
              <w:rPr>
                <w:rFonts w:ascii="Calibri" w:hAnsi="Calibri"/>
                <w:szCs w:val="22"/>
              </w:rPr>
              <w:t>: 02082666397</w:t>
            </w:r>
          </w:p>
          <w:p w14:paraId="414F02D4" w14:textId="77777777" w:rsidR="007C525D" w:rsidRDefault="007C757A">
            <w:pPr>
              <w:widowControl w:val="0"/>
              <w:spacing w:after="0"/>
            </w:pPr>
            <w:r>
              <w:rPr>
                <w:rFonts w:ascii="Calibri" w:hAnsi="Calibri"/>
                <w:b/>
                <w:szCs w:val="22"/>
              </w:rPr>
              <w:t>E-mail</w:t>
            </w:r>
            <w:r>
              <w:rPr>
                <w:rFonts w:ascii="Calibri" w:hAnsi="Calibri"/>
                <w:szCs w:val="22"/>
              </w:rPr>
              <w:t xml:space="preserve">: </w:t>
            </w:r>
            <w:hyperlink r:id="rId12">
              <w:r>
                <w:rPr>
                  <w:rStyle w:val="Hyperlink1"/>
                  <w:rFonts w:ascii="Calibri" w:hAnsi="Calibri"/>
                  <w:szCs w:val="22"/>
                </w:rPr>
                <w:t>researchgovernance@sgul.ac.uk</w:t>
              </w:r>
            </w:hyperlink>
          </w:p>
        </w:tc>
      </w:tr>
      <w:tr w:rsidR="007C525D" w14:paraId="7098D623"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30881BB1" w14:textId="77777777" w:rsidR="007C525D" w:rsidRDefault="007C757A">
            <w:pPr>
              <w:widowControl w:val="0"/>
              <w:rPr>
                <w:rFonts w:ascii="Calibri" w:hAnsi="Calibri"/>
                <w:szCs w:val="22"/>
              </w:rPr>
            </w:pPr>
            <w:r>
              <w:rPr>
                <w:rFonts w:ascii="Calibri" w:hAnsi="Calibri"/>
                <w:szCs w:val="22"/>
              </w:rPr>
              <w:t>Sponsor Contact</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709B2D44" w14:textId="77777777" w:rsidR="007C525D" w:rsidRDefault="007C757A">
            <w:pPr>
              <w:widowControl w:val="0"/>
              <w:spacing w:after="0"/>
            </w:pPr>
            <w:r>
              <w:rPr>
                <w:rFonts w:ascii="Calibri" w:hAnsi="Calibri"/>
                <w:szCs w:val="22"/>
              </w:rPr>
              <w:t xml:space="preserve">Georgia Bullock </w:t>
            </w:r>
          </w:p>
          <w:p w14:paraId="0C246CFD" w14:textId="77777777" w:rsidR="007C525D" w:rsidRDefault="007C757A">
            <w:pPr>
              <w:widowControl w:val="0"/>
              <w:spacing w:after="0"/>
            </w:pPr>
            <w:r>
              <w:rPr>
                <w:rFonts w:ascii="Calibri" w:hAnsi="Calibri"/>
                <w:szCs w:val="22"/>
              </w:rPr>
              <w:t>St George's Joint Research Enterprise Services</w:t>
            </w:r>
          </w:p>
          <w:p w14:paraId="6C75CCF2" w14:textId="77777777" w:rsidR="007C525D" w:rsidRDefault="007C757A">
            <w:pPr>
              <w:widowControl w:val="0"/>
              <w:spacing w:after="0"/>
            </w:pPr>
            <w:r>
              <w:rPr>
                <w:rFonts w:ascii="Calibri" w:hAnsi="Calibri"/>
                <w:szCs w:val="22"/>
              </w:rPr>
              <w:lastRenderedPageBreak/>
              <w:t xml:space="preserve">Jenner Wing, Ground Floor,  </w:t>
            </w:r>
          </w:p>
          <w:p w14:paraId="7E44521A" w14:textId="77777777" w:rsidR="007C525D" w:rsidRDefault="007C757A">
            <w:pPr>
              <w:widowControl w:val="0"/>
              <w:spacing w:after="0"/>
            </w:pPr>
            <w:r>
              <w:rPr>
                <w:rFonts w:ascii="Calibri" w:hAnsi="Calibri"/>
                <w:szCs w:val="22"/>
              </w:rPr>
              <w:t>Cranmer Terrace SW17 ORE</w:t>
            </w:r>
          </w:p>
          <w:p w14:paraId="1E0EA8C2" w14:textId="77777777" w:rsidR="007C525D" w:rsidRDefault="007C757A">
            <w:pPr>
              <w:widowControl w:val="0"/>
              <w:spacing w:after="0"/>
            </w:pPr>
            <w:r>
              <w:rPr>
                <w:rFonts w:ascii="Calibri" w:hAnsi="Calibri"/>
                <w:szCs w:val="22"/>
              </w:rPr>
              <w:t>Phone: 02082666397</w:t>
            </w:r>
          </w:p>
          <w:p w14:paraId="336CD0F3" w14:textId="77777777" w:rsidR="007C525D" w:rsidRDefault="007C757A">
            <w:pPr>
              <w:widowControl w:val="0"/>
              <w:spacing w:after="0"/>
              <w:rPr>
                <w:rFonts w:ascii="Calibri" w:hAnsi="Calibri"/>
                <w:szCs w:val="22"/>
              </w:rPr>
            </w:pPr>
            <w:r>
              <w:rPr>
                <w:rFonts w:ascii="Calibri" w:hAnsi="Calibri"/>
                <w:szCs w:val="22"/>
              </w:rPr>
              <w:t xml:space="preserve">E-mail: </w:t>
            </w:r>
            <w:hyperlink r:id="rId13">
              <w:r>
                <w:rPr>
                  <w:rStyle w:val="Hyperlink1"/>
                  <w:rFonts w:ascii="Calibri" w:hAnsi="Calibri"/>
                  <w:szCs w:val="22"/>
                </w:rPr>
                <w:t>gbullock@sgul.ac.uk</w:t>
              </w:r>
            </w:hyperlink>
            <w:r>
              <w:rPr>
                <w:rStyle w:val="Hyperlink1"/>
                <w:rFonts w:ascii="Calibri" w:hAnsi="Calibri"/>
                <w:szCs w:val="22"/>
              </w:rPr>
              <w:t xml:space="preserve"> </w:t>
            </w:r>
          </w:p>
        </w:tc>
      </w:tr>
      <w:tr w:rsidR="007C525D" w14:paraId="04AA2589"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325BF114" w14:textId="77777777" w:rsidR="007C525D" w:rsidRDefault="007C757A">
            <w:pPr>
              <w:widowControl w:val="0"/>
              <w:rPr>
                <w:rFonts w:ascii="Calibri" w:hAnsi="Calibri"/>
                <w:szCs w:val="22"/>
              </w:rPr>
            </w:pPr>
            <w:r>
              <w:rPr>
                <w:rFonts w:ascii="Calibri" w:hAnsi="Calibri"/>
                <w:szCs w:val="22"/>
              </w:rPr>
              <w:lastRenderedPageBreak/>
              <w:t>Funder(s)</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0C3C698E" w14:textId="77777777" w:rsidR="007C525D" w:rsidRDefault="007C757A">
            <w:pPr>
              <w:widowControl w:val="0"/>
              <w:spacing w:after="0"/>
              <w:rPr>
                <w:rFonts w:ascii="Calibri" w:hAnsi="Calibri"/>
                <w:szCs w:val="22"/>
              </w:rPr>
            </w:pPr>
            <w:r>
              <w:rPr>
                <w:rFonts w:ascii="Calibri" w:hAnsi="Calibri"/>
                <w:szCs w:val="22"/>
              </w:rPr>
              <w:t xml:space="preserve">Glaxo Smith Kline </w:t>
            </w:r>
          </w:p>
        </w:tc>
      </w:tr>
      <w:tr w:rsidR="007C525D" w14:paraId="1E7077FD"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0E6EAE0C" w14:textId="77777777" w:rsidR="007C525D" w:rsidRDefault="007C757A">
            <w:pPr>
              <w:widowControl w:val="0"/>
              <w:rPr>
                <w:rFonts w:ascii="Calibri" w:hAnsi="Calibri"/>
                <w:szCs w:val="22"/>
              </w:rPr>
            </w:pPr>
            <w:r>
              <w:rPr>
                <w:rFonts w:ascii="Calibri" w:hAnsi="Calibri"/>
                <w:szCs w:val="22"/>
              </w:rPr>
              <w:t>Key Protocol Contributors</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4717BB74" w14:textId="77777777" w:rsidR="007C525D" w:rsidRDefault="007C757A">
            <w:pPr>
              <w:widowControl w:val="0"/>
              <w:spacing w:line="300" w:lineRule="exact"/>
            </w:pPr>
            <w:r>
              <w:rPr>
                <w:rFonts w:ascii="Calibri" w:hAnsi="Calibri"/>
                <w:szCs w:val="22"/>
                <w:lang w:eastAsia="en-GB"/>
              </w:rPr>
              <w:t xml:space="preserve">Paul Heath, </w:t>
            </w:r>
            <w:hyperlink r:id="rId14">
              <w:r>
                <w:rPr>
                  <w:rStyle w:val="Hyperlink"/>
                  <w:rFonts w:ascii="Calibri" w:hAnsi="Calibri"/>
                  <w:szCs w:val="22"/>
                  <w:lang w:eastAsia="en-GB"/>
                </w:rPr>
                <w:t>pheath@sgul.ac.uk</w:t>
              </w:r>
            </w:hyperlink>
            <w:r>
              <w:rPr>
                <w:rFonts w:ascii="Calibri" w:hAnsi="Calibri"/>
                <w:szCs w:val="22"/>
                <w:lang w:eastAsia="en-GB"/>
              </w:rPr>
              <w:t xml:space="preserve"> </w:t>
            </w:r>
          </w:p>
          <w:p w14:paraId="747F3AB6" w14:textId="77777777" w:rsidR="007C525D" w:rsidRDefault="007C757A">
            <w:pPr>
              <w:widowControl w:val="0"/>
              <w:spacing w:line="300" w:lineRule="exact"/>
            </w:pPr>
            <w:r>
              <w:rPr>
                <w:rFonts w:ascii="Calibri" w:hAnsi="Calibri"/>
                <w:szCs w:val="22"/>
                <w:lang w:eastAsia="en-GB"/>
              </w:rPr>
              <w:t xml:space="preserve">Kostas Karampatsas, </w:t>
            </w:r>
            <w:hyperlink r:id="rId15">
              <w:r>
                <w:rPr>
                  <w:rStyle w:val="Hyperlink"/>
                  <w:rFonts w:ascii="Calibri" w:hAnsi="Calibri"/>
                  <w:szCs w:val="22"/>
                  <w:lang w:eastAsia="en-GB"/>
                </w:rPr>
                <w:t>kkarampa@sgul.ac.uk</w:t>
              </w:r>
            </w:hyperlink>
            <w:r>
              <w:rPr>
                <w:rFonts w:ascii="Calibri" w:hAnsi="Calibri"/>
                <w:szCs w:val="22"/>
                <w:lang w:eastAsia="en-GB"/>
              </w:rPr>
              <w:t xml:space="preserve"> </w:t>
            </w:r>
          </w:p>
          <w:p w14:paraId="4FFC55B2" w14:textId="77777777" w:rsidR="007C525D" w:rsidRDefault="007C757A">
            <w:pPr>
              <w:widowControl w:val="0"/>
              <w:spacing w:after="0"/>
              <w:rPr>
                <w:rFonts w:ascii="Calibri" w:hAnsi="Calibri"/>
                <w:szCs w:val="22"/>
              </w:rPr>
            </w:pPr>
            <w:r>
              <w:rPr>
                <w:rFonts w:ascii="Calibri" w:hAnsi="Calibri"/>
                <w:szCs w:val="22"/>
                <w:lang w:eastAsia="en-GB"/>
              </w:rPr>
              <w:t xml:space="preserve">Shamez Ladhani, </w:t>
            </w:r>
            <w:hyperlink r:id="rId16">
              <w:r>
                <w:rPr>
                  <w:rStyle w:val="Hyperlink"/>
                  <w:rFonts w:ascii="Calibri" w:hAnsi="Calibri"/>
                  <w:szCs w:val="22"/>
                  <w:lang w:eastAsia="en-GB"/>
                </w:rPr>
                <w:t>sladhani@sgul.ac.uk</w:t>
              </w:r>
            </w:hyperlink>
            <w:r>
              <w:rPr>
                <w:rFonts w:ascii="Calibri" w:hAnsi="Calibri"/>
                <w:szCs w:val="22"/>
                <w:lang w:eastAsia="en-GB"/>
              </w:rPr>
              <w:t xml:space="preserve"> </w:t>
            </w:r>
          </w:p>
        </w:tc>
      </w:tr>
      <w:tr w:rsidR="007C525D" w14:paraId="780B8046" w14:textId="77777777">
        <w:tc>
          <w:tcPr>
            <w:tcW w:w="2918" w:type="dxa"/>
            <w:tcBorders>
              <w:top w:val="single" w:sz="4" w:space="0" w:color="000000"/>
              <w:left w:val="single" w:sz="4" w:space="0" w:color="000000"/>
              <w:bottom w:val="single" w:sz="4" w:space="0" w:color="000000"/>
              <w:right w:val="single" w:sz="4" w:space="0" w:color="000000"/>
            </w:tcBorders>
            <w:shd w:val="clear" w:color="auto" w:fill="auto"/>
          </w:tcPr>
          <w:p w14:paraId="5BB7F515" w14:textId="77777777" w:rsidR="007C525D" w:rsidRDefault="007C757A">
            <w:pPr>
              <w:widowControl w:val="0"/>
              <w:rPr>
                <w:rFonts w:ascii="Calibri" w:hAnsi="Calibri"/>
                <w:szCs w:val="22"/>
              </w:rPr>
            </w:pPr>
            <w:r>
              <w:rPr>
                <w:rFonts w:ascii="Calibri" w:hAnsi="Calibri"/>
                <w:szCs w:val="22"/>
              </w:rPr>
              <w:t>Committees</w:t>
            </w:r>
          </w:p>
        </w:tc>
        <w:tc>
          <w:tcPr>
            <w:tcW w:w="7043" w:type="dxa"/>
            <w:tcBorders>
              <w:top w:val="single" w:sz="4" w:space="0" w:color="000000"/>
              <w:left w:val="single" w:sz="4" w:space="0" w:color="000000"/>
              <w:bottom w:val="single" w:sz="4" w:space="0" w:color="000000"/>
              <w:right w:val="single" w:sz="4" w:space="0" w:color="000000"/>
            </w:tcBorders>
            <w:shd w:val="clear" w:color="auto" w:fill="auto"/>
          </w:tcPr>
          <w:p w14:paraId="3B420E1B" w14:textId="77777777" w:rsidR="007C525D" w:rsidRDefault="007C757A">
            <w:pPr>
              <w:pStyle w:val="Listofabbreviations"/>
              <w:widowControl w:val="0"/>
              <w:ind w:left="0" w:firstLine="0"/>
              <w:rPr>
                <w:rFonts w:cs="Arial"/>
                <w:b/>
                <w:lang w:eastAsia="en-GB"/>
              </w:rPr>
            </w:pPr>
            <w:r>
              <w:rPr>
                <w:rFonts w:cs="Arial"/>
                <w:b/>
                <w:lang w:eastAsia="en-GB"/>
              </w:rPr>
              <w:t>Trial Management Group</w:t>
            </w:r>
          </w:p>
          <w:p w14:paraId="7023F5BA" w14:textId="77777777" w:rsidR="007C525D" w:rsidRDefault="007C757A">
            <w:pPr>
              <w:pStyle w:val="Listofabbreviations"/>
              <w:widowControl w:val="0"/>
              <w:ind w:left="0" w:firstLine="0"/>
            </w:pPr>
            <w:r>
              <w:rPr>
                <w:rFonts w:cs="Arial"/>
                <w:b/>
                <w:u w:val="single"/>
                <w:lang w:eastAsia="en-GB"/>
              </w:rPr>
              <w:t>Chair:</w:t>
            </w:r>
            <w:r>
              <w:rPr>
                <w:rFonts w:cs="Arial"/>
                <w:u w:val="single"/>
                <w:lang w:eastAsia="en-GB"/>
              </w:rPr>
              <w:t xml:space="preserve"> Professor Paul Heath, CI</w:t>
            </w:r>
          </w:p>
          <w:p w14:paraId="2E96CB32" w14:textId="77777777" w:rsidR="007C525D" w:rsidRDefault="007C757A">
            <w:pPr>
              <w:pStyle w:val="Listofabbreviations"/>
              <w:widowControl w:val="0"/>
              <w:ind w:left="0" w:firstLine="0"/>
              <w:rPr>
                <w:rFonts w:cs="Arial"/>
                <w:lang w:eastAsia="en-GB"/>
              </w:rPr>
            </w:pPr>
            <w:r>
              <w:rPr>
                <w:rFonts w:cs="Arial"/>
                <w:lang w:eastAsia="en-GB"/>
              </w:rPr>
              <w:t>Dr Zsofia Danos, Study co-ordinator</w:t>
            </w:r>
          </w:p>
          <w:p w14:paraId="69FE02EC" w14:textId="59865DC2" w:rsidR="007C525D" w:rsidRDefault="00E046BF">
            <w:pPr>
              <w:pStyle w:val="Listofabbreviations"/>
              <w:widowControl w:val="0"/>
              <w:ind w:left="0" w:firstLine="0"/>
              <w:rPr>
                <w:rFonts w:cs="Arial"/>
                <w:lang w:eastAsia="en-GB"/>
              </w:rPr>
            </w:pPr>
            <w:r>
              <w:rPr>
                <w:rFonts w:cs="Arial"/>
                <w:lang w:eastAsia="en-GB"/>
              </w:rPr>
              <w:t xml:space="preserve">Professor </w:t>
            </w:r>
            <w:r w:rsidR="007C757A">
              <w:rPr>
                <w:rFonts w:cs="Arial"/>
                <w:lang w:eastAsia="en-GB"/>
              </w:rPr>
              <w:t>Shamez Ladhani</w:t>
            </w:r>
          </w:p>
          <w:p w14:paraId="50C2F5B2" w14:textId="77777777" w:rsidR="007C525D" w:rsidRDefault="007C757A">
            <w:pPr>
              <w:pStyle w:val="Listofabbreviations"/>
              <w:widowControl w:val="0"/>
              <w:ind w:left="0" w:firstLine="0"/>
              <w:rPr>
                <w:rFonts w:cs="Arial"/>
                <w:lang w:eastAsia="en-GB"/>
              </w:rPr>
            </w:pPr>
            <w:r>
              <w:rPr>
                <w:rFonts w:cs="Arial"/>
                <w:lang w:eastAsia="en-GB"/>
              </w:rPr>
              <w:t>Uzma Khan, Trial Manager</w:t>
            </w:r>
          </w:p>
          <w:p w14:paraId="62587EF6" w14:textId="77777777" w:rsidR="007C525D" w:rsidRDefault="007C757A">
            <w:pPr>
              <w:pStyle w:val="Listofabbreviations"/>
              <w:widowControl w:val="0"/>
              <w:ind w:left="0" w:firstLine="0"/>
            </w:pPr>
            <w:r>
              <w:rPr>
                <w:rFonts w:cs="Arial"/>
                <w:lang w:eastAsia="en-GB"/>
              </w:rPr>
              <w:t>Professor Ray Borrow, Meningococcal Reference Unit</w:t>
            </w:r>
          </w:p>
        </w:tc>
      </w:tr>
    </w:tbl>
    <w:p w14:paraId="6C45069F" w14:textId="77777777" w:rsidR="007C525D" w:rsidRDefault="007C525D"/>
    <w:p w14:paraId="2F1BF215"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2"/>
        </w:rPr>
      </w:pPr>
    </w:p>
    <w:p w14:paraId="5E22CDE5" w14:textId="77777777" w:rsidR="007C525D" w:rsidRDefault="007C525D">
      <w:pPr>
        <w:rPr>
          <w:rFonts w:ascii="Calibri" w:hAnsi="Calibri"/>
          <w:color w:val="0000FF"/>
          <w:szCs w:val="22"/>
        </w:rPr>
      </w:pPr>
    </w:p>
    <w:p w14:paraId="7841A1DB" w14:textId="77777777" w:rsidR="007C525D" w:rsidRDefault="007C525D">
      <w:pPr>
        <w:rPr>
          <w:rFonts w:ascii="Calibri" w:hAnsi="Calibri"/>
          <w:color w:val="0000FF"/>
          <w:szCs w:val="22"/>
        </w:rPr>
      </w:pPr>
    </w:p>
    <w:p w14:paraId="08EB3C55" w14:textId="77777777" w:rsidR="007C525D" w:rsidRDefault="007C525D">
      <w:pPr>
        <w:rPr>
          <w:rFonts w:ascii="Calibri" w:hAnsi="Calibri"/>
          <w:color w:val="0000FF"/>
          <w:szCs w:val="22"/>
        </w:rPr>
      </w:pPr>
    </w:p>
    <w:p w14:paraId="43764067" w14:textId="77777777" w:rsidR="007C525D" w:rsidRDefault="007C525D">
      <w:pPr>
        <w:rPr>
          <w:rFonts w:ascii="Calibri" w:hAnsi="Calibri"/>
          <w:color w:val="0000FF"/>
          <w:szCs w:val="22"/>
        </w:rPr>
      </w:pPr>
    </w:p>
    <w:p w14:paraId="2A9179C0" w14:textId="77777777" w:rsidR="007C525D" w:rsidRDefault="007C525D">
      <w:pPr>
        <w:rPr>
          <w:rFonts w:ascii="Calibri" w:hAnsi="Calibri"/>
          <w:color w:val="0000FF"/>
          <w:szCs w:val="22"/>
        </w:rPr>
      </w:pPr>
    </w:p>
    <w:p w14:paraId="29F8756C" w14:textId="77777777" w:rsidR="007C525D" w:rsidRDefault="007C525D">
      <w:pPr>
        <w:rPr>
          <w:rFonts w:ascii="Calibri" w:hAnsi="Calibri"/>
          <w:color w:val="0000FF"/>
          <w:szCs w:val="22"/>
        </w:rPr>
      </w:pPr>
    </w:p>
    <w:p w14:paraId="3BBD6C54" w14:textId="77777777" w:rsidR="007C525D" w:rsidRDefault="007C525D">
      <w:pPr>
        <w:rPr>
          <w:rFonts w:ascii="Calibri" w:hAnsi="Calibri"/>
          <w:color w:val="0000FF"/>
          <w:szCs w:val="22"/>
        </w:rPr>
      </w:pPr>
    </w:p>
    <w:p w14:paraId="6CF19FEA" w14:textId="77777777" w:rsidR="007C525D" w:rsidRDefault="007C525D">
      <w:pPr>
        <w:rPr>
          <w:rFonts w:ascii="Calibri" w:hAnsi="Calibri"/>
          <w:color w:val="0000FF"/>
          <w:szCs w:val="22"/>
        </w:rPr>
      </w:pPr>
    </w:p>
    <w:p w14:paraId="0C90C634" w14:textId="77777777" w:rsidR="007C525D" w:rsidRDefault="007C757A">
      <w:pPr>
        <w:rPr>
          <w:rFonts w:ascii="Calibri" w:hAnsi="Calibri"/>
          <w:color w:val="0000FF"/>
          <w:szCs w:val="22"/>
        </w:rPr>
      </w:pPr>
      <w:r>
        <w:br w:type="page"/>
      </w:r>
    </w:p>
    <w:p w14:paraId="2910657A" w14:textId="77777777" w:rsidR="007C525D" w:rsidRDefault="007C525D">
      <w:pPr>
        <w:spacing w:after="0"/>
      </w:pPr>
    </w:p>
    <w:p w14:paraId="7511AFB7" w14:textId="77777777" w:rsidR="007C525D" w:rsidRDefault="007C757A">
      <w:pPr>
        <w:pStyle w:val="Heading1"/>
        <w:spacing w:before="0" w:after="120"/>
        <w:rPr>
          <w:rFonts w:ascii="Calibri" w:hAnsi="Calibri"/>
          <w:bCs w:val="0"/>
          <w:color w:val="auto"/>
          <w:sz w:val="22"/>
          <w:szCs w:val="22"/>
        </w:rPr>
      </w:pPr>
      <w:r>
        <w:rPr>
          <w:rFonts w:ascii="Calibri" w:hAnsi="Calibri"/>
          <w:bCs w:val="0"/>
          <w:color w:val="auto"/>
          <w:sz w:val="22"/>
          <w:szCs w:val="22"/>
        </w:rPr>
        <w:t>i.   LIST OF CONTENTS</w:t>
      </w:r>
    </w:p>
    <w:tbl>
      <w:tblPr>
        <w:tblW w:w="10419" w:type="dxa"/>
        <w:tblLayout w:type="fixed"/>
        <w:tblLook w:val="04A0" w:firstRow="1" w:lastRow="0" w:firstColumn="1" w:lastColumn="0" w:noHBand="0" w:noVBand="1"/>
      </w:tblPr>
      <w:tblGrid>
        <w:gridCol w:w="9136"/>
        <w:gridCol w:w="1283"/>
      </w:tblGrid>
      <w:tr w:rsidR="007C525D" w14:paraId="6B4C135C" w14:textId="77777777">
        <w:tc>
          <w:tcPr>
            <w:tcW w:w="913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28EFABD" w14:textId="77777777" w:rsidR="007C525D" w:rsidRDefault="007C757A">
            <w:pPr>
              <w:widowControl w:val="0"/>
              <w:spacing w:before="60" w:after="60"/>
            </w:pPr>
            <w:r>
              <w:rPr>
                <w:rFonts w:ascii="Calibri" w:hAnsi="Calibri"/>
                <w:b/>
                <w:color w:val="FFFFFF"/>
                <w:szCs w:val="22"/>
              </w:rPr>
              <w:t>i) LIST of CONTENTS</w:t>
            </w:r>
          </w:p>
        </w:tc>
        <w:tc>
          <w:tcPr>
            <w:tcW w:w="128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235F6DC" w14:textId="77777777" w:rsidR="007C525D" w:rsidRDefault="007C757A">
            <w:pPr>
              <w:widowControl w:val="0"/>
              <w:spacing w:before="60" w:after="60"/>
            </w:pPr>
            <w:r>
              <w:rPr>
                <w:rFonts w:ascii="Calibri" w:hAnsi="Calibri"/>
                <w:b/>
                <w:color w:val="FFFFFF"/>
                <w:szCs w:val="22"/>
              </w:rPr>
              <w:t>Page No.</w:t>
            </w:r>
          </w:p>
        </w:tc>
      </w:tr>
      <w:tr w:rsidR="007C525D" w14:paraId="172B3DDC"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AE87" w14:textId="77777777" w:rsidR="007C525D" w:rsidRDefault="007C757A">
            <w:pPr>
              <w:widowControl w:val="0"/>
              <w:spacing w:before="60" w:after="60"/>
            </w:pPr>
            <w:r>
              <w:rPr>
                <w:rFonts w:ascii="Calibri" w:hAnsi="Calibri"/>
                <w:szCs w:val="22"/>
              </w:rPr>
              <w:t>TITLE PAGE</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566D" w14:textId="77777777" w:rsidR="007C525D" w:rsidRDefault="007C525D">
            <w:pPr>
              <w:widowControl w:val="0"/>
              <w:spacing w:before="60" w:after="60"/>
              <w:rPr>
                <w:rFonts w:ascii="Calibri" w:hAnsi="Calibri"/>
                <w:color w:val="0000FF"/>
                <w:szCs w:val="22"/>
              </w:rPr>
            </w:pPr>
          </w:p>
        </w:tc>
      </w:tr>
      <w:tr w:rsidR="007C525D" w14:paraId="7FFD6666"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E57B" w14:textId="77777777" w:rsidR="007C525D" w:rsidRDefault="007C757A">
            <w:pPr>
              <w:widowControl w:val="0"/>
              <w:spacing w:before="60" w:after="60"/>
            </w:pPr>
            <w:r>
              <w:rPr>
                <w:rFonts w:ascii="Calibri" w:hAnsi="Calibri"/>
                <w:szCs w:val="22"/>
              </w:rPr>
              <w:t>RESEARCH REFERENCE NUMBERS</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983E" w14:textId="77777777" w:rsidR="007C525D" w:rsidRDefault="007C525D">
            <w:pPr>
              <w:widowControl w:val="0"/>
              <w:spacing w:before="60" w:after="60"/>
              <w:rPr>
                <w:rFonts w:ascii="Calibri" w:hAnsi="Calibri"/>
                <w:color w:val="0000FF"/>
                <w:szCs w:val="22"/>
              </w:rPr>
            </w:pPr>
          </w:p>
        </w:tc>
      </w:tr>
      <w:tr w:rsidR="007C525D" w14:paraId="7CE1AC95"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5C21" w14:textId="77777777" w:rsidR="007C525D" w:rsidRDefault="007C757A">
            <w:pPr>
              <w:widowControl w:val="0"/>
              <w:spacing w:before="60" w:after="60"/>
            </w:pPr>
            <w:r>
              <w:rPr>
                <w:rFonts w:ascii="Calibri" w:hAnsi="Calibri"/>
                <w:szCs w:val="22"/>
              </w:rPr>
              <w:t>SIGNATURE PAGE</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283E" w14:textId="77777777" w:rsidR="007C525D" w:rsidRDefault="007C525D">
            <w:pPr>
              <w:widowControl w:val="0"/>
              <w:spacing w:before="60" w:after="60"/>
              <w:rPr>
                <w:rFonts w:ascii="Calibri" w:hAnsi="Calibri"/>
                <w:color w:val="0000FF"/>
                <w:szCs w:val="22"/>
              </w:rPr>
            </w:pPr>
          </w:p>
        </w:tc>
      </w:tr>
      <w:tr w:rsidR="007C525D" w14:paraId="0BCD11F9"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DD11" w14:textId="77777777" w:rsidR="007C525D" w:rsidRDefault="007C757A">
            <w:pPr>
              <w:widowControl w:val="0"/>
              <w:spacing w:before="60" w:after="60"/>
            </w:pPr>
            <w:r>
              <w:rPr>
                <w:rFonts w:ascii="Calibri" w:hAnsi="Calibri"/>
                <w:szCs w:val="22"/>
              </w:rPr>
              <w:t>KEY TRIAL CONTACTS</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C8A4" w14:textId="77777777" w:rsidR="007C525D" w:rsidRDefault="007C525D">
            <w:pPr>
              <w:widowControl w:val="0"/>
              <w:spacing w:before="60" w:after="60"/>
              <w:rPr>
                <w:rFonts w:ascii="Calibri" w:hAnsi="Calibri"/>
                <w:color w:val="0000FF"/>
                <w:szCs w:val="22"/>
              </w:rPr>
            </w:pPr>
          </w:p>
        </w:tc>
      </w:tr>
      <w:tr w:rsidR="007C525D" w14:paraId="5D64D55C"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417E" w14:textId="77777777" w:rsidR="007C525D" w:rsidRDefault="007C757A">
            <w:pPr>
              <w:widowControl w:val="0"/>
              <w:spacing w:before="60" w:after="60"/>
            </w:pPr>
            <w:r>
              <w:rPr>
                <w:rFonts w:ascii="Calibri" w:hAnsi="Calibri"/>
                <w:szCs w:val="22"/>
              </w:rPr>
              <w:t>i. LIST of CONTENTS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55EA" w14:textId="77777777" w:rsidR="007C525D" w:rsidRDefault="007C525D">
            <w:pPr>
              <w:widowControl w:val="0"/>
              <w:spacing w:before="60" w:after="60"/>
              <w:rPr>
                <w:rFonts w:ascii="Calibri" w:hAnsi="Calibri"/>
                <w:color w:val="0000FF"/>
                <w:szCs w:val="22"/>
              </w:rPr>
            </w:pPr>
          </w:p>
        </w:tc>
      </w:tr>
      <w:tr w:rsidR="007C525D" w14:paraId="3B1D8898"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2515" w14:textId="77777777" w:rsidR="007C525D" w:rsidRDefault="007C757A">
            <w:pPr>
              <w:widowControl w:val="0"/>
              <w:spacing w:before="60" w:after="60"/>
            </w:pPr>
            <w:r>
              <w:rPr>
                <w:rFonts w:ascii="Calibri" w:hAnsi="Calibri"/>
                <w:szCs w:val="22"/>
              </w:rPr>
              <w:t>ii. LIST OF ABBREVIATIONS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D575F" w14:textId="77777777" w:rsidR="007C525D" w:rsidRDefault="007C525D">
            <w:pPr>
              <w:widowControl w:val="0"/>
              <w:spacing w:before="60" w:after="60"/>
              <w:rPr>
                <w:rFonts w:ascii="Calibri" w:hAnsi="Calibri"/>
                <w:color w:val="0000FF"/>
                <w:szCs w:val="22"/>
              </w:rPr>
            </w:pPr>
          </w:p>
        </w:tc>
      </w:tr>
      <w:tr w:rsidR="007C525D" w14:paraId="4822FF23"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F01B" w14:textId="77777777" w:rsidR="007C525D" w:rsidRDefault="007C757A">
            <w:pPr>
              <w:widowControl w:val="0"/>
              <w:spacing w:before="60" w:after="60"/>
            </w:pPr>
            <w:r>
              <w:rPr>
                <w:rFonts w:ascii="Calibri" w:hAnsi="Calibri"/>
                <w:szCs w:val="22"/>
              </w:rPr>
              <w:t>iii. TRIAL SUMMARY</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212F" w14:textId="77777777" w:rsidR="007C525D" w:rsidRDefault="007C525D">
            <w:pPr>
              <w:widowControl w:val="0"/>
              <w:spacing w:before="60" w:after="60"/>
              <w:rPr>
                <w:rFonts w:ascii="Calibri" w:hAnsi="Calibri"/>
                <w:color w:val="0000FF"/>
                <w:szCs w:val="22"/>
              </w:rPr>
            </w:pPr>
          </w:p>
        </w:tc>
      </w:tr>
      <w:tr w:rsidR="007C525D" w14:paraId="1FC10E25"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AD52" w14:textId="77777777" w:rsidR="007C525D" w:rsidRDefault="007C757A">
            <w:pPr>
              <w:widowControl w:val="0"/>
              <w:spacing w:before="60" w:after="60"/>
            </w:pPr>
            <w:r>
              <w:rPr>
                <w:rFonts w:ascii="Calibri" w:hAnsi="Calibri"/>
                <w:szCs w:val="22"/>
              </w:rPr>
              <w:t>iv. FUNDING</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E0D4" w14:textId="77777777" w:rsidR="007C525D" w:rsidRDefault="007C525D">
            <w:pPr>
              <w:widowControl w:val="0"/>
              <w:spacing w:before="60" w:after="60"/>
              <w:rPr>
                <w:rFonts w:ascii="Calibri" w:hAnsi="Calibri"/>
                <w:color w:val="0000FF"/>
                <w:szCs w:val="22"/>
              </w:rPr>
            </w:pPr>
          </w:p>
        </w:tc>
      </w:tr>
      <w:tr w:rsidR="007C525D" w14:paraId="17738084"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5A50" w14:textId="77777777" w:rsidR="007C525D" w:rsidRDefault="007C757A">
            <w:pPr>
              <w:widowControl w:val="0"/>
              <w:spacing w:before="60" w:after="60"/>
            </w:pPr>
            <w:r>
              <w:rPr>
                <w:rFonts w:ascii="Calibri" w:hAnsi="Calibri"/>
                <w:szCs w:val="22"/>
              </w:rPr>
              <w:t xml:space="preserve">v. ROLES &amp; RESPONSIBILITIES OF TRIAL MANAGEMENT COMMITTEES, GROUPS AND INDIVIDUALS </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83BC" w14:textId="77777777" w:rsidR="007C525D" w:rsidRDefault="007C525D">
            <w:pPr>
              <w:widowControl w:val="0"/>
              <w:spacing w:before="60" w:after="60"/>
              <w:rPr>
                <w:rFonts w:ascii="Calibri" w:hAnsi="Calibri"/>
                <w:color w:val="0000FF"/>
                <w:szCs w:val="22"/>
              </w:rPr>
            </w:pPr>
          </w:p>
        </w:tc>
      </w:tr>
      <w:tr w:rsidR="007C525D" w14:paraId="5A2BF7D3"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0ACA" w14:textId="77777777" w:rsidR="007C525D" w:rsidRDefault="007C757A">
            <w:pPr>
              <w:widowControl w:val="0"/>
              <w:spacing w:before="60" w:after="60"/>
            </w:pPr>
            <w:r>
              <w:rPr>
                <w:rFonts w:ascii="Calibri" w:hAnsi="Calibri"/>
                <w:szCs w:val="22"/>
              </w:rPr>
              <w:t>vi, PROTOCOL CONTRIBUTERS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C21E" w14:textId="77777777" w:rsidR="007C525D" w:rsidRDefault="007C525D">
            <w:pPr>
              <w:widowControl w:val="0"/>
              <w:spacing w:before="60" w:after="60"/>
              <w:rPr>
                <w:rFonts w:ascii="Calibri" w:hAnsi="Calibri"/>
                <w:color w:val="0000FF"/>
                <w:szCs w:val="22"/>
              </w:rPr>
            </w:pPr>
          </w:p>
        </w:tc>
      </w:tr>
      <w:tr w:rsidR="007C525D" w14:paraId="208EE972"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4E77" w14:textId="77777777" w:rsidR="007C525D" w:rsidRDefault="007C757A">
            <w:pPr>
              <w:widowControl w:val="0"/>
              <w:spacing w:before="60" w:after="60"/>
            </w:pPr>
            <w:r>
              <w:rPr>
                <w:rFonts w:ascii="Calibri" w:hAnsi="Calibri"/>
                <w:szCs w:val="22"/>
              </w:rPr>
              <w:t>vii. TRIAL FLOW CHART</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0BE4" w14:textId="77777777" w:rsidR="007C525D" w:rsidRDefault="007C525D">
            <w:pPr>
              <w:widowControl w:val="0"/>
              <w:spacing w:before="60" w:after="60"/>
              <w:rPr>
                <w:rFonts w:ascii="Calibri" w:hAnsi="Calibri"/>
                <w:color w:val="0000FF"/>
                <w:szCs w:val="22"/>
              </w:rPr>
            </w:pPr>
          </w:p>
        </w:tc>
      </w:tr>
      <w:tr w:rsidR="007C525D" w14:paraId="4B23E767" w14:textId="77777777">
        <w:tc>
          <w:tcPr>
            <w:tcW w:w="10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E760F" w14:textId="77777777" w:rsidR="007C525D" w:rsidRDefault="007C757A">
            <w:pPr>
              <w:widowControl w:val="0"/>
              <w:spacing w:before="60" w:after="60"/>
            </w:pPr>
            <w:r>
              <w:rPr>
                <w:rFonts w:ascii="Calibri" w:hAnsi="Calibri"/>
                <w:b/>
                <w:szCs w:val="22"/>
              </w:rPr>
              <w:t>SECTION</w:t>
            </w:r>
            <w:r>
              <w:rPr>
                <w:rFonts w:ascii="Calibri" w:hAnsi="Calibri"/>
                <w:szCs w:val="22"/>
              </w:rPr>
              <w:t xml:space="preserve"> </w:t>
            </w:r>
          </w:p>
        </w:tc>
      </w:tr>
      <w:tr w:rsidR="007C525D" w14:paraId="75DE750E"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3EF9" w14:textId="77777777" w:rsidR="007C525D" w:rsidRDefault="007C757A">
            <w:pPr>
              <w:widowControl w:val="0"/>
              <w:spacing w:before="60" w:after="60"/>
            </w:pPr>
            <w:r>
              <w:rPr>
                <w:rFonts w:ascii="Calibri" w:hAnsi="Calibri"/>
                <w:szCs w:val="22"/>
              </w:rPr>
              <w:t>1. BACKGROUND</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A729" w14:textId="77777777" w:rsidR="007C525D" w:rsidRDefault="007C525D">
            <w:pPr>
              <w:widowControl w:val="0"/>
              <w:spacing w:before="60" w:after="60"/>
              <w:rPr>
                <w:rFonts w:ascii="Calibri" w:hAnsi="Calibri"/>
                <w:color w:val="0000FF"/>
                <w:szCs w:val="22"/>
              </w:rPr>
            </w:pPr>
          </w:p>
        </w:tc>
      </w:tr>
      <w:tr w:rsidR="007C525D" w14:paraId="42F7A619"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9DE2" w14:textId="77777777" w:rsidR="007C525D" w:rsidRDefault="007C757A">
            <w:pPr>
              <w:widowControl w:val="0"/>
              <w:spacing w:before="60" w:after="60"/>
            </w:pPr>
            <w:r>
              <w:rPr>
                <w:rFonts w:ascii="Calibri" w:hAnsi="Calibri"/>
                <w:szCs w:val="22"/>
              </w:rPr>
              <w:t>2. RATIONALE</w:t>
            </w:r>
            <w:r>
              <w:rPr>
                <w:rFonts w:ascii="Calibri" w:hAnsi="Calibri"/>
                <w:szCs w:val="22"/>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EB5A" w14:textId="77777777" w:rsidR="007C525D" w:rsidRDefault="007C525D">
            <w:pPr>
              <w:widowControl w:val="0"/>
              <w:spacing w:before="60" w:after="60"/>
              <w:rPr>
                <w:rFonts w:ascii="Calibri" w:hAnsi="Calibri"/>
                <w:color w:val="0000FF"/>
                <w:szCs w:val="22"/>
              </w:rPr>
            </w:pPr>
          </w:p>
        </w:tc>
      </w:tr>
      <w:tr w:rsidR="007C525D" w14:paraId="0F594582"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F515" w14:textId="77777777" w:rsidR="007C525D" w:rsidRDefault="007C757A">
            <w:pPr>
              <w:widowControl w:val="0"/>
              <w:spacing w:before="60" w:after="60"/>
            </w:pPr>
            <w:r>
              <w:rPr>
                <w:rFonts w:ascii="Calibri" w:hAnsi="Calibri"/>
                <w:szCs w:val="22"/>
              </w:rPr>
              <w:t xml:space="preserve">3. OBJECTIVES AND OUTCOME MEASURES/ENDPOINTS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04F7" w14:textId="77777777" w:rsidR="007C525D" w:rsidRDefault="007C525D">
            <w:pPr>
              <w:widowControl w:val="0"/>
              <w:spacing w:before="60" w:after="60"/>
              <w:rPr>
                <w:rFonts w:ascii="Calibri" w:hAnsi="Calibri"/>
                <w:szCs w:val="22"/>
              </w:rPr>
            </w:pPr>
          </w:p>
        </w:tc>
      </w:tr>
      <w:tr w:rsidR="007C525D" w14:paraId="6AFD72CE"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C5488" w14:textId="77777777" w:rsidR="007C525D" w:rsidRDefault="007C757A">
            <w:pPr>
              <w:widowControl w:val="0"/>
              <w:tabs>
                <w:tab w:val="right" w:leader="dot" w:pos="9248"/>
              </w:tabs>
              <w:spacing w:before="60" w:after="60"/>
              <w:ind w:right="-18"/>
            </w:pPr>
            <w:r>
              <w:rPr>
                <w:rFonts w:ascii="Calibri" w:hAnsi="Calibri"/>
                <w:szCs w:val="22"/>
              </w:rPr>
              <w:t>4. TRIAL DESIGN</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CA1C" w14:textId="77777777" w:rsidR="007C525D" w:rsidRDefault="007C525D">
            <w:pPr>
              <w:widowControl w:val="0"/>
              <w:spacing w:before="60" w:after="60"/>
              <w:rPr>
                <w:rFonts w:ascii="Calibri" w:hAnsi="Calibri"/>
                <w:szCs w:val="22"/>
              </w:rPr>
            </w:pPr>
          </w:p>
        </w:tc>
      </w:tr>
      <w:tr w:rsidR="007C525D" w14:paraId="0EA58661"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327D" w14:textId="77777777" w:rsidR="007C525D" w:rsidRDefault="007C757A">
            <w:pPr>
              <w:widowControl w:val="0"/>
              <w:tabs>
                <w:tab w:val="right" w:leader="dot" w:pos="9248"/>
              </w:tabs>
              <w:spacing w:before="60" w:after="60"/>
              <w:ind w:right="-18"/>
            </w:pPr>
            <w:r>
              <w:rPr>
                <w:rFonts w:ascii="Calibri" w:hAnsi="Calibri"/>
                <w:szCs w:val="22"/>
              </w:rPr>
              <w:t>5. TRIAL SETTING</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9D62" w14:textId="77777777" w:rsidR="007C525D" w:rsidRDefault="007C525D">
            <w:pPr>
              <w:widowControl w:val="0"/>
              <w:spacing w:before="60" w:after="60"/>
              <w:rPr>
                <w:rFonts w:ascii="Calibri" w:hAnsi="Calibri"/>
                <w:szCs w:val="22"/>
              </w:rPr>
            </w:pPr>
          </w:p>
        </w:tc>
      </w:tr>
      <w:tr w:rsidR="007C525D" w14:paraId="65F5EF29"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FF8A" w14:textId="77777777" w:rsidR="007C525D" w:rsidRDefault="007C757A">
            <w:pPr>
              <w:widowControl w:val="0"/>
              <w:tabs>
                <w:tab w:val="right" w:leader="dot" w:pos="9248"/>
              </w:tabs>
              <w:spacing w:before="60" w:after="60"/>
              <w:ind w:right="-18"/>
            </w:pPr>
            <w:r>
              <w:rPr>
                <w:rFonts w:ascii="Calibri" w:hAnsi="Calibri"/>
                <w:szCs w:val="22"/>
              </w:rPr>
              <w:t>6. PARTICIPANT ELIGIBILITY CRITERIA</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5C33" w14:textId="77777777" w:rsidR="007C525D" w:rsidRDefault="007C525D">
            <w:pPr>
              <w:widowControl w:val="0"/>
              <w:spacing w:before="60" w:after="60"/>
              <w:rPr>
                <w:rFonts w:ascii="Calibri" w:hAnsi="Calibri"/>
                <w:szCs w:val="22"/>
              </w:rPr>
            </w:pPr>
          </w:p>
        </w:tc>
      </w:tr>
      <w:tr w:rsidR="007C525D" w14:paraId="59A24C69"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E18C" w14:textId="77777777" w:rsidR="007C525D" w:rsidRDefault="007C757A">
            <w:pPr>
              <w:widowControl w:val="0"/>
              <w:tabs>
                <w:tab w:val="right" w:leader="dot" w:pos="9248"/>
              </w:tabs>
              <w:spacing w:before="60" w:after="60"/>
              <w:ind w:right="-18"/>
            </w:pPr>
            <w:r>
              <w:rPr>
                <w:rFonts w:ascii="Calibri" w:hAnsi="Calibri"/>
                <w:szCs w:val="22"/>
              </w:rPr>
              <w:t>7. TRIAL PROCEDURES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6FAF" w14:textId="77777777" w:rsidR="007C525D" w:rsidRDefault="007C525D">
            <w:pPr>
              <w:widowControl w:val="0"/>
              <w:spacing w:before="60" w:after="60"/>
              <w:rPr>
                <w:rFonts w:ascii="Calibri" w:hAnsi="Calibri"/>
                <w:szCs w:val="22"/>
              </w:rPr>
            </w:pPr>
          </w:p>
        </w:tc>
      </w:tr>
      <w:tr w:rsidR="007C525D" w14:paraId="5F49554F"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4F0E" w14:textId="77777777" w:rsidR="007C525D" w:rsidRDefault="007C757A">
            <w:pPr>
              <w:widowControl w:val="0"/>
              <w:tabs>
                <w:tab w:val="right" w:leader="dot" w:pos="9248"/>
              </w:tabs>
              <w:spacing w:before="60" w:after="60"/>
              <w:ind w:right="-18"/>
            </w:pPr>
            <w:r>
              <w:rPr>
                <w:rFonts w:ascii="Calibri" w:hAnsi="Calibri"/>
                <w:szCs w:val="22"/>
              </w:rPr>
              <w:t>8. TRIAL TREATMENTS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B00B" w14:textId="77777777" w:rsidR="007C525D" w:rsidRDefault="007C525D">
            <w:pPr>
              <w:widowControl w:val="0"/>
              <w:spacing w:before="60" w:after="60"/>
              <w:rPr>
                <w:rFonts w:ascii="Calibri" w:hAnsi="Calibri"/>
                <w:szCs w:val="22"/>
              </w:rPr>
            </w:pPr>
          </w:p>
        </w:tc>
      </w:tr>
      <w:tr w:rsidR="007C525D" w14:paraId="37D6B300"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A433" w14:textId="77777777" w:rsidR="007C525D" w:rsidRDefault="007C757A">
            <w:pPr>
              <w:widowControl w:val="0"/>
              <w:tabs>
                <w:tab w:val="right" w:leader="dot" w:pos="9248"/>
              </w:tabs>
              <w:spacing w:before="60" w:after="60"/>
              <w:ind w:right="-18"/>
            </w:pPr>
            <w:r>
              <w:rPr>
                <w:rFonts w:ascii="Calibri" w:hAnsi="Calibri"/>
                <w:szCs w:val="22"/>
              </w:rPr>
              <w:t>9. PHARMACOVIGILANCE</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C99" w14:textId="77777777" w:rsidR="007C525D" w:rsidRDefault="007C525D">
            <w:pPr>
              <w:widowControl w:val="0"/>
              <w:spacing w:before="60" w:after="60"/>
              <w:rPr>
                <w:rFonts w:ascii="Calibri" w:hAnsi="Calibri"/>
                <w:szCs w:val="22"/>
              </w:rPr>
            </w:pPr>
          </w:p>
        </w:tc>
      </w:tr>
      <w:tr w:rsidR="007C525D" w14:paraId="70E5F13F"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E5EF" w14:textId="77777777" w:rsidR="007C525D" w:rsidRDefault="007C757A">
            <w:pPr>
              <w:widowControl w:val="0"/>
              <w:tabs>
                <w:tab w:val="right" w:leader="dot" w:pos="9248"/>
              </w:tabs>
              <w:spacing w:before="60" w:after="60"/>
              <w:ind w:right="-18"/>
            </w:pPr>
            <w:r>
              <w:rPr>
                <w:rFonts w:ascii="Calibri" w:hAnsi="Calibri"/>
                <w:szCs w:val="22"/>
              </w:rPr>
              <w:t>10. STATISTICS AND DATA ANALYSIS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E0FC" w14:textId="77777777" w:rsidR="007C525D" w:rsidRDefault="007C525D">
            <w:pPr>
              <w:widowControl w:val="0"/>
              <w:spacing w:before="60" w:after="60"/>
              <w:rPr>
                <w:rFonts w:ascii="Calibri" w:hAnsi="Calibri"/>
                <w:szCs w:val="22"/>
              </w:rPr>
            </w:pPr>
          </w:p>
        </w:tc>
      </w:tr>
      <w:tr w:rsidR="007C525D" w14:paraId="1EEEC5B0"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4E596" w14:textId="77777777" w:rsidR="007C525D" w:rsidRDefault="007C757A">
            <w:pPr>
              <w:widowControl w:val="0"/>
              <w:tabs>
                <w:tab w:val="right" w:leader="dot" w:pos="9248"/>
              </w:tabs>
              <w:spacing w:before="60" w:after="60"/>
              <w:ind w:right="-18"/>
            </w:pPr>
            <w:r>
              <w:rPr>
                <w:rFonts w:ascii="Calibri" w:hAnsi="Calibri"/>
                <w:szCs w:val="22"/>
              </w:rPr>
              <w:t xml:space="preserve">11. </w:t>
            </w:r>
            <w:r>
              <w:rPr>
                <w:rFonts w:ascii="Calibri" w:hAnsi="Calibri"/>
                <w:bCs/>
                <w:szCs w:val="22"/>
              </w:rPr>
              <w:t xml:space="preserve">DATA MANAGEMENT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9450" w14:textId="77777777" w:rsidR="007C525D" w:rsidRDefault="007C525D">
            <w:pPr>
              <w:widowControl w:val="0"/>
              <w:spacing w:before="60" w:after="60"/>
              <w:rPr>
                <w:rFonts w:ascii="Calibri" w:hAnsi="Calibri"/>
                <w:szCs w:val="22"/>
              </w:rPr>
            </w:pPr>
          </w:p>
        </w:tc>
      </w:tr>
      <w:tr w:rsidR="007C525D" w14:paraId="120371AD"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B7E5" w14:textId="77777777" w:rsidR="007C525D" w:rsidRDefault="007C757A">
            <w:pPr>
              <w:widowControl w:val="0"/>
              <w:tabs>
                <w:tab w:val="right" w:leader="dot" w:pos="9248"/>
              </w:tabs>
              <w:spacing w:before="60" w:after="60"/>
              <w:ind w:right="-18"/>
            </w:pPr>
            <w:r>
              <w:rPr>
                <w:rFonts w:ascii="Calibri" w:hAnsi="Calibri"/>
                <w:szCs w:val="22"/>
              </w:rPr>
              <w:t>12.</w:t>
            </w:r>
            <w:r>
              <w:rPr>
                <w:rFonts w:ascii="Calibri" w:hAnsi="Calibri"/>
                <w:spacing w:val="-3"/>
                <w:szCs w:val="22"/>
              </w:rPr>
              <w:t xml:space="preserve"> MONITORING, AUDIT &amp; INSPECTION</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A68E" w14:textId="77777777" w:rsidR="007C525D" w:rsidRDefault="007C525D">
            <w:pPr>
              <w:widowControl w:val="0"/>
              <w:spacing w:before="60" w:after="60"/>
              <w:rPr>
                <w:rFonts w:ascii="Calibri" w:hAnsi="Calibri"/>
                <w:szCs w:val="22"/>
              </w:rPr>
            </w:pPr>
          </w:p>
        </w:tc>
      </w:tr>
      <w:tr w:rsidR="007C525D" w14:paraId="3513F6D0"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B664" w14:textId="77777777" w:rsidR="007C525D" w:rsidRDefault="007C757A">
            <w:pPr>
              <w:widowControl w:val="0"/>
              <w:tabs>
                <w:tab w:val="right" w:leader="dot" w:pos="9248"/>
              </w:tabs>
              <w:spacing w:before="60" w:after="60"/>
              <w:ind w:right="-18"/>
            </w:pPr>
            <w:proofErr w:type="gramStart"/>
            <w:r>
              <w:rPr>
                <w:rFonts w:ascii="Calibri" w:hAnsi="Calibri"/>
                <w:szCs w:val="22"/>
              </w:rPr>
              <w:t>13  ETHICAL</w:t>
            </w:r>
            <w:proofErr w:type="gramEnd"/>
            <w:r>
              <w:rPr>
                <w:rFonts w:ascii="Calibri" w:hAnsi="Calibri"/>
                <w:szCs w:val="22"/>
              </w:rPr>
              <w:t xml:space="preserve"> AND REGULATORY CONSIDERATIONS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DEB2D" w14:textId="77777777" w:rsidR="007C525D" w:rsidRDefault="007C525D">
            <w:pPr>
              <w:widowControl w:val="0"/>
              <w:spacing w:before="60" w:after="60"/>
              <w:rPr>
                <w:rFonts w:ascii="Calibri" w:hAnsi="Calibri"/>
                <w:szCs w:val="22"/>
              </w:rPr>
            </w:pPr>
          </w:p>
        </w:tc>
      </w:tr>
      <w:tr w:rsidR="007C525D" w14:paraId="64C0FE86"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5EC1" w14:textId="77777777" w:rsidR="007C525D" w:rsidRDefault="007C757A">
            <w:pPr>
              <w:widowControl w:val="0"/>
              <w:tabs>
                <w:tab w:val="right" w:leader="dot" w:pos="9248"/>
              </w:tabs>
              <w:spacing w:before="60" w:after="60"/>
              <w:ind w:right="-18"/>
            </w:pPr>
            <w:r>
              <w:rPr>
                <w:rFonts w:ascii="Calibri" w:hAnsi="Calibri"/>
                <w:szCs w:val="22"/>
              </w:rPr>
              <w:t xml:space="preserve">14. </w:t>
            </w:r>
            <w:r>
              <w:rPr>
                <w:rFonts w:ascii="Calibri" w:hAnsi="Calibri"/>
                <w:spacing w:val="-3"/>
                <w:szCs w:val="22"/>
              </w:rPr>
              <w:t>DISSEMINATION POLICY</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001B" w14:textId="77777777" w:rsidR="007C525D" w:rsidRDefault="007C525D">
            <w:pPr>
              <w:widowControl w:val="0"/>
              <w:spacing w:before="60" w:after="60"/>
              <w:rPr>
                <w:rFonts w:ascii="Calibri" w:hAnsi="Calibri"/>
                <w:szCs w:val="22"/>
              </w:rPr>
            </w:pPr>
          </w:p>
        </w:tc>
      </w:tr>
      <w:tr w:rsidR="007C525D" w14:paraId="466BD50D"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381D" w14:textId="77777777" w:rsidR="007C525D" w:rsidRDefault="007C757A">
            <w:pPr>
              <w:widowControl w:val="0"/>
              <w:tabs>
                <w:tab w:val="right" w:leader="dot" w:pos="9248"/>
              </w:tabs>
              <w:spacing w:before="60" w:after="60"/>
              <w:ind w:right="-18"/>
            </w:pPr>
            <w:r>
              <w:rPr>
                <w:rFonts w:ascii="Calibri" w:hAnsi="Calibri"/>
                <w:szCs w:val="22"/>
              </w:rPr>
              <w:t xml:space="preserve">15. </w:t>
            </w:r>
            <w:r>
              <w:rPr>
                <w:rFonts w:ascii="Calibri" w:hAnsi="Calibri"/>
                <w:spacing w:val="-3"/>
                <w:szCs w:val="22"/>
              </w:rPr>
              <w:t>REFERENCES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9DC7" w14:textId="77777777" w:rsidR="007C525D" w:rsidRDefault="007C525D">
            <w:pPr>
              <w:widowControl w:val="0"/>
              <w:spacing w:before="60" w:after="60"/>
              <w:rPr>
                <w:rFonts w:ascii="Calibri" w:hAnsi="Calibri"/>
                <w:szCs w:val="22"/>
              </w:rPr>
            </w:pPr>
          </w:p>
        </w:tc>
      </w:tr>
      <w:tr w:rsidR="007C525D" w14:paraId="2A143589" w14:textId="77777777">
        <w:tc>
          <w:tcPr>
            <w:tcW w:w="9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3402" w14:textId="77777777" w:rsidR="007C525D" w:rsidRDefault="007C757A">
            <w:pPr>
              <w:widowControl w:val="0"/>
              <w:tabs>
                <w:tab w:val="right" w:leader="dot" w:pos="9248"/>
              </w:tabs>
              <w:spacing w:before="60" w:after="60"/>
              <w:ind w:right="-18"/>
            </w:pPr>
            <w:r>
              <w:rPr>
                <w:rFonts w:ascii="Calibri" w:hAnsi="Calibri"/>
                <w:szCs w:val="22"/>
              </w:rPr>
              <w:t xml:space="preserve">16. </w:t>
            </w:r>
            <w:r>
              <w:rPr>
                <w:rFonts w:ascii="Calibri" w:hAnsi="Calibri"/>
                <w:spacing w:val="-3"/>
                <w:szCs w:val="22"/>
              </w:rPr>
              <w:t>APPENDICIES</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F3DC" w14:textId="77777777" w:rsidR="007C525D" w:rsidRDefault="007C525D">
            <w:pPr>
              <w:widowControl w:val="0"/>
              <w:spacing w:before="60" w:after="60"/>
              <w:rPr>
                <w:rFonts w:ascii="Calibri" w:hAnsi="Calibri"/>
                <w:szCs w:val="22"/>
              </w:rPr>
            </w:pPr>
          </w:p>
        </w:tc>
      </w:tr>
    </w:tbl>
    <w:p w14:paraId="645690EC" w14:textId="77777777" w:rsidR="007C525D" w:rsidRDefault="007C757A">
      <w:pPr>
        <w:pStyle w:val="Heading1"/>
        <w:rPr>
          <w:rFonts w:ascii="Calibri" w:hAnsi="Calibri"/>
          <w:bCs w:val="0"/>
          <w:color w:val="auto"/>
          <w:sz w:val="22"/>
          <w:szCs w:val="22"/>
        </w:rPr>
      </w:pPr>
      <w:r>
        <w:rPr>
          <w:rFonts w:ascii="Calibri" w:hAnsi="Calibri"/>
          <w:bCs w:val="0"/>
          <w:color w:val="auto"/>
          <w:sz w:val="22"/>
          <w:szCs w:val="22"/>
        </w:rPr>
        <w:lastRenderedPageBreak/>
        <w:t>ii.  LIST OF ABBREVIATIONS</w:t>
      </w:r>
    </w:p>
    <w:p w14:paraId="6802AADD" w14:textId="77777777" w:rsidR="007C525D" w:rsidRDefault="007C757A">
      <w:pPr>
        <w:rPr>
          <w:rFonts w:ascii="Calibri" w:hAnsi="Calibri"/>
          <w:i/>
          <w:szCs w:val="22"/>
        </w:rPr>
      </w:pPr>
      <w:r>
        <w:rPr>
          <w:rFonts w:ascii="Calibri" w:hAnsi="Calibri"/>
          <w:i/>
          <w:szCs w:val="22"/>
        </w:rPr>
        <w:t>Define all unusual or ‘technical’ terms related to the trial.  Add or delete as appropriate to your trial.  Maintain alphabetical order for ease of reference.</w:t>
      </w:r>
    </w:p>
    <w:p w14:paraId="4961C729" w14:textId="77777777" w:rsidR="007C525D" w:rsidRDefault="007C757A">
      <w:pPr>
        <w:pBdr>
          <w:top w:val="single" w:sz="4" w:space="1" w:color="000000"/>
          <w:left w:val="single" w:sz="4" w:space="1" w:color="000000"/>
          <w:bottom w:val="single" w:sz="4" w:space="1" w:color="000000"/>
          <w:right w:val="single" w:sz="4" w:space="1" w:color="000000"/>
        </w:pBdr>
        <w:shd w:val="clear" w:color="auto" w:fill="00B050"/>
        <w:tabs>
          <w:tab w:val="left" w:pos="3870"/>
        </w:tabs>
        <w:rPr>
          <w:rFonts w:ascii="Calibri" w:hAnsi="Calibri"/>
          <w:color w:val="FFFFFF"/>
          <w:szCs w:val="22"/>
        </w:rPr>
      </w:pPr>
      <w:r>
        <w:rPr>
          <w:rFonts w:ascii="Calibri" w:hAnsi="Calibri"/>
          <w:color w:val="FFFFFF"/>
          <w:szCs w:val="22"/>
        </w:rPr>
        <w:t>ii. LIST OF ABBREVIATIONS</w:t>
      </w:r>
    </w:p>
    <w:p w14:paraId="472258CB" w14:textId="77777777" w:rsidR="007C525D" w:rsidRDefault="007C757A">
      <w:pPr>
        <w:pBdr>
          <w:top w:val="single" w:sz="4" w:space="1" w:color="000000"/>
          <w:left w:val="single" w:sz="4" w:space="1" w:color="000000"/>
          <w:bottom w:val="single" w:sz="4" w:space="1" w:color="000000"/>
          <w:right w:val="single" w:sz="4" w:space="1" w:color="000000"/>
        </w:pBdr>
        <w:tabs>
          <w:tab w:val="left" w:pos="1957"/>
          <w:tab w:val="left" w:pos="3870"/>
        </w:tabs>
        <w:rPr>
          <w:rFonts w:ascii="Calibri" w:hAnsi="Calibri"/>
          <w:szCs w:val="22"/>
        </w:rPr>
      </w:pPr>
      <w:r>
        <w:rPr>
          <w:rFonts w:ascii="Calibri" w:hAnsi="Calibri"/>
          <w:szCs w:val="22"/>
        </w:rPr>
        <w:t>AE</w:t>
      </w:r>
      <w:r>
        <w:rPr>
          <w:rFonts w:ascii="Calibri" w:hAnsi="Calibri"/>
          <w:szCs w:val="22"/>
        </w:rPr>
        <w:tab/>
      </w:r>
      <w:r>
        <w:rPr>
          <w:rFonts w:ascii="Calibri" w:hAnsi="Calibri"/>
          <w:szCs w:val="22"/>
        </w:rPr>
        <w:tab/>
        <w:t>Adverse Events</w:t>
      </w:r>
    </w:p>
    <w:p w14:paraId="0BB548FA"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AR</w:t>
      </w:r>
      <w:r>
        <w:rPr>
          <w:rFonts w:ascii="Calibri" w:hAnsi="Calibri"/>
          <w:szCs w:val="22"/>
        </w:rPr>
        <w:tab/>
        <w:t>Adverse Reaction</w:t>
      </w:r>
    </w:p>
    <w:p w14:paraId="44BD6182"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rPr>
        <w:t xml:space="preserve">AESI                                                                      </w:t>
      </w:r>
      <w:r>
        <w:rPr>
          <w:rFonts w:ascii="Calibri" w:hAnsi="Calibri"/>
          <w:szCs w:val="22"/>
        </w:rPr>
        <w:t>Adverse Events of Special Interest</w:t>
      </w:r>
    </w:p>
    <w:p w14:paraId="30528508"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CHIS                                                                      Child health information systems</w:t>
      </w:r>
    </w:p>
    <w:p w14:paraId="68C63E59"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CI</w:t>
      </w:r>
      <w:r>
        <w:rPr>
          <w:rFonts w:ascii="Calibri" w:hAnsi="Calibri"/>
          <w:szCs w:val="22"/>
        </w:rPr>
        <w:tab/>
        <w:t>Chief Investigator</w:t>
      </w:r>
    </w:p>
    <w:p w14:paraId="1852D040"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CRF</w:t>
      </w:r>
      <w:r>
        <w:rPr>
          <w:rFonts w:ascii="Calibri" w:hAnsi="Calibri"/>
          <w:szCs w:val="22"/>
        </w:rPr>
        <w:tab/>
        <w:t>Case Report Form</w:t>
      </w:r>
      <w:r>
        <w:rPr>
          <w:rFonts w:ascii="Calibri" w:hAnsi="Calibri"/>
          <w:szCs w:val="22"/>
        </w:rPr>
        <w:tab/>
      </w:r>
    </w:p>
    <w:p w14:paraId="3C0BDAA7"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DMC</w:t>
      </w:r>
      <w:r>
        <w:rPr>
          <w:rFonts w:ascii="Calibri" w:hAnsi="Calibri"/>
          <w:szCs w:val="22"/>
        </w:rPr>
        <w:tab/>
        <w:t>Data Monitoring Committee</w:t>
      </w:r>
    </w:p>
    <w:p w14:paraId="2DD0035F"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DSUR</w:t>
      </w:r>
      <w:r>
        <w:rPr>
          <w:rFonts w:ascii="Calibri" w:hAnsi="Calibri"/>
          <w:szCs w:val="22"/>
        </w:rPr>
        <w:tab/>
        <w:t>Development Safety Update Report</w:t>
      </w:r>
    </w:p>
    <w:p w14:paraId="201E3106"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GCP</w:t>
      </w:r>
      <w:r>
        <w:rPr>
          <w:rFonts w:ascii="Calibri" w:hAnsi="Calibri"/>
          <w:szCs w:val="22"/>
        </w:rPr>
        <w:tab/>
        <w:t>Good Clinical Practice</w:t>
      </w:r>
    </w:p>
    <w:p w14:paraId="414B8108"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GMT                                                                     G</w:t>
      </w:r>
      <w:r>
        <w:rPr>
          <w:rFonts w:ascii="Calibri" w:hAnsi="Calibri"/>
          <w:szCs w:val="22"/>
          <w:lang w:eastAsia="en-GB"/>
        </w:rPr>
        <w:t xml:space="preserve">eometric mean </w:t>
      </w:r>
      <w:proofErr w:type="spellStart"/>
      <w:r>
        <w:rPr>
          <w:rFonts w:ascii="Calibri" w:hAnsi="Calibri"/>
          <w:szCs w:val="22"/>
          <w:lang w:eastAsia="en-GB"/>
        </w:rPr>
        <w:t>titers</w:t>
      </w:r>
      <w:proofErr w:type="spellEnd"/>
    </w:p>
    <w:p w14:paraId="08A1DF2F"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proofErr w:type="spellStart"/>
      <w:r>
        <w:rPr>
          <w:rFonts w:ascii="Calibri" w:hAnsi="Calibri"/>
          <w:szCs w:val="22"/>
          <w:lang w:eastAsia="en-GB"/>
        </w:rPr>
        <w:t>hSBA</w:t>
      </w:r>
      <w:proofErr w:type="spellEnd"/>
      <w:r>
        <w:rPr>
          <w:rFonts w:ascii="Calibri" w:hAnsi="Calibri"/>
          <w:szCs w:val="22"/>
          <w:lang w:eastAsia="en-GB"/>
        </w:rPr>
        <w:t xml:space="preserve">                                                                    Serum bactericidal assay using human complement</w:t>
      </w:r>
    </w:p>
    <w:p w14:paraId="44FBC84B"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ICF</w:t>
      </w:r>
      <w:r>
        <w:rPr>
          <w:rFonts w:ascii="Calibri" w:hAnsi="Calibri"/>
          <w:szCs w:val="22"/>
        </w:rPr>
        <w:tab/>
        <w:t>Informed Consent Form</w:t>
      </w:r>
    </w:p>
    <w:p w14:paraId="0A3FC442"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IMP</w:t>
      </w:r>
      <w:r>
        <w:rPr>
          <w:rFonts w:ascii="Calibri" w:hAnsi="Calibri"/>
          <w:szCs w:val="22"/>
        </w:rPr>
        <w:tab/>
        <w:t>Investigational Medicinal Product</w:t>
      </w:r>
    </w:p>
    <w:p w14:paraId="4B58D7BD"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IRAS                                                                      Integrated Research Approval System</w:t>
      </w:r>
      <w:r>
        <w:rPr>
          <w:rFonts w:ascii="Calibri" w:hAnsi="Calibri"/>
          <w:color w:val="545454"/>
          <w:sz w:val="24"/>
          <w:szCs w:val="22"/>
        </w:rPr>
        <w:t xml:space="preserve"> </w:t>
      </w:r>
    </w:p>
    <w:p w14:paraId="2A595D9B"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ISF</w:t>
      </w:r>
      <w:r>
        <w:rPr>
          <w:rFonts w:ascii="Calibri" w:hAnsi="Calibri"/>
          <w:szCs w:val="22"/>
        </w:rPr>
        <w:tab/>
        <w:t>Investigator Site File (This forms part of the TMF)</w:t>
      </w:r>
    </w:p>
    <w:p w14:paraId="4168C505"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ISRCTN</w:t>
      </w:r>
      <w:r>
        <w:rPr>
          <w:rFonts w:ascii="Calibri" w:hAnsi="Calibri"/>
          <w:szCs w:val="22"/>
        </w:rPr>
        <w:tab/>
        <w:t xml:space="preserve">International Standard Randomised Controlled Trials </w:t>
      </w:r>
      <w:r>
        <w:rPr>
          <w:rFonts w:ascii="Calibri" w:hAnsi="Calibri"/>
          <w:szCs w:val="22"/>
        </w:rPr>
        <w:tab/>
        <w:t>Number</w:t>
      </w:r>
    </w:p>
    <w:p w14:paraId="6B5B361E"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JRES                                                                      Joint Research Enterprise Service</w:t>
      </w:r>
    </w:p>
    <w:p w14:paraId="25380CEB"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MHRA</w:t>
      </w:r>
      <w:r>
        <w:rPr>
          <w:rFonts w:ascii="Calibri" w:hAnsi="Calibri"/>
          <w:szCs w:val="22"/>
        </w:rPr>
        <w:tab/>
        <w:t>Medicines and Healthcare products Regulatory Agency</w:t>
      </w:r>
    </w:p>
    <w:p w14:paraId="72545C20"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NHS R&amp;D</w:t>
      </w:r>
      <w:r>
        <w:rPr>
          <w:rFonts w:ascii="Calibri" w:hAnsi="Calibri"/>
          <w:szCs w:val="22"/>
        </w:rPr>
        <w:tab/>
        <w:t xml:space="preserve">National Health Service Research &amp; Development  </w:t>
      </w:r>
    </w:p>
    <w:p w14:paraId="295F1FC7"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NIMP</w:t>
      </w:r>
      <w:r>
        <w:rPr>
          <w:rFonts w:ascii="Calibri" w:hAnsi="Calibri"/>
          <w:szCs w:val="22"/>
        </w:rPr>
        <w:tab/>
        <w:t>Non-Investigational Medicinal Product</w:t>
      </w:r>
    </w:p>
    <w:p w14:paraId="4152DB5A"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PI</w:t>
      </w:r>
      <w:r>
        <w:rPr>
          <w:rFonts w:ascii="Calibri" w:hAnsi="Calibri"/>
          <w:szCs w:val="22"/>
        </w:rPr>
        <w:tab/>
        <w:t>Principal Investigator</w:t>
      </w:r>
    </w:p>
    <w:p w14:paraId="22B5DF2B"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PIS</w:t>
      </w:r>
      <w:r>
        <w:rPr>
          <w:rFonts w:ascii="Calibri" w:hAnsi="Calibri"/>
          <w:szCs w:val="22"/>
        </w:rPr>
        <w:tab/>
        <w:t>Participant Information Sheet</w:t>
      </w:r>
    </w:p>
    <w:p w14:paraId="363F356F"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REC</w:t>
      </w:r>
      <w:r>
        <w:rPr>
          <w:rFonts w:ascii="Calibri" w:hAnsi="Calibri"/>
          <w:szCs w:val="22"/>
        </w:rPr>
        <w:tab/>
        <w:t>Research Ethics Committee</w:t>
      </w:r>
    </w:p>
    <w:p w14:paraId="31F1C1BC"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RSI                                                                        Reference Safety Information</w:t>
      </w:r>
    </w:p>
    <w:p w14:paraId="22A21E0B"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SAE</w:t>
      </w:r>
      <w:r>
        <w:rPr>
          <w:rFonts w:ascii="Calibri" w:hAnsi="Calibri"/>
          <w:szCs w:val="22"/>
        </w:rPr>
        <w:tab/>
        <w:t>Serious Adverse Event</w:t>
      </w:r>
    </w:p>
    <w:p w14:paraId="4067502E"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SAR</w:t>
      </w:r>
      <w:r>
        <w:rPr>
          <w:rFonts w:ascii="Calibri" w:hAnsi="Calibri"/>
          <w:szCs w:val="22"/>
        </w:rPr>
        <w:tab/>
        <w:t>Serious Adverse Reaction</w:t>
      </w:r>
    </w:p>
    <w:p w14:paraId="567BD9CA"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SOP</w:t>
      </w:r>
      <w:r>
        <w:rPr>
          <w:rFonts w:ascii="Calibri" w:hAnsi="Calibri"/>
          <w:szCs w:val="22"/>
        </w:rPr>
        <w:tab/>
        <w:t xml:space="preserve">Standard Operating Procedure </w:t>
      </w:r>
    </w:p>
    <w:p w14:paraId="685EF57E"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SmPC</w:t>
      </w:r>
      <w:r>
        <w:rPr>
          <w:rFonts w:ascii="Calibri" w:hAnsi="Calibri"/>
          <w:szCs w:val="22"/>
        </w:rPr>
        <w:tab/>
        <w:t xml:space="preserve">Summary of Product Characteristics </w:t>
      </w:r>
    </w:p>
    <w:p w14:paraId="1DFCDE2F"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SUSAR</w:t>
      </w:r>
      <w:r>
        <w:rPr>
          <w:rFonts w:ascii="Calibri" w:hAnsi="Calibri"/>
          <w:szCs w:val="22"/>
        </w:rPr>
        <w:tab/>
        <w:t xml:space="preserve">Suspected Unexpected Serious Adverse Reaction </w:t>
      </w:r>
    </w:p>
    <w:p w14:paraId="08E46AC6"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rPr>
          <w:rFonts w:ascii="Calibri" w:hAnsi="Calibri"/>
          <w:szCs w:val="22"/>
        </w:rPr>
      </w:pPr>
      <w:r>
        <w:rPr>
          <w:rFonts w:ascii="Calibri" w:hAnsi="Calibri"/>
          <w:szCs w:val="22"/>
        </w:rPr>
        <w:t>TMF</w:t>
      </w:r>
      <w:r>
        <w:rPr>
          <w:rFonts w:ascii="Calibri" w:hAnsi="Calibri"/>
          <w:szCs w:val="22"/>
        </w:rPr>
        <w:tab/>
        <w:t>Trial Master File</w:t>
      </w:r>
    </w:p>
    <w:p w14:paraId="3DE0DC29" w14:textId="77777777" w:rsidR="007C525D" w:rsidRDefault="007C757A">
      <w:pPr>
        <w:pBdr>
          <w:top w:val="single" w:sz="4" w:space="1" w:color="000000"/>
          <w:left w:val="single" w:sz="4" w:space="1" w:color="000000"/>
          <w:bottom w:val="single" w:sz="4" w:space="1" w:color="000000"/>
          <w:right w:val="single" w:sz="4" w:space="1" w:color="000000"/>
        </w:pBdr>
        <w:tabs>
          <w:tab w:val="left" w:pos="3870"/>
        </w:tabs>
      </w:pPr>
      <w:r>
        <w:rPr>
          <w:rFonts w:ascii="Calibri" w:hAnsi="Calibri"/>
          <w:szCs w:val="22"/>
        </w:rPr>
        <w:t>TMG</w:t>
      </w:r>
      <w:r>
        <w:rPr>
          <w:rFonts w:ascii="Calibri" w:hAnsi="Calibri"/>
          <w:szCs w:val="22"/>
        </w:rPr>
        <w:tab/>
        <w:t>Trial Management Group</w:t>
      </w:r>
    </w:p>
    <w:p w14:paraId="766AED81" w14:textId="77777777" w:rsidR="007C525D" w:rsidRDefault="007C757A">
      <w:pPr>
        <w:pStyle w:val="Heading1"/>
        <w:spacing w:before="0" w:after="120"/>
      </w:pPr>
      <w:r>
        <w:rPr>
          <w:rFonts w:ascii="Calibri" w:hAnsi="Calibri"/>
          <w:bCs w:val="0"/>
          <w:color w:val="auto"/>
          <w:sz w:val="22"/>
          <w:szCs w:val="22"/>
        </w:rPr>
        <w:lastRenderedPageBreak/>
        <w:t xml:space="preserve">iii. </w:t>
      </w:r>
      <w:r>
        <w:rPr>
          <w:rFonts w:ascii="Calibri" w:hAnsi="Calibri"/>
          <w:color w:val="auto"/>
          <w:sz w:val="22"/>
          <w:szCs w:val="22"/>
        </w:rPr>
        <w:t>TRIAL SUMMARY</w:t>
      </w:r>
    </w:p>
    <w:tbl>
      <w:tblPr>
        <w:tblW w:w="10173" w:type="dxa"/>
        <w:tblLayout w:type="fixed"/>
        <w:tblLook w:val="04A0" w:firstRow="1" w:lastRow="0" w:firstColumn="1" w:lastColumn="0" w:noHBand="0" w:noVBand="1"/>
      </w:tblPr>
      <w:tblGrid>
        <w:gridCol w:w="3924"/>
        <w:gridCol w:w="3118"/>
        <w:gridCol w:w="3131"/>
      </w:tblGrid>
      <w:tr w:rsidR="007C525D" w14:paraId="7D84F482" w14:textId="77777777">
        <w:trPr>
          <w:trHeight w:val="385"/>
        </w:trPr>
        <w:tc>
          <w:tcPr>
            <w:tcW w:w="10173" w:type="dxa"/>
            <w:gridSpan w:val="3"/>
            <w:tcBorders>
              <w:top w:val="single" w:sz="4" w:space="0" w:color="000000"/>
              <w:left w:val="single" w:sz="4" w:space="0" w:color="000000"/>
              <w:bottom w:val="single" w:sz="4" w:space="0" w:color="000000"/>
              <w:right w:val="single" w:sz="4" w:space="0" w:color="000000"/>
            </w:tcBorders>
            <w:shd w:val="clear" w:color="auto" w:fill="00B050"/>
          </w:tcPr>
          <w:p w14:paraId="7F265B2E" w14:textId="77777777" w:rsidR="007C525D" w:rsidRDefault="007C757A">
            <w:pPr>
              <w:widowControl w:val="0"/>
              <w:rPr>
                <w:rFonts w:ascii="Calibri" w:hAnsi="Calibri"/>
                <w:color w:val="FFFFFF"/>
                <w:szCs w:val="22"/>
              </w:rPr>
            </w:pPr>
            <w:r>
              <w:rPr>
                <w:rFonts w:ascii="Calibri" w:hAnsi="Calibri"/>
                <w:color w:val="FFFFFF"/>
                <w:szCs w:val="22"/>
              </w:rPr>
              <w:t>iii. TRIAL SUMMARY</w:t>
            </w:r>
          </w:p>
        </w:tc>
      </w:tr>
      <w:tr w:rsidR="007C525D" w14:paraId="32DE9AA1" w14:textId="77777777">
        <w:trPr>
          <w:trHeight w:val="38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70A528B8" w14:textId="77777777" w:rsidR="007C525D" w:rsidRDefault="007C757A">
            <w:pPr>
              <w:widowControl w:val="0"/>
              <w:rPr>
                <w:rFonts w:ascii="Calibri" w:hAnsi="Calibri"/>
                <w:szCs w:val="22"/>
              </w:rPr>
            </w:pPr>
            <w:r>
              <w:rPr>
                <w:rFonts w:ascii="Calibri" w:hAnsi="Calibri"/>
                <w:szCs w:val="22"/>
              </w:rPr>
              <w:t>Trial Title</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0B1800AD" w14:textId="77777777" w:rsidR="007C525D" w:rsidRDefault="007C757A">
            <w:pPr>
              <w:widowControl w:val="0"/>
              <w:tabs>
                <w:tab w:val="left" w:pos="1512"/>
              </w:tabs>
            </w:pPr>
            <w:r>
              <w:rPr>
                <w:rFonts w:ascii="Calibri" w:hAnsi="Calibri"/>
                <w:b/>
                <w:szCs w:val="22"/>
                <w:lang w:eastAsia="en-GB"/>
              </w:rPr>
              <w:t>Early Protection against meningococcal disease in infants</w:t>
            </w:r>
          </w:p>
        </w:tc>
      </w:tr>
      <w:tr w:rsidR="007C525D" w14:paraId="4F8865CF" w14:textId="77777777">
        <w:trPr>
          <w:trHeight w:val="38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20DEEBA8" w14:textId="77777777" w:rsidR="007C525D" w:rsidRDefault="007C757A">
            <w:pPr>
              <w:widowControl w:val="0"/>
              <w:rPr>
                <w:rFonts w:ascii="Calibri" w:hAnsi="Calibri"/>
                <w:szCs w:val="22"/>
              </w:rPr>
            </w:pPr>
            <w:r>
              <w:rPr>
                <w:rFonts w:ascii="Calibri" w:hAnsi="Calibri"/>
                <w:szCs w:val="22"/>
              </w:rPr>
              <w:t xml:space="preserve">Clinical Phase </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2303455A" w14:textId="77777777" w:rsidR="007C525D" w:rsidRDefault="007C757A">
            <w:pPr>
              <w:widowControl w:val="0"/>
            </w:pPr>
            <w:r>
              <w:rPr>
                <w:rFonts w:ascii="Calibri" w:hAnsi="Calibri"/>
                <w:szCs w:val="22"/>
                <w:lang w:eastAsia="en-GB"/>
              </w:rPr>
              <w:t>Phase IV</w:t>
            </w:r>
          </w:p>
        </w:tc>
      </w:tr>
      <w:tr w:rsidR="007C525D" w14:paraId="6ACA149C" w14:textId="77777777">
        <w:trPr>
          <w:trHeight w:val="371"/>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3EB6A76B" w14:textId="77777777" w:rsidR="007C525D" w:rsidRDefault="007C757A">
            <w:pPr>
              <w:widowControl w:val="0"/>
              <w:rPr>
                <w:rFonts w:ascii="Calibri" w:hAnsi="Calibri"/>
                <w:szCs w:val="22"/>
              </w:rPr>
            </w:pPr>
            <w:r>
              <w:rPr>
                <w:rFonts w:ascii="Calibri" w:hAnsi="Calibri"/>
                <w:szCs w:val="22"/>
              </w:rPr>
              <w:t>Trial Design</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004178F6" w14:textId="77777777" w:rsidR="007C525D" w:rsidRDefault="007C757A">
            <w:pPr>
              <w:widowControl w:val="0"/>
            </w:pPr>
            <w:r>
              <w:rPr>
                <w:rFonts w:ascii="Calibri" w:hAnsi="Calibri"/>
                <w:szCs w:val="22"/>
                <w:lang w:eastAsia="en-GB"/>
              </w:rPr>
              <w:t>Phase IV randomisation study of different Men B vaccine primary immunisation schedules in UK infants</w:t>
            </w:r>
          </w:p>
        </w:tc>
      </w:tr>
      <w:tr w:rsidR="007C525D" w14:paraId="2DBC183E" w14:textId="77777777">
        <w:trPr>
          <w:trHeight w:val="703"/>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65859B0F" w14:textId="77777777" w:rsidR="007C525D" w:rsidRDefault="007C757A">
            <w:pPr>
              <w:widowControl w:val="0"/>
              <w:rPr>
                <w:rFonts w:ascii="Calibri" w:hAnsi="Calibri"/>
                <w:szCs w:val="22"/>
              </w:rPr>
            </w:pPr>
            <w:r>
              <w:rPr>
                <w:rFonts w:ascii="Calibri" w:hAnsi="Calibri"/>
                <w:szCs w:val="22"/>
              </w:rPr>
              <w:t>Trial Participant Population</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519A7660" w14:textId="77777777" w:rsidR="007C525D" w:rsidRDefault="007C757A">
            <w:pPr>
              <w:widowControl w:val="0"/>
            </w:pPr>
            <w:r>
              <w:rPr>
                <w:rFonts w:ascii="Calibri" w:hAnsi="Calibri"/>
                <w:szCs w:val="22"/>
                <w:lang w:eastAsia="en-GB"/>
              </w:rPr>
              <w:t>Term infants (born ≥37 weeks gestation)</w:t>
            </w:r>
          </w:p>
        </w:tc>
      </w:tr>
      <w:tr w:rsidR="007C525D" w14:paraId="019BAC59" w14:textId="77777777">
        <w:trPr>
          <w:trHeight w:val="234"/>
        </w:trPr>
        <w:tc>
          <w:tcPr>
            <w:tcW w:w="39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FAD46C" w14:textId="77777777" w:rsidR="007C525D" w:rsidRDefault="007C757A">
            <w:pPr>
              <w:widowControl w:val="0"/>
              <w:rPr>
                <w:rFonts w:ascii="Calibri" w:hAnsi="Calibri"/>
                <w:szCs w:val="22"/>
              </w:rPr>
            </w:pPr>
            <w:r>
              <w:rPr>
                <w:rFonts w:ascii="Calibri" w:hAnsi="Calibri"/>
                <w:szCs w:val="22"/>
              </w:rPr>
              <w:t>Eligibility Criteria:</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68B3FB2A" w14:textId="77777777" w:rsidR="007C525D" w:rsidRDefault="007C757A">
            <w:pPr>
              <w:widowControl w:val="0"/>
              <w:rPr>
                <w:rFonts w:ascii="Calibri" w:hAnsi="Calibri"/>
                <w:color w:val="000000"/>
                <w:szCs w:val="22"/>
              </w:rPr>
            </w:pPr>
            <w:r>
              <w:rPr>
                <w:rFonts w:ascii="Calibri" w:hAnsi="Calibri"/>
                <w:color w:val="000000"/>
                <w:szCs w:val="22"/>
              </w:rPr>
              <w:t>Inclusion:</w:t>
            </w:r>
          </w:p>
          <w:p w14:paraId="5BB7627B" w14:textId="77777777" w:rsidR="007C525D" w:rsidRDefault="007C757A">
            <w:pPr>
              <w:pStyle w:val="Normal-nospacing"/>
              <w:widowControl w:val="0"/>
              <w:numPr>
                <w:ilvl w:val="0"/>
                <w:numId w:val="1"/>
              </w:numPr>
              <w:spacing w:line="240" w:lineRule="auto"/>
            </w:pPr>
            <w:r>
              <w:rPr>
                <w:rFonts w:cs="Arial"/>
                <w:sz w:val="22"/>
                <w:szCs w:val="22"/>
              </w:rPr>
              <w:t xml:space="preserve">Term infants born at </w:t>
            </w:r>
            <w:r>
              <w:rPr>
                <w:rFonts w:cs="Arial"/>
                <w:sz w:val="22"/>
                <w:szCs w:val="22"/>
                <w:lang w:eastAsia="en-GB"/>
              </w:rPr>
              <w:t>≥37</w:t>
            </w:r>
            <w:r>
              <w:rPr>
                <w:rFonts w:cs="Arial"/>
                <w:sz w:val="22"/>
                <w:szCs w:val="22"/>
              </w:rPr>
              <w:t xml:space="preserve"> weeks gestation</w:t>
            </w:r>
          </w:p>
          <w:p w14:paraId="2549FBED" w14:textId="77777777" w:rsidR="007C525D" w:rsidRDefault="007C757A">
            <w:pPr>
              <w:pStyle w:val="Normal-nospacing"/>
              <w:widowControl w:val="0"/>
              <w:numPr>
                <w:ilvl w:val="0"/>
                <w:numId w:val="1"/>
              </w:numPr>
              <w:spacing w:line="240" w:lineRule="auto"/>
            </w:pPr>
            <w:r>
              <w:rPr>
                <w:rFonts w:cs="Arial"/>
                <w:sz w:val="22"/>
                <w:szCs w:val="22"/>
              </w:rPr>
              <w:t xml:space="preserve">Aged </w:t>
            </w:r>
            <w:r>
              <w:rPr>
                <w:rFonts w:cs="Arial"/>
                <w:sz w:val="22"/>
                <w:szCs w:val="22"/>
                <w:lang w:eastAsia="en-GB"/>
              </w:rPr>
              <w:t xml:space="preserve">≥56 days to </w:t>
            </w:r>
            <w:r>
              <w:rPr>
                <w:rFonts w:eastAsia="Ubuntu" w:cs="Ubuntu"/>
                <w:sz w:val="22"/>
                <w:szCs w:val="22"/>
                <w:lang w:eastAsia="en-GB"/>
              </w:rPr>
              <w:t>≤ 70 days on the day of first visit</w:t>
            </w:r>
          </w:p>
          <w:p w14:paraId="22527483" w14:textId="77777777" w:rsidR="007C525D" w:rsidRDefault="007C757A">
            <w:pPr>
              <w:pStyle w:val="Normal-nospacing"/>
              <w:widowControl w:val="0"/>
              <w:numPr>
                <w:ilvl w:val="0"/>
                <w:numId w:val="1"/>
              </w:numPr>
              <w:spacing w:line="240" w:lineRule="auto"/>
              <w:rPr>
                <w:rFonts w:cs="Arial"/>
                <w:sz w:val="22"/>
                <w:szCs w:val="22"/>
              </w:rPr>
            </w:pPr>
            <w:r>
              <w:rPr>
                <w:rFonts w:cs="Arial"/>
                <w:sz w:val="22"/>
                <w:szCs w:val="22"/>
              </w:rPr>
              <w:t>No contraindications to vaccination according to the ‘Green Book’</w:t>
            </w:r>
          </w:p>
          <w:p w14:paraId="504C8F05" w14:textId="77777777" w:rsidR="007C525D" w:rsidRDefault="007C757A">
            <w:pPr>
              <w:pStyle w:val="Normal-nospacing"/>
              <w:widowControl w:val="0"/>
              <w:numPr>
                <w:ilvl w:val="0"/>
                <w:numId w:val="1"/>
              </w:numPr>
              <w:spacing w:line="240" w:lineRule="auto"/>
              <w:rPr>
                <w:rFonts w:cs="Arial"/>
                <w:sz w:val="22"/>
                <w:szCs w:val="22"/>
              </w:rPr>
            </w:pPr>
            <w:r>
              <w:rPr>
                <w:rFonts w:cs="Arial"/>
                <w:sz w:val="22"/>
                <w:szCs w:val="22"/>
              </w:rPr>
              <w:t>Willing and able to comply with study procedures</w:t>
            </w:r>
          </w:p>
          <w:p w14:paraId="24178CF5" w14:textId="77777777" w:rsidR="007C525D" w:rsidRDefault="007C757A">
            <w:pPr>
              <w:pStyle w:val="Normal-nospacing"/>
              <w:widowControl w:val="0"/>
              <w:numPr>
                <w:ilvl w:val="0"/>
                <w:numId w:val="1"/>
              </w:numPr>
              <w:spacing w:line="240" w:lineRule="auto"/>
              <w:rPr>
                <w:rFonts w:cs="Arial"/>
                <w:sz w:val="22"/>
                <w:szCs w:val="22"/>
              </w:rPr>
            </w:pPr>
            <w:r>
              <w:rPr>
                <w:rFonts w:cs="Arial"/>
                <w:sz w:val="22"/>
                <w:szCs w:val="22"/>
              </w:rPr>
              <w:t>Written informed consent</w:t>
            </w:r>
          </w:p>
          <w:p w14:paraId="36875A30" w14:textId="77777777" w:rsidR="007C525D" w:rsidRDefault="007C525D">
            <w:pPr>
              <w:widowControl w:val="0"/>
              <w:rPr>
                <w:rFonts w:ascii="Calibri" w:hAnsi="Calibri"/>
                <w:color w:val="000000"/>
                <w:szCs w:val="22"/>
              </w:rPr>
            </w:pPr>
          </w:p>
        </w:tc>
      </w:tr>
      <w:tr w:rsidR="007C525D" w14:paraId="207D8406" w14:textId="77777777">
        <w:trPr>
          <w:trHeight w:val="233"/>
        </w:trPr>
        <w:tc>
          <w:tcPr>
            <w:tcW w:w="3924" w:type="dxa"/>
            <w:vMerge/>
            <w:tcBorders>
              <w:top w:val="single" w:sz="4" w:space="0" w:color="000000"/>
              <w:left w:val="single" w:sz="4" w:space="0" w:color="000000"/>
              <w:bottom w:val="single" w:sz="4" w:space="0" w:color="000000"/>
              <w:right w:val="single" w:sz="4" w:space="0" w:color="000000"/>
            </w:tcBorders>
            <w:shd w:val="clear" w:color="auto" w:fill="auto"/>
          </w:tcPr>
          <w:p w14:paraId="4C2F7BB1" w14:textId="77777777" w:rsidR="007C525D" w:rsidRDefault="007C525D">
            <w:pPr>
              <w:widowControl w:val="0"/>
              <w:rPr>
                <w:rFonts w:ascii="Calibri" w:hAnsi="Calibri"/>
                <w:szCs w:val="22"/>
              </w:rPr>
            </w:pP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54A91955" w14:textId="77777777" w:rsidR="007C525D" w:rsidRDefault="007C757A">
            <w:pPr>
              <w:widowControl w:val="0"/>
              <w:rPr>
                <w:rFonts w:ascii="Calibri" w:hAnsi="Calibri"/>
                <w:color w:val="000000"/>
                <w:szCs w:val="22"/>
              </w:rPr>
            </w:pPr>
            <w:r>
              <w:rPr>
                <w:rFonts w:ascii="Calibri" w:hAnsi="Calibri"/>
                <w:color w:val="000000"/>
                <w:szCs w:val="22"/>
              </w:rPr>
              <w:t>Exclusion:</w:t>
            </w:r>
          </w:p>
          <w:p w14:paraId="763DA39F" w14:textId="77777777" w:rsidR="007C525D" w:rsidRDefault="007C757A">
            <w:pPr>
              <w:pStyle w:val="Normal-nospacing"/>
              <w:widowControl w:val="0"/>
              <w:numPr>
                <w:ilvl w:val="0"/>
                <w:numId w:val="1"/>
              </w:numPr>
              <w:spacing w:line="240" w:lineRule="auto"/>
            </w:pPr>
            <w:r>
              <w:rPr>
                <w:rFonts w:cs="Arial"/>
                <w:sz w:val="22"/>
                <w:szCs w:val="22"/>
              </w:rPr>
              <w:t>Contraindication to vaccination according to the Green Book</w:t>
            </w:r>
          </w:p>
          <w:p w14:paraId="35BB117C" w14:textId="77777777" w:rsidR="007C525D" w:rsidRDefault="007C757A">
            <w:pPr>
              <w:widowControl w:val="0"/>
              <w:numPr>
                <w:ilvl w:val="0"/>
                <w:numId w:val="1"/>
              </w:numPr>
              <w:spacing w:after="0"/>
              <w:rPr>
                <w:rFonts w:ascii="Calibri" w:hAnsi="Calibri"/>
                <w:szCs w:val="22"/>
              </w:rPr>
            </w:pPr>
            <w:bookmarkStart w:id="3" w:name="OLE_LINK33"/>
            <w:bookmarkStart w:id="4" w:name="OLE_LINK34"/>
            <w:bookmarkStart w:id="5" w:name="OLE_LINK35"/>
            <w:bookmarkStart w:id="6" w:name="OLE_LINK36"/>
            <w:bookmarkEnd w:id="3"/>
            <w:bookmarkEnd w:id="4"/>
            <w:bookmarkEnd w:id="5"/>
            <w:bookmarkEnd w:id="6"/>
            <w:r>
              <w:rPr>
                <w:rFonts w:ascii="Calibri" w:hAnsi="Calibri"/>
                <w:szCs w:val="22"/>
              </w:rPr>
              <w:t xml:space="preserve">Life-limiting congenital abnormality or condition </w:t>
            </w:r>
          </w:p>
          <w:p w14:paraId="1805400A" w14:textId="12C7B0F9" w:rsidR="007C525D" w:rsidRPr="00E046BF" w:rsidRDefault="007C757A" w:rsidP="00E046BF">
            <w:pPr>
              <w:pStyle w:val="Normal-nospacing"/>
              <w:widowControl w:val="0"/>
              <w:numPr>
                <w:ilvl w:val="0"/>
                <w:numId w:val="1"/>
              </w:numPr>
              <w:spacing w:line="240" w:lineRule="auto"/>
              <w:rPr>
                <w:rFonts w:cs="Arial"/>
                <w:sz w:val="22"/>
                <w:szCs w:val="22"/>
              </w:rPr>
            </w:pPr>
            <w:bookmarkStart w:id="7" w:name="OLE_LINK331"/>
            <w:bookmarkStart w:id="8" w:name="OLE_LINK341"/>
            <w:bookmarkStart w:id="9" w:name="OLE_LINK351"/>
            <w:bookmarkStart w:id="10" w:name="OLE_LINK361"/>
            <w:bookmarkEnd w:id="7"/>
            <w:bookmarkEnd w:id="8"/>
            <w:bookmarkEnd w:id="9"/>
            <w:bookmarkEnd w:id="10"/>
            <w:r>
              <w:rPr>
                <w:rFonts w:cs="Arial"/>
                <w:sz w:val="22"/>
                <w:szCs w:val="22"/>
              </w:rPr>
              <w:t>Prior diagnosis of an immunodeficiency syndrome</w:t>
            </w:r>
          </w:p>
          <w:p w14:paraId="1C767FD9" w14:textId="77777777" w:rsidR="007C525D" w:rsidRDefault="007C757A">
            <w:pPr>
              <w:pStyle w:val="Normal-nospacing"/>
              <w:widowControl w:val="0"/>
              <w:numPr>
                <w:ilvl w:val="0"/>
                <w:numId w:val="1"/>
              </w:numPr>
              <w:spacing w:line="240" w:lineRule="auto"/>
            </w:pPr>
            <w:bookmarkStart w:id="11" w:name="OLE_LINK12"/>
            <w:bookmarkEnd w:id="11"/>
            <w:r>
              <w:rPr>
                <w:rFonts w:cs="Arial"/>
                <w:sz w:val="22"/>
                <w:szCs w:val="22"/>
              </w:rPr>
              <w:t>Previous vaccination against meningococcal disease</w:t>
            </w:r>
          </w:p>
          <w:p w14:paraId="091374DD" w14:textId="77777777" w:rsidR="007C525D" w:rsidRDefault="007C757A">
            <w:pPr>
              <w:pStyle w:val="Normal-nospacing"/>
              <w:widowControl w:val="0"/>
              <w:numPr>
                <w:ilvl w:val="0"/>
                <w:numId w:val="1"/>
              </w:numPr>
              <w:spacing w:line="240" w:lineRule="auto"/>
            </w:pPr>
            <w:r>
              <w:rPr>
                <w:rFonts w:cs="Arial"/>
                <w:sz w:val="22"/>
                <w:szCs w:val="22"/>
              </w:rPr>
              <w:t xml:space="preserve">History of </w:t>
            </w:r>
            <w:r>
              <w:rPr>
                <w:rFonts w:cs="Arial"/>
                <w:i/>
                <w:iCs/>
                <w:sz w:val="22"/>
                <w:szCs w:val="22"/>
              </w:rPr>
              <w:t>Neisseria meningitidis</w:t>
            </w:r>
            <w:r>
              <w:rPr>
                <w:rFonts w:cs="Arial"/>
                <w:sz w:val="22"/>
                <w:szCs w:val="22"/>
              </w:rPr>
              <w:t xml:space="preserve"> infection, confirmed either clinically, serologically, or microbiologically </w:t>
            </w:r>
          </w:p>
          <w:p w14:paraId="4A76EB45" w14:textId="77777777" w:rsidR="007C525D" w:rsidRDefault="007C757A">
            <w:pPr>
              <w:pStyle w:val="Normal-nospacing"/>
              <w:widowControl w:val="0"/>
              <w:numPr>
                <w:ilvl w:val="0"/>
                <w:numId w:val="1"/>
              </w:numPr>
              <w:spacing w:line="240" w:lineRule="auto"/>
              <w:rPr>
                <w:rFonts w:cs="Arial"/>
                <w:sz w:val="22"/>
                <w:szCs w:val="22"/>
              </w:rPr>
            </w:pPr>
            <w:r>
              <w:rPr>
                <w:rFonts w:cs="Arial"/>
                <w:sz w:val="22"/>
                <w:szCs w:val="22"/>
              </w:rPr>
              <w:t>Considered unlikely to complete expected follow up until the end of the study</w:t>
            </w:r>
          </w:p>
          <w:p w14:paraId="4F2C9D9E" w14:textId="77777777" w:rsidR="007C525D" w:rsidRDefault="007C757A">
            <w:pPr>
              <w:pStyle w:val="Normal-nospacing"/>
              <w:widowControl w:val="0"/>
              <w:numPr>
                <w:ilvl w:val="0"/>
                <w:numId w:val="1"/>
              </w:numPr>
              <w:spacing w:line="240" w:lineRule="auto"/>
              <w:rPr>
                <w:rFonts w:cs="Arial"/>
                <w:sz w:val="22"/>
                <w:szCs w:val="22"/>
              </w:rPr>
            </w:pPr>
            <w:r>
              <w:rPr>
                <w:rFonts w:cs="Arial"/>
                <w:sz w:val="22"/>
                <w:szCs w:val="22"/>
              </w:rPr>
              <w:t>Child in care</w:t>
            </w:r>
          </w:p>
          <w:p w14:paraId="7DA79148" w14:textId="77777777" w:rsidR="007C525D" w:rsidRDefault="007C525D">
            <w:pPr>
              <w:widowControl w:val="0"/>
              <w:rPr>
                <w:rFonts w:ascii="Calibri" w:hAnsi="Calibri"/>
                <w:color w:val="000000"/>
                <w:szCs w:val="22"/>
              </w:rPr>
            </w:pPr>
          </w:p>
        </w:tc>
      </w:tr>
      <w:tr w:rsidR="007C525D" w14:paraId="336983F5" w14:textId="77777777">
        <w:trPr>
          <w:trHeight w:val="75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0A3EA03E" w14:textId="77777777" w:rsidR="007C525D" w:rsidRDefault="007C757A">
            <w:pPr>
              <w:widowControl w:val="0"/>
              <w:rPr>
                <w:rFonts w:ascii="Calibri" w:hAnsi="Calibri"/>
                <w:szCs w:val="22"/>
              </w:rPr>
            </w:pPr>
            <w:r>
              <w:rPr>
                <w:rFonts w:ascii="Calibri" w:hAnsi="Calibri"/>
                <w:szCs w:val="22"/>
              </w:rPr>
              <w:t>Planned Sample Size/Target</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1F9617A2" w14:textId="77777777" w:rsidR="007C525D" w:rsidRDefault="007C757A">
            <w:pPr>
              <w:widowControl w:val="0"/>
              <w:rPr>
                <w:rFonts w:ascii="Calibri" w:hAnsi="Calibri"/>
                <w:szCs w:val="22"/>
                <w:lang w:eastAsia="en-GB"/>
              </w:rPr>
            </w:pPr>
            <w:r>
              <w:rPr>
                <w:rFonts w:ascii="Calibri" w:hAnsi="Calibri"/>
                <w:szCs w:val="22"/>
                <w:lang w:eastAsia="en-GB"/>
              </w:rPr>
              <w:t xml:space="preserve">220 infants will be randomised 1:1 to one of two 4CMenB schedules. </w:t>
            </w:r>
          </w:p>
          <w:p w14:paraId="5C1562AA" w14:textId="77777777" w:rsidR="007C525D" w:rsidRDefault="007C757A">
            <w:pPr>
              <w:widowControl w:val="0"/>
            </w:pPr>
            <w:r>
              <w:rPr>
                <w:rFonts w:ascii="Calibri" w:hAnsi="Calibri"/>
                <w:b/>
                <w:szCs w:val="22"/>
                <w:lang w:eastAsia="en-GB"/>
              </w:rPr>
              <w:t>Group 1</w:t>
            </w:r>
            <w:r>
              <w:rPr>
                <w:rFonts w:ascii="Calibri" w:hAnsi="Calibri"/>
                <w:szCs w:val="22"/>
                <w:lang w:eastAsia="en-GB"/>
              </w:rPr>
              <w:t>: 4CMenB at 2 and 3 months of age; PCV13 at 4 months of age.</w:t>
            </w:r>
          </w:p>
          <w:p w14:paraId="3B76F22B" w14:textId="77777777" w:rsidR="007C525D" w:rsidRDefault="007C757A">
            <w:pPr>
              <w:widowControl w:val="0"/>
            </w:pPr>
            <w:r>
              <w:rPr>
                <w:rFonts w:ascii="Calibri" w:hAnsi="Calibri"/>
                <w:b/>
                <w:szCs w:val="22"/>
                <w:lang w:eastAsia="en-GB"/>
              </w:rPr>
              <w:t>Group 2</w:t>
            </w:r>
            <w:r>
              <w:rPr>
                <w:rFonts w:ascii="Calibri" w:hAnsi="Calibri"/>
                <w:szCs w:val="22"/>
                <w:lang w:eastAsia="en-GB"/>
              </w:rPr>
              <w:t xml:space="preserve">: 4CMenB at the currently recommended schedule at 2 and 4 months of age; PCV13 at the currently recommended schedule at 3 months of age. </w:t>
            </w:r>
          </w:p>
          <w:p w14:paraId="5D35305D" w14:textId="77777777" w:rsidR="007C525D" w:rsidRDefault="007C757A">
            <w:pPr>
              <w:widowControl w:val="0"/>
              <w:rPr>
                <w:rFonts w:ascii="Calibri" w:hAnsi="Calibri"/>
                <w:szCs w:val="22"/>
                <w:lang w:eastAsia="en-GB"/>
              </w:rPr>
            </w:pPr>
            <w:r>
              <w:rPr>
                <w:rFonts w:ascii="Calibri" w:hAnsi="Calibri"/>
                <w:szCs w:val="22"/>
                <w:lang w:eastAsia="en-GB"/>
              </w:rPr>
              <w:t xml:space="preserve">Both groups will receive a </w:t>
            </w:r>
            <w:bookmarkStart w:id="12" w:name="__DdeLink__3295_3092091714"/>
            <w:r>
              <w:rPr>
                <w:rFonts w:ascii="Calibri" w:hAnsi="Calibri"/>
                <w:szCs w:val="22"/>
                <w:lang w:eastAsia="en-GB"/>
              </w:rPr>
              <w:t>4CMenB</w:t>
            </w:r>
            <w:bookmarkEnd w:id="12"/>
            <w:r>
              <w:rPr>
                <w:rFonts w:ascii="Calibri" w:hAnsi="Calibri"/>
                <w:szCs w:val="22"/>
                <w:lang w:eastAsia="en-GB"/>
              </w:rPr>
              <w:t xml:space="preserve"> booster at 12 months of age.</w:t>
            </w:r>
          </w:p>
          <w:p w14:paraId="5C8D4A55" w14:textId="77777777" w:rsidR="007C525D" w:rsidRDefault="007C757A">
            <w:pPr>
              <w:widowControl w:val="0"/>
            </w:pPr>
            <w:r>
              <w:rPr>
                <w:rFonts w:ascii="Calibri" w:hAnsi="Calibri"/>
                <w:szCs w:val="22"/>
                <w:lang w:eastAsia="en-GB"/>
              </w:rPr>
              <w:t>Both groups will receive the rest of routine paediatric vaccines according to the UK immunisation schedule.</w:t>
            </w:r>
          </w:p>
        </w:tc>
      </w:tr>
      <w:tr w:rsidR="007C525D" w14:paraId="4BEB55AF" w14:textId="77777777">
        <w:trPr>
          <w:trHeight w:val="38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71F8291D" w14:textId="77777777" w:rsidR="007C525D" w:rsidRDefault="007C757A">
            <w:pPr>
              <w:widowControl w:val="0"/>
              <w:rPr>
                <w:rFonts w:ascii="Calibri" w:hAnsi="Calibri"/>
                <w:szCs w:val="22"/>
              </w:rPr>
            </w:pPr>
            <w:r>
              <w:rPr>
                <w:rFonts w:ascii="Calibri" w:hAnsi="Calibri"/>
                <w:szCs w:val="22"/>
              </w:rPr>
              <w:t>Treatment duration</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584E38F1" w14:textId="77777777" w:rsidR="007C525D" w:rsidRDefault="007C757A">
            <w:pPr>
              <w:widowControl w:val="0"/>
            </w:pPr>
            <w:r>
              <w:rPr>
                <w:rFonts w:ascii="Calibri" w:hAnsi="Calibri"/>
                <w:szCs w:val="22"/>
              </w:rPr>
              <w:t>10 months (from 2 months of age to 12 months of age)</w:t>
            </w:r>
          </w:p>
        </w:tc>
      </w:tr>
      <w:tr w:rsidR="007C525D" w14:paraId="5C423996" w14:textId="77777777">
        <w:trPr>
          <w:trHeight w:val="38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1E42F624" w14:textId="77777777" w:rsidR="007C525D" w:rsidRDefault="007C757A">
            <w:pPr>
              <w:widowControl w:val="0"/>
              <w:rPr>
                <w:rFonts w:ascii="Calibri" w:hAnsi="Calibri"/>
                <w:szCs w:val="22"/>
              </w:rPr>
            </w:pPr>
            <w:r>
              <w:rPr>
                <w:rFonts w:ascii="Calibri" w:hAnsi="Calibri"/>
                <w:szCs w:val="22"/>
              </w:rPr>
              <w:t>Follow up duration</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09E97535" w14:textId="77777777" w:rsidR="007C525D" w:rsidRDefault="007C757A">
            <w:pPr>
              <w:widowControl w:val="0"/>
            </w:pPr>
            <w:r>
              <w:rPr>
                <w:rFonts w:ascii="Calibri" w:hAnsi="Calibri"/>
                <w:szCs w:val="22"/>
              </w:rPr>
              <w:t xml:space="preserve">follow up visit 1 month after </w:t>
            </w:r>
            <w:r>
              <w:rPr>
                <w:rFonts w:ascii="Calibri" w:hAnsi="Calibri"/>
                <w:szCs w:val="22"/>
                <w:lang w:eastAsia="en-GB"/>
              </w:rPr>
              <w:t xml:space="preserve">4CMenB </w:t>
            </w:r>
            <w:r>
              <w:rPr>
                <w:rFonts w:ascii="Calibri" w:hAnsi="Calibri"/>
                <w:szCs w:val="22"/>
              </w:rPr>
              <w:t>booster</w:t>
            </w:r>
          </w:p>
        </w:tc>
      </w:tr>
      <w:tr w:rsidR="007C525D" w14:paraId="18121623" w14:textId="77777777">
        <w:trPr>
          <w:trHeight w:val="38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73A80655" w14:textId="77777777" w:rsidR="007C525D" w:rsidRDefault="007C757A">
            <w:pPr>
              <w:widowControl w:val="0"/>
              <w:rPr>
                <w:rFonts w:ascii="Calibri" w:hAnsi="Calibri"/>
                <w:szCs w:val="22"/>
              </w:rPr>
            </w:pPr>
            <w:r>
              <w:rPr>
                <w:rFonts w:ascii="Calibri" w:hAnsi="Calibri"/>
                <w:szCs w:val="22"/>
              </w:rPr>
              <w:t>Planned Trial Period</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1007D8BA" w14:textId="77777777" w:rsidR="007C525D" w:rsidRDefault="007C757A">
            <w:pPr>
              <w:widowControl w:val="0"/>
            </w:pPr>
            <w:r>
              <w:rPr>
                <w:rFonts w:ascii="Calibri" w:hAnsi="Calibri"/>
                <w:szCs w:val="22"/>
              </w:rPr>
              <w:t>April 2021- March 2023</w:t>
            </w:r>
          </w:p>
        </w:tc>
      </w:tr>
      <w:tr w:rsidR="007C525D" w14:paraId="65FDAA1B" w14:textId="77777777">
        <w:trPr>
          <w:trHeight w:val="428"/>
        </w:trPr>
        <w:tc>
          <w:tcPr>
            <w:tcW w:w="3924" w:type="dxa"/>
            <w:tcBorders>
              <w:top w:val="single" w:sz="4" w:space="0" w:color="000000"/>
              <w:left w:val="single" w:sz="4" w:space="0" w:color="000000"/>
              <w:bottom w:val="single" w:sz="4" w:space="0" w:color="000000"/>
              <w:right w:val="single" w:sz="4" w:space="0" w:color="000000"/>
            </w:tcBorders>
            <w:shd w:val="clear" w:color="auto" w:fill="D9D9D9"/>
          </w:tcPr>
          <w:p w14:paraId="08E809E5" w14:textId="77777777" w:rsidR="007C525D" w:rsidRDefault="007C525D">
            <w:pPr>
              <w:widowControl w:val="0"/>
              <w:rPr>
                <w:rFonts w:ascii="Calibri" w:hAnsi="Calibri"/>
                <w:b/>
                <w:i/>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48D04D1D" w14:textId="77777777" w:rsidR="007C525D" w:rsidRDefault="007C757A">
            <w:pPr>
              <w:widowControl w:val="0"/>
              <w:rPr>
                <w:rFonts w:ascii="Calibri" w:hAnsi="Calibri"/>
                <w:szCs w:val="22"/>
              </w:rPr>
            </w:pPr>
            <w:r>
              <w:rPr>
                <w:rFonts w:ascii="Calibri" w:hAnsi="Calibri"/>
                <w:szCs w:val="22"/>
              </w:rPr>
              <w:t>Objectives</w:t>
            </w:r>
          </w:p>
        </w:tc>
        <w:tc>
          <w:tcPr>
            <w:tcW w:w="3131" w:type="dxa"/>
            <w:tcBorders>
              <w:top w:val="single" w:sz="4" w:space="0" w:color="000000"/>
              <w:left w:val="single" w:sz="4" w:space="0" w:color="000000"/>
              <w:bottom w:val="single" w:sz="4" w:space="0" w:color="000000"/>
              <w:right w:val="single" w:sz="4" w:space="0" w:color="000000"/>
            </w:tcBorders>
            <w:shd w:val="clear" w:color="auto" w:fill="D9D9D9"/>
          </w:tcPr>
          <w:p w14:paraId="7A2B30D7" w14:textId="77777777" w:rsidR="007C525D" w:rsidRDefault="007C757A">
            <w:pPr>
              <w:widowControl w:val="0"/>
              <w:rPr>
                <w:rFonts w:ascii="Calibri" w:hAnsi="Calibri"/>
                <w:szCs w:val="22"/>
              </w:rPr>
            </w:pPr>
            <w:r>
              <w:rPr>
                <w:rFonts w:ascii="Calibri" w:hAnsi="Calibri"/>
                <w:szCs w:val="22"/>
              </w:rPr>
              <w:t>Outcome Measures</w:t>
            </w:r>
          </w:p>
        </w:tc>
      </w:tr>
      <w:tr w:rsidR="007C525D" w14:paraId="51BC5332" w14:textId="77777777">
        <w:trPr>
          <w:trHeight w:val="770"/>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4F73AD57" w14:textId="77777777" w:rsidR="007C525D" w:rsidRDefault="007C757A">
            <w:pPr>
              <w:widowControl w:val="0"/>
              <w:rPr>
                <w:rFonts w:ascii="Calibri" w:hAnsi="Calibri"/>
                <w:szCs w:val="22"/>
              </w:rPr>
            </w:pPr>
            <w:r>
              <w:rPr>
                <w:rFonts w:ascii="Calibri" w:hAnsi="Calibri"/>
                <w:szCs w:val="22"/>
              </w:rPr>
              <w:t>Primary</w:t>
            </w:r>
          </w:p>
          <w:p w14:paraId="23CDD326" w14:textId="77777777" w:rsidR="007C525D" w:rsidRDefault="007C525D">
            <w:pPr>
              <w:widowControl w:val="0"/>
              <w:rPr>
                <w:rFonts w:ascii="Calibri" w:hAnsi="Calibri"/>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A2A2BE7" w14:textId="77777777" w:rsidR="007C525D" w:rsidRDefault="007C757A">
            <w:pPr>
              <w:widowControl w:val="0"/>
            </w:pPr>
            <w:r>
              <w:rPr>
                <w:rFonts w:ascii="Calibri" w:hAnsi="Calibri"/>
                <w:szCs w:val="22"/>
                <w:lang w:eastAsia="en-GB"/>
              </w:rPr>
              <w:t>To compare the immunological responses of UK infants between two different primary immunisation schedules of 4CMenB (2 and 3 versus 2 and 4 months of age).</w:t>
            </w: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14:paraId="2EE30141" w14:textId="77777777" w:rsidR="007C525D" w:rsidRDefault="007C757A">
            <w:pPr>
              <w:pStyle w:val="LightGrid-Accent31"/>
              <w:widowControl w:val="0"/>
              <w:numPr>
                <w:ilvl w:val="0"/>
                <w:numId w:val="2"/>
              </w:numPr>
            </w:pPr>
            <w:r>
              <w:rPr>
                <w:rFonts w:cs="Arial"/>
                <w:sz w:val="22"/>
                <w:szCs w:val="22"/>
                <w:lang w:eastAsia="en-GB"/>
              </w:rPr>
              <w:t xml:space="preserve">Antibody geometric mean </w:t>
            </w:r>
            <w:proofErr w:type="spellStart"/>
            <w:r>
              <w:rPr>
                <w:rFonts w:cs="Arial"/>
                <w:sz w:val="22"/>
                <w:szCs w:val="22"/>
                <w:lang w:eastAsia="en-GB"/>
              </w:rPr>
              <w:t>titers</w:t>
            </w:r>
            <w:proofErr w:type="spellEnd"/>
            <w:r>
              <w:rPr>
                <w:rFonts w:cs="Arial"/>
                <w:sz w:val="22"/>
                <w:szCs w:val="22"/>
                <w:lang w:eastAsia="en-GB"/>
              </w:rPr>
              <w:t xml:space="preserve"> (GMTs)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measured by</w:t>
            </w:r>
            <w:r>
              <w:rPr>
                <w:rFonts w:cs="Arial"/>
                <w:sz w:val="22"/>
                <w:szCs w:val="22"/>
              </w:rPr>
              <w:t xml:space="preserve"> serum bactericidal assay using human complement (</w:t>
            </w:r>
            <w:proofErr w:type="spellStart"/>
            <w:r>
              <w:rPr>
                <w:rFonts w:cs="Arial"/>
                <w:sz w:val="22"/>
                <w:szCs w:val="22"/>
                <w:lang w:eastAsia="en-GB"/>
              </w:rPr>
              <w:t>hSBA</w:t>
            </w:r>
            <w:proofErr w:type="spellEnd"/>
            <w:r>
              <w:rPr>
                <w:rFonts w:cs="Arial"/>
                <w:sz w:val="22"/>
                <w:szCs w:val="22"/>
                <w:lang w:eastAsia="en-GB"/>
              </w:rPr>
              <w:t>) 4 weeks after 2</w:t>
            </w:r>
            <w:r>
              <w:rPr>
                <w:rFonts w:cs="Arial"/>
                <w:sz w:val="22"/>
                <w:szCs w:val="22"/>
                <w:vertAlign w:val="superscript"/>
                <w:lang w:eastAsia="en-GB"/>
              </w:rPr>
              <w:t>nd</w:t>
            </w:r>
            <w:r>
              <w:rPr>
                <w:rFonts w:cs="Arial"/>
                <w:sz w:val="22"/>
                <w:szCs w:val="22"/>
                <w:lang w:eastAsia="en-GB"/>
              </w:rPr>
              <w:t xml:space="preserve"> dose of </w:t>
            </w:r>
            <w:r>
              <w:rPr>
                <w:rFonts w:cs="Arial"/>
                <w:szCs w:val="22"/>
                <w:lang w:eastAsia="en-GB"/>
              </w:rPr>
              <w:t>4CMenB</w:t>
            </w:r>
            <w:r>
              <w:rPr>
                <w:rFonts w:cs="Arial"/>
                <w:sz w:val="22"/>
                <w:szCs w:val="22"/>
              </w:rPr>
              <w:t xml:space="preserve"> (at 4 months of age for Group 1 versus 5 months of age for Group 2).</w:t>
            </w:r>
          </w:p>
          <w:p w14:paraId="55B3E744" w14:textId="77777777" w:rsidR="007C525D" w:rsidRDefault="007C757A">
            <w:pPr>
              <w:pStyle w:val="LightGrid-Accent31"/>
              <w:widowControl w:val="0"/>
              <w:ind w:left="360"/>
            </w:pPr>
            <w:r>
              <w:rPr>
                <w:rFonts w:cs="Arial"/>
                <w:szCs w:val="22"/>
                <w:lang w:eastAsia="en-GB"/>
              </w:rPr>
              <w:t xml:space="preserve"> </w:t>
            </w:r>
          </w:p>
          <w:p w14:paraId="71BBEE92" w14:textId="77777777" w:rsidR="007C525D" w:rsidRDefault="007C757A">
            <w:pPr>
              <w:pStyle w:val="LightGrid-Accent31"/>
              <w:widowControl w:val="0"/>
              <w:numPr>
                <w:ilvl w:val="0"/>
                <w:numId w:val="3"/>
              </w:numPr>
            </w:pPr>
            <w:r>
              <w:rPr>
                <w:rFonts w:cs="Arial"/>
                <w:sz w:val="22"/>
                <w:szCs w:val="22"/>
              </w:rPr>
              <w:t xml:space="preserve">The proportion of infants with antibody </w:t>
            </w:r>
            <w:proofErr w:type="spellStart"/>
            <w:r>
              <w:rPr>
                <w:rFonts w:cs="Arial"/>
                <w:sz w:val="22"/>
                <w:szCs w:val="22"/>
              </w:rPr>
              <w:t>titers</w:t>
            </w:r>
            <w:proofErr w:type="spellEnd"/>
            <w:r>
              <w:rPr>
                <w:rFonts w:cs="Arial"/>
                <w:sz w:val="22"/>
                <w:szCs w:val="22"/>
              </w:rPr>
              <w:t xml:space="preserve"> ≥ </w:t>
            </w:r>
            <w:r>
              <w:rPr>
                <w:rFonts w:cs="Arial"/>
                <w:sz w:val="22"/>
                <w:szCs w:val="22"/>
                <w:lang w:eastAsia="en-GB"/>
              </w:rPr>
              <w:t>1:4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assessed at 4 weeks after 2</w:t>
            </w:r>
            <w:r>
              <w:rPr>
                <w:rFonts w:cs="Arial"/>
                <w:sz w:val="22"/>
                <w:szCs w:val="22"/>
                <w:vertAlign w:val="superscript"/>
                <w:lang w:eastAsia="en-GB"/>
              </w:rPr>
              <w:t>nd</w:t>
            </w:r>
            <w:r>
              <w:rPr>
                <w:rFonts w:cs="Arial"/>
                <w:sz w:val="22"/>
                <w:szCs w:val="22"/>
                <w:lang w:eastAsia="en-GB"/>
              </w:rPr>
              <w:t xml:space="preserve"> dose of </w:t>
            </w:r>
            <w:r>
              <w:rPr>
                <w:rFonts w:cs="Arial"/>
                <w:szCs w:val="22"/>
                <w:lang w:eastAsia="en-GB"/>
              </w:rPr>
              <w:t>4CMenB</w:t>
            </w:r>
            <w:r>
              <w:rPr>
                <w:rFonts w:cs="Arial"/>
                <w:sz w:val="22"/>
                <w:szCs w:val="22"/>
              </w:rPr>
              <w:t xml:space="preserve"> (at 4 months of age for Group 1 versus 5 months of age for Group 2).</w:t>
            </w:r>
          </w:p>
        </w:tc>
      </w:tr>
      <w:tr w:rsidR="007C525D" w14:paraId="3D1F2642" w14:textId="77777777">
        <w:trPr>
          <w:trHeight w:val="3107"/>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40D07E41" w14:textId="77777777" w:rsidR="007C525D" w:rsidRDefault="007C757A">
            <w:pPr>
              <w:widowControl w:val="0"/>
              <w:rPr>
                <w:rFonts w:ascii="Calibri" w:hAnsi="Calibri"/>
                <w:szCs w:val="22"/>
              </w:rPr>
            </w:pPr>
            <w:r>
              <w:rPr>
                <w:rFonts w:ascii="Calibri" w:hAnsi="Calibri"/>
                <w:szCs w:val="22"/>
              </w:rPr>
              <w:t>Secondary</w:t>
            </w:r>
          </w:p>
          <w:p w14:paraId="19885C55" w14:textId="77777777" w:rsidR="007C525D" w:rsidRDefault="007C525D">
            <w:pPr>
              <w:widowControl w:val="0"/>
              <w:rPr>
                <w:rFonts w:ascii="Calibri" w:hAnsi="Calibri"/>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4ADEC1" w14:textId="77777777" w:rsidR="007C525D" w:rsidRDefault="007C757A">
            <w:pPr>
              <w:widowControl w:val="0"/>
              <w:spacing w:after="0"/>
            </w:pPr>
            <w:r>
              <w:rPr>
                <w:rFonts w:ascii="Calibri" w:hAnsi="Calibri"/>
                <w:lang w:eastAsia="en-GB"/>
              </w:rPr>
              <w:t xml:space="preserve">To compare the persistence of immunological responses to 4CMenB at 12 months chronological age after two different primary immunisation schedules of 4CMenB </w:t>
            </w:r>
            <w:r>
              <w:rPr>
                <w:rFonts w:ascii="Calibri" w:hAnsi="Calibri"/>
              </w:rPr>
              <w:t>(2 and 3 versus 2 and 4 months of age)</w:t>
            </w:r>
            <w:r>
              <w:rPr>
                <w:rFonts w:ascii="Calibri" w:hAnsi="Calibri"/>
                <w:lang w:eastAsia="en-GB"/>
              </w:rPr>
              <w:t>.</w:t>
            </w: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14:paraId="16505C98" w14:textId="77777777" w:rsidR="007C525D" w:rsidRDefault="007C757A">
            <w:pPr>
              <w:pStyle w:val="LightGrid-Accent31"/>
              <w:widowControl w:val="0"/>
              <w:numPr>
                <w:ilvl w:val="0"/>
                <w:numId w:val="4"/>
              </w:numPr>
              <w:tabs>
                <w:tab w:val="left" w:pos="0"/>
                <w:tab w:val="left" w:pos="426"/>
              </w:tabs>
              <w:spacing w:after="0" w:line="240" w:lineRule="auto"/>
              <w:ind w:left="360"/>
              <w:rPr>
                <w:rFonts w:cs="Arial"/>
                <w:sz w:val="22"/>
                <w:szCs w:val="22"/>
                <w:lang w:eastAsia="en-GB"/>
              </w:rPr>
            </w:pPr>
            <w:r>
              <w:rPr>
                <w:rFonts w:cs="Arial"/>
                <w:sz w:val="22"/>
                <w:szCs w:val="22"/>
                <w:lang w:eastAsia="en-GB"/>
              </w:rPr>
              <w:t>GMTs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at 12 months of chronological age (pre-booster).</w:t>
            </w:r>
          </w:p>
          <w:p w14:paraId="23FCFBD4" w14:textId="77777777" w:rsidR="007C525D" w:rsidRDefault="007C525D">
            <w:pPr>
              <w:pStyle w:val="LightGrid-Accent31"/>
              <w:widowControl w:val="0"/>
              <w:tabs>
                <w:tab w:val="left" w:pos="426"/>
              </w:tabs>
              <w:spacing w:after="0" w:line="240" w:lineRule="auto"/>
              <w:ind w:left="0"/>
              <w:rPr>
                <w:rFonts w:cs="Arial"/>
                <w:sz w:val="22"/>
                <w:szCs w:val="22"/>
                <w:lang w:eastAsia="en-GB"/>
              </w:rPr>
            </w:pPr>
          </w:p>
          <w:p w14:paraId="3B55A7DE" w14:textId="77777777" w:rsidR="007C525D" w:rsidRDefault="007C757A">
            <w:pPr>
              <w:pStyle w:val="LightGrid-Accent31"/>
              <w:widowControl w:val="0"/>
              <w:numPr>
                <w:ilvl w:val="0"/>
                <w:numId w:val="4"/>
              </w:numPr>
              <w:tabs>
                <w:tab w:val="left" w:pos="0"/>
                <w:tab w:val="left" w:pos="426"/>
              </w:tabs>
              <w:spacing w:after="0" w:line="240" w:lineRule="auto"/>
              <w:ind w:left="360"/>
              <w:rPr>
                <w:rFonts w:cs="Arial"/>
                <w:sz w:val="22"/>
                <w:szCs w:val="22"/>
                <w:lang w:eastAsia="en-GB"/>
              </w:rPr>
            </w:pPr>
            <w:r>
              <w:rPr>
                <w:rFonts w:cs="Arial"/>
                <w:sz w:val="22"/>
                <w:szCs w:val="22"/>
                <w:lang w:eastAsia="en-GB"/>
              </w:rPr>
              <w:t xml:space="preserve">The proportion of infants with antibody </w:t>
            </w:r>
            <w:proofErr w:type="spellStart"/>
            <w:r>
              <w:rPr>
                <w:rFonts w:cs="Arial"/>
                <w:sz w:val="22"/>
                <w:szCs w:val="22"/>
                <w:lang w:eastAsia="en-GB"/>
              </w:rPr>
              <w:t>titers</w:t>
            </w:r>
            <w:proofErr w:type="spellEnd"/>
            <w:r>
              <w:rPr>
                <w:rFonts w:cs="Arial"/>
                <w:sz w:val="22"/>
                <w:szCs w:val="22"/>
                <w:lang w:eastAsia="en-GB"/>
              </w:rPr>
              <w:t xml:space="preserve"> ≥ 1:4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at 12 months of chronological age (pre booster).</w:t>
            </w:r>
          </w:p>
          <w:p w14:paraId="6015BDCC" w14:textId="77777777" w:rsidR="007C525D" w:rsidRDefault="007C525D">
            <w:pPr>
              <w:pStyle w:val="LightGrid-Accent31"/>
              <w:widowControl w:val="0"/>
              <w:tabs>
                <w:tab w:val="left" w:pos="426"/>
              </w:tabs>
              <w:spacing w:after="0" w:line="240" w:lineRule="auto"/>
              <w:ind w:left="360"/>
            </w:pPr>
          </w:p>
        </w:tc>
      </w:tr>
      <w:tr w:rsidR="007C525D" w14:paraId="72F8AB7F" w14:textId="77777777">
        <w:trPr>
          <w:trHeight w:val="3107"/>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6F0B8213" w14:textId="77777777" w:rsidR="007C525D" w:rsidRDefault="007C757A">
            <w:pPr>
              <w:widowControl w:val="0"/>
              <w:rPr>
                <w:rFonts w:ascii="Calibri" w:hAnsi="Calibri"/>
                <w:szCs w:val="22"/>
              </w:rPr>
            </w:pPr>
            <w:r>
              <w:rPr>
                <w:rFonts w:ascii="Calibri" w:hAnsi="Calibri"/>
                <w:szCs w:val="22"/>
              </w:rPr>
              <w:lastRenderedPageBreak/>
              <w:t>Secondary</w:t>
            </w:r>
          </w:p>
          <w:p w14:paraId="2789F369" w14:textId="77777777" w:rsidR="007C525D" w:rsidRDefault="007C525D">
            <w:pPr>
              <w:widowControl w:val="0"/>
              <w:rPr>
                <w:rFonts w:ascii="Calibri" w:hAnsi="Calibri"/>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4BDB2F" w14:textId="65F9B8D0" w:rsidR="007C525D" w:rsidRDefault="007C757A">
            <w:pPr>
              <w:widowControl w:val="0"/>
              <w:spacing w:after="0"/>
              <w:rPr>
                <w:rFonts w:ascii="Calibri" w:hAnsi="Calibri"/>
                <w:lang w:eastAsia="en-GB"/>
              </w:rPr>
            </w:pPr>
            <w:r w:rsidRPr="000B2E61">
              <w:rPr>
                <w:rFonts w:ascii="Calibri" w:hAnsi="Calibri"/>
                <w:sz w:val="24"/>
                <w:lang w:eastAsia="en-GB"/>
              </w:rPr>
              <w:t>To compare the persistence of immunological responses to PCV13 at 12 months chronological age after two different primary immunisation schedules of PCV13 (3 versus 4 months of age</w:t>
            </w:r>
            <w:r>
              <w:rPr>
                <w:rFonts w:ascii="Calibri" w:hAnsi="Calibri"/>
                <w:lang w:eastAsia="en-GB"/>
              </w:rPr>
              <w:t>).</w:t>
            </w: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14:paraId="63248452" w14:textId="77777777" w:rsidR="007C525D" w:rsidRDefault="007C757A">
            <w:pPr>
              <w:pStyle w:val="LightGrid-Accent31"/>
              <w:widowControl w:val="0"/>
              <w:numPr>
                <w:ilvl w:val="0"/>
                <w:numId w:val="4"/>
              </w:numPr>
              <w:tabs>
                <w:tab w:val="left" w:pos="0"/>
                <w:tab w:val="left" w:pos="426"/>
              </w:tabs>
              <w:spacing w:after="0" w:line="240" w:lineRule="auto"/>
              <w:ind w:left="360"/>
              <w:rPr>
                <w:rFonts w:cs="Arial"/>
                <w:sz w:val="22"/>
                <w:szCs w:val="22"/>
                <w:lang w:eastAsia="en-GB"/>
              </w:rPr>
            </w:pPr>
            <w:r>
              <w:rPr>
                <w:rFonts w:cs="Arial"/>
                <w:sz w:val="22"/>
                <w:szCs w:val="22"/>
                <w:lang w:eastAsia="en-GB"/>
              </w:rPr>
              <w:t>Serotype specific GMCs against PCV13 serotypes at 12 months of age (pre PCV13 booster).</w:t>
            </w:r>
          </w:p>
          <w:p w14:paraId="0AF52D83" w14:textId="77777777" w:rsidR="007C525D" w:rsidRDefault="007C525D">
            <w:pPr>
              <w:pStyle w:val="LightGrid-Accent31"/>
              <w:widowControl w:val="0"/>
              <w:tabs>
                <w:tab w:val="left" w:pos="0"/>
                <w:tab w:val="left" w:pos="426"/>
              </w:tabs>
              <w:spacing w:after="0" w:line="240" w:lineRule="auto"/>
              <w:rPr>
                <w:rFonts w:cs="Arial"/>
                <w:sz w:val="22"/>
                <w:szCs w:val="22"/>
                <w:lang w:eastAsia="en-GB"/>
              </w:rPr>
            </w:pPr>
          </w:p>
          <w:p w14:paraId="502AF507" w14:textId="2538DE83" w:rsidR="007C525D" w:rsidRDefault="007C757A">
            <w:pPr>
              <w:pStyle w:val="LightGrid-Accent31"/>
              <w:widowControl w:val="0"/>
              <w:numPr>
                <w:ilvl w:val="0"/>
                <w:numId w:val="4"/>
              </w:numPr>
              <w:tabs>
                <w:tab w:val="left" w:pos="0"/>
                <w:tab w:val="left" w:pos="426"/>
              </w:tabs>
              <w:spacing w:after="0" w:line="240" w:lineRule="auto"/>
              <w:ind w:left="360"/>
              <w:rPr>
                <w:rFonts w:cs="Arial"/>
                <w:sz w:val="22"/>
                <w:szCs w:val="22"/>
                <w:lang w:eastAsia="en-GB"/>
              </w:rPr>
            </w:pPr>
            <w:r>
              <w:rPr>
                <w:rFonts w:cs="Arial"/>
                <w:sz w:val="22"/>
                <w:szCs w:val="22"/>
                <w:lang w:eastAsia="en-GB"/>
              </w:rPr>
              <w:t xml:space="preserve">The proportion of infants with serotype-specific GMCs ≥ 0.35 </w:t>
            </w:r>
            <w:proofErr w:type="spellStart"/>
            <w:r>
              <w:rPr>
                <w:rFonts w:cs="Arial"/>
                <w:sz w:val="22"/>
                <w:szCs w:val="22"/>
                <w:lang w:eastAsia="en-GB"/>
              </w:rPr>
              <w:t>μg</w:t>
            </w:r>
            <w:proofErr w:type="spellEnd"/>
            <w:r>
              <w:rPr>
                <w:rFonts w:cs="Arial"/>
                <w:sz w:val="22"/>
                <w:szCs w:val="22"/>
                <w:lang w:eastAsia="en-GB"/>
              </w:rPr>
              <w:t>/ml against PCV13 serotypes at 12 months of age (pre PCV13 booster).</w:t>
            </w:r>
          </w:p>
          <w:p w14:paraId="1B06E7D6" w14:textId="77777777" w:rsidR="007C525D" w:rsidRDefault="007C525D">
            <w:pPr>
              <w:pStyle w:val="LightGrid-Accent31"/>
              <w:widowControl w:val="0"/>
              <w:tabs>
                <w:tab w:val="left" w:pos="426"/>
              </w:tabs>
              <w:spacing w:after="0" w:line="240" w:lineRule="auto"/>
              <w:ind w:left="360"/>
              <w:rPr>
                <w:rFonts w:cs="Arial"/>
                <w:sz w:val="22"/>
                <w:szCs w:val="22"/>
                <w:lang w:eastAsia="en-GB"/>
              </w:rPr>
            </w:pPr>
          </w:p>
        </w:tc>
      </w:tr>
      <w:tr w:rsidR="007C525D" w14:paraId="5EEA2B39" w14:textId="77777777">
        <w:trPr>
          <w:trHeight w:val="3107"/>
        </w:trPr>
        <w:tc>
          <w:tcPr>
            <w:tcW w:w="3924" w:type="dxa"/>
            <w:tcBorders>
              <w:left w:val="single" w:sz="4" w:space="0" w:color="000000"/>
              <w:bottom w:val="single" w:sz="4" w:space="0" w:color="000000"/>
              <w:right w:val="single" w:sz="4" w:space="0" w:color="000000"/>
            </w:tcBorders>
            <w:shd w:val="clear" w:color="auto" w:fill="auto"/>
          </w:tcPr>
          <w:p w14:paraId="48D80E2A" w14:textId="77777777" w:rsidR="007C525D" w:rsidRDefault="007C757A">
            <w:pPr>
              <w:widowControl w:val="0"/>
              <w:rPr>
                <w:rFonts w:ascii="Calibri" w:hAnsi="Calibri"/>
                <w:szCs w:val="22"/>
              </w:rPr>
            </w:pPr>
            <w:r>
              <w:rPr>
                <w:rFonts w:ascii="Calibri" w:hAnsi="Calibri"/>
                <w:szCs w:val="22"/>
              </w:rPr>
              <w:t>Secondary</w:t>
            </w:r>
          </w:p>
        </w:tc>
        <w:tc>
          <w:tcPr>
            <w:tcW w:w="3118" w:type="dxa"/>
            <w:tcBorders>
              <w:left w:val="single" w:sz="4" w:space="0" w:color="000000"/>
              <w:bottom w:val="single" w:sz="4" w:space="0" w:color="000000"/>
              <w:right w:val="single" w:sz="4" w:space="0" w:color="000000"/>
            </w:tcBorders>
            <w:shd w:val="clear" w:color="auto" w:fill="auto"/>
          </w:tcPr>
          <w:p w14:paraId="23A431CF" w14:textId="77777777" w:rsidR="007C525D" w:rsidRDefault="007C757A">
            <w:pPr>
              <w:widowControl w:val="0"/>
              <w:spacing w:after="0"/>
              <w:rPr>
                <w:rFonts w:ascii="Calibri" w:hAnsi="Calibri"/>
              </w:rPr>
            </w:pPr>
            <w:r>
              <w:rPr>
                <w:rFonts w:ascii="Calibri" w:hAnsi="Calibri"/>
              </w:rPr>
              <w:t>To compare the persistence of immunological responses to the booster dose of PCV13 given at 12 months in infants who received two different primary immunisation schedules of PCV13 (3 versus 4 months of age).</w:t>
            </w:r>
          </w:p>
        </w:tc>
        <w:tc>
          <w:tcPr>
            <w:tcW w:w="3131" w:type="dxa"/>
            <w:tcBorders>
              <w:left w:val="single" w:sz="4" w:space="0" w:color="000000"/>
              <w:bottom w:val="single" w:sz="4" w:space="0" w:color="000000"/>
              <w:right w:val="single" w:sz="4" w:space="0" w:color="000000"/>
            </w:tcBorders>
            <w:shd w:val="clear" w:color="auto" w:fill="auto"/>
          </w:tcPr>
          <w:p w14:paraId="6D178FCA" w14:textId="77777777" w:rsidR="007C525D" w:rsidRDefault="007C757A">
            <w:pPr>
              <w:pStyle w:val="LightGrid-Accent31"/>
              <w:widowControl w:val="0"/>
              <w:numPr>
                <w:ilvl w:val="0"/>
                <w:numId w:val="4"/>
              </w:numPr>
              <w:tabs>
                <w:tab w:val="left" w:pos="0"/>
                <w:tab w:val="left" w:pos="426"/>
              </w:tabs>
              <w:spacing w:after="0" w:line="240" w:lineRule="auto"/>
              <w:ind w:left="360"/>
              <w:rPr>
                <w:rFonts w:cs="Arial"/>
                <w:sz w:val="22"/>
                <w:szCs w:val="22"/>
                <w:lang w:eastAsia="en-GB"/>
              </w:rPr>
            </w:pPr>
            <w:r>
              <w:rPr>
                <w:rFonts w:cs="Arial"/>
                <w:sz w:val="22"/>
                <w:szCs w:val="22"/>
                <w:lang w:eastAsia="en-GB"/>
              </w:rPr>
              <w:t>Serotype specific GMCs against PCV13 serotypes at 13 months of age (4 weeks post PCV13 booster).</w:t>
            </w:r>
          </w:p>
          <w:p w14:paraId="3BF41E10" w14:textId="77777777" w:rsidR="007C525D" w:rsidRDefault="007C525D">
            <w:pPr>
              <w:pStyle w:val="LightGrid-Accent31"/>
              <w:widowControl w:val="0"/>
              <w:tabs>
                <w:tab w:val="left" w:pos="0"/>
                <w:tab w:val="left" w:pos="426"/>
              </w:tabs>
              <w:spacing w:after="0" w:line="240" w:lineRule="auto"/>
              <w:rPr>
                <w:rFonts w:cs="Arial"/>
                <w:sz w:val="22"/>
                <w:szCs w:val="22"/>
                <w:lang w:eastAsia="en-GB"/>
              </w:rPr>
            </w:pPr>
          </w:p>
          <w:p w14:paraId="1F321206" w14:textId="77777777" w:rsidR="007C525D" w:rsidRDefault="007C757A">
            <w:pPr>
              <w:pStyle w:val="LightGrid-Accent31"/>
              <w:widowControl w:val="0"/>
              <w:numPr>
                <w:ilvl w:val="0"/>
                <w:numId w:val="4"/>
              </w:numPr>
              <w:tabs>
                <w:tab w:val="left" w:pos="0"/>
                <w:tab w:val="left" w:pos="426"/>
              </w:tabs>
              <w:spacing w:after="0" w:line="240" w:lineRule="auto"/>
              <w:ind w:left="360"/>
              <w:rPr>
                <w:rFonts w:cs="Arial"/>
                <w:sz w:val="22"/>
                <w:szCs w:val="22"/>
                <w:lang w:eastAsia="en-GB"/>
              </w:rPr>
            </w:pPr>
            <w:r>
              <w:rPr>
                <w:rFonts w:cs="Arial"/>
                <w:sz w:val="22"/>
                <w:szCs w:val="22"/>
                <w:lang w:eastAsia="en-GB"/>
              </w:rPr>
              <w:t xml:space="preserve">The proportion of infants with serotype-specific GMCs ≥ 0.35 </w:t>
            </w:r>
            <w:proofErr w:type="spellStart"/>
            <w:r>
              <w:rPr>
                <w:rFonts w:cs="Arial"/>
                <w:sz w:val="22"/>
                <w:szCs w:val="22"/>
                <w:lang w:eastAsia="en-GB"/>
              </w:rPr>
              <w:t>μg</w:t>
            </w:r>
            <w:proofErr w:type="spellEnd"/>
            <w:r>
              <w:rPr>
                <w:rFonts w:cs="Arial"/>
                <w:sz w:val="22"/>
                <w:szCs w:val="22"/>
                <w:lang w:eastAsia="en-GB"/>
              </w:rPr>
              <w:t>/ml against PCV13 serotypes at 13 months of age (4 weeks post PCV13 booster).</w:t>
            </w:r>
          </w:p>
        </w:tc>
      </w:tr>
      <w:tr w:rsidR="007C525D" w14:paraId="687449A8" w14:textId="77777777">
        <w:trPr>
          <w:trHeight w:val="3107"/>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588908A4" w14:textId="77777777" w:rsidR="007C525D" w:rsidRDefault="007C757A">
            <w:pPr>
              <w:widowControl w:val="0"/>
              <w:jc w:val="left"/>
              <w:rPr>
                <w:rFonts w:ascii="Calibri" w:hAnsi="Calibri"/>
                <w:szCs w:val="22"/>
              </w:rPr>
            </w:pPr>
            <w:r>
              <w:rPr>
                <w:rFonts w:ascii="Calibri" w:hAnsi="Calibri"/>
                <w:szCs w:val="22"/>
              </w:rPr>
              <w:t>Observational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1D5ABD" w14:textId="77777777" w:rsidR="007C525D" w:rsidRDefault="007C757A">
            <w:pPr>
              <w:pStyle w:val="ListParagraph"/>
              <w:widowControl w:val="0"/>
              <w:spacing w:after="0" w:line="240" w:lineRule="auto"/>
              <w:ind w:left="0"/>
              <w:jc w:val="left"/>
              <w:rPr>
                <w:rFonts w:ascii="Calibri" w:hAnsi="Calibri"/>
                <w:lang w:eastAsia="en-GB"/>
              </w:rPr>
            </w:pPr>
            <w:r>
              <w:rPr>
                <w:rFonts w:ascii="Calibri" w:hAnsi="Calibri"/>
                <w:lang w:eastAsia="en-GB"/>
              </w:rPr>
              <w:t>Safety</w:t>
            </w:r>
          </w:p>
          <w:p w14:paraId="2D2ED25D" w14:textId="77777777" w:rsidR="007C525D" w:rsidRDefault="007C757A">
            <w:pPr>
              <w:widowControl w:val="0"/>
            </w:pPr>
            <w:r>
              <w:rPr>
                <w:rFonts w:ascii="Calibri" w:hAnsi="Calibri" w:cs="Calibri"/>
                <w:lang w:eastAsia="en-GB"/>
              </w:rPr>
              <w:t xml:space="preserve">1. </w:t>
            </w:r>
            <w:r>
              <w:rPr>
                <w:rFonts w:ascii="Calibri" w:hAnsi="Calibri"/>
                <w:lang w:eastAsia="en-GB"/>
              </w:rPr>
              <w:t xml:space="preserve">To describe the safety of 4CMenB when given concomitantly with routine vaccines at 2 and 3 months of age </w:t>
            </w:r>
            <w:r>
              <w:rPr>
                <w:rFonts w:ascii="Calibri" w:hAnsi="Calibri"/>
                <w:b/>
                <w:lang w:eastAsia="en-GB"/>
              </w:rPr>
              <w:t>(</w:t>
            </w:r>
            <w:r>
              <w:rPr>
                <w:rFonts w:ascii="Calibri" w:hAnsi="Calibri"/>
                <w:b/>
                <w:szCs w:val="22"/>
                <w:lang w:eastAsia="en-GB"/>
              </w:rPr>
              <w:t>Group 1).</w:t>
            </w:r>
          </w:p>
          <w:p w14:paraId="7848FB1F" w14:textId="77777777" w:rsidR="007C525D" w:rsidRDefault="007C757A">
            <w:pPr>
              <w:widowControl w:val="0"/>
            </w:pPr>
            <w:r>
              <w:rPr>
                <w:rFonts w:ascii="Calibri" w:hAnsi="Calibri" w:cs="Calibri"/>
                <w:lang w:eastAsia="en-GB"/>
              </w:rPr>
              <w:t xml:space="preserve">2. </w:t>
            </w:r>
            <w:r>
              <w:rPr>
                <w:rFonts w:ascii="Calibri" w:hAnsi="Calibri"/>
                <w:lang w:eastAsia="en-GB"/>
              </w:rPr>
              <w:t xml:space="preserve">To describe the safety of 4CMenB when given concomitantly with routine vaccines at 2 and 4 months of age </w:t>
            </w:r>
            <w:r>
              <w:rPr>
                <w:rFonts w:ascii="Calibri" w:hAnsi="Calibri"/>
                <w:b/>
                <w:lang w:eastAsia="en-GB"/>
              </w:rPr>
              <w:t>(</w:t>
            </w:r>
            <w:r>
              <w:rPr>
                <w:rFonts w:ascii="Calibri" w:hAnsi="Calibri"/>
                <w:b/>
                <w:szCs w:val="22"/>
                <w:lang w:eastAsia="en-GB"/>
              </w:rPr>
              <w:t>Group 2).</w:t>
            </w:r>
          </w:p>
          <w:p w14:paraId="22D6BD17" w14:textId="77777777" w:rsidR="007C525D" w:rsidRDefault="007C757A">
            <w:pPr>
              <w:widowControl w:val="0"/>
            </w:pPr>
            <w:r>
              <w:rPr>
                <w:rFonts w:ascii="Calibri" w:hAnsi="Calibri"/>
                <w:lang w:eastAsia="en-GB"/>
              </w:rPr>
              <w:t xml:space="preserve">3. To describe the safety of PCV13 when given concomitantly with routine vaccines at 3 months of age </w:t>
            </w:r>
            <w:r>
              <w:rPr>
                <w:rFonts w:ascii="Calibri" w:hAnsi="Calibri"/>
                <w:b/>
                <w:lang w:eastAsia="en-GB"/>
              </w:rPr>
              <w:t>(</w:t>
            </w:r>
            <w:r>
              <w:rPr>
                <w:rFonts w:ascii="Calibri" w:hAnsi="Calibri"/>
                <w:b/>
                <w:szCs w:val="22"/>
                <w:lang w:eastAsia="en-GB"/>
              </w:rPr>
              <w:t>Group 2).</w:t>
            </w:r>
          </w:p>
          <w:p w14:paraId="2320D354" w14:textId="77777777" w:rsidR="007C525D" w:rsidRDefault="007C757A">
            <w:pPr>
              <w:pStyle w:val="ListParagraph"/>
              <w:widowControl w:val="0"/>
              <w:spacing w:after="0" w:line="240" w:lineRule="auto"/>
              <w:ind w:left="0"/>
              <w:jc w:val="left"/>
            </w:pPr>
            <w:r>
              <w:rPr>
                <w:rFonts w:ascii="Calibri" w:hAnsi="Calibri"/>
                <w:lang w:eastAsia="en-GB"/>
              </w:rPr>
              <w:t xml:space="preserve">4. To describe the safety of PCV13 when given concomitantly with routine vaccines at 4 months of age </w:t>
            </w:r>
            <w:r>
              <w:rPr>
                <w:rFonts w:ascii="Calibri" w:hAnsi="Calibri"/>
                <w:b/>
                <w:lang w:eastAsia="en-GB"/>
              </w:rPr>
              <w:t>(Group 1).</w:t>
            </w:r>
            <w:r>
              <w:rPr>
                <w:rFonts w:ascii="Calibri" w:hAnsi="Calibri"/>
              </w:rPr>
              <w:t xml:space="preserve"> </w:t>
            </w:r>
          </w:p>
          <w:p w14:paraId="3D580B4B" w14:textId="77777777" w:rsidR="007C525D" w:rsidRDefault="007C525D">
            <w:pPr>
              <w:pStyle w:val="ListParagraph"/>
              <w:widowControl w:val="0"/>
              <w:spacing w:after="0" w:line="240" w:lineRule="auto"/>
              <w:ind w:left="0"/>
              <w:jc w:val="left"/>
              <w:rPr>
                <w:rFonts w:ascii="Calibri" w:hAnsi="Calibri"/>
                <w:lang w:eastAsia="en-GB"/>
              </w:rPr>
            </w:pPr>
          </w:p>
          <w:p w14:paraId="75B6048D" w14:textId="77777777" w:rsidR="007C525D" w:rsidRDefault="007C757A">
            <w:pPr>
              <w:pStyle w:val="ListParagraph"/>
              <w:widowControl w:val="0"/>
              <w:spacing w:after="0" w:line="240" w:lineRule="auto"/>
              <w:ind w:left="0"/>
              <w:jc w:val="left"/>
            </w:pPr>
            <w:r>
              <w:rPr>
                <w:rFonts w:ascii="Calibri" w:hAnsi="Calibri"/>
                <w:lang w:eastAsia="en-GB"/>
              </w:rPr>
              <w:t xml:space="preserve">5. To describe the safety of 4CMenB booster when given concomitantly with routine </w:t>
            </w:r>
            <w:r>
              <w:rPr>
                <w:rFonts w:ascii="Calibri" w:hAnsi="Calibri"/>
                <w:lang w:eastAsia="en-GB"/>
              </w:rPr>
              <w:lastRenderedPageBreak/>
              <w:t xml:space="preserve">vaccines at 12 months of age </w:t>
            </w:r>
            <w:r>
              <w:rPr>
                <w:rFonts w:ascii="Calibri" w:hAnsi="Calibri"/>
                <w:b/>
                <w:lang w:eastAsia="en-GB"/>
              </w:rPr>
              <w:t>(Group 1 and 2).</w:t>
            </w:r>
          </w:p>
          <w:p w14:paraId="62D979ED" w14:textId="77777777" w:rsidR="007C525D" w:rsidRDefault="007C525D">
            <w:pPr>
              <w:pStyle w:val="ListParagraph"/>
              <w:widowControl w:val="0"/>
              <w:spacing w:after="0" w:line="240" w:lineRule="auto"/>
              <w:ind w:left="0"/>
              <w:jc w:val="left"/>
              <w:rPr>
                <w:rFonts w:ascii="Calibri" w:hAnsi="Calibri"/>
                <w:lang w:eastAsia="en-GB"/>
              </w:rPr>
            </w:pPr>
          </w:p>
          <w:p w14:paraId="4C2757BB" w14:textId="77777777" w:rsidR="007C525D" w:rsidRDefault="007C757A">
            <w:pPr>
              <w:pStyle w:val="ListParagraph"/>
              <w:widowControl w:val="0"/>
              <w:spacing w:after="0" w:line="240" w:lineRule="auto"/>
              <w:ind w:left="0"/>
              <w:jc w:val="left"/>
            </w:pPr>
            <w:r>
              <w:rPr>
                <w:rFonts w:ascii="Calibri" w:hAnsi="Calibri"/>
                <w:lang w:eastAsia="en-GB"/>
              </w:rPr>
              <w:t xml:space="preserve">6. To describe the safety of PCV13 booster when given concomitantly with routine vaccines at 12 months of age </w:t>
            </w:r>
            <w:r>
              <w:rPr>
                <w:rFonts w:ascii="Calibri" w:hAnsi="Calibri"/>
                <w:b/>
                <w:lang w:eastAsia="en-GB"/>
              </w:rPr>
              <w:t>(Group 1 and 2).</w:t>
            </w:r>
          </w:p>
          <w:p w14:paraId="1C5D8A96" w14:textId="77777777" w:rsidR="007C525D" w:rsidRDefault="007C525D">
            <w:pPr>
              <w:pStyle w:val="ListParagraph"/>
              <w:widowControl w:val="0"/>
              <w:spacing w:after="0" w:line="240" w:lineRule="auto"/>
              <w:ind w:left="0"/>
              <w:jc w:val="left"/>
              <w:rPr>
                <w:rFonts w:ascii="Calibri" w:hAnsi="Calibri"/>
                <w:lang w:eastAsia="en-GB"/>
              </w:rPr>
            </w:pPr>
          </w:p>
          <w:p w14:paraId="4B9A5450" w14:textId="77777777" w:rsidR="007C525D" w:rsidRDefault="007C525D">
            <w:pPr>
              <w:pStyle w:val="ListParagraph"/>
              <w:widowControl w:val="0"/>
              <w:spacing w:after="0" w:line="240" w:lineRule="auto"/>
              <w:ind w:left="0"/>
              <w:jc w:val="left"/>
              <w:rPr>
                <w:rFonts w:ascii="Calibri" w:hAnsi="Calibri"/>
                <w:lang w:eastAsia="en-GB"/>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tcPr>
          <w:p w14:paraId="7AA16743" w14:textId="77777777" w:rsidR="007C525D" w:rsidRDefault="007C757A">
            <w:pPr>
              <w:pStyle w:val="ListParagraph"/>
              <w:widowControl w:val="0"/>
              <w:numPr>
                <w:ilvl w:val="0"/>
                <w:numId w:val="2"/>
              </w:numPr>
              <w:spacing w:after="0"/>
              <w:rPr>
                <w:rFonts w:ascii="Calibri" w:eastAsia="Times New Roman" w:hAnsi="Calibri"/>
                <w:lang w:eastAsia="en-GB"/>
              </w:rPr>
            </w:pPr>
            <w:r>
              <w:rPr>
                <w:rFonts w:ascii="Calibri" w:eastAsia="Times New Roman" w:hAnsi="Calibri"/>
                <w:lang w:eastAsia="en-GB"/>
              </w:rPr>
              <w:lastRenderedPageBreak/>
              <w:t>Occurrence, nature, time of onset, duration, intensity, action taken and whether the event led to early termination from the study, of any solicited AEs within 7 days after each vaccination(s).</w:t>
            </w:r>
          </w:p>
          <w:p w14:paraId="1D036C41" w14:textId="77777777" w:rsidR="007C525D" w:rsidRDefault="007C757A">
            <w:pPr>
              <w:pStyle w:val="ListParagraph"/>
              <w:widowControl w:val="0"/>
              <w:numPr>
                <w:ilvl w:val="0"/>
                <w:numId w:val="2"/>
              </w:numPr>
              <w:spacing w:after="0"/>
              <w:rPr>
                <w:rFonts w:ascii="Calibri" w:eastAsia="Times New Roman" w:hAnsi="Calibri"/>
                <w:lang w:eastAsia="en-GB"/>
              </w:rPr>
            </w:pPr>
            <w:r>
              <w:rPr>
                <w:rFonts w:ascii="Calibri" w:eastAsia="Times New Roman" w:hAnsi="Calibri"/>
                <w:lang w:eastAsia="en-GB"/>
              </w:rPr>
              <w:t>Occurrence, nature, time of onset, duration, intensity, action taken and whether the event led to early termination from the study, of any unsolicited AEs within 28 days after each vaccination(s).</w:t>
            </w:r>
          </w:p>
          <w:p w14:paraId="275CB748" w14:textId="77777777" w:rsidR="007C525D" w:rsidRDefault="007C757A">
            <w:pPr>
              <w:pStyle w:val="ListParagraph"/>
              <w:widowControl w:val="0"/>
              <w:numPr>
                <w:ilvl w:val="0"/>
                <w:numId w:val="2"/>
              </w:numPr>
              <w:spacing w:after="0"/>
              <w:rPr>
                <w:rFonts w:ascii="Calibri" w:eastAsia="Times New Roman" w:hAnsi="Calibri"/>
                <w:lang w:eastAsia="en-GB"/>
              </w:rPr>
            </w:pPr>
            <w:r>
              <w:rPr>
                <w:rFonts w:ascii="Calibri" w:eastAsia="Times New Roman" w:hAnsi="Calibri"/>
                <w:lang w:eastAsia="en-GB"/>
              </w:rPr>
              <w:t xml:space="preserve">Occurrence, nature, time of onset, duration, intensity, action taken and whether the event led to early termination from the study, of any medically attended </w:t>
            </w:r>
            <w:r>
              <w:rPr>
                <w:rFonts w:ascii="Calibri" w:eastAsia="Times New Roman" w:hAnsi="Calibri"/>
                <w:lang w:eastAsia="en-GB"/>
              </w:rPr>
              <w:lastRenderedPageBreak/>
              <w:t xml:space="preserve">AEs for the whole duration of the study. </w:t>
            </w:r>
          </w:p>
          <w:p w14:paraId="2AF00B71" w14:textId="77777777" w:rsidR="007C525D" w:rsidRDefault="007C757A">
            <w:pPr>
              <w:pStyle w:val="ListParagraph"/>
              <w:widowControl w:val="0"/>
              <w:numPr>
                <w:ilvl w:val="0"/>
                <w:numId w:val="2"/>
              </w:numPr>
              <w:spacing w:after="0"/>
              <w:rPr>
                <w:rFonts w:ascii="Calibri" w:eastAsia="Times New Roman" w:hAnsi="Calibri"/>
                <w:lang w:eastAsia="en-GB"/>
              </w:rPr>
            </w:pPr>
            <w:r>
              <w:rPr>
                <w:rFonts w:ascii="Calibri" w:eastAsia="Times New Roman" w:hAnsi="Calibri"/>
                <w:lang w:eastAsia="en-GB"/>
              </w:rPr>
              <w:t>Occurrence, nature, time of onset, duration, intensity, action taken, relationship to vaccination, outcome and whether the event led to early termination from the study, of any SAEs and AESIs for the whole duration of the study.</w:t>
            </w:r>
          </w:p>
          <w:p w14:paraId="55F3B010" w14:textId="77777777" w:rsidR="007C525D" w:rsidRDefault="007C525D">
            <w:pPr>
              <w:widowControl w:val="0"/>
              <w:rPr>
                <w:szCs w:val="22"/>
                <w:lang w:eastAsia="en-GB"/>
              </w:rPr>
            </w:pPr>
          </w:p>
          <w:p w14:paraId="00B630A1" w14:textId="77777777" w:rsidR="007C525D" w:rsidRDefault="007C525D">
            <w:pPr>
              <w:widowControl w:val="0"/>
              <w:rPr>
                <w:szCs w:val="22"/>
                <w:lang w:eastAsia="en-GB"/>
              </w:rPr>
            </w:pPr>
          </w:p>
        </w:tc>
      </w:tr>
      <w:tr w:rsidR="007C525D" w14:paraId="4A80230C" w14:textId="77777777">
        <w:trPr>
          <w:trHeight w:val="770"/>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503AA293" w14:textId="77777777" w:rsidR="007C525D" w:rsidRDefault="007C757A">
            <w:pPr>
              <w:widowControl w:val="0"/>
              <w:rPr>
                <w:rFonts w:ascii="Calibri" w:hAnsi="Calibri"/>
                <w:szCs w:val="22"/>
              </w:rPr>
            </w:pPr>
            <w:r>
              <w:rPr>
                <w:rFonts w:ascii="Calibri" w:hAnsi="Calibri"/>
                <w:szCs w:val="22"/>
              </w:rPr>
              <w:lastRenderedPageBreak/>
              <w:t>Investigational Medicinal Product(</w:t>
            </w:r>
            <w:proofErr w:type="gramStart"/>
            <w:r>
              <w:rPr>
                <w:rFonts w:ascii="Calibri" w:hAnsi="Calibri"/>
                <w:szCs w:val="22"/>
              </w:rPr>
              <w:t>s)  Or</w:t>
            </w:r>
            <w:proofErr w:type="gramEnd"/>
            <w:r>
              <w:rPr>
                <w:rFonts w:ascii="Calibri" w:hAnsi="Calibri"/>
                <w:szCs w:val="22"/>
              </w:rPr>
              <w:t xml:space="preserve"> Device Name</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BFF5" w14:textId="77777777" w:rsidR="007C525D" w:rsidRDefault="007C757A">
            <w:pPr>
              <w:widowControl w:val="0"/>
              <w:spacing w:after="240" w:line="264" w:lineRule="auto"/>
            </w:pPr>
            <w:r>
              <w:rPr>
                <w:rFonts w:ascii="Calibri" w:hAnsi="Calibri"/>
                <w:szCs w:val="22"/>
              </w:rPr>
              <w:t>4CMenB; Bexsero</w:t>
            </w:r>
            <w:r>
              <w:rPr>
                <w:rFonts w:ascii="Calibri" w:hAnsi="Calibri"/>
                <w:szCs w:val="22"/>
                <w:vertAlign w:val="superscript"/>
                <w:lang w:val="en-US"/>
              </w:rPr>
              <w:t>®</w:t>
            </w:r>
            <w:r>
              <w:rPr>
                <w:rFonts w:ascii="Calibri" w:hAnsi="Calibri"/>
                <w:szCs w:val="22"/>
              </w:rPr>
              <w:t xml:space="preserve"> (Manufactured by GlaxoSmithKline in Italy): a </w:t>
            </w:r>
            <w:proofErr w:type="gramStart"/>
            <w:r>
              <w:rPr>
                <w:rFonts w:ascii="Calibri" w:hAnsi="Calibri"/>
                <w:szCs w:val="22"/>
              </w:rPr>
              <w:t>four component</w:t>
            </w:r>
            <w:proofErr w:type="gramEnd"/>
            <w:r>
              <w:rPr>
                <w:rFonts w:ascii="Calibri" w:hAnsi="Calibri"/>
                <w:szCs w:val="22"/>
              </w:rPr>
              <w:t xml:space="preserve"> vaccine that protects against </w:t>
            </w:r>
            <w:r>
              <w:rPr>
                <w:rFonts w:ascii="Calibri" w:hAnsi="Calibri"/>
                <w:i/>
                <w:szCs w:val="22"/>
              </w:rPr>
              <w:t xml:space="preserve">Neisseria meningitidis </w:t>
            </w:r>
            <w:r>
              <w:rPr>
                <w:rFonts w:ascii="Calibri" w:hAnsi="Calibri"/>
                <w:szCs w:val="22"/>
              </w:rPr>
              <w:t>serogroup B</w:t>
            </w:r>
          </w:p>
        </w:tc>
      </w:tr>
      <w:tr w:rsidR="007C525D" w14:paraId="68498873" w14:textId="77777777">
        <w:trPr>
          <w:trHeight w:val="385"/>
        </w:trPr>
        <w:tc>
          <w:tcPr>
            <w:tcW w:w="3924" w:type="dxa"/>
            <w:tcBorders>
              <w:top w:val="single" w:sz="4" w:space="0" w:color="000000"/>
              <w:left w:val="single" w:sz="4" w:space="0" w:color="000000"/>
              <w:bottom w:val="single" w:sz="4" w:space="0" w:color="000000"/>
              <w:right w:val="single" w:sz="4" w:space="0" w:color="000000"/>
            </w:tcBorders>
            <w:shd w:val="clear" w:color="auto" w:fill="auto"/>
          </w:tcPr>
          <w:p w14:paraId="30CD65BE" w14:textId="77777777" w:rsidR="007C525D" w:rsidRDefault="007C757A">
            <w:pPr>
              <w:widowControl w:val="0"/>
              <w:rPr>
                <w:rFonts w:ascii="Calibri" w:hAnsi="Calibri"/>
                <w:szCs w:val="22"/>
              </w:rPr>
            </w:pPr>
            <w:r>
              <w:rPr>
                <w:rFonts w:ascii="Calibri" w:hAnsi="Calibri"/>
                <w:szCs w:val="22"/>
              </w:rPr>
              <w:t>Formulation, Dose, Route of Administration</w:t>
            </w:r>
          </w:p>
        </w:tc>
        <w:tc>
          <w:tcPr>
            <w:tcW w:w="6249" w:type="dxa"/>
            <w:gridSpan w:val="2"/>
            <w:tcBorders>
              <w:top w:val="single" w:sz="4" w:space="0" w:color="000000"/>
              <w:left w:val="single" w:sz="4" w:space="0" w:color="000000"/>
              <w:bottom w:val="single" w:sz="4" w:space="0" w:color="000000"/>
              <w:right w:val="single" w:sz="4" w:space="0" w:color="000000"/>
            </w:tcBorders>
            <w:shd w:val="clear" w:color="auto" w:fill="auto"/>
          </w:tcPr>
          <w:p w14:paraId="52C4F075" w14:textId="77777777" w:rsidR="007C525D" w:rsidRDefault="007C757A">
            <w:pPr>
              <w:widowControl w:val="0"/>
            </w:pPr>
            <w:r>
              <w:rPr>
                <w:rFonts w:ascii="Calibri" w:hAnsi="Calibri"/>
                <w:szCs w:val="22"/>
              </w:rPr>
              <w:t xml:space="preserve">4CMenB; Bexsero: </w:t>
            </w:r>
            <w:r>
              <w:rPr>
                <w:rFonts w:ascii="MS Gothic" w:hAnsi="MS Gothic" w:cs="MS Gothic"/>
                <w:szCs w:val="22"/>
              </w:rPr>
              <w:t> </w:t>
            </w:r>
            <w:r>
              <w:rPr>
                <w:rFonts w:ascii="Calibri" w:hAnsi="Calibri"/>
                <w:szCs w:val="22"/>
              </w:rPr>
              <w:t xml:space="preserve">0.5mL intra-muscularly; three doses administered at 2-3-12 months of age or 2-4-12 months of age. Each dose of vaccine contains recombinant </w:t>
            </w:r>
            <w:r>
              <w:rPr>
                <w:rFonts w:ascii="Calibri" w:hAnsi="Calibri"/>
                <w:i/>
                <w:szCs w:val="22"/>
              </w:rPr>
              <w:t>Neisseria meningitidis</w:t>
            </w:r>
            <w:r>
              <w:rPr>
                <w:rFonts w:ascii="Calibri" w:hAnsi="Calibri"/>
                <w:szCs w:val="22"/>
              </w:rPr>
              <w:t xml:space="preserve"> group B NHBA fusion protein (50 micrograms); recombinant </w:t>
            </w:r>
            <w:r>
              <w:rPr>
                <w:rFonts w:ascii="Calibri" w:hAnsi="Calibri"/>
                <w:i/>
                <w:szCs w:val="22"/>
              </w:rPr>
              <w:t>Neisseria meningitidis</w:t>
            </w:r>
            <w:r>
              <w:rPr>
                <w:rFonts w:ascii="Calibri" w:hAnsi="Calibri"/>
                <w:szCs w:val="22"/>
              </w:rPr>
              <w:t xml:space="preserve"> group B </w:t>
            </w:r>
            <w:proofErr w:type="spellStart"/>
            <w:r>
              <w:rPr>
                <w:rFonts w:ascii="Calibri" w:hAnsi="Calibri"/>
                <w:szCs w:val="22"/>
              </w:rPr>
              <w:t>NadA</w:t>
            </w:r>
            <w:proofErr w:type="spellEnd"/>
            <w:r>
              <w:rPr>
                <w:rFonts w:ascii="Calibri" w:hAnsi="Calibri"/>
                <w:szCs w:val="22"/>
              </w:rPr>
              <w:t xml:space="preserve"> protein (50 micrograms); recombinant </w:t>
            </w:r>
            <w:r>
              <w:rPr>
                <w:rFonts w:ascii="Calibri" w:hAnsi="Calibri"/>
                <w:i/>
                <w:szCs w:val="22"/>
              </w:rPr>
              <w:t>Neisseria meningitidis</w:t>
            </w:r>
            <w:r>
              <w:rPr>
                <w:rFonts w:ascii="Calibri" w:hAnsi="Calibri"/>
                <w:szCs w:val="22"/>
              </w:rPr>
              <w:t xml:space="preserve"> group B </w:t>
            </w:r>
            <w:proofErr w:type="spellStart"/>
            <w:r>
              <w:rPr>
                <w:rFonts w:ascii="Calibri" w:hAnsi="Calibri"/>
                <w:szCs w:val="22"/>
              </w:rPr>
              <w:t>fHbp</w:t>
            </w:r>
            <w:proofErr w:type="spellEnd"/>
            <w:r>
              <w:rPr>
                <w:rFonts w:ascii="Calibri" w:hAnsi="Calibri"/>
                <w:szCs w:val="22"/>
              </w:rPr>
              <w:t xml:space="preserve"> fusion protein (50 micrograms) and Outer membrane vesicles (OMV) from </w:t>
            </w:r>
            <w:r>
              <w:rPr>
                <w:rFonts w:ascii="Calibri" w:hAnsi="Calibri"/>
                <w:i/>
                <w:szCs w:val="22"/>
              </w:rPr>
              <w:t>Neisseria meningitidis</w:t>
            </w:r>
            <w:r>
              <w:rPr>
                <w:rFonts w:ascii="Calibri" w:hAnsi="Calibri"/>
                <w:szCs w:val="22"/>
              </w:rPr>
              <w:t xml:space="preserve"> group B strain NZ98/254 (25 micrograms measured as amount of total protein containing the </w:t>
            </w:r>
            <w:proofErr w:type="spellStart"/>
            <w:r>
              <w:rPr>
                <w:rFonts w:ascii="Calibri" w:hAnsi="Calibri"/>
                <w:szCs w:val="22"/>
              </w:rPr>
              <w:t>PorA</w:t>
            </w:r>
            <w:proofErr w:type="spellEnd"/>
            <w:r>
              <w:rPr>
                <w:rFonts w:ascii="Calibri" w:hAnsi="Calibri"/>
                <w:szCs w:val="22"/>
              </w:rPr>
              <w:t xml:space="preserve"> P1.4) adsorbed on aluminium hydroxide (0.5 mg Al3+).</w:t>
            </w:r>
          </w:p>
        </w:tc>
      </w:tr>
    </w:tbl>
    <w:p w14:paraId="68049CB6"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p w14:paraId="13FCD267"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p>
    <w:p w14:paraId="65207C8D" w14:textId="77777777" w:rsidR="007C525D" w:rsidRDefault="007C757A">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szCs w:val="22"/>
        </w:rPr>
      </w:pPr>
      <w:r>
        <w:br w:type="page"/>
      </w:r>
    </w:p>
    <w:p w14:paraId="2A5723D6" w14:textId="77777777" w:rsidR="007C525D" w:rsidRDefault="007C525D"/>
    <w:p w14:paraId="6C0690D2" w14:textId="77777777" w:rsidR="007C525D" w:rsidRDefault="007C757A">
      <w:pPr>
        <w:pStyle w:val="Heading1"/>
        <w:spacing w:before="0" w:after="120"/>
      </w:pPr>
      <w:r>
        <w:rPr>
          <w:rFonts w:ascii="Calibri" w:hAnsi="Calibri"/>
          <w:bCs w:val="0"/>
          <w:color w:val="auto"/>
          <w:sz w:val="22"/>
          <w:szCs w:val="22"/>
        </w:rPr>
        <w:t xml:space="preserve">iv. </w:t>
      </w:r>
      <w:r>
        <w:rPr>
          <w:rFonts w:ascii="Calibri" w:hAnsi="Calibri"/>
          <w:color w:val="auto"/>
          <w:sz w:val="22"/>
          <w:szCs w:val="22"/>
        </w:rPr>
        <w:t>FUNDING</w:t>
      </w:r>
    </w:p>
    <w:p w14:paraId="52EEBE73" w14:textId="77777777" w:rsidR="007C525D" w:rsidRDefault="007C757A">
      <w:r>
        <w:rPr>
          <w:rFonts w:ascii="Calibri" w:eastAsia="Times New Roman" w:hAnsi="Calibri" w:cs="Times New Roman"/>
        </w:rPr>
        <w:t xml:space="preserve">This study is funded by </w:t>
      </w:r>
      <w:r>
        <w:rPr>
          <w:rFonts w:ascii="Calibri" w:hAnsi="Calibri"/>
          <w:szCs w:val="22"/>
        </w:rPr>
        <w:t>GlaxoSmithKline</w:t>
      </w:r>
      <w:r>
        <w:rPr>
          <w:rFonts w:ascii="Calibri" w:eastAsia="Times New Roman" w:hAnsi="Calibri" w:cs="Times New Roman"/>
        </w:rPr>
        <w:t>.</w:t>
      </w:r>
      <w:r>
        <w:rPr>
          <w:rFonts w:ascii="Calibri" w:hAnsi="Calibri"/>
          <w:szCs w:val="22"/>
          <w:lang w:eastAsia="en-GB"/>
        </w:rPr>
        <w:t xml:space="preserve"> This body has had no input into the design of this study and will have no role in data collection, management, analysis or interpretation of the findings. The preparation of the report will be done by the study authors and will be entirely independent of the funding organisations. The funding organisations will have no influence over the content of the final report submitted for publication, or the decision to submit.</w:t>
      </w:r>
    </w:p>
    <w:p w14:paraId="2C0D2CDA" w14:textId="77777777" w:rsidR="007C525D" w:rsidRDefault="007C757A">
      <w:pPr>
        <w:pStyle w:val="Heading1"/>
        <w:spacing w:before="0" w:after="120"/>
      </w:pPr>
      <w:r>
        <w:rPr>
          <w:rFonts w:ascii="Calibri" w:hAnsi="Calibri"/>
          <w:bCs w:val="0"/>
          <w:color w:val="auto"/>
          <w:sz w:val="22"/>
          <w:szCs w:val="22"/>
        </w:rPr>
        <w:t xml:space="preserve">v. </w:t>
      </w:r>
      <w:r>
        <w:rPr>
          <w:rFonts w:ascii="Calibri" w:hAnsi="Calibri"/>
          <w:color w:val="auto"/>
          <w:sz w:val="22"/>
          <w:szCs w:val="22"/>
        </w:rPr>
        <w:t xml:space="preserve">ROLES AND RESPONSIBILITIES OF TRIAL MANAGEMENT COMMITEES/GROUPS &amp;    INDIVIDUALS </w:t>
      </w:r>
    </w:p>
    <w:p w14:paraId="107E7054" w14:textId="77777777" w:rsidR="007C525D" w:rsidRDefault="007C757A">
      <w:pPr>
        <w:pStyle w:val="EndnoteText"/>
        <w:tabs>
          <w:tab w:val="left" w:pos="817"/>
          <w:tab w:val="left" w:pos="9603"/>
        </w:tabs>
        <w:spacing w:after="120"/>
        <w:rPr>
          <w:rFonts w:ascii="Calibri" w:hAnsi="Calibri" w:cs="Arial"/>
          <w:sz w:val="22"/>
          <w:szCs w:val="22"/>
        </w:rPr>
      </w:pPr>
      <w:r>
        <w:rPr>
          <w:rFonts w:ascii="Calibri" w:hAnsi="Calibri" w:cs="Arial"/>
          <w:sz w:val="22"/>
          <w:szCs w:val="22"/>
        </w:rPr>
        <w:t xml:space="preserve">A Trial Management Group (TMG) will be formed consisting of the CI, the study coordinator, the study manager, the trial statistician, the reference laboratory representative, the PIs and sub investigators at each site. The TMG will supervise the trial on a day-to-day basis. The TMG meetings will be considered to be quorate if at least three members are able to attend. Information about the meetings will be circulated by the study coordinator or their delegate and the meetings will take place by teleconference at intervals of 1 to 3 months to discuss the progress of the study. The initial meeting will focus on the logistics of study set up and subsequent meetings will cover issues around recruitment, retention, protocol deviations and adverse events. Minutes will be taken by the study coordinator or their delegate and these will be distributed following the meeting. As all vaccines used within this study are part of routine care in the UK an Independent Data Monitoring Committee (DMC) is not required.  </w:t>
      </w:r>
    </w:p>
    <w:p w14:paraId="5DA804C8" w14:textId="77777777" w:rsidR="007C525D" w:rsidRDefault="007C525D">
      <w:pPr>
        <w:pStyle w:val="EndnoteText"/>
        <w:tabs>
          <w:tab w:val="left" w:pos="817"/>
          <w:tab w:val="left" w:pos="9603"/>
        </w:tabs>
        <w:spacing w:after="120"/>
        <w:rPr>
          <w:rFonts w:ascii="Calibri" w:hAnsi="Calibri" w:cs="Arial"/>
          <w:b/>
          <w:color w:val="0000FF"/>
          <w:sz w:val="22"/>
          <w:szCs w:val="22"/>
        </w:rPr>
      </w:pPr>
    </w:p>
    <w:p w14:paraId="11CC4453" w14:textId="77777777" w:rsidR="007C525D" w:rsidRDefault="007C757A">
      <w:pPr>
        <w:pStyle w:val="Heading1"/>
        <w:spacing w:before="0" w:after="120"/>
      </w:pPr>
      <w:r>
        <w:rPr>
          <w:rFonts w:ascii="Calibri" w:hAnsi="Calibri"/>
          <w:bCs w:val="0"/>
          <w:color w:val="auto"/>
          <w:sz w:val="22"/>
          <w:szCs w:val="22"/>
        </w:rPr>
        <w:t xml:space="preserve">vi. </w:t>
      </w:r>
      <w:r>
        <w:rPr>
          <w:rFonts w:ascii="Calibri" w:hAnsi="Calibri"/>
          <w:color w:val="auto"/>
          <w:sz w:val="22"/>
          <w:szCs w:val="22"/>
        </w:rPr>
        <w:t>PROTOCOL CONTRIBUTORS</w:t>
      </w:r>
    </w:p>
    <w:p w14:paraId="6465EB8F" w14:textId="77777777" w:rsidR="007C525D" w:rsidRDefault="007C757A">
      <w:r>
        <w:rPr>
          <w:rFonts w:ascii="Calibri" w:hAnsi="Calibri"/>
          <w:szCs w:val="22"/>
          <w:lang w:eastAsia="en-GB"/>
        </w:rPr>
        <w:t xml:space="preserve">Shamez Ladhani conceived the study. Kostas Karampatsas developed the study protocol with </w:t>
      </w:r>
      <w:bookmarkStart w:id="13" w:name="__DdeLink__22999_496682140"/>
      <w:r>
        <w:rPr>
          <w:rFonts w:ascii="Calibri" w:hAnsi="Calibri"/>
          <w:szCs w:val="22"/>
          <w:lang w:eastAsia="en-GB"/>
        </w:rPr>
        <w:t>Shamez Ladhani</w:t>
      </w:r>
      <w:bookmarkEnd w:id="13"/>
      <w:r>
        <w:rPr>
          <w:rFonts w:ascii="Calibri" w:hAnsi="Calibri"/>
          <w:szCs w:val="22"/>
          <w:lang w:eastAsia="en-GB"/>
        </w:rPr>
        <w:t>. Paul Heath is the grant holder. Nick Andrews provided statistical expertise in clinical trial design. All authors contributed to refinement of the study protocol and approved the final manuscript</w:t>
      </w:r>
      <w:r>
        <w:br w:type="page"/>
      </w:r>
    </w:p>
    <w:p w14:paraId="350AAAC3" w14:textId="77777777" w:rsidR="007C525D" w:rsidRDefault="007C525D"/>
    <w:p w14:paraId="7545BE33" w14:textId="77777777" w:rsidR="007C525D" w:rsidRDefault="007C757A">
      <w:pPr>
        <w:pStyle w:val="Heading1"/>
        <w:spacing w:before="0" w:after="120"/>
      </w:pPr>
      <w:r>
        <w:rPr>
          <w:rFonts w:ascii="Calibri" w:hAnsi="Calibri"/>
          <w:bCs w:val="0"/>
          <w:color w:val="auto"/>
          <w:sz w:val="22"/>
          <w:szCs w:val="22"/>
        </w:rPr>
        <w:t>vii. TRIAL FLOW CHART</w:t>
      </w:r>
    </w:p>
    <w:p w14:paraId="0F9E8FAF" w14:textId="77777777" w:rsidR="007C525D" w:rsidRDefault="007C525D">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color w:val="0000FF"/>
          <w:szCs w:val="22"/>
          <w:shd w:val="clear" w:color="auto" w:fill="FFFFFF"/>
          <w:lang w:val="en-US"/>
        </w:rPr>
      </w:pPr>
    </w:p>
    <w:tbl>
      <w:tblPr>
        <w:tblW w:w="9962" w:type="dxa"/>
        <w:tblLayout w:type="fixed"/>
        <w:tblCellMar>
          <w:left w:w="58" w:type="dxa"/>
        </w:tblCellMar>
        <w:tblLook w:val="04A0" w:firstRow="1" w:lastRow="0" w:firstColumn="1" w:lastColumn="0" w:noHBand="0" w:noVBand="1"/>
      </w:tblPr>
      <w:tblGrid>
        <w:gridCol w:w="1835"/>
        <w:gridCol w:w="1279"/>
        <w:gridCol w:w="1139"/>
        <w:gridCol w:w="1148"/>
        <w:gridCol w:w="1146"/>
        <w:gridCol w:w="1139"/>
        <w:gridCol w:w="1148"/>
        <w:gridCol w:w="1128"/>
      </w:tblGrid>
      <w:tr w:rsidR="007C525D" w14:paraId="08EADF30" w14:textId="77777777">
        <w:trPr>
          <w:trHeight w:val="630"/>
        </w:trPr>
        <w:tc>
          <w:tcPr>
            <w:tcW w:w="183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FAE871" w14:textId="77777777" w:rsidR="007C525D" w:rsidRDefault="007C757A">
            <w:pPr>
              <w:pStyle w:val="MediumGrid2-Accent11"/>
              <w:widowControl w:val="0"/>
              <w:spacing w:after="0" w:line="240" w:lineRule="auto"/>
            </w:pPr>
            <w:r>
              <w:rPr>
                <w:rFonts w:cs="Tahoma"/>
                <w:b/>
                <w:sz w:val="22"/>
                <w:szCs w:val="22"/>
                <w:lang w:eastAsia="en-GB"/>
              </w:rPr>
              <w:t>Visits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44B415E9" w14:textId="77777777" w:rsidR="007C525D" w:rsidRDefault="007C757A">
            <w:pPr>
              <w:pStyle w:val="MediumGrid2-Accent11"/>
              <w:widowControl w:val="0"/>
              <w:spacing w:before="283" w:after="0" w:line="240" w:lineRule="auto"/>
            </w:pPr>
            <w:r>
              <w:rPr>
                <w:rFonts w:cs="Tahoma"/>
                <w:b/>
                <w:sz w:val="22"/>
                <w:szCs w:val="22"/>
                <w:lang w:eastAsia="en-GB"/>
              </w:rPr>
              <w:t>Screening</w:t>
            </w: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B963D6" w14:textId="77777777" w:rsidR="007C525D" w:rsidRDefault="007C757A">
            <w:pPr>
              <w:pStyle w:val="MediumGrid2-Accent11"/>
              <w:widowControl w:val="0"/>
              <w:spacing w:after="0" w:line="240" w:lineRule="auto"/>
              <w:jc w:val="center"/>
            </w:pPr>
            <w:r>
              <w:rPr>
                <w:rFonts w:cs="Tahoma"/>
                <w:b/>
                <w:sz w:val="22"/>
                <w:szCs w:val="22"/>
                <w:lang w:eastAsia="en-GB"/>
              </w:rPr>
              <w:t>Visit 1</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2237DA91" w14:textId="77777777" w:rsidR="007C525D" w:rsidRDefault="007C757A">
            <w:pPr>
              <w:pStyle w:val="MediumGrid2-Accent11"/>
              <w:widowControl w:val="0"/>
              <w:spacing w:before="283" w:after="0" w:line="240" w:lineRule="auto"/>
              <w:jc w:val="center"/>
            </w:pPr>
            <w:r>
              <w:rPr>
                <w:rFonts w:cs="Tahoma"/>
                <w:b/>
                <w:sz w:val="22"/>
                <w:szCs w:val="22"/>
                <w:lang w:eastAsia="en-GB"/>
              </w:rPr>
              <w:t>Visit 2</w:t>
            </w:r>
          </w:p>
          <w:p w14:paraId="53C8ADA3" w14:textId="77777777" w:rsidR="007C525D" w:rsidRDefault="007C525D">
            <w:pPr>
              <w:pStyle w:val="MediumGrid2-Accent11"/>
              <w:widowControl w:val="0"/>
              <w:spacing w:after="0" w:line="240" w:lineRule="auto"/>
              <w:rPr>
                <w:rFonts w:cs="Tahoma"/>
                <w:b/>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54BA328F" w14:textId="77777777" w:rsidR="007C525D" w:rsidRDefault="007C757A">
            <w:pPr>
              <w:pStyle w:val="MediumGrid2-Accent11"/>
              <w:widowControl w:val="0"/>
              <w:spacing w:before="283" w:after="0" w:line="240" w:lineRule="auto"/>
              <w:jc w:val="center"/>
            </w:pPr>
            <w:r>
              <w:rPr>
                <w:rFonts w:cs="Tahoma"/>
                <w:b/>
                <w:sz w:val="22"/>
                <w:szCs w:val="22"/>
                <w:lang w:eastAsia="en-GB"/>
              </w:rPr>
              <w:t>Visit 3</w:t>
            </w:r>
          </w:p>
          <w:p w14:paraId="06328AD1" w14:textId="77777777" w:rsidR="007C525D" w:rsidRDefault="007C525D">
            <w:pPr>
              <w:pStyle w:val="MediumGrid2-Accent11"/>
              <w:widowControl w:val="0"/>
              <w:spacing w:after="0" w:line="240" w:lineRule="auto"/>
              <w:rPr>
                <w:rFonts w:cs="Tahoma"/>
                <w:b/>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5C0438DC" w14:textId="77777777" w:rsidR="007C525D" w:rsidRDefault="007C757A">
            <w:pPr>
              <w:pStyle w:val="MediumGrid2-Accent11"/>
              <w:widowControl w:val="0"/>
              <w:spacing w:before="283" w:after="0" w:line="240" w:lineRule="auto"/>
              <w:jc w:val="center"/>
            </w:pPr>
            <w:r>
              <w:rPr>
                <w:rFonts w:cs="Tahoma"/>
                <w:b/>
                <w:sz w:val="22"/>
                <w:szCs w:val="22"/>
                <w:lang w:eastAsia="en-GB"/>
              </w:rPr>
              <w:t>Visit 4</w:t>
            </w:r>
          </w:p>
          <w:p w14:paraId="29062DF5" w14:textId="77777777" w:rsidR="007C525D" w:rsidRDefault="007C525D">
            <w:pPr>
              <w:pStyle w:val="MediumGrid2-Accent11"/>
              <w:widowControl w:val="0"/>
              <w:spacing w:after="0" w:line="240" w:lineRule="auto"/>
              <w:rPr>
                <w:rFonts w:cs="Tahoma"/>
                <w:b/>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6D1DE844" w14:textId="77777777" w:rsidR="007C525D" w:rsidRDefault="007C757A">
            <w:pPr>
              <w:pStyle w:val="MediumGrid2-Accent11"/>
              <w:widowControl w:val="0"/>
              <w:spacing w:before="283" w:after="0" w:line="240" w:lineRule="auto"/>
              <w:jc w:val="center"/>
            </w:pPr>
            <w:r>
              <w:rPr>
                <w:rFonts w:cs="Tahoma"/>
                <w:b/>
                <w:sz w:val="22"/>
                <w:szCs w:val="22"/>
                <w:lang w:eastAsia="en-GB"/>
              </w:rPr>
              <w:t>Visit 5</w:t>
            </w:r>
          </w:p>
          <w:p w14:paraId="2F6477DC" w14:textId="77777777" w:rsidR="007C525D" w:rsidRDefault="007C525D">
            <w:pPr>
              <w:pStyle w:val="MediumGrid2-Accent11"/>
              <w:widowControl w:val="0"/>
              <w:spacing w:after="0" w:line="240" w:lineRule="auto"/>
              <w:rPr>
                <w:rFonts w:cs="Tahoma"/>
                <w:b/>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C56EFD7" w14:textId="77777777" w:rsidR="007C525D" w:rsidRDefault="007C757A">
            <w:pPr>
              <w:pStyle w:val="MediumGrid2-Accent11"/>
              <w:widowControl w:val="0"/>
              <w:spacing w:before="227" w:after="0" w:line="240" w:lineRule="auto"/>
              <w:jc w:val="center"/>
            </w:pPr>
            <w:r>
              <w:rPr>
                <w:rFonts w:cs="Tahoma"/>
                <w:b/>
                <w:sz w:val="22"/>
                <w:szCs w:val="22"/>
                <w:lang w:eastAsia="en-GB"/>
              </w:rPr>
              <w:t>Visit 6</w:t>
            </w:r>
          </w:p>
          <w:p w14:paraId="6E3BD86E" w14:textId="77777777" w:rsidR="007C525D" w:rsidRDefault="007C525D">
            <w:pPr>
              <w:pStyle w:val="MediumGrid2-Accent11"/>
              <w:widowControl w:val="0"/>
              <w:spacing w:after="0" w:line="240" w:lineRule="auto"/>
              <w:rPr>
                <w:rFonts w:cs="Tahoma"/>
                <w:b/>
                <w:sz w:val="22"/>
                <w:szCs w:val="22"/>
                <w:lang w:eastAsia="en-GB"/>
              </w:rPr>
            </w:pPr>
          </w:p>
        </w:tc>
      </w:tr>
      <w:tr w:rsidR="007C525D" w14:paraId="61169DBC" w14:textId="77777777">
        <w:trPr>
          <w:trHeight w:val="630"/>
        </w:trPr>
        <w:tc>
          <w:tcPr>
            <w:tcW w:w="183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580E537" w14:textId="77777777" w:rsidR="007C525D" w:rsidRDefault="007C757A">
            <w:pPr>
              <w:pStyle w:val="MediumGrid2-Accent11"/>
              <w:widowControl w:val="0"/>
              <w:spacing w:after="0" w:line="240" w:lineRule="auto"/>
            </w:pPr>
            <w:r>
              <w:t>Approximate age of participants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2CE65256"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F1818A" w14:textId="77777777" w:rsidR="007C525D" w:rsidRDefault="007C757A">
            <w:pPr>
              <w:pStyle w:val="MediumGrid2-Accent11"/>
              <w:widowControl w:val="0"/>
              <w:spacing w:after="0" w:line="240" w:lineRule="auto"/>
            </w:pPr>
            <w:r>
              <w:rPr>
                <w:rFonts w:cs="Tahoma"/>
                <w:b/>
                <w:sz w:val="22"/>
                <w:szCs w:val="22"/>
                <w:lang w:eastAsia="en-GB"/>
              </w:rPr>
              <w:t>2 months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3E034BDF" w14:textId="77777777" w:rsidR="007C525D" w:rsidRDefault="007C757A">
            <w:pPr>
              <w:pStyle w:val="MediumGrid2-Accent11"/>
              <w:widowControl w:val="0"/>
              <w:spacing w:before="170" w:after="0" w:line="240" w:lineRule="auto"/>
              <w:jc w:val="center"/>
            </w:pPr>
            <w:r>
              <w:rPr>
                <w:rFonts w:cs="Tahoma"/>
                <w:b/>
                <w:sz w:val="22"/>
                <w:szCs w:val="22"/>
                <w:lang w:eastAsia="en-GB"/>
              </w:rPr>
              <w:t>3 months</w:t>
            </w: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1F828175" w14:textId="77777777" w:rsidR="007C525D" w:rsidRDefault="007C757A">
            <w:pPr>
              <w:pStyle w:val="MediumGrid2-Accent11"/>
              <w:widowControl w:val="0"/>
              <w:spacing w:before="170" w:after="0" w:line="240" w:lineRule="auto"/>
            </w:pPr>
            <w:r>
              <w:rPr>
                <w:rFonts w:cs="Tahoma"/>
                <w:b/>
                <w:sz w:val="22"/>
                <w:szCs w:val="22"/>
                <w:lang w:eastAsia="en-GB"/>
              </w:rPr>
              <w:t>4 months</w:t>
            </w: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6CAD1801" w14:textId="77777777" w:rsidR="007C525D" w:rsidRDefault="007C757A">
            <w:pPr>
              <w:pStyle w:val="MediumGrid2-Accent11"/>
              <w:widowControl w:val="0"/>
              <w:spacing w:before="170" w:after="0" w:line="240" w:lineRule="auto"/>
            </w:pPr>
            <w:r>
              <w:rPr>
                <w:rFonts w:cs="Tahoma"/>
                <w:b/>
                <w:sz w:val="22"/>
                <w:szCs w:val="22"/>
                <w:lang w:eastAsia="en-GB"/>
              </w:rPr>
              <w:t>5 months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477EC889" w14:textId="77777777" w:rsidR="007C525D" w:rsidRDefault="007C757A">
            <w:pPr>
              <w:pStyle w:val="MediumGrid2-Accent11"/>
              <w:widowControl w:val="0"/>
              <w:spacing w:after="0" w:line="240" w:lineRule="auto"/>
            </w:pPr>
            <w:r>
              <w:rPr>
                <w:rFonts w:cs="Tahoma"/>
                <w:b/>
                <w:sz w:val="22"/>
                <w:szCs w:val="22"/>
                <w:lang w:eastAsia="en-GB"/>
              </w:rPr>
              <w:t>12 months</w:t>
            </w:r>
          </w:p>
        </w:tc>
        <w:tc>
          <w:tcPr>
            <w:tcW w:w="112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5E01871" w14:textId="77777777" w:rsidR="007C525D" w:rsidRDefault="007C757A">
            <w:pPr>
              <w:pStyle w:val="MediumGrid2-Accent11"/>
              <w:widowControl w:val="0"/>
              <w:spacing w:after="0" w:line="240" w:lineRule="auto"/>
            </w:pPr>
            <w:r>
              <w:rPr>
                <w:rFonts w:cs="Tahoma"/>
                <w:b/>
                <w:sz w:val="22"/>
                <w:szCs w:val="22"/>
                <w:lang w:eastAsia="en-GB"/>
              </w:rPr>
              <w:t>13 months</w:t>
            </w:r>
          </w:p>
        </w:tc>
      </w:tr>
      <w:tr w:rsidR="007C525D" w14:paraId="4DE1A8E0" w14:textId="77777777">
        <w:trPr>
          <w:trHeight w:val="630"/>
        </w:trPr>
        <w:tc>
          <w:tcPr>
            <w:tcW w:w="183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BAE2AB6" w14:textId="77777777" w:rsidR="007C525D" w:rsidRDefault="007C757A">
            <w:pPr>
              <w:pStyle w:val="MediumGrid2-Accent11"/>
              <w:widowControl w:val="0"/>
              <w:spacing w:after="0" w:line="240" w:lineRule="auto"/>
            </w:pPr>
            <w:r>
              <w:t>Trial timeline (days)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23A953CC"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2007E1F" w14:textId="77777777" w:rsidR="007C525D" w:rsidRDefault="007C757A">
            <w:pPr>
              <w:pStyle w:val="MediumGrid2-Accent11"/>
              <w:widowControl w:val="0"/>
              <w:spacing w:after="0" w:line="240" w:lineRule="auto"/>
            </w:pPr>
            <w:r>
              <w:t>Day 0</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57F329E7" w14:textId="77777777" w:rsidR="007C525D" w:rsidRDefault="007C757A">
            <w:pPr>
              <w:pStyle w:val="MediumGrid2-Accent11"/>
              <w:widowControl w:val="0"/>
              <w:spacing w:after="0" w:line="240" w:lineRule="auto"/>
            </w:pPr>
            <w:r>
              <w:t>Visit 1 +</w:t>
            </w:r>
          </w:p>
          <w:p w14:paraId="269B5710" w14:textId="77777777" w:rsidR="007C525D" w:rsidRDefault="007C757A">
            <w:pPr>
              <w:pStyle w:val="MediumGrid2-Accent11"/>
              <w:widowControl w:val="0"/>
              <w:spacing w:after="0" w:line="240" w:lineRule="auto"/>
            </w:pPr>
            <w:r>
              <w:t>30 days</w:t>
            </w: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3067D9FA" w14:textId="77777777" w:rsidR="007C525D" w:rsidRDefault="007C757A">
            <w:pPr>
              <w:pStyle w:val="MediumGrid2-Accent11"/>
              <w:widowControl w:val="0"/>
              <w:spacing w:after="0" w:line="240" w:lineRule="auto"/>
            </w:pPr>
            <w:r>
              <w:t>Visit 2 +</w:t>
            </w:r>
          </w:p>
          <w:p w14:paraId="1B222B82" w14:textId="77777777" w:rsidR="007C525D" w:rsidRDefault="007C757A">
            <w:pPr>
              <w:pStyle w:val="MediumGrid2-Accent11"/>
              <w:widowControl w:val="0"/>
              <w:spacing w:after="0" w:line="240" w:lineRule="auto"/>
            </w:pPr>
            <w:r>
              <w:t>30 days</w:t>
            </w: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08EBCBFC" w14:textId="77777777" w:rsidR="007C525D" w:rsidRDefault="007C757A">
            <w:pPr>
              <w:pStyle w:val="MediumGrid2-Accent11"/>
              <w:widowControl w:val="0"/>
              <w:spacing w:after="0" w:line="240" w:lineRule="auto"/>
            </w:pPr>
            <w:r>
              <w:t>Visit 3 +</w:t>
            </w:r>
          </w:p>
          <w:p w14:paraId="58FD2709" w14:textId="77777777" w:rsidR="007C525D" w:rsidRDefault="007C757A">
            <w:pPr>
              <w:pStyle w:val="MediumGrid2-Accent11"/>
              <w:widowControl w:val="0"/>
              <w:spacing w:after="0" w:line="240" w:lineRule="auto"/>
            </w:pPr>
            <w:r>
              <w:t>30 days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02CF6FB9" w14:textId="77777777" w:rsidR="007C525D" w:rsidRDefault="007C525D">
            <w:pPr>
              <w:pStyle w:val="MediumGrid2-Accent11"/>
              <w:widowControl w:val="0"/>
              <w:spacing w:after="0" w:line="240" w:lineRule="auto"/>
            </w:pPr>
          </w:p>
        </w:tc>
        <w:tc>
          <w:tcPr>
            <w:tcW w:w="112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AFDAB73" w14:textId="77777777" w:rsidR="007C525D" w:rsidRDefault="007C757A">
            <w:pPr>
              <w:pStyle w:val="MediumGrid2-Accent11"/>
              <w:widowControl w:val="0"/>
              <w:spacing w:after="0" w:line="240" w:lineRule="auto"/>
            </w:pPr>
            <w:r>
              <w:t>Visit 5 +</w:t>
            </w:r>
          </w:p>
          <w:p w14:paraId="20A7512B" w14:textId="77777777" w:rsidR="007C525D" w:rsidRDefault="007C757A">
            <w:pPr>
              <w:pStyle w:val="MediumGrid2-Accent11"/>
              <w:widowControl w:val="0"/>
              <w:spacing w:after="0" w:line="240" w:lineRule="auto"/>
            </w:pPr>
            <w:r>
              <w:t>30 days</w:t>
            </w:r>
          </w:p>
        </w:tc>
      </w:tr>
      <w:tr w:rsidR="007C525D" w14:paraId="2A6FF3D1" w14:textId="77777777">
        <w:trPr>
          <w:trHeight w:val="630"/>
        </w:trPr>
        <w:tc>
          <w:tcPr>
            <w:tcW w:w="183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5187370" w14:textId="77777777" w:rsidR="007C525D" w:rsidRDefault="007C757A">
            <w:pPr>
              <w:pStyle w:val="MediumGrid2-Accent11"/>
              <w:widowControl w:val="0"/>
              <w:spacing w:after="0" w:line="240" w:lineRule="auto"/>
            </w:pPr>
            <w:r>
              <w:t>Time windows (days)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76117643"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6F2DBBB" w14:textId="77777777" w:rsidR="007C525D" w:rsidRDefault="007C525D">
            <w:pPr>
              <w:pStyle w:val="MediumGrid2-Accent11"/>
              <w:widowControl w:val="0"/>
              <w:spacing w:after="0" w:line="240" w:lineRule="auto"/>
            </w:pP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7DE46447" w14:textId="77777777" w:rsidR="007C525D" w:rsidRDefault="007C757A">
            <w:pPr>
              <w:pStyle w:val="MediumGrid2-Accent11"/>
              <w:widowControl w:val="0"/>
              <w:spacing w:before="170" w:after="0" w:line="240" w:lineRule="auto"/>
            </w:pPr>
            <w:r>
              <w:t>+14 days</w:t>
            </w: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3DE805B5" w14:textId="77777777" w:rsidR="007C525D" w:rsidRDefault="007C757A">
            <w:pPr>
              <w:pStyle w:val="MediumGrid2-Accent11"/>
              <w:widowControl w:val="0"/>
              <w:spacing w:before="170" w:after="0" w:line="240" w:lineRule="auto"/>
            </w:pPr>
            <w:r>
              <w:t>+14 days</w:t>
            </w: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092FCBCC" w14:textId="77777777" w:rsidR="007C525D" w:rsidRDefault="007C757A">
            <w:pPr>
              <w:pStyle w:val="MediumGrid2-Accent11"/>
              <w:widowControl w:val="0"/>
              <w:spacing w:before="170" w:after="0" w:line="240" w:lineRule="auto"/>
            </w:pPr>
            <w:r>
              <w:t>+14 days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09A9F8D3" w14:textId="77777777" w:rsidR="007C525D" w:rsidRDefault="007C757A">
            <w:pPr>
              <w:pStyle w:val="MediumGrid2-Accent11"/>
              <w:widowControl w:val="0"/>
              <w:spacing w:before="170" w:after="0" w:line="240" w:lineRule="auto"/>
            </w:pPr>
            <w:r>
              <w:t>+14 days</w:t>
            </w:r>
          </w:p>
        </w:tc>
        <w:tc>
          <w:tcPr>
            <w:tcW w:w="112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8BB7478" w14:textId="77777777" w:rsidR="007C525D" w:rsidRDefault="007C757A">
            <w:pPr>
              <w:pStyle w:val="BodyText"/>
              <w:widowControl w:val="0"/>
              <w:rPr>
                <w:rFonts w:ascii="Calibri" w:hAnsi="Calibri"/>
                <w:i w:val="0"/>
                <w:sz w:val="23"/>
                <w:szCs w:val="23"/>
              </w:rPr>
            </w:pPr>
            <w:r>
              <w:rPr>
                <w:rFonts w:ascii="Calibri" w:hAnsi="Calibri"/>
                <w:i w:val="0"/>
                <w:sz w:val="23"/>
                <w:szCs w:val="23"/>
              </w:rPr>
              <w:t>+21 days</w:t>
            </w:r>
          </w:p>
        </w:tc>
      </w:tr>
      <w:tr w:rsidR="007C525D" w14:paraId="63852038"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52B3" w14:textId="77777777" w:rsidR="007C525D" w:rsidRDefault="007C757A">
            <w:pPr>
              <w:pStyle w:val="MediumGrid2-Accent11"/>
              <w:widowControl w:val="0"/>
              <w:spacing w:after="0" w:line="240" w:lineRule="auto"/>
              <w:jc w:val="left"/>
              <w:rPr>
                <w:sz w:val="22"/>
                <w:szCs w:val="22"/>
              </w:rPr>
            </w:pPr>
            <w:r>
              <w:rPr>
                <w:sz w:val="22"/>
                <w:szCs w:val="22"/>
              </w:rPr>
              <w:t>Discuss study with parent/guardian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916523A"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538F" w14:textId="77777777" w:rsidR="007C525D" w:rsidRDefault="007C525D">
            <w:pPr>
              <w:pStyle w:val="MediumGrid2-Accent11"/>
              <w:widowControl w:val="0"/>
              <w:spacing w:after="0" w:line="240" w:lineRule="auto"/>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F5B82A5"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4AFCAC8"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7034880"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64013B47" w14:textId="77777777" w:rsidR="007C525D" w:rsidRDefault="007C525D">
            <w:pPr>
              <w:pStyle w:val="MediumGrid2-Accent11"/>
              <w:widowControl w:val="0"/>
              <w:spacing w:after="0" w:line="240" w:lineRule="auto"/>
              <w:rPr>
                <w:rFonts w:cs="Tahoma"/>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F866" w14:textId="77777777" w:rsidR="007C525D" w:rsidRDefault="007C525D">
            <w:pPr>
              <w:pStyle w:val="MediumGrid2-Accent11"/>
              <w:widowControl w:val="0"/>
              <w:spacing w:after="0" w:line="240" w:lineRule="auto"/>
              <w:rPr>
                <w:rFonts w:cs="Tahoma"/>
                <w:sz w:val="22"/>
                <w:szCs w:val="22"/>
                <w:lang w:eastAsia="en-GB"/>
              </w:rPr>
            </w:pPr>
          </w:p>
        </w:tc>
      </w:tr>
      <w:tr w:rsidR="007C525D" w14:paraId="3412B53F"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E2E8" w14:textId="77777777" w:rsidR="007C525D" w:rsidRDefault="007C757A">
            <w:pPr>
              <w:pStyle w:val="MediumGrid2-Accent11"/>
              <w:widowControl w:val="0"/>
              <w:spacing w:after="0" w:line="240" w:lineRule="auto"/>
            </w:pPr>
            <w:r>
              <w:rPr>
                <w:rFonts w:cs="Tahoma"/>
                <w:sz w:val="22"/>
                <w:szCs w:val="22"/>
                <w:lang w:eastAsia="en-GB"/>
              </w:rPr>
              <w:t>Eligibility check</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5DA9A9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C1E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A40074C"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5649C51"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FCDA1A0"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EBE3491" w14:textId="77777777" w:rsidR="007C525D" w:rsidRDefault="007C525D">
            <w:pPr>
              <w:pStyle w:val="MediumGrid2-Accent11"/>
              <w:widowControl w:val="0"/>
              <w:spacing w:after="0" w:line="240" w:lineRule="auto"/>
              <w:rPr>
                <w:rFonts w:cs="Tahoma"/>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766B" w14:textId="77777777" w:rsidR="007C525D" w:rsidRDefault="007C525D">
            <w:pPr>
              <w:pStyle w:val="MediumGrid2-Accent11"/>
              <w:widowControl w:val="0"/>
              <w:spacing w:after="0" w:line="240" w:lineRule="auto"/>
              <w:rPr>
                <w:rFonts w:cs="Tahoma"/>
                <w:sz w:val="22"/>
                <w:szCs w:val="22"/>
                <w:lang w:eastAsia="en-GB"/>
              </w:rPr>
            </w:pPr>
          </w:p>
        </w:tc>
      </w:tr>
      <w:tr w:rsidR="007C525D" w14:paraId="6E0D8BB6"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0B93"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Informed consent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E88F07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 xml:space="preserve">✓ </w:t>
            </w:r>
            <w:r>
              <w:rPr>
                <w:rFonts w:ascii="Segoe UI Symbol" w:hAnsi="Segoe UI Symbol" w:cs="Segoe UI Symbol"/>
                <w:spacing w:val="-20"/>
                <w:sz w:val="22"/>
                <w:szCs w:val="22"/>
                <w:lang w:eastAsia="en-GB"/>
              </w:rPr>
              <w:t>(</w:t>
            </w:r>
            <w:r>
              <w:rPr>
                <w:rFonts w:ascii="Segoe UI Symbol" w:hAnsi="Segoe UI Symbol" w:cs="Segoe UI Symbol"/>
                <w:spacing w:val="-20"/>
                <w:sz w:val="18"/>
                <w:szCs w:val="22"/>
                <w:lang w:eastAsia="en-GB"/>
              </w:rPr>
              <w:t>can be done at screening or visit 1)</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402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ACC25E7"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4D6E8AF"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3A94C48"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0E01D4F" w14:textId="77777777" w:rsidR="007C525D" w:rsidRDefault="007C525D">
            <w:pPr>
              <w:pStyle w:val="MediumGrid2-Accent11"/>
              <w:widowControl w:val="0"/>
              <w:spacing w:after="0" w:line="240" w:lineRule="auto"/>
              <w:rPr>
                <w:rFonts w:cs="Tahoma"/>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0731" w14:textId="77777777" w:rsidR="007C525D" w:rsidRDefault="007C525D">
            <w:pPr>
              <w:pStyle w:val="MediumGrid2-Accent11"/>
              <w:widowControl w:val="0"/>
              <w:spacing w:after="0" w:line="240" w:lineRule="auto"/>
              <w:rPr>
                <w:rFonts w:cs="Tahoma"/>
                <w:sz w:val="22"/>
                <w:szCs w:val="22"/>
                <w:lang w:eastAsia="en-GB"/>
              </w:rPr>
            </w:pPr>
          </w:p>
        </w:tc>
      </w:tr>
      <w:tr w:rsidR="007C525D" w14:paraId="2E56C8C3" w14:textId="77777777">
        <w:trPr>
          <w:trHeight w:val="518"/>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A5B4"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Medical history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BA2AEA7"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025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34E0DB0"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46FEE6F"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51AD577"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17C1877" w14:textId="77777777" w:rsidR="007C525D" w:rsidRDefault="007C525D">
            <w:pPr>
              <w:pStyle w:val="MediumGrid2-Accent11"/>
              <w:widowControl w:val="0"/>
              <w:spacing w:after="0" w:line="240" w:lineRule="auto"/>
              <w:rPr>
                <w:rFonts w:cs="Tahoma"/>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45BB" w14:textId="77777777" w:rsidR="007C525D" w:rsidRDefault="007C525D">
            <w:pPr>
              <w:pStyle w:val="MediumGrid2-Accent11"/>
              <w:widowControl w:val="0"/>
              <w:spacing w:after="0" w:line="240" w:lineRule="auto"/>
              <w:rPr>
                <w:rFonts w:cs="Tahoma"/>
                <w:sz w:val="22"/>
                <w:szCs w:val="22"/>
                <w:lang w:eastAsia="en-GB"/>
              </w:rPr>
            </w:pPr>
          </w:p>
        </w:tc>
      </w:tr>
      <w:tr w:rsidR="007C525D" w14:paraId="7D4B1987"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BE2A"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Concomitant medication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46C20DE"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D17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62B0D25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34830C5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27DDF5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1EDF61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3A0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6A606876"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4634"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Record of physical examination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BD523F6"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83D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2BC738C"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2A9BFE4"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5335563"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D5F7C5A" w14:textId="77777777" w:rsidR="007C525D" w:rsidRDefault="007C525D">
            <w:pPr>
              <w:pStyle w:val="MediumGrid2-Accent11"/>
              <w:widowControl w:val="0"/>
              <w:spacing w:after="0" w:line="240" w:lineRule="auto"/>
              <w:rPr>
                <w:rFonts w:cs="Tahoma"/>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43D0" w14:textId="77777777" w:rsidR="007C525D" w:rsidRDefault="007C525D">
            <w:pPr>
              <w:pStyle w:val="MediumGrid2-Accent11"/>
              <w:widowControl w:val="0"/>
              <w:spacing w:after="0" w:line="240" w:lineRule="auto"/>
              <w:rPr>
                <w:rFonts w:cs="Tahoma"/>
                <w:sz w:val="22"/>
                <w:szCs w:val="22"/>
                <w:lang w:eastAsia="en-GB"/>
              </w:rPr>
            </w:pPr>
          </w:p>
        </w:tc>
      </w:tr>
      <w:tr w:rsidR="007C525D" w14:paraId="17F13383"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7846"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Randomisation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DD6BD24"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F24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1B4A232" w14:textId="77777777" w:rsidR="007C525D" w:rsidRDefault="007C525D">
            <w:pPr>
              <w:pStyle w:val="MediumGrid2-Accent11"/>
              <w:widowControl w:val="0"/>
              <w:spacing w:after="0" w:line="240" w:lineRule="auto"/>
              <w:rPr>
                <w:rFonts w:cs="Segoe UI Symbol"/>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9BF384D"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7DF972C"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7B74B7A" w14:textId="77777777" w:rsidR="007C525D" w:rsidRDefault="007C525D">
            <w:pPr>
              <w:pStyle w:val="MediumGrid2-Accent11"/>
              <w:widowControl w:val="0"/>
              <w:spacing w:after="0" w:line="240" w:lineRule="auto"/>
              <w:rPr>
                <w:rFonts w:cs="Segoe UI Symbol"/>
                <w:sz w:val="22"/>
                <w:szCs w:val="22"/>
                <w:lang w:eastAsia="en-GB"/>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4EA8" w14:textId="77777777" w:rsidR="007C525D" w:rsidRDefault="007C525D">
            <w:pPr>
              <w:pStyle w:val="MediumGrid2-Accent11"/>
              <w:widowControl w:val="0"/>
              <w:spacing w:after="0" w:line="240" w:lineRule="auto"/>
              <w:rPr>
                <w:rFonts w:cs="Tahoma"/>
                <w:sz w:val="22"/>
                <w:szCs w:val="22"/>
                <w:lang w:eastAsia="en-GB"/>
              </w:rPr>
            </w:pPr>
          </w:p>
        </w:tc>
      </w:tr>
      <w:tr w:rsidR="007C525D" w14:paraId="2E99CF8B"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F013"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Dispensing of vaccines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173C752"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540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14E761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A146F1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CF6F4EA"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91E7EE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A80D" w14:textId="77777777" w:rsidR="007C525D" w:rsidRDefault="007C525D">
            <w:pPr>
              <w:pStyle w:val="MediumGrid2-Accent11"/>
              <w:widowControl w:val="0"/>
              <w:spacing w:after="0" w:line="240" w:lineRule="auto"/>
              <w:rPr>
                <w:rFonts w:cs="Tahoma"/>
                <w:sz w:val="22"/>
                <w:szCs w:val="22"/>
                <w:lang w:eastAsia="en-GB"/>
              </w:rPr>
            </w:pPr>
          </w:p>
        </w:tc>
      </w:tr>
      <w:tr w:rsidR="007C525D" w14:paraId="759E4962"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D2A6"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Administration of vaccinations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98D0B44"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E4D5"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E586A8A"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0FBFB9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DEF96F7"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B7F43A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CAF7" w14:textId="77777777" w:rsidR="007C525D" w:rsidRDefault="007C525D">
            <w:pPr>
              <w:pStyle w:val="MediumGrid2-Accent11"/>
              <w:widowControl w:val="0"/>
              <w:spacing w:after="0" w:line="240" w:lineRule="auto"/>
              <w:rPr>
                <w:rFonts w:cs="Tahoma"/>
                <w:sz w:val="22"/>
                <w:szCs w:val="22"/>
                <w:lang w:eastAsia="en-GB"/>
              </w:rPr>
            </w:pPr>
          </w:p>
        </w:tc>
      </w:tr>
      <w:tr w:rsidR="007C525D" w14:paraId="21715E2B"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24C5"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Observation following vaccine administration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9F97042"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73E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FEE922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E68941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D07091C"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1F5323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46EB" w14:textId="77777777" w:rsidR="007C525D" w:rsidRDefault="007C525D">
            <w:pPr>
              <w:pStyle w:val="MediumGrid2-Accent11"/>
              <w:widowControl w:val="0"/>
              <w:spacing w:after="0" w:line="240" w:lineRule="auto"/>
              <w:rPr>
                <w:rFonts w:cs="Tahoma"/>
                <w:sz w:val="22"/>
                <w:szCs w:val="22"/>
                <w:lang w:eastAsia="en-GB"/>
              </w:rPr>
            </w:pPr>
          </w:p>
        </w:tc>
      </w:tr>
      <w:tr w:rsidR="007C525D" w14:paraId="06404464"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6553"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Completion of red book and letter to GP</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2D9E27D"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BE3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ED8E20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165204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F935067"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18063C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F788C" w14:textId="77777777" w:rsidR="007C525D" w:rsidRDefault="007C525D">
            <w:pPr>
              <w:pStyle w:val="MediumGrid2-Accent11"/>
              <w:widowControl w:val="0"/>
              <w:spacing w:after="0" w:line="240" w:lineRule="auto"/>
              <w:rPr>
                <w:rFonts w:cs="Tahoma"/>
                <w:sz w:val="22"/>
                <w:szCs w:val="22"/>
                <w:lang w:eastAsia="en-GB"/>
              </w:rPr>
            </w:pPr>
          </w:p>
        </w:tc>
      </w:tr>
      <w:tr w:rsidR="007C525D" w14:paraId="2D22F84F"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6646"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Blood sampling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73C833E"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A602"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0847550"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4956F0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3D242A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452EC7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39C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5BDC852D"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BBF4"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Processing blood samples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4E33D88"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6597"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6292543B"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2B6375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3770C7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4926A3C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BBA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35236DEB"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0031"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Distribution of diary card</w:t>
            </w:r>
            <w:r w:rsidR="00886D5B">
              <w:rPr>
                <w:rFonts w:cs="Tahoma"/>
                <w:sz w:val="22"/>
                <w:szCs w:val="22"/>
                <w:lang w:eastAsia="en-GB"/>
              </w:rPr>
              <w:t>/set-up e-diary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68A2069"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0FF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91477CA"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144453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3213298" w14:textId="77777777" w:rsidR="007C525D" w:rsidRDefault="007C525D">
            <w:pPr>
              <w:pStyle w:val="MediumGrid2-Accent11"/>
              <w:widowControl w:val="0"/>
              <w:spacing w:after="0" w:line="240" w:lineRule="auto"/>
              <w:rPr>
                <w:rFonts w:cs="Segoe UI Symbol"/>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B9EA73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CDF2" w14:textId="77777777" w:rsidR="007C525D" w:rsidRDefault="007C525D">
            <w:pPr>
              <w:pStyle w:val="MediumGrid2-Accent11"/>
              <w:widowControl w:val="0"/>
              <w:spacing w:after="0" w:line="240" w:lineRule="auto"/>
              <w:rPr>
                <w:rFonts w:cs="Segoe UI Symbol"/>
                <w:sz w:val="22"/>
                <w:szCs w:val="22"/>
                <w:lang w:eastAsia="en-GB"/>
              </w:rPr>
            </w:pPr>
          </w:p>
        </w:tc>
      </w:tr>
      <w:tr w:rsidR="007C525D" w14:paraId="55378AF7"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A245"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Checking diary card with parents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02A0480"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7302" w14:textId="77777777" w:rsidR="007C525D" w:rsidRDefault="007C525D">
            <w:pPr>
              <w:pStyle w:val="MediumGrid2-Accent11"/>
              <w:widowControl w:val="0"/>
              <w:spacing w:after="0" w:line="240" w:lineRule="auto"/>
              <w:rPr>
                <w:rFonts w:cs="Segoe UI Symbol"/>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778076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2C158B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E75D50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9793D6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D76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25C9D15D" w14:textId="77777777">
        <w:trPr>
          <w:trHeight w:val="259"/>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00B1" w14:textId="77777777" w:rsidR="007C525D" w:rsidRDefault="007C757A">
            <w:pPr>
              <w:pStyle w:val="MediumGrid2-Accent11"/>
              <w:widowControl w:val="0"/>
              <w:spacing w:after="0" w:line="240" w:lineRule="auto"/>
              <w:rPr>
                <w:rFonts w:cs="Tahoma"/>
                <w:sz w:val="22"/>
                <w:szCs w:val="22"/>
                <w:lang w:eastAsia="en-GB"/>
              </w:rPr>
            </w:pPr>
            <w:r>
              <w:rPr>
                <w:rFonts w:cs="Tahoma"/>
                <w:sz w:val="22"/>
                <w:szCs w:val="22"/>
                <w:lang w:eastAsia="en-GB"/>
              </w:rPr>
              <w:t>Checking for AEs/SAEs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B673C5"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34DD" w14:textId="77777777" w:rsidR="007C525D" w:rsidRDefault="007C525D">
            <w:pPr>
              <w:pStyle w:val="MediumGrid2-Accent11"/>
              <w:widowControl w:val="0"/>
              <w:spacing w:after="0" w:line="240" w:lineRule="auto"/>
              <w:rPr>
                <w:rFonts w:cs="Segoe UI Symbol"/>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6ECFC7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C9F518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70692A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23449D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642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bl>
    <w:p w14:paraId="4A71AD7C" w14:textId="77777777" w:rsidR="007C525D" w:rsidRDefault="007C757A">
      <w:pPr>
        <w:tabs>
          <w:tab w:val="left" w:pos="1800"/>
          <w:tab w:val="left" w:pos="2520"/>
          <w:tab w:val="left" w:pos="3240"/>
          <w:tab w:val="left" w:pos="3960"/>
          <w:tab w:val="left" w:pos="4680"/>
          <w:tab w:val="left" w:pos="5400"/>
          <w:tab w:val="left" w:pos="6120"/>
          <w:tab w:val="left" w:pos="6840"/>
          <w:tab w:val="left" w:pos="7560"/>
          <w:tab w:val="left" w:pos="8280"/>
          <w:tab w:val="left" w:pos="9000"/>
        </w:tabs>
      </w:pPr>
      <w:r>
        <w:br w:type="page"/>
      </w:r>
    </w:p>
    <w:p w14:paraId="06193994" w14:textId="77777777" w:rsidR="007C525D" w:rsidRDefault="007C757A">
      <w:pPr>
        <w:pStyle w:val="Heading1"/>
        <w:spacing w:before="0" w:after="120"/>
      </w:pPr>
      <w:r>
        <w:rPr>
          <w:rFonts w:ascii="Calibri" w:hAnsi="Calibri"/>
          <w:color w:val="auto"/>
          <w:sz w:val="22"/>
          <w:szCs w:val="22"/>
        </w:rPr>
        <w:lastRenderedPageBreak/>
        <w:t>1</w:t>
      </w:r>
      <w:r>
        <w:rPr>
          <w:rFonts w:ascii="Calibri" w:hAnsi="Calibri"/>
          <w:color w:val="auto"/>
          <w:sz w:val="22"/>
          <w:szCs w:val="22"/>
        </w:rPr>
        <w:tab/>
        <w:t>BACKGROUND</w:t>
      </w:r>
    </w:p>
    <w:p w14:paraId="10C299D7" w14:textId="77777777" w:rsidR="007C525D" w:rsidRDefault="007C757A">
      <w:r>
        <w:rPr>
          <w:rFonts w:ascii="Calibri" w:hAnsi="Calibri"/>
          <w:i/>
          <w:szCs w:val="22"/>
          <w:lang w:eastAsia="en-GB"/>
        </w:rPr>
        <w:t>Neisseria meningitidis</w:t>
      </w:r>
      <w:r>
        <w:rPr>
          <w:rFonts w:ascii="Calibri" w:hAnsi="Calibri"/>
          <w:szCs w:val="22"/>
          <w:lang w:eastAsia="en-GB"/>
        </w:rPr>
        <w:t xml:space="preserve"> (meningococcus) is a bacterium which causes meningitis and septicaemia. There are 13 serogroups of meningococcus, 6 (A, B, C, W, X and Y) cause most disease of which </w:t>
      </w:r>
      <w:proofErr w:type="spellStart"/>
      <w:r>
        <w:rPr>
          <w:rFonts w:ascii="Calibri" w:hAnsi="Calibri"/>
          <w:szCs w:val="22"/>
          <w:lang w:eastAsia="en-GB"/>
        </w:rPr>
        <w:t>MenB</w:t>
      </w:r>
      <w:proofErr w:type="spellEnd"/>
      <w:r>
        <w:rPr>
          <w:rFonts w:ascii="Calibri" w:hAnsi="Calibri"/>
          <w:szCs w:val="22"/>
          <w:lang w:eastAsia="en-GB"/>
        </w:rPr>
        <w:t xml:space="preserve"> is the most common cause of meningococcal disease in the UK. Infants have the highest incidence of </w:t>
      </w:r>
      <w:proofErr w:type="spellStart"/>
      <w:r>
        <w:rPr>
          <w:rFonts w:ascii="Calibri" w:hAnsi="Calibri"/>
          <w:szCs w:val="22"/>
          <w:lang w:eastAsia="en-GB"/>
        </w:rPr>
        <w:t>MenB</w:t>
      </w:r>
      <w:proofErr w:type="spellEnd"/>
      <w:r>
        <w:rPr>
          <w:rFonts w:ascii="Calibri" w:hAnsi="Calibri"/>
          <w:szCs w:val="22"/>
          <w:lang w:eastAsia="en-GB"/>
        </w:rPr>
        <w:t xml:space="preserve"> disease in the UK and across Europe, with the main burden of disease falling in the second 6 months of life. </w:t>
      </w:r>
    </w:p>
    <w:p w14:paraId="149493FE" w14:textId="77777777" w:rsidR="007C525D" w:rsidRDefault="007C757A">
      <w:pPr>
        <w:rPr>
          <w:rFonts w:ascii="Calibri" w:hAnsi="Calibri"/>
          <w:szCs w:val="22"/>
          <w:lang w:eastAsia="en-GB"/>
        </w:rPr>
      </w:pPr>
      <w:r>
        <w:rPr>
          <w:rFonts w:ascii="Calibri" w:hAnsi="Calibri"/>
          <w:szCs w:val="22"/>
          <w:lang w:eastAsia="en-GB"/>
        </w:rPr>
        <w:t xml:space="preserve">4CMenB offers protection against invasive </w:t>
      </w:r>
      <w:proofErr w:type="spellStart"/>
      <w:r>
        <w:rPr>
          <w:rFonts w:ascii="Calibri" w:hAnsi="Calibri"/>
          <w:szCs w:val="22"/>
          <w:lang w:eastAsia="en-GB"/>
        </w:rPr>
        <w:t>MenB</w:t>
      </w:r>
      <w:proofErr w:type="spellEnd"/>
      <w:r>
        <w:rPr>
          <w:rFonts w:ascii="Calibri" w:hAnsi="Calibri"/>
          <w:szCs w:val="22"/>
          <w:lang w:eastAsia="en-GB"/>
        </w:rPr>
        <w:t xml:space="preserve"> disease in infants, but only after at least two priming doses. In infants, the 4CMenB is licensed as a three-dose infant priming schedule starting at 2 months of age with an interval of one or two months between the doses (e.g. 2-3-4 or 2-4-6 months) or, alternatively, as a two-dose priming dose starting at 3 months of age with a two-month interval between the doses. </w:t>
      </w:r>
    </w:p>
    <w:p w14:paraId="0AC3A48C" w14:textId="042D1080" w:rsidR="007C525D" w:rsidRDefault="007C757A" w:rsidP="00E046BF">
      <w:r>
        <w:rPr>
          <w:rFonts w:ascii="Calibri" w:hAnsi="Calibri"/>
          <w:szCs w:val="22"/>
          <w:lang w:eastAsia="en-GB"/>
        </w:rPr>
        <w:t xml:space="preserve">In 2015 the UK became the first country in the world to introduce Men B vaccination with 4CMenB (Bexsero®) into its routine schedule, with a two-dose priming regime at 2 and 4 months with a booster at 12 months (Table 1). The vaccine has proved to be very effective in preventing invasive </w:t>
      </w:r>
      <w:proofErr w:type="spellStart"/>
      <w:r>
        <w:rPr>
          <w:rFonts w:ascii="Calibri" w:hAnsi="Calibri"/>
          <w:szCs w:val="22"/>
          <w:lang w:eastAsia="en-GB"/>
        </w:rPr>
        <w:t>MenB</w:t>
      </w:r>
      <w:proofErr w:type="spellEnd"/>
      <w:r>
        <w:rPr>
          <w:rFonts w:ascii="Calibri" w:hAnsi="Calibri"/>
          <w:szCs w:val="22"/>
          <w:lang w:eastAsia="en-GB"/>
        </w:rPr>
        <w:t xml:space="preserve"> disease in immunised infants (Parikh et al, 2016). </w:t>
      </w:r>
      <w:r w:rsidR="00E046BF">
        <w:rPr>
          <w:rFonts w:ascii="Calibri" w:hAnsi="Calibri"/>
          <w:szCs w:val="22"/>
          <w:lang w:eastAsia="en-GB"/>
        </w:rPr>
        <w:t>T</w:t>
      </w:r>
      <w:r>
        <w:rPr>
          <w:rFonts w:ascii="Calibri" w:hAnsi="Calibri"/>
          <w:szCs w:val="22"/>
          <w:lang w:eastAsia="en-GB"/>
        </w:rPr>
        <w:t xml:space="preserve">his study </w:t>
      </w:r>
      <w:r w:rsidR="00E046BF">
        <w:rPr>
          <w:rFonts w:ascii="Calibri" w:hAnsi="Calibri"/>
          <w:szCs w:val="22"/>
          <w:lang w:eastAsia="en-GB"/>
        </w:rPr>
        <w:t>also showed that a single dose of 4CMenB however, was not</w:t>
      </w:r>
      <w:r>
        <w:rPr>
          <w:rFonts w:ascii="Calibri" w:hAnsi="Calibri"/>
          <w:szCs w:val="22"/>
          <w:lang w:eastAsia="en-GB"/>
        </w:rPr>
        <w:t xml:space="preserve"> effective. Half the </w:t>
      </w:r>
      <w:proofErr w:type="spellStart"/>
      <w:r>
        <w:rPr>
          <w:rFonts w:ascii="Calibri" w:hAnsi="Calibri"/>
          <w:szCs w:val="22"/>
          <w:lang w:eastAsia="en-GB"/>
        </w:rPr>
        <w:t>MenB</w:t>
      </w:r>
      <w:proofErr w:type="spellEnd"/>
      <w:r>
        <w:rPr>
          <w:rFonts w:ascii="Calibri" w:hAnsi="Calibri"/>
          <w:szCs w:val="22"/>
          <w:lang w:eastAsia="en-GB"/>
        </w:rPr>
        <w:t xml:space="preserve"> cases diagnosed after 16 weeks of age in the vaccine-eligible infant cohort were either unvaccinated or partially vaccinated (i.e. received only a single dose of 4CMenB). Such cases could potentially have been prevented through timely or, preferably, earlier completion of the primary immunisation schedule. </w:t>
      </w:r>
    </w:p>
    <w:p w14:paraId="0E8C4B08" w14:textId="77777777" w:rsidR="007C525D" w:rsidRDefault="007C525D">
      <w:pPr>
        <w:rPr>
          <w:rFonts w:ascii="Calibri" w:hAnsi="Calibri"/>
          <w:b/>
          <w:szCs w:val="22"/>
          <w:lang w:eastAsia="en-GB"/>
        </w:rPr>
      </w:pPr>
    </w:p>
    <w:p w14:paraId="37271FEA" w14:textId="77777777" w:rsidR="007C525D" w:rsidRDefault="007C757A">
      <w:r>
        <w:rPr>
          <w:rFonts w:ascii="Calibri" w:hAnsi="Calibri"/>
          <w:b/>
          <w:szCs w:val="22"/>
          <w:lang w:eastAsia="en-GB"/>
        </w:rPr>
        <w:t xml:space="preserve">Table 1: UK infant vaccination schedule (from January 2020) </w:t>
      </w:r>
    </w:p>
    <w:tbl>
      <w:tblPr>
        <w:tblW w:w="8565" w:type="dxa"/>
        <w:tblInd w:w="-185" w:type="dxa"/>
        <w:tblLayout w:type="fixed"/>
        <w:tblLook w:val="04A0" w:firstRow="1" w:lastRow="0" w:firstColumn="1" w:lastColumn="0" w:noHBand="0" w:noVBand="1"/>
      </w:tblPr>
      <w:tblGrid>
        <w:gridCol w:w="2161"/>
        <w:gridCol w:w="2012"/>
        <w:gridCol w:w="1097"/>
        <w:gridCol w:w="1098"/>
        <w:gridCol w:w="1095"/>
        <w:gridCol w:w="1102"/>
      </w:tblGrid>
      <w:tr w:rsidR="007C525D" w14:paraId="10B6D7C6" w14:textId="77777777">
        <w:trPr>
          <w:cantSplit/>
          <w:trHeight w:val="531"/>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001BB6" w14:textId="77777777" w:rsidR="007C525D" w:rsidRDefault="007C757A">
            <w:pPr>
              <w:widowControl w:val="0"/>
            </w:pPr>
            <w:r>
              <w:rPr>
                <w:rFonts w:ascii="Calibri" w:hAnsi="Calibri"/>
                <w:szCs w:val="22"/>
                <w:lang w:eastAsia="en-GB"/>
              </w:rPr>
              <w:t>Vaccine</w:t>
            </w: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340ECC" w14:textId="77777777" w:rsidR="007C525D" w:rsidRDefault="007C757A">
            <w:pPr>
              <w:widowControl w:val="0"/>
            </w:pPr>
            <w:r>
              <w:rPr>
                <w:rFonts w:ascii="Calibri" w:hAnsi="Calibri"/>
                <w:szCs w:val="22"/>
                <w:lang w:eastAsia="en-GB"/>
              </w:rPr>
              <w:t>Product names</w:t>
            </w:r>
          </w:p>
        </w:tc>
        <w:tc>
          <w:tcPr>
            <w:tcW w:w="4392" w:type="dxa"/>
            <w:gridSpan w:val="4"/>
            <w:tcBorders>
              <w:top w:val="single" w:sz="4" w:space="0" w:color="000000"/>
              <w:left w:val="single" w:sz="4" w:space="0" w:color="000000"/>
              <w:bottom w:val="single" w:sz="4" w:space="0" w:color="000000"/>
              <w:right w:val="single" w:sz="4" w:space="0" w:color="000000"/>
            </w:tcBorders>
            <w:shd w:val="clear" w:color="auto" w:fill="auto"/>
          </w:tcPr>
          <w:p w14:paraId="7628A7B6" w14:textId="77777777" w:rsidR="007C525D" w:rsidRDefault="007C757A">
            <w:pPr>
              <w:widowControl w:val="0"/>
              <w:spacing w:after="0"/>
            </w:pPr>
            <w:r>
              <w:rPr>
                <w:rFonts w:ascii="Calibri" w:hAnsi="Calibri"/>
                <w:szCs w:val="22"/>
                <w:lang w:eastAsia="en-GB"/>
              </w:rPr>
              <w:t>Age (months)</w:t>
            </w:r>
          </w:p>
        </w:tc>
      </w:tr>
      <w:tr w:rsidR="007C525D" w14:paraId="72B270A9" w14:textId="77777777">
        <w:trPr>
          <w:cantSplit/>
        </w:trPr>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074B6" w14:textId="77777777" w:rsidR="007C525D" w:rsidRDefault="007C525D">
            <w:pPr>
              <w:widowControl w:val="0"/>
              <w:rPr>
                <w:rFonts w:ascii="Calibri" w:hAnsi="Calibri"/>
                <w:szCs w:val="22"/>
                <w:lang w:eastAsia="en-GB"/>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A4348" w14:textId="77777777" w:rsidR="007C525D" w:rsidRDefault="007C525D">
            <w:pPr>
              <w:widowControl w:val="0"/>
              <w:rPr>
                <w:rFonts w:ascii="Calibri" w:hAnsi="Calibri"/>
                <w:szCs w:val="22"/>
                <w:lang w:eastAsia="en-GB"/>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00D7" w14:textId="77777777" w:rsidR="007C525D" w:rsidRDefault="007C757A">
            <w:pPr>
              <w:widowControl w:val="0"/>
            </w:pPr>
            <w:r>
              <w:rPr>
                <w:rFonts w:ascii="Calibri" w:hAnsi="Calibri"/>
                <w:szCs w:val="22"/>
                <w:lang w:eastAsia="en-GB"/>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11039" w14:textId="77777777" w:rsidR="007C525D" w:rsidRDefault="007C757A">
            <w:pPr>
              <w:widowControl w:val="0"/>
            </w:pPr>
            <w:r>
              <w:rPr>
                <w:rFonts w:ascii="Calibri" w:hAnsi="Calibri"/>
                <w:szCs w:val="22"/>
                <w:lang w:eastAsia="en-GB"/>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2590" w14:textId="77777777" w:rsidR="007C525D" w:rsidRDefault="007C757A">
            <w:pPr>
              <w:widowControl w:val="0"/>
            </w:pPr>
            <w:r>
              <w:rPr>
                <w:rFonts w:ascii="Calibri" w:hAnsi="Calibri"/>
                <w:szCs w:val="22"/>
                <w:lang w:eastAsia="en-GB"/>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CA65" w14:textId="77777777" w:rsidR="007C525D" w:rsidRDefault="007C757A">
            <w:pPr>
              <w:pStyle w:val="Header"/>
              <w:widowControl w:val="0"/>
            </w:pPr>
            <w:r>
              <w:rPr>
                <w:rFonts w:ascii="Calibri" w:hAnsi="Calibri"/>
                <w:szCs w:val="22"/>
                <w:lang w:eastAsia="en-GB"/>
              </w:rPr>
              <w:t>12</w:t>
            </w:r>
          </w:p>
        </w:tc>
      </w:tr>
      <w:tr w:rsidR="007C525D" w14:paraId="0D005A64"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F9C8" w14:textId="77777777" w:rsidR="007C525D" w:rsidRDefault="007C757A">
            <w:pPr>
              <w:widowControl w:val="0"/>
            </w:pPr>
            <w:r>
              <w:rPr>
                <w:rFonts w:ascii="Calibri" w:hAnsi="Calibri"/>
                <w:szCs w:val="22"/>
                <w:lang w:eastAsia="en-GB"/>
              </w:rPr>
              <w:t>DTaP/IPV/Hib/Hep B</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4733" w14:textId="77777777" w:rsidR="007C525D" w:rsidRDefault="007C757A">
            <w:pPr>
              <w:widowControl w:val="0"/>
            </w:pPr>
            <w:proofErr w:type="spellStart"/>
            <w:r>
              <w:rPr>
                <w:rFonts w:ascii="Calibri" w:hAnsi="Calibri"/>
                <w:szCs w:val="22"/>
                <w:lang w:eastAsia="en-GB"/>
              </w:rPr>
              <w:t>Infanrix</w:t>
            </w:r>
            <w:proofErr w:type="spellEnd"/>
            <w:r>
              <w:rPr>
                <w:rFonts w:ascii="Calibri" w:hAnsi="Calibri"/>
                <w:szCs w:val="22"/>
                <w:lang w:eastAsia="en-GB"/>
              </w:rPr>
              <w:t xml:space="preserve"> </w:t>
            </w:r>
            <w:proofErr w:type="spellStart"/>
            <w:r>
              <w:rPr>
                <w:rFonts w:ascii="Calibri" w:hAnsi="Calibri"/>
                <w:szCs w:val="22"/>
                <w:lang w:eastAsia="en-GB"/>
              </w:rPr>
              <w:t>Hexa</w:t>
            </w:r>
            <w:proofErr w:type="spellEnd"/>
            <w:r>
              <w:rPr>
                <w:rFonts w:ascii="Calibri" w:hAnsi="Calibri"/>
                <w:szCs w:val="22"/>
                <w:lang w:eastAsia="en-GB"/>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2553" w14:textId="77777777" w:rsidR="007C525D" w:rsidRDefault="007C757A">
            <w:pPr>
              <w:pStyle w:val="Header"/>
              <w:widowControl w:val="0"/>
            </w:pPr>
            <w:r>
              <w:rPr>
                <w:rFonts w:ascii="Segoe UI Symbol" w:hAnsi="Segoe UI Symbol" w:cs="Segoe UI Symbol"/>
                <w:szCs w:val="22"/>
                <w:lang w:eastAsia="en-GB"/>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CB08" w14:textId="77777777" w:rsidR="007C525D" w:rsidRDefault="007C757A">
            <w:pPr>
              <w:pStyle w:val="Header"/>
              <w:widowControl w:val="0"/>
            </w:pPr>
            <w:r>
              <w:rPr>
                <w:rFonts w:ascii="Segoe UI Symbol" w:hAnsi="Segoe UI Symbol" w:cs="Segoe UI Symbol"/>
                <w:szCs w:val="22"/>
                <w:lang w:eastAsia="en-GB"/>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AF46" w14:textId="77777777" w:rsidR="007C525D" w:rsidRDefault="007C757A">
            <w:pPr>
              <w:pStyle w:val="Header"/>
              <w:widowControl w:val="0"/>
            </w:pPr>
            <w:r>
              <w:rPr>
                <w:rFonts w:ascii="Segoe UI Symbol" w:hAnsi="Segoe UI Symbol" w:cs="Segoe UI Symbol"/>
                <w:szCs w:val="22"/>
                <w:lang w:eastAsia="en-GB"/>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E134" w14:textId="77777777" w:rsidR="007C525D" w:rsidRDefault="007C525D">
            <w:pPr>
              <w:pStyle w:val="Header"/>
              <w:widowControl w:val="0"/>
              <w:rPr>
                <w:rFonts w:ascii="Calibri" w:hAnsi="Calibri"/>
                <w:szCs w:val="22"/>
                <w:lang w:eastAsia="en-GB"/>
              </w:rPr>
            </w:pPr>
          </w:p>
        </w:tc>
      </w:tr>
      <w:tr w:rsidR="007C525D" w14:paraId="0BE9FE0C"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6147" w14:textId="77777777" w:rsidR="007C525D" w:rsidRDefault="007C757A">
            <w:pPr>
              <w:widowControl w:val="0"/>
            </w:pPr>
            <w:r>
              <w:rPr>
                <w:rFonts w:ascii="Calibri" w:hAnsi="Calibri"/>
                <w:szCs w:val="22"/>
                <w:lang w:eastAsia="en-GB"/>
              </w:rPr>
              <w:t>Rotavirus</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CE6A" w14:textId="77777777" w:rsidR="007C525D" w:rsidRDefault="007C757A">
            <w:pPr>
              <w:widowControl w:val="0"/>
            </w:pPr>
            <w:r>
              <w:rPr>
                <w:rFonts w:ascii="Calibri" w:hAnsi="Calibri"/>
                <w:szCs w:val="22"/>
                <w:lang w:eastAsia="en-GB"/>
              </w:rPr>
              <w:t>Rotarix®</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8861" w14:textId="77777777" w:rsidR="007C525D" w:rsidRDefault="007C757A">
            <w:pPr>
              <w:pStyle w:val="Header"/>
              <w:widowControl w:val="0"/>
            </w:pPr>
            <w:r>
              <w:rPr>
                <w:rFonts w:ascii="Segoe UI Symbol" w:hAnsi="Segoe UI Symbol" w:cs="Segoe UI Symbol"/>
                <w:szCs w:val="22"/>
                <w:lang w:eastAsia="en-GB"/>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E333" w14:textId="77777777" w:rsidR="007C525D" w:rsidRDefault="007C757A">
            <w:pPr>
              <w:pStyle w:val="Header"/>
              <w:widowControl w:val="0"/>
            </w:pPr>
            <w:r>
              <w:rPr>
                <w:rFonts w:ascii="Segoe UI Symbol" w:hAnsi="Segoe UI Symbol" w:cs="Segoe UI Symbol"/>
                <w:szCs w:val="22"/>
                <w:lang w:eastAsia="en-GB"/>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265E" w14:textId="77777777" w:rsidR="007C525D" w:rsidRDefault="007C525D">
            <w:pPr>
              <w:pStyle w:val="Header"/>
              <w:widowControl w:val="0"/>
              <w:rPr>
                <w:rFonts w:ascii="Calibri" w:hAnsi="Calibri"/>
                <w:szCs w:val="22"/>
                <w:lang w:eastAsia="en-GB"/>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CD450" w14:textId="77777777" w:rsidR="007C525D" w:rsidRDefault="007C525D">
            <w:pPr>
              <w:pStyle w:val="Header"/>
              <w:widowControl w:val="0"/>
              <w:rPr>
                <w:rFonts w:ascii="Calibri" w:hAnsi="Calibri"/>
                <w:szCs w:val="22"/>
                <w:lang w:eastAsia="en-GB"/>
              </w:rPr>
            </w:pPr>
          </w:p>
        </w:tc>
      </w:tr>
      <w:tr w:rsidR="007C525D" w14:paraId="74E4384A"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C4F0" w14:textId="77777777" w:rsidR="007C525D" w:rsidRDefault="007C757A">
            <w:pPr>
              <w:widowControl w:val="0"/>
            </w:pPr>
            <w:proofErr w:type="spellStart"/>
            <w:r>
              <w:rPr>
                <w:rFonts w:ascii="Calibri" w:hAnsi="Calibri"/>
                <w:szCs w:val="22"/>
                <w:lang w:eastAsia="en-GB"/>
              </w:rPr>
              <w:t>MenB</w:t>
            </w:r>
            <w:proofErr w:type="spellEnd"/>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F5F8" w14:textId="77777777" w:rsidR="007C525D" w:rsidRDefault="007C757A">
            <w:pPr>
              <w:widowControl w:val="0"/>
            </w:pPr>
            <w:r>
              <w:rPr>
                <w:rFonts w:ascii="Calibri" w:hAnsi="Calibri"/>
                <w:szCs w:val="22"/>
                <w:lang w:eastAsia="en-GB"/>
              </w:rPr>
              <w:t>Bexsero®</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E936" w14:textId="77777777" w:rsidR="007C525D" w:rsidRDefault="007C757A">
            <w:pPr>
              <w:pStyle w:val="Header"/>
              <w:widowControl w:val="0"/>
            </w:pPr>
            <w:r>
              <w:rPr>
                <w:rFonts w:ascii="Segoe UI Symbol" w:hAnsi="Segoe UI Symbol" w:cs="Segoe UI Symbol"/>
                <w:szCs w:val="22"/>
                <w:lang w:eastAsia="en-GB"/>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865A" w14:textId="77777777" w:rsidR="007C525D" w:rsidRDefault="007C525D">
            <w:pPr>
              <w:pStyle w:val="Header"/>
              <w:widowControl w:val="0"/>
              <w:rPr>
                <w:rFonts w:ascii="Calibri" w:hAnsi="Calibri"/>
                <w:szCs w:val="22"/>
                <w:lang w:eastAsia="en-GB"/>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D3FB" w14:textId="77777777" w:rsidR="007C525D" w:rsidRDefault="007C757A">
            <w:pPr>
              <w:pStyle w:val="Header"/>
              <w:widowControl w:val="0"/>
            </w:pPr>
            <w:r>
              <w:rPr>
                <w:rFonts w:ascii="Segoe UI Symbol" w:hAnsi="Segoe UI Symbol" w:cs="Segoe UI Symbol"/>
                <w:szCs w:val="22"/>
                <w:lang w:eastAsia="en-GB"/>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213F" w14:textId="77777777" w:rsidR="007C525D" w:rsidRDefault="007C757A">
            <w:pPr>
              <w:pStyle w:val="Header"/>
              <w:widowControl w:val="0"/>
            </w:pPr>
            <w:r>
              <w:rPr>
                <w:rFonts w:ascii="Segoe UI Symbol" w:hAnsi="Segoe UI Symbol" w:cs="Segoe UI Symbol"/>
                <w:szCs w:val="22"/>
                <w:lang w:eastAsia="en-GB"/>
              </w:rPr>
              <w:t>✓</w:t>
            </w:r>
          </w:p>
        </w:tc>
      </w:tr>
      <w:tr w:rsidR="007C525D" w14:paraId="29D026E0"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56E1" w14:textId="77777777" w:rsidR="007C525D" w:rsidRDefault="007C757A">
            <w:pPr>
              <w:widowControl w:val="0"/>
            </w:pPr>
            <w:r>
              <w:rPr>
                <w:rFonts w:ascii="Calibri" w:hAnsi="Calibri"/>
                <w:szCs w:val="22"/>
                <w:lang w:eastAsia="en-GB"/>
              </w:rPr>
              <w:t>PCV13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FA71" w14:textId="77777777" w:rsidR="007C525D" w:rsidRDefault="007C757A">
            <w:pPr>
              <w:widowControl w:val="0"/>
            </w:pPr>
            <w:r>
              <w:rPr>
                <w:rFonts w:ascii="Calibri" w:hAnsi="Calibri"/>
                <w:szCs w:val="22"/>
                <w:lang w:eastAsia="en-GB"/>
              </w:rPr>
              <w:t>Prevenar13®</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688A" w14:textId="77777777" w:rsidR="007C525D" w:rsidRDefault="007C525D">
            <w:pPr>
              <w:pStyle w:val="Header"/>
              <w:widowControl w:val="0"/>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4568" w14:textId="77777777" w:rsidR="007C525D" w:rsidRDefault="007C757A">
            <w:pPr>
              <w:pStyle w:val="Header"/>
              <w:widowControl w:val="0"/>
            </w:pPr>
            <w:r>
              <w:rPr>
                <w:rFonts w:ascii="Segoe UI Symbol" w:hAnsi="Segoe UI Symbol" w:cs="Segoe UI Symbol"/>
                <w:szCs w:val="22"/>
                <w:lang w:eastAsia="en-GB"/>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875D" w14:textId="77777777" w:rsidR="007C525D" w:rsidRDefault="007C525D">
            <w:pPr>
              <w:pStyle w:val="Header"/>
              <w:widowControl w:val="0"/>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D9CC" w14:textId="77777777" w:rsidR="007C525D" w:rsidRDefault="007C757A">
            <w:pPr>
              <w:pStyle w:val="Header"/>
              <w:widowControl w:val="0"/>
            </w:pPr>
            <w:r>
              <w:rPr>
                <w:rFonts w:ascii="Segoe UI Symbol" w:hAnsi="Segoe UI Symbol" w:cs="Segoe UI Symbol"/>
                <w:szCs w:val="22"/>
                <w:lang w:eastAsia="en-GB"/>
              </w:rPr>
              <w:t>✓</w:t>
            </w:r>
          </w:p>
        </w:tc>
      </w:tr>
      <w:tr w:rsidR="007C525D" w14:paraId="67416D2C"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28F5" w14:textId="77777777" w:rsidR="007C525D" w:rsidRDefault="007C757A">
            <w:pPr>
              <w:widowControl w:val="0"/>
            </w:pPr>
            <w:r>
              <w:rPr>
                <w:rFonts w:ascii="Calibri" w:hAnsi="Calibri"/>
                <w:szCs w:val="22"/>
                <w:lang w:eastAsia="en-GB"/>
              </w:rPr>
              <w:t>MCC-TT/Hib-TT</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00B8" w14:textId="77777777" w:rsidR="007C525D" w:rsidRDefault="007C757A">
            <w:pPr>
              <w:widowControl w:val="0"/>
            </w:pPr>
            <w:proofErr w:type="spellStart"/>
            <w:r>
              <w:rPr>
                <w:rFonts w:ascii="Calibri" w:hAnsi="Calibri"/>
                <w:szCs w:val="22"/>
                <w:lang w:eastAsia="en-GB"/>
              </w:rPr>
              <w:t>Menitorix</w:t>
            </w:r>
            <w:proofErr w:type="spellEnd"/>
            <w:r>
              <w:rPr>
                <w:rFonts w:ascii="Calibri" w:hAnsi="Calibri"/>
                <w:szCs w:val="22"/>
                <w:lang w:eastAsia="en-GB"/>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51C8" w14:textId="77777777" w:rsidR="007C525D" w:rsidRDefault="007C525D">
            <w:pPr>
              <w:pStyle w:val="Header"/>
              <w:widowControl w:val="0"/>
              <w:rPr>
                <w:rFonts w:ascii="Calibri" w:hAnsi="Calibri"/>
                <w:szCs w:val="22"/>
                <w:lang w:eastAsia="en-G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55AC" w14:textId="77777777" w:rsidR="007C525D" w:rsidRDefault="007C525D">
            <w:pPr>
              <w:pStyle w:val="Header"/>
              <w:widowControl w:val="0"/>
              <w:rPr>
                <w:rFonts w:ascii="Calibri" w:hAnsi="Calibri"/>
                <w:szCs w:val="22"/>
                <w:lang w:eastAsia="en-GB"/>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9687" w14:textId="77777777" w:rsidR="007C525D" w:rsidRDefault="007C525D">
            <w:pPr>
              <w:pStyle w:val="Header"/>
              <w:widowControl w:val="0"/>
              <w:rPr>
                <w:rFonts w:ascii="Calibri" w:hAnsi="Calibri"/>
                <w:szCs w:val="22"/>
                <w:lang w:eastAsia="en-GB"/>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89A3B" w14:textId="77777777" w:rsidR="007C525D" w:rsidRDefault="007C757A">
            <w:pPr>
              <w:pStyle w:val="Header"/>
              <w:widowControl w:val="0"/>
            </w:pPr>
            <w:r>
              <w:rPr>
                <w:rFonts w:ascii="Segoe UI Symbol" w:hAnsi="Segoe UI Symbol" w:cs="Segoe UI Symbol"/>
                <w:szCs w:val="22"/>
                <w:lang w:eastAsia="en-GB"/>
              </w:rPr>
              <w:t>✓</w:t>
            </w:r>
          </w:p>
        </w:tc>
      </w:tr>
      <w:tr w:rsidR="007C525D" w14:paraId="3A7F79AB"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2379" w14:textId="77777777" w:rsidR="007C525D" w:rsidRDefault="007C757A">
            <w:pPr>
              <w:widowControl w:val="0"/>
            </w:pPr>
            <w:r>
              <w:rPr>
                <w:rFonts w:ascii="Calibri" w:hAnsi="Calibri"/>
                <w:szCs w:val="22"/>
                <w:lang w:eastAsia="en-GB"/>
              </w:rPr>
              <w:t>MMR</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C7C8" w14:textId="77777777" w:rsidR="007C525D" w:rsidRDefault="007C757A">
            <w:pPr>
              <w:pStyle w:val="Header"/>
              <w:widowControl w:val="0"/>
            </w:pPr>
            <w:proofErr w:type="spellStart"/>
            <w:r>
              <w:rPr>
                <w:rFonts w:ascii="Calibri" w:hAnsi="Calibri"/>
                <w:szCs w:val="22"/>
                <w:lang w:eastAsia="en-GB"/>
              </w:rPr>
              <w:t>Priorix</w:t>
            </w:r>
            <w:proofErr w:type="spellEnd"/>
            <w:r>
              <w:rPr>
                <w:rFonts w:ascii="Calibri" w:hAnsi="Calibri"/>
                <w:szCs w:val="22"/>
                <w:lang w:eastAsia="en-GB"/>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E992" w14:textId="77777777" w:rsidR="007C525D" w:rsidRDefault="007C525D">
            <w:pPr>
              <w:pStyle w:val="Header"/>
              <w:widowControl w:val="0"/>
              <w:rPr>
                <w:rFonts w:ascii="Calibri" w:hAnsi="Calibri"/>
                <w:szCs w:val="22"/>
                <w:lang w:eastAsia="en-G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5C6F" w14:textId="77777777" w:rsidR="007C525D" w:rsidRDefault="007C525D">
            <w:pPr>
              <w:pStyle w:val="Header"/>
              <w:widowControl w:val="0"/>
              <w:rPr>
                <w:rFonts w:ascii="Calibri" w:hAnsi="Calibri"/>
                <w:szCs w:val="22"/>
                <w:lang w:eastAsia="en-GB"/>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D25C" w14:textId="77777777" w:rsidR="007C525D" w:rsidRDefault="007C525D">
            <w:pPr>
              <w:pStyle w:val="Header"/>
              <w:widowControl w:val="0"/>
              <w:rPr>
                <w:rFonts w:ascii="Calibri" w:hAnsi="Calibri"/>
                <w:szCs w:val="22"/>
                <w:lang w:eastAsia="en-GB"/>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EA91" w14:textId="77777777" w:rsidR="007C525D" w:rsidRDefault="007C757A">
            <w:pPr>
              <w:pStyle w:val="Header"/>
              <w:widowControl w:val="0"/>
            </w:pPr>
            <w:r>
              <w:rPr>
                <w:rFonts w:ascii="Segoe UI Symbol" w:hAnsi="Segoe UI Symbol" w:cs="Segoe UI Symbol"/>
                <w:szCs w:val="22"/>
                <w:lang w:eastAsia="en-GB"/>
              </w:rPr>
              <w:t>✓</w:t>
            </w:r>
          </w:p>
        </w:tc>
      </w:tr>
    </w:tbl>
    <w:p w14:paraId="476B696A" w14:textId="77777777" w:rsidR="007C525D" w:rsidRDefault="007C525D">
      <w:pPr>
        <w:widowControl w:val="0"/>
        <w:tabs>
          <w:tab w:val="left" w:pos="426"/>
          <w:tab w:val="left" w:pos="644"/>
        </w:tabs>
        <w:spacing w:after="200"/>
        <w:ind w:left="34" w:hanging="34"/>
        <w:rPr>
          <w:rFonts w:ascii="Calibri" w:hAnsi="Calibri"/>
          <w:color w:val="0000FF"/>
          <w:szCs w:val="22"/>
          <w:lang w:eastAsia="en-GB"/>
        </w:rPr>
      </w:pPr>
    </w:p>
    <w:p w14:paraId="7EB7EE9B"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t>2</w:t>
      </w:r>
      <w:r>
        <w:rPr>
          <w:rFonts w:ascii="Calibri" w:hAnsi="Calibri"/>
          <w:color w:val="auto"/>
          <w:sz w:val="22"/>
          <w:szCs w:val="22"/>
        </w:rPr>
        <w:tab/>
        <w:t xml:space="preserve">RATIONALE </w:t>
      </w:r>
    </w:p>
    <w:p w14:paraId="7149AE1C" w14:textId="77777777" w:rsidR="007C525D" w:rsidRDefault="007C757A">
      <w:pPr>
        <w:rPr>
          <w:rFonts w:ascii="Calibri" w:hAnsi="Calibri"/>
          <w:lang w:eastAsia="en-GB"/>
        </w:rPr>
      </w:pPr>
      <w:r>
        <w:rPr>
          <w:rFonts w:ascii="Calibri" w:hAnsi="Calibri"/>
          <w:lang w:eastAsia="en-GB"/>
        </w:rPr>
        <w:t xml:space="preserve">This study is being undertaken to compare the immune responses of UK infants who receive their routine immunisations alongside two different 4CMenB primary immunisation schedules. Completing the primary 4CMenB schedule by 3 months could provide infants earlier protection against </w:t>
      </w:r>
      <w:proofErr w:type="spellStart"/>
      <w:r>
        <w:rPr>
          <w:rFonts w:ascii="Calibri" w:hAnsi="Calibri"/>
          <w:lang w:eastAsia="en-GB"/>
        </w:rPr>
        <w:t>MenB</w:t>
      </w:r>
      <w:proofErr w:type="spellEnd"/>
      <w:r>
        <w:rPr>
          <w:rFonts w:ascii="Calibri" w:hAnsi="Calibri"/>
          <w:lang w:eastAsia="en-GB"/>
        </w:rPr>
        <w:t xml:space="preserve"> disease since cases peak at 5 months of age and remain high in the second half of the first year before starting to decline (Ladhani et al., 2012).</w:t>
      </w:r>
    </w:p>
    <w:p w14:paraId="32A9677A" w14:textId="04F6EC3E" w:rsidR="007C525D" w:rsidRDefault="007C757A">
      <w:pPr>
        <w:rPr>
          <w:rFonts w:ascii="Calibri" w:hAnsi="Calibri"/>
          <w:szCs w:val="22"/>
          <w:lang w:eastAsia="en-GB"/>
        </w:rPr>
      </w:pPr>
      <w:r>
        <w:rPr>
          <w:rFonts w:ascii="Calibri" w:hAnsi="Calibri"/>
          <w:szCs w:val="22"/>
          <w:lang w:eastAsia="en-GB"/>
        </w:rPr>
        <w:t>There are no data on the immunogenicity of</w:t>
      </w:r>
      <w:r w:rsidR="000425EA">
        <w:rPr>
          <w:rFonts w:ascii="Calibri" w:hAnsi="Calibri"/>
          <w:szCs w:val="22"/>
          <w:lang w:eastAsia="en-GB"/>
        </w:rPr>
        <w:t xml:space="preserve"> a two-dose</w:t>
      </w:r>
      <w:r>
        <w:rPr>
          <w:rFonts w:ascii="Calibri" w:hAnsi="Calibri"/>
          <w:szCs w:val="22"/>
          <w:lang w:eastAsia="en-GB"/>
        </w:rPr>
        <w:t xml:space="preserve"> 4CMenB </w:t>
      </w:r>
      <w:r w:rsidR="000425EA">
        <w:rPr>
          <w:rFonts w:ascii="Calibri" w:hAnsi="Calibri"/>
          <w:szCs w:val="22"/>
          <w:lang w:eastAsia="en-GB"/>
        </w:rPr>
        <w:t xml:space="preserve">schedule </w:t>
      </w:r>
      <w:r>
        <w:rPr>
          <w:rFonts w:ascii="Calibri" w:hAnsi="Calibri"/>
          <w:szCs w:val="22"/>
          <w:lang w:eastAsia="en-GB"/>
        </w:rPr>
        <w:t xml:space="preserve">given one month apart in infants. Since this is a protein-based vaccine, it is anticipated that the immunogenicity of the </w:t>
      </w:r>
      <w:proofErr w:type="gramStart"/>
      <w:r>
        <w:rPr>
          <w:rFonts w:ascii="Calibri" w:hAnsi="Calibri"/>
          <w:szCs w:val="22"/>
          <w:lang w:eastAsia="en-GB"/>
        </w:rPr>
        <w:t>2-3 month</w:t>
      </w:r>
      <w:proofErr w:type="gramEnd"/>
      <w:r>
        <w:rPr>
          <w:rFonts w:ascii="Calibri" w:hAnsi="Calibri"/>
          <w:szCs w:val="22"/>
          <w:lang w:eastAsia="en-GB"/>
        </w:rPr>
        <w:t xml:space="preserve"> schedule will be similar to the 2-4 month schedule, unlike some conjugate vaccines, where there is some evidence of increased immunogenicity with longer intervals between doses in infants. The blood sample at 4 months of age will allow assessment of any early protection offered by two doses compared to a single dose of 4CMenB. The blood sample at 5 months of age will allow comparison of vaccine responses against the currently recommended national immunisation schedule</w:t>
      </w:r>
      <w:r w:rsidR="004D2558">
        <w:rPr>
          <w:rFonts w:ascii="Calibri" w:hAnsi="Calibri"/>
          <w:szCs w:val="22"/>
          <w:lang w:eastAsia="en-GB"/>
        </w:rPr>
        <w:t>.</w:t>
      </w:r>
      <w:r>
        <w:rPr>
          <w:rFonts w:ascii="Calibri" w:hAnsi="Calibri"/>
          <w:szCs w:val="22"/>
          <w:lang w:eastAsia="en-GB"/>
        </w:rPr>
        <w:t xml:space="preserve"> Even if the </w:t>
      </w:r>
      <w:proofErr w:type="gramStart"/>
      <w:r>
        <w:rPr>
          <w:rFonts w:ascii="Calibri" w:hAnsi="Calibri"/>
          <w:szCs w:val="22"/>
          <w:lang w:eastAsia="en-GB"/>
        </w:rPr>
        <w:t>2-3 month</w:t>
      </w:r>
      <w:proofErr w:type="gramEnd"/>
      <w:r>
        <w:rPr>
          <w:rFonts w:ascii="Calibri" w:hAnsi="Calibri"/>
          <w:szCs w:val="22"/>
          <w:lang w:eastAsia="en-GB"/>
        </w:rPr>
        <w:t xml:space="preserve"> schedule is a little less immunogenic than the 2-4 month schedule, </w:t>
      </w:r>
      <w:r>
        <w:rPr>
          <w:rFonts w:ascii="Calibri" w:hAnsi="Calibri"/>
          <w:szCs w:val="22"/>
          <w:lang w:eastAsia="en-GB"/>
        </w:rPr>
        <w:lastRenderedPageBreak/>
        <w:t xml:space="preserve">the benefits of earlier protection with the 2-3 month schedule </w:t>
      </w:r>
      <w:r w:rsidR="00E046BF">
        <w:rPr>
          <w:rFonts w:ascii="Calibri" w:hAnsi="Calibri"/>
          <w:szCs w:val="22"/>
          <w:lang w:eastAsia="en-GB"/>
        </w:rPr>
        <w:t xml:space="preserve">would likely </w:t>
      </w:r>
      <w:r>
        <w:rPr>
          <w:rFonts w:ascii="Calibri" w:hAnsi="Calibri"/>
          <w:szCs w:val="22"/>
          <w:lang w:eastAsia="en-GB"/>
        </w:rPr>
        <w:t>outweigh the lower antibody concentrations. The blood sample at 12 months will allow assessment of waning of immunity before the booster. The blood sample at 13 months will allow comparison of the post-booster antibody responses. We anticipate that the 12-month booster will provide similar protection for both groups.</w:t>
      </w:r>
    </w:p>
    <w:p w14:paraId="27F37E2D" w14:textId="77777777" w:rsidR="007C525D" w:rsidRDefault="007C525D"/>
    <w:p w14:paraId="433C496F" w14:textId="22FD34A8" w:rsidR="007C525D" w:rsidRDefault="007C757A">
      <w:pPr>
        <w:rPr>
          <w:rFonts w:ascii="Calibri" w:hAnsi="Calibri"/>
        </w:rPr>
      </w:pPr>
      <w:r>
        <w:rPr>
          <w:rFonts w:ascii="Calibri" w:hAnsi="Calibri"/>
        </w:rPr>
        <w:t xml:space="preserve">Additionally, the UK recently announced a change in the childhood pneumococcal immunisation programme from the current 2+1 schedule of the 13-valent pneumococcal conjugate vaccine (PCV13) at 2 and 3 months of age followed by a booster at 12 months, to a single PCV13 infant dose at 3 months of age followed by the 12-month booster. This decision was made on the basis of near elimination of pneumococcal disease caused by the PCV13 serotypes in the UK. Infants will be protected by a combination of direct protection afforded by the single dose of PCV13 and the excellent indirect (herd) protection, which will continue to be maintained by the 1+1 schedule (Goldblatt et al., 2018). Since pneumococcal disease associated </w:t>
      </w:r>
      <w:r w:rsidR="00E046BF">
        <w:rPr>
          <w:rFonts w:ascii="Calibri" w:hAnsi="Calibri"/>
        </w:rPr>
        <w:t xml:space="preserve">with </w:t>
      </w:r>
      <w:r>
        <w:rPr>
          <w:rFonts w:ascii="Calibri" w:hAnsi="Calibri"/>
        </w:rPr>
        <w:t xml:space="preserve">PCV13 strains is so rare in infants across the UK, the </w:t>
      </w:r>
      <w:proofErr w:type="gramStart"/>
      <w:r>
        <w:rPr>
          <w:rFonts w:ascii="Calibri" w:hAnsi="Calibri"/>
        </w:rPr>
        <w:t>2-3 month</w:t>
      </w:r>
      <w:proofErr w:type="gramEnd"/>
      <w:r>
        <w:rPr>
          <w:rFonts w:ascii="Calibri" w:hAnsi="Calibri"/>
        </w:rPr>
        <w:t xml:space="preserve"> group in this clinical trial will receive PCV13 at 4 months instead of 3 months. This will ensure that all infants will </w:t>
      </w:r>
      <w:r w:rsidR="00E046BF">
        <w:rPr>
          <w:rFonts w:ascii="Calibri" w:hAnsi="Calibri"/>
        </w:rPr>
        <w:t xml:space="preserve">only </w:t>
      </w:r>
      <w:r>
        <w:rPr>
          <w:rFonts w:ascii="Calibri" w:hAnsi="Calibri"/>
        </w:rPr>
        <w:t>receive 2 injections at each primary immunisation visit, thus providing an optimal schedule in terms of vaccine policy and implementation.</w:t>
      </w:r>
      <w:r w:rsidR="003B0F79">
        <w:rPr>
          <w:rFonts w:ascii="Calibri" w:hAnsi="Calibri"/>
        </w:rPr>
        <w:t xml:space="preserve"> </w:t>
      </w:r>
    </w:p>
    <w:p w14:paraId="7AD9ECEE" w14:textId="20EAA7BC" w:rsidR="003B0F79" w:rsidRDefault="003B0F79">
      <w:pPr>
        <w:rPr>
          <w:rFonts w:ascii="Calibri" w:hAnsi="Calibri"/>
        </w:rPr>
      </w:pPr>
      <w:r w:rsidRPr="003B0F79">
        <w:rPr>
          <w:rFonts w:ascii="Calibri" w:hAnsi="Calibri"/>
        </w:rPr>
        <w:t xml:space="preserve">We will </w:t>
      </w:r>
      <w:r w:rsidR="00E046BF">
        <w:rPr>
          <w:rFonts w:ascii="Calibri" w:hAnsi="Calibri"/>
        </w:rPr>
        <w:t xml:space="preserve">therefore </w:t>
      </w:r>
      <w:r w:rsidRPr="003B0F79">
        <w:rPr>
          <w:rFonts w:ascii="Calibri" w:hAnsi="Calibri"/>
        </w:rPr>
        <w:t>compare the immunogenicity of this new PCV13 schedule (single dose at 4 months instead of 3 months) by measuring antibodies against the PCV13 vaccine serotypes at 12 months of age (pre-booster) and 13 months of age (post-booster)</w:t>
      </w:r>
      <w:r w:rsidR="003C4671">
        <w:rPr>
          <w:rFonts w:ascii="Calibri" w:hAnsi="Calibri"/>
        </w:rPr>
        <w:t>.</w:t>
      </w:r>
    </w:p>
    <w:p w14:paraId="1FEDCA60" w14:textId="77777777" w:rsidR="007C525D" w:rsidRDefault="007C757A">
      <w:r>
        <w:rPr>
          <w:rFonts w:ascii="Calibri" w:hAnsi="Calibri"/>
          <w:lang w:eastAsia="en-GB"/>
        </w:rPr>
        <w:t>If this clinical trial shows comparable immunogenicity for the main 4CMenB antigens using the two different schedules, then the results could change UK national immunisation policy to offer infants earlier protection against this devastating disease and could potentially be adopted by other countries worldwide.</w:t>
      </w:r>
    </w:p>
    <w:p w14:paraId="00797AAD" w14:textId="77777777" w:rsidR="007C525D" w:rsidRDefault="007C525D">
      <w:pPr>
        <w:ind w:left="955"/>
      </w:pPr>
    </w:p>
    <w:p w14:paraId="4F64025C" w14:textId="77777777" w:rsidR="007C525D" w:rsidRDefault="007C757A">
      <w:pPr>
        <w:rPr>
          <w:rFonts w:ascii="Calibri" w:hAnsi="Calibri"/>
          <w:b/>
        </w:rPr>
      </w:pPr>
      <w:bookmarkStart w:id="14" w:name="_Toc303179240"/>
      <w:r>
        <w:rPr>
          <w:rFonts w:ascii="Calibri" w:hAnsi="Calibri"/>
          <w:b/>
        </w:rPr>
        <w:t>2.1</w:t>
      </w:r>
      <w:r>
        <w:rPr>
          <w:rFonts w:ascii="Calibri" w:hAnsi="Calibri"/>
          <w:b/>
        </w:rPr>
        <w:tab/>
        <w:t>Assessment and management of ris</w:t>
      </w:r>
      <w:bookmarkEnd w:id="14"/>
      <w:r>
        <w:rPr>
          <w:rFonts w:ascii="Calibri" w:hAnsi="Calibri"/>
          <w:b/>
        </w:rPr>
        <w:t>k</w:t>
      </w:r>
    </w:p>
    <w:p w14:paraId="4ABB5026" w14:textId="77777777" w:rsidR="007C525D" w:rsidRDefault="007C757A">
      <w:r>
        <w:rPr>
          <w:rFonts w:ascii="Calibri" w:hAnsi="Calibri"/>
          <w:b/>
          <w:lang w:eastAsia="en-GB"/>
        </w:rPr>
        <w:t>2.1.1 Vaccination</w:t>
      </w:r>
    </w:p>
    <w:p w14:paraId="0EFEA71C" w14:textId="77777777" w:rsidR="007C525D" w:rsidRDefault="007C757A">
      <w:r>
        <w:rPr>
          <w:rFonts w:ascii="Calibri" w:hAnsi="Calibri"/>
          <w:lang w:eastAsia="en-GB"/>
        </w:rPr>
        <w:t xml:space="preserve">The clinical trial will only use vaccines that have been licensed for routine childhood immunisation in the UK. One group will receive vaccinations according to the UK schedule and the other will receive the routine vaccinations with a shorter interval for 4CMenB, at 2-3 months instead of 2-4 months. Because the infants enrolled in the study will receive the same vaccines as part of their routine immunisation, this study is unlikely to be associated with any additional risk of adverse events. </w:t>
      </w:r>
    </w:p>
    <w:p w14:paraId="5A5DA6D3" w14:textId="77777777" w:rsidR="007C525D" w:rsidRDefault="007C757A">
      <w:pPr>
        <w:rPr>
          <w:rFonts w:ascii="Calibri" w:hAnsi="Calibri"/>
          <w:szCs w:val="22"/>
          <w:lang w:eastAsia="en-GB"/>
        </w:rPr>
      </w:pPr>
      <w:r>
        <w:rPr>
          <w:rFonts w:ascii="Calibri" w:hAnsi="Calibri"/>
          <w:szCs w:val="22"/>
          <w:lang w:eastAsia="en-GB"/>
        </w:rPr>
        <w:t xml:space="preserve">There is always a small risk of an adverse reaction following any vaccination and this will be explained to parents, but the risk per dose will be the same for infants in this study compared to those who receive their routine vaccinations. 4CMenB is particularly associated with fever when administered with routine vaccinations, but this can be mitigated with prophylactic paracetamol at the time of 4CMenB vaccination, which is recommended nationally. </w:t>
      </w:r>
    </w:p>
    <w:p w14:paraId="55D5DBB2" w14:textId="77777777" w:rsidR="007C525D" w:rsidRDefault="007C757A">
      <w:pPr>
        <w:rPr>
          <w:rFonts w:ascii="Calibri" w:hAnsi="Calibri"/>
          <w:szCs w:val="22"/>
          <w:lang w:eastAsia="en-GB"/>
        </w:rPr>
      </w:pPr>
      <w:r>
        <w:rPr>
          <w:rFonts w:ascii="Calibri" w:hAnsi="Calibri"/>
          <w:szCs w:val="22"/>
          <w:lang w:eastAsia="en-GB"/>
        </w:rPr>
        <w:t xml:space="preserve">Vaccines will be given by experienced medical or nursing staff who are trained in how to manage an allergic reaction following vaccination and who will have with them emergency equipment according to their local SOPs. </w:t>
      </w:r>
    </w:p>
    <w:p w14:paraId="085A1CDA" w14:textId="66D9D810" w:rsidR="007C525D" w:rsidRDefault="007C757A">
      <w:r>
        <w:rPr>
          <w:rFonts w:ascii="Calibri" w:hAnsi="Calibri"/>
          <w:szCs w:val="22"/>
          <w:lang w:eastAsia="en-GB"/>
        </w:rPr>
        <w:t xml:space="preserve">Parents/legal guardians will receive a diary card following vaccination and will be given instructions about how this should be completed for the seven days following vaccination. </w:t>
      </w:r>
      <w:r w:rsidR="00886D5B">
        <w:rPr>
          <w:rFonts w:ascii="Calibri" w:hAnsi="Calibri"/>
          <w:szCs w:val="22"/>
          <w:lang w:eastAsia="en-GB"/>
        </w:rPr>
        <w:t xml:space="preserve">Alternatively, we will offer the opportunity to set-up an electronic diary. </w:t>
      </w:r>
      <w:r>
        <w:rPr>
          <w:rFonts w:ascii="Calibri" w:hAnsi="Calibri"/>
          <w:szCs w:val="22"/>
          <w:lang w:eastAsia="en-GB"/>
        </w:rPr>
        <w:t xml:space="preserve">The information required will be clearly explained to the parents and the diary will be checked by research staff at the subsequent visits so that any necessary additional information can be sought. In addition, they will be provided with a 24-hour telephone number to contact in case of any queries or concerns and will be asked to contact the study team in the event of serious illness or illness requiring hospitalisation which will allow early identification of serious adverse events (including seizures, febrile episodes requiring admission, nodule at the site of injection, cellulitis). In addition, all illnesses will be enquired about at each study </w:t>
      </w:r>
      <w:r>
        <w:rPr>
          <w:rFonts w:ascii="Calibri" w:hAnsi="Calibri"/>
          <w:szCs w:val="22"/>
          <w:lang w:eastAsia="en-GB"/>
        </w:rPr>
        <w:lastRenderedPageBreak/>
        <w:t xml:space="preserve">visit so that all serious adverse events can be recorded. Information about all SAEs </w:t>
      </w:r>
      <w:r>
        <w:rPr>
          <w:rFonts w:ascii="Calibri" w:hAnsi="Calibri"/>
          <w:szCs w:val="22"/>
        </w:rPr>
        <w:t xml:space="preserve">and AESIs </w:t>
      </w:r>
      <w:r>
        <w:rPr>
          <w:rFonts w:ascii="Calibri" w:hAnsi="Calibri"/>
          <w:szCs w:val="22"/>
          <w:lang w:eastAsia="en-GB"/>
        </w:rPr>
        <w:t>occurring at any time within the study period (i.e. after consent has been taken) will be collected.</w:t>
      </w:r>
    </w:p>
    <w:p w14:paraId="04117ADD" w14:textId="77777777" w:rsidR="007C525D" w:rsidRDefault="007C525D">
      <w:pPr>
        <w:rPr>
          <w:rFonts w:ascii="Calibri" w:hAnsi="Calibri"/>
          <w:szCs w:val="22"/>
          <w:lang w:eastAsia="en-GB"/>
        </w:rPr>
      </w:pPr>
    </w:p>
    <w:p w14:paraId="2DA33572" w14:textId="77777777" w:rsidR="007C525D" w:rsidRDefault="007C757A">
      <w:pPr>
        <w:rPr>
          <w:rFonts w:ascii="Calibri" w:hAnsi="Calibri"/>
          <w:b/>
          <w:szCs w:val="22"/>
          <w:lang w:eastAsia="en-GB"/>
        </w:rPr>
      </w:pPr>
      <w:r>
        <w:rPr>
          <w:rFonts w:ascii="Calibri" w:hAnsi="Calibri"/>
          <w:b/>
          <w:szCs w:val="22"/>
          <w:lang w:eastAsia="en-GB"/>
        </w:rPr>
        <w:t>2.1.2 Blood collection</w:t>
      </w:r>
    </w:p>
    <w:p w14:paraId="694622FD" w14:textId="77777777" w:rsidR="007C525D" w:rsidRDefault="007C757A">
      <w:pPr>
        <w:rPr>
          <w:rFonts w:ascii="Calibri" w:hAnsi="Calibri"/>
          <w:lang w:eastAsia="en-GB"/>
        </w:rPr>
      </w:pPr>
      <w:r>
        <w:rPr>
          <w:rFonts w:ascii="Calibri" w:hAnsi="Calibri"/>
          <w:lang w:eastAsia="en-GB"/>
        </w:rPr>
        <w:t>Blood sampling will be performed by appropriately trained members of the research team and the volume of blood obtained at each visit will not exceed 1% of the infant’s circulating blood volume, based on an estimated total circulating blood volume value for infants of 75 mL/kg.</w:t>
      </w:r>
    </w:p>
    <w:p w14:paraId="42B9362D" w14:textId="77777777" w:rsidR="007C525D" w:rsidRDefault="007C757A">
      <w:pPr>
        <w:pStyle w:val="NormalWeb"/>
        <w:spacing w:after="120" w:line="300" w:lineRule="exact"/>
      </w:pPr>
      <w:r>
        <w:rPr>
          <w:rFonts w:ascii="Calibri" w:eastAsia="Times New Roman" w:hAnsi="Calibri" w:cs="Arial"/>
          <w:sz w:val="22"/>
          <w:szCs w:val="22"/>
          <w:lang w:eastAsia="en-GB"/>
        </w:rPr>
        <w:t xml:space="preserve">According to the MRC/DH/MHRA Joint Project on Risk-adapted Approaches to the Management of Clinical Trials of IMPs (October 2011), this trial is categorised as </w:t>
      </w:r>
      <w:r>
        <w:rPr>
          <w:rFonts w:ascii="Calibri" w:eastAsia="Times New Roman" w:hAnsi="Calibri" w:cs="Arial"/>
          <w:b/>
          <w:bCs/>
          <w:sz w:val="22"/>
          <w:szCs w:val="22"/>
          <w:lang w:eastAsia="en-GB"/>
        </w:rPr>
        <w:t>Type A</w:t>
      </w:r>
      <w:r>
        <w:rPr>
          <w:rFonts w:ascii="Calibri" w:eastAsia="Times New Roman" w:hAnsi="Calibri" w:cs="Arial"/>
          <w:sz w:val="22"/>
          <w:szCs w:val="22"/>
          <w:lang w:eastAsia="en-GB"/>
        </w:rPr>
        <w:t xml:space="preserve"> (Risk no higher than that of standard medical care).  </w:t>
      </w:r>
    </w:p>
    <w:p w14:paraId="56603643" w14:textId="77777777" w:rsidR="007C525D" w:rsidRDefault="007C525D">
      <w:pPr>
        <w:pStyle w:val="NormalWeb"/>
        <w:spacing w:after="120" w:line="300" w:lineRule="exact"/>
      </w:pPr>
    </w:p>
    <w:p w14:paraId="440E80FB" w14:textId="77777777" w:rsidR="007C525D" w:rsidRDefault="007C757A">
      <w:pPr>
        <w:rPr>
          <w:rFonts w:ascii="Calibri" w:hAnsi="Calibri" w:cs="Calibri"/>
          <w:b/>
          <w:u w:val="single"/>
        </w:rPr>
      </w:pPr>
      <w:r>
        <w:rPr>
          <w:rFonts w:ascii="Calibri" w:hAnsi="Calibri" w:cs="Calibri"/>
          <w:b/>
          <w:u w:val="single"/>
        </w:rPr>
        <w:t>2.1.3 COVID-19 Risk Assessment and Management Strategy</w:t>
      </w:r>
    </w:p>
    <w:p w14:paraId="7B76F273" w14:textId="77777777" w:rsidR="007C525D" w:rsidRDefault="007C757A">
      <w:pPr>
        <w:rPr>
          <w:rFonts w:ascii="Calibri" w:hAnsi="Calibri" w:cs="Calibri"/>
        </w:rPr>
      </w:pPr>
      <w:r>
        <w:rPr>
          <w:rFonts w:ascii="Calibri" w:hAnsi="Calibri" w:cs="Calibri"/>
        </w:rPr>
        <w:t xml:space="preserve">All research staff are required to complete an ongoing COVID-19 risk assessment prior to undertaking </w:t>
      </w:r>
      <w:proofErr w:type="gramStart"/>
      <w:r>
        <w:rPr>
          <w:rFonts w:ascii="Calibri" w:hAnsi="Calibri" w:cs="Calibri"/>
        </w:rPr>
        <w:t>any  research</w:t>
      </w:r>
      <w:proofErr w:type="gramEnd"/>
      <w:r>
        <w:rPr>
          <w:rFonts w:ascii="Calibri" w:hAnsi="Calibri" w:cs="Calibri"/>
        </w:rPr>
        <w:t xml:space="preserve"> activity. This process is continuously monitored by the responsible line manager. </w:t>
      </w:r>
    </w:p>
    <w:p w14:paraId="1D401ABE" w14:textId="77777777" w:rsidR="007C525D" w:rsidRDefault="007C757A">
      <w:pPr>
        <w:rPr>
          <w:rFonts w:ascii="Calibri" w:hAnsi="Calibri" w:cs="Calibri"/>
        </w:rPr>
      </w:pPr>
      <w:r>
        <w:rPr>
          <w:rFonts w:ascii="Calibri" w:hAnsi="Calibri" w:cs="Calibri"/>
        </w:rPr>
        <w:t>The Research Team will contact parents of research participants ahead of scheduled study visits to check for COVID-19 symptoms and the symptom check will be repeated at the study visit.</w:t>
      </w:r>
    </w:p>
    <w:p w14:paraId="3F4EB354" w14:textId="4E42BF25" w:rsidR="007C525D" w:rsidRDefault="007C757A">
      <w:pPr>
        <w:rPr>
          <w:rFonts w:ascii="Calibri" w:hAnsi="Calibri" w:cs="Calibri"/>
        </w:rPr>
      </w:pPr>
      <w:r>
        <w:rPr>
          <w:rFonts w:ascii="Calibri" w:hAnsi="Calibri" w:cs="Calibri"/>
        </w:rPr>
        <w:t>Parents will receive information regarding the extra precautions that will be taken in light of the COVID-19 pandemic in the Patient Information Sheet. This will detail steps they</w:t>
      </w:r>
      <w:r w:rsidR="00E046BF">
        <w:rPr>
          <w:rFonts w:ascii="Calibri" w:hAnsi="Calibri" w:cs="Calibri"/>
        </w:rPr>
        <w:t xml:space="preserve"> </w:t>
      </w:r>
      <w:r>
        <w:rPr>
          <w:rFonts w:ascii="Calibri" w:hAnsi="Calibri" w:cs="Calibri"/>
        </w:rPr>
        <w:t>should take if they have concerns about exposure to COVID-19 through participating in the research, or believe that they are symptomatic or have been in close contact with another person believed to be symptomatic. The Patient Information Sheet will also have contact details for the Research Team for pa</w:t>
      </w:r>
      <w:r w:rsidR="00E046BF">
        <w:rPr>
          <w:rFonts w:ascii="Calibri" w:hAnsi="Calibri" w:cs="Calibri"/>
        </w:rPr>
        <w:t>r</w:t>
      </w:r>
      <w:r>
        <w:rPr>
          <w:rFonts w:ascii="Calibri" w:hAnsi="Calibri" w:cs="Calibri"/>
        </w:rPr>
        <w:t>ents to get in touch if they have any concerns or queries about this.</w:t>
      </w:r>
    </w:p>
    <w:p w14:paraId="49428238" w14:textId="77777777" w:rsidR="007C525D" w:rsidRDefault="007C757A">
      <w:pPr>
        <w:rPr>
          <w:rFonts w:ascii="Calibri" w:hAnsi="Calibri" w:cs="Calibri"/>
        </w:rPr>
      </w:pPr>
      <w:r>
        <w:rPr>
          <w:rFonts w:ascii="Calibri" w:hAnsi="Calibri" w:cs="Calibri"/>
        </w:rPr>
        <w:t>All research personnel are expected to comply with the NHS Trust and University policies on COVID-19.</w:t>
      </w:r>
    </w:p>
    <w:p w14:paraId="178A7CFB" w14:textId="77777777" w:rsidR="007C525D" w:rsidRDefault="007C757A">
      <w:pPr>
        <w:rPr>
          <w:rFonts w:ascii="Calibri" w:hAnsi="Calibri" w:cs="Calibri"/>
        </w:rPr>
      </w:pPr>
      <w:r>
        <w:rPr>
          <w:rFonts w:ascii="Calibri" w:hAnsi="Calibri" w:cs="Calibri"/>
        </w:rPr>
        <w:t>All parents bringing their children to the hospital site for research visits will be expected to abide by the NHS Trust and University policies on COVID-19 which include wearing suitable PPE (provided by the NHS Trust on arrival), adhering to the visitor policy on social distancing and following the one-way routing systems whilst on site.</w:t>
      </w:r>
    </w:p>
    <w:p w14:paraId="36E96C78" w14:textId="77777777" w:rsidR="007C525D" w:rsidRDefault="007C757A">
      <w:pPr>
        <w:rPr>
          <w:rFonts w:ascii="Calibri" w:hAnsi="Calibri" w:cs="Calibri"/>
        </w:rPr>
      </w:pPr>
      <w:r>
        <w:rPr>
          <w:rFonts w:ascii="Calibri" w:hAnsi="Calibri" w:cs="Calibri"/>
        </w:rPr>
        <w:t>The schedule of study assessments has been designed so that they align with the current routine national immunisation schedule; therefore, research participants and site staff are not perceived to be at any additional risk of exposure to COVID-19 through participation in this research study.</w:t>
      </w:r>
    </w:p>
    <w:p w14:paraId="33F315C8" w14:textId="77777777" w:rsidR="007C525D" w:rsidRDefault="007C525D">
      <w:pPr>
        <w:pStyle w:val="NormalWeb"/>
        <w:spacing w:after="120" w:line="300" w:lineRule="exact"/>
      </w:pPr>
    </w:p>
    <w:p w14:paraId="0F975980" w14:textId="77777777" w:rsidR="007C525D" w:rsidRDefault="007C525D">
      <w:pPr>
        <w:pStyle w:val="BodyText"/>
        <w:tabs>
          <w:tab w:val="left" w:pos="709"/>
        </w:tabs>
        <w:spacing w:after="120"/>
        <w:rPr>
          <w:rFonts w:ascii="Calibri" w:hAnsi="Calibri" w:cs="Arial"/>
          <w:b/>
          <w:i w:val="0"/>
          <w:sz w:val="22"/>
          <w:szCs w:val="22"/>
        </w:rPr>
      </w:pPr>
    </w:p>
    <w:p w14:paraId="3C512DAF"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t>3</w:t>
      </w:r>
      <w:r>
        <w:rPr>
          <w:rFonts w:ascii="Calibri" w:hAnsi="Calibri"/>
          <w:color w:val="auto"/>
          <w:sz w:val="22"/>
          <w:szCs w:val="22"/>
        </w:rPr>
        <w:tab/>
        <w:t>OBJECTIVES AND OUTCOME MEASURES/ENDPOINTS</w:t>
      </w:r>
    </w:p>
    <w:p w14:paraId="11527688" w14:textId="77777777" w:rsidR="007C525D" w:rsidRDefault="007C525D">
      <w:pPr>
        <w:rPr>
          <w:rFonts w:ascii="Calibri" w:hAnsi="Calibri"/>
          <w:b/>
          <w:szCs w:val="22"/>
          <w:lang w:eastAsia="en-GB"/>
        </w:rPr>
      </w:pPr>
    </w:p>
    <w:p w14:paraId="2399FEB9" w14:textId="77777777" w:rsidR="007C525D" w:rsidRDefault="007C757A">
      <w:pPr>
        <w:rPr>
          <w:rFonts w:ascii="Calibri" w:hAnsi="Calibri"/>
          <w:b/>
          <w:szCs w:val="22"/>
          <w:lang w:eastAsia="en-GB"/>
        </w:rPr>
      </w:pPr>
      <w:r>
        <w:rPr>
          <w:rFonts w:ascii="Calibri" w:hAnsi="Calibri"/>
          <w:b/>
          <w:szCs w:val="22"/>
          <w:lang w:eastAsia="en-GB"/>
        </w:rPr>
        <w:tab/>
        <w:t>Table of endpoints/outcomes</w:t>
      </w:r>
    </w:p>
    <w:p w14:paraId="65CDC557" w14:textId="77777777" w:rsidR="007C525D" w:rsidRDefault="007C525D">
      <w:pPr>
        <w:rPr>
          <w:rFonts w:ascii="Calibri" w:hAnsi="Calibri"/>
          <w:color w:val="0000FF"/>
          <w:szCs w:val="22"/>
          <w:lang w:eastAsia="en-GB"/>
        </w:rPr>
      </w:pPr>
    </w:p>
    <w:p w14:paraId="2218750C" w14:textId="77777777" w:rsidR="007C525D" w:rsidRDefault="007C525D">
      <w:pPr>
        <w:rPr>
          <w:rFonts w:ascii="Calibri" w:hAnsi="Calibri"/>
          <w:color w:val="0000FF"/>
          <w:szCs w:val="22"/>
        </w:rPr>
      </w:pPr>
    </w:p>
    <w:tbl>
      <w:tblPr>
        <w:tblW w:w="10173" w:type="dxa"/>
        <w:tblLayout w:type="fixed"/>
        <w:tblLook w:val="04A0" w:firstRow="1" w:lastRow="0" w:firstColumn="1" w:lastColumn="0" w:noHBand="0" w:noVBand="1"/>
      </w:tblPr>
      <w:tblGrid>
        <w:gridCol w:w="3391"/>
        <w:gridCol w:w="3391"/>
        <w:gridCol w:w="3391"/>
      </w:tblGrid>
      <w:tr w:rsidR="007C525D" w14:paraId="796BF8B8" w14:textId="77777777">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1F4F0A0E" w14:textId="77777777" w:rsidR="007C525D" w:rsidRDefault="007C757A">
            <w:pPr>
              <w:widowControl w:val="0"/>
            </w:pPr>
            <w:r>
              <w:rPr>
                <w:rFonts w:ascii="Calibri" w:hAnsi="Calibri"/>
                <w:b/>
                <w:szCs w:val="22"/>
              </w:rPr>
              <w:t>Objectives</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36417382" w14:textId="77777777" w:rsidR="007C525D" w:rsidRDefault="007C757A">
            <w:pPr>
              <w:widowControl w:val="0"/>
              <w:rPr>
                <w:rFonts w:ascii="Calibri" w:hAnsi="Calibri"/>
                <w:b/>
                <w:szCs w:val="22"/>
              </w:rPr>
            </w:pPr>
            <w:r>
              <w:rPr>
                <w:rFonts w:ascii="Calibri" w:hAnsi="Calibri"/>
                <w:b/>
                <w:szCs w:val="22"/>
              </w:rPr>
              <w:t xml:space="preserve">Outcome Measures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07F91374" w14:textId="77777777" w:rsidR="007C525D" w:rsidRDefault="007C757A">
            <w:pPr>
              <w:widowControl w:val="0"/>
            </w:pPr>
            <w:r>
              <w:rPr>
                <w:rFonts w:ascii="Calibri" w:hAnsi="Calibri"/>
                <w:b/>
                <w:szCs w:val="22"/>
              </w:rPr>
              <w:t>Timepoint(s) of evaluation of this outcome measure (if applicable)</w:t>
            </w:r>
          </w:p>
        </w:tc>
      </w:tr>
      <w:tr w:rsidR="007C525D" w14:paraId="0EB308C4" w14:textId="77777777">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Pr>
          <w:p w14:paraId="3E3191CC" w14:textId="77777777" w:rsidR="007C525D" w:rsidRDefault="007C757A">
            <w:pPr>
              <w:widowControl w:val="0"/>
            </w:pPr>
            <w:r>
              <w:rPr>
                <w:rFonts w:ascii="Calibri" w:hAnsi="Calibri"/>
                <w:b/>
                <w:szCs w:val="22"/>
              </w:rPr>
              <w:t>Primary Objective</w:t>
            </w:r>
          </w:p>
        </w:tc>
      </w:tr>
      <w:tr w:rsidR="007C525D" w14:paraId="62A00EB0" w14:textId="77777777">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05640FE3" w14:textId="77777777" w:rsidR="007C525D" w:rsidRDefault="007C757A">
            <w:pPr>
              <w:widowControl w:val="0"/>
            </w:pPr>
            <w:r>
              <w:rPr>
                <w:rFonts w:ascii="Calibri" w:hAnsi="Calibri"/>
                <w:szCs w:val="22"/>
                <w:lang w:eastAsia="en-GB"/>
              </w:rPr>
              <w:t xml:space="preserve">To compare the immunological </w:t>
            </w:r>
            <w:r>
              <w:rPr>
                <w:rFonts w:ascii="Calibri" w:hAnsi="Calibri"/>
                <w:szCs w:val="22"/>
                <w:lang w:eastAsia="en-GB"/>
              </w:rPr>
              <w:lastRenderedPageBreak/>
              <w:t>responses of UK infants at 4 months of age between two different primary immunisation schedules of 4CMenB (2 and 3 versus 2 and 4 months of age).</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6AC23248" w14:textId="77777777" w:rsidR="007C525D" w:rsidRDefault="007C757A">
            <w:pPr>
              <w:pStyle w:val="ListParagraph"/>
              <w:widowControl w:val="0"/>
              <w:numPr>
                <w:ilvl w:val="0"/>
                <w:numId w:val="5"/>
              </w:numPr>
              <w:spacing w:line="240" w:lineRule="auto"/>
              <w:rPr>
                <w:rFonts w:ascii="Calibri" w:hAnsi="Calibri"/>
              </w:rPr>
            </w:pPr>
            <w:r>
              <w:rPr>
                <w:rFonts w:ascii="Calibri" w:hAnsi="Calibri"/>
              </w:rPr>
              <w:lastRenderedPageBreak/>
              <w:t xml:space="preserve">Antibody geometric mean </w:t>
            </w:r>
            <w:proofErr w:type="spellStart"/>
            <w:r>
              <w:rPr>
                <w:rFonts w:ascii="Calibri" w:hAnsi="Calibri"/>
              </w:rPr>
              <w:t>titers</w:t>
            </w:r>
            <w:proofErr w:type="spellEnd"/>
            <w:r>
              <w:rPr>
                <w:rFonts w:ascii="Calibri" w:hAnsi="Calibri"/>
              </w:rPr>
              <w:t xml:space="preserve"> </w:t>
            </w:r>
            <w:r>
              <w:rPr>
                <w:rFonts w:ascii="Calibri" w:hAnsi="Calibri"/>
              </w:rPr>
              <w:lastRenderedPageBreak/>
              <w:t>(GMTs) against relevant 4CMenB antigens (</w:t>
            </w:r>
            <w:proofErr w:type="spellStart"/>
            <w:r>
              <w:rPr>
                <w:rFonts w:ascii="Calibri" w:hAnsi="Calibri"/>
              </w:rPr>
              <w:t>fHbp</w:t>
            </w:r>
            <w:proofErr w:type="spellEnd"/>
            <w:r>
              <w:rPr>
                <w:rFonts w:ascii="Calibri" w:hAnsi="Calibri"/>
              </w:rPr>
              <w:t xml:space="preserve">, </w:t>
            </w:r>
            <w:proofErr w:type="spellStart"/>
            <w:r>
              <w:rPr>
                <w:rFonts w:ascii="Calibri" w:hAnsi="Calibri"/>
              </w:rPr>
              <w:t>NadA</w:t>
            </w:r>
            <w:proofErr w:type="spellEnd"/>
            <w:r>
              <w:rPr>
                <w:rFonts w:ascii="Calibri" w:hAnsi="Calibri"/>
              </w:rPr>
              <w:t xml:space="preserve"> and </w:t>
            </w:r>
            <w:proofErr w:type="spellStart"/>
            <w:r>
              <w:rPr>
                <w:rFonts w:ascii="Calibri" w:hAnsi="Calibri"/>
              </w:rPr>
              <w:t>PorA</w:t>
            </w:r>
            <w:proofErr w:type="spellEnd"/>
            <w:r>
              <w:rPr>
                <w:rFonts w:ascii="Calibri" w:hAnsi="Calibri"/>
              </w:rPr>
              <w:t>) measured by serum bactericidal assay using human complement (</w:t>
            </w:r>
            <w:proofErr w:type="spellStart"/>
            <w:r>
              <w:rPr>
                <w:rFonts w:ascii="Calibri" w:hAnsi="Calibri"/>
              </w:rPr>
              <w:t>hSBA</w:t>
            </w:r>
            <w:proofErr w:type="spellEnd"/>
            <w:r>
              <w:rPr>
                <w:rFonts w:ascii="Calibri" w:hAnsi="Calibri"/>
              </w:rPr>
              <w:t>) 4 weeks after 2nd dose of 4CMenB (at 4 months of age for Group 1 versus 5 months of age for Group 2).</w:t>
            </w:r>
          </w:p>
          <w:p w14:paraId="370FE48D" w14:textId="77777777" w:rsidR="007C525D" w:rsidRDefault="007C525D">
            <w:pPr>
              <w:pStyle w:val="ListParagraph"/>
              <w:widowControl w:val="0"/>
              <w:spacing w:line="240" w:lineRule="auto"/>
              <w:ind w:left="360"/>
              <w:rPr>
                <w:rFonts w:ascii="Calibri" w:hAnsi="Calibri"/>
              </w:rPr>
            </w:pPr>
          </w:p>
          <w:p w14:paraId="77BFBA61" w14:textId="77777777" w:rsidR="007C525D" w:rsidRDefault="007C757A">
            <w:pPr>
              <w:pStyle w:val="ListParagraph"/>
              <w:widowControl w:val="0"/>
              <w:numPr>
                <w:ilvl w:val="0"/>
                <w:numId w:val="5"/>
              </w:numPr>
              <w:spacing w:line="240" w:lineRule="auto"/>
              <w:rPr>
                <w:rFonts w:ascii="Calibri" w:hAnsi="Calibri"/>
              </w:rPr>
            </w:pPr>
            <w:r>
              <w:rPr>
                <w:rFonts w:ascii="Calibri" w:hAnsi="Calibri"/>
              </w:rPr>
              <w:t xml:space="preserve">The proportion of infants with antibody </w:t>
            </w:r>
            <w:proofErr w:type="spellStart"/>
            <w:r>
              <w:rPr>
                <w:rFonts w:ascii="Calibri" w:hAnsi="Calibri"/>
              </w:rPr>
              <w:t>titers</w:t>
            </w:r>
            <w:proofErr w:type="spellEnd"/>
            <w:r>
              <w:rPr>
                <w:rFonts w:ascii="Calibri" w:hAnsi="Calibri"/>
              </w:rPr>
              <w:t xml:space="preserve"> ≥ 1:4 against relevant 4CMenB antigens (</w:t>
            </w:r>
            <w:proofErr w:type="spellStart"/>
            <w:r>
              <w:rPr>
                <w:rFonts w:ascii="Calibri" w:hAnsi="Calibri"/>
              </w:rPr>
              <w:t>fHbp</w:t>
            </w:r>
            <w:proofErr w:type="spellEnd"/>
            <w:r>
              <w:rPr>
                <w:rFonts w:ascii="Calibri" w:hAnsi="Calibri"/>
              </w:rPr>
              <w:t xml:space="preserve">, </w:t>
            </w:r>
            <w:proofErr w:type="spellStart"/>
            <w:r>
              <w:rPr>
                <w:rFonts w:ascii="Calibri" w:hAnsi="Calibri"/>
              </w:rPr>
              <w:t>NadA</w:t>
            </w:r>
            <w:proofErr w:type="spellEnd"/>
            <w:r>
              <w:rPr>
                <w:rFonts w:ascii="Calibri" w:hAnsi="Calibri"/>
              </w:rPr>
              <w:t xml:space="preserve"> and </w:t>
            </w:r>
            <w:proofErr w:type="spellStart"/>
            <w:r>
              <w:rPr>
                <w:rFonts w:ascii="Calibri" w:hAnsi="Calibri"/>
              </w:rPr>
              <w:t>PorA</w:t>
            </w:r>
            <w:proofErr w:type="spellEnd"/>
            <w:r>
              <w:rPr>
                <w:rFonts w:ascii="Calibri" w:hAnsi="Calibri"/>
              </w:rPr>
              <w:t xml:space="preserve">) measured by </w:t>
            </w:r>
            <w:proofErr w:type="spellStart"/>
            <w:r>
              <w:rPr>
                <w:rFonts w:ascii="Calibri" w:hAnsi="Calibri"/>
              </w:rPr>
              <w:t>hSBA</w:t>
            </w:r>
            <w:proofErr w:type="spellEnd"/>
            <w:r>
              <w:rPr>
                <w:rFonts w:ascii="Calibri" w:hAnsi="Calibri"/>
              </w:rPr>
              <w:t xml:space="preserve"> assessed at 4 weeks after 2nd dose of 4CMenB (at 4 months of age for Group 1 versus 5 months of age for Group 2).</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115E0E2E" w14:textId="77777777" w:rsidR="007C525D" w:rsidRDefault="007C757A">
            <w:pPr>
              <w:widowControl w:val="0"/>
              <w:rPr>
                <w:rFonts w:ascii="Calibri" w:hAnsi="Calibri"/>
                <w:szCs w:val="22"/>
              </w:rPr>
            </w:pPr>
            <w:r>
              <w:rPr>
                <w:rFonts w:ascii="Calibri" w:hAnsi="Calibri"/>
                <w:szCs w:val="22"/>
              </w:rPr>
              <w:lastRenderedPageBreak/>
              <w:t xml:space="preserve">Blood sampling at 4 months of age </w:t>
            </w:r>
            <w:r>
              <w:rPr>
                <w:rFonts w:ascii="Calibri" w:hAnsi="Calibri"/>
                <w:szCs w:val="22"/>
              </w:rPr>
              <w:lastRenderedPageBreak/>
              <w:t>for Group 1 and 5 months of age for Group 2.</w:t>
            </w:r>
          </w:p>
          <w:p w14:paraId="6052C6C3" w14:textId="77777777" w:rsidR="007C525D" w:rsidRDefault="007C525D">
            <w:pPr>
              <w:widowControl w:val="0"/>
              <w:rPr>
                <w:rFonts w:ascii="Calibri" w:hAnsi="Calibri"/>
                <w:color w:val="0000FF"/>
                <w:szCs w:val="22"/>
                <w:shd w:val="clear" w:color="auto" w:fill="FFFF00"/>
              </w:rPr>
            </w:pPr>
          </w:p>
        </w:tc>
      </w:tr>
      <w:tr w:rsidR="007C525D" w14:paraId="5B36E50B" w14:textId="77777777">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Pr>
          <w:p w14:paraId="31606CB3" w14:textId="77777777" w:rsidR="007C525D" w:rsidRDefault="007C757A">
            <w:pPr>
              <w:widowControl w:val="0"/>
            </w:pPr>
            <w:r>
              <w:rPr>
                <w:rFonts w:ascii="Calibri" w:hAnsi="Calibri"/>
                <w:b/>
                <w:szCs w:val="22"/>
              </w:rPr>
              <w:lastRenderedPageBreak/>
              <w:t>Secondary Objectives</w:t>
            </w:r>
          </w:p>
        </w:tc>
      </w:tr>
      <w:tr w:rsidR="007C525D" w14:paraId="1CBAC05B" w14:textId="77777777">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63FDC4EA" w14:textId="77777777" w:rsidR="007C525D" w:rsidRDefault="007C757A">
            <w:pPr>
              <w:widowControl w:val="0"/>
              <w:spacing w:after="0"/>
            </w:pPr>
            <w:r>
              <w:rPr>
                <w:rFonts w:ascii="Calibri" w:hAnsi="Calibri"/>
                <w:lang w:eastAsia="en-GB"/>
              </w:rPr>
              <w:t xml:space="preserve">To compare the persistence of immunological responses to 4CMenB at 12 months chronological age after two different primary immunisation schedules of 4CMenB </w:t>
            </w:r>
            <w:r>
              <w:rPr>
                <w:rFonts w:ascii="Calibri" w:hAnsi="Calibri"/>
              </w:rPr>
              <w:t>(2 and 3 versus 2 and 4 months of age)</w:t>
            </w:r>
            <w:r>
              <w:rPr>
                <w:rFonts w:ascii="Calibri" w:hAnsi="Calibri"/>
                <w:lang w:eastAsia="en-GB"/>
              </w:rPr>
              <w:t>.</w:t>
            </w:r>
          </w:p>
          <w:p w14:paraId="197830C2" w14:textId="77777777" w:rsidR="007C525D" w:rsidRDefault="007C525D">
            <w:pPr>
              <w:widowControl w:val="0"/>
              <w:rPr>
                <w:rFonts w:ascii="Calibri" w:hAnsi="Calibri"/>
                <w:szCs w:val="22"/>
              </w:rPr>
            </w:pP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32F33D99" w14:textId="77777777" w:rsidR="007C525D" w:rsidRDefault="007C757A">
            <w:pPr>
              <w:pStyle w:val="LightGrid-Accent31"/>
              <w:widowControl w:val="0"/>
              <w:numPr>
                <w:ilvl w:val="0"/>
                <w:numId w:val="6"/>
              </w:numPr>
              <w:tabs>
                <w:tab w:val="left" w:pos="0"/>
                <w:tab w:val="left" w:pos="426"/>
              </w:tabs>
              <w:spacing w:after="0" w:line="240" w:lineRule="auto"/>
              <w:ind w:left="360"/>
              <w:rPr>
                <w:rFonts w:cs="Arial"/>
                <w:sz w:val="22"/>
                <w:szCs w:val="22"/>
                <w:lang w:eastAsia="en-GB"/>
              </w:rPr>
            </w:pPr>
            <w:r>
              <w:rPr>
                <w:rFonts w:cs="Arial"/>
                <w:sz w:val="22"/>
                <w:szCs w:val="22"/>
                <w:lang w:eastAsia="en-GB"/>
              </w:rPr>
              <w:t>GMTs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at 12 months of chronological age (pre-booster).</w:t>
            </w:r>
          </w:p>
          <w:p w14:paraId="388ED61F" w14:textId="77777777" w:rsidR="007C525D" w:rsidRDefault="007C525D">
            <w:pPr>
              <w:pStyle w:val="LightGrid-Accent31"/>
              <w:widowControl w:val="0"/>
              <w:tabs>
                <w:tab w:val="left" w:pos="426"/>
              </w:tabs>
              <w:spacing w:after="0" w:line="240" w:lineRule="auto"/>
              <w:ind w:left="0"/>
              <w:rPr>
                <w:rFonts w:cs="Arial"/>
                <w:sz w:val="22"/>
                <w:szCs w:val="22"/>
                <w:lang w:eastAsia="en-GB"/>
              </w:rPr>
            </w:pPr>
          </w:p>
          <w:p w14:paraId="5AB93E4C" w14:textId="77777777" w:rsidR="007C525D" w:rsidRDefault="007C757A">
            <w:pPr>
              <w:pStyle w:val="LightGrid-Accent31"/>
              <w:widowControl w:val="0"/>
              <w:numPr>
                <w:ilvl w:val="0"/>
                <w:numId w:val="6"/>
              </w:numPr>
              <w:tabs>
                <w:tab w:val="left" w:pos="0"/>
                <w:tab w:val="left" w:pos="426"/>
              </w:tabs>
              <w:spacing w:after="0" w:line="240" w:lineRule="auto"/>
              <w:ind w:left="360"/>
              <w:rPr>
                <w:rFonts w:cs="Arial"/>
                <w:sz w:val="22"/>
                <w:szCs w:val="22"/>
                <w:lang w:eastAsia="en-GB"/>
              </w:rPr>
            </w:pPr>
            <w:r>
              <w:rPr>
                <w:rFonts w:cs="Arial"/>
                <w:sz w:val="22"/>
                <w:szCs w:val="22"/>
                <w:lang w:eastAsia="en-GB"/>
              </w:rPr>
              <w:t xml:space="preserve">The proportion of infants with antibody </w:t>
            </w:r>
            <w:proofErr w:type="spellStart"/>
            <w:r>
              <w:rPr>
                <w:rFonts w:cs="Arial"/>
                <w:sz w:val="22"/>
                <w:szCs w:val="22"/>
                <w:lang w:eastAsia="en-GB"/>
              </w:rPr>
              <w:t>titers</w:t>
            </w:r>
            <w:proofErr w:type="spellEnd"/>
            <w:r>
              <w:rPr>
                <w:rFonts w:cs="Arial"/>
                <w:sz w:val="22"/>
                <w:szCs w:val="22"/>
                <w:lang w:eastAsia="en-GB"/>
              </w:rPr>
              <w:t xml:space="preserve"> ≥ 1:4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at 12 months of chronological age (pre booster).</w:t>
            </w:r>
          </w:p>
          <w:p w14:paraId="0F97DE0D" w14:textId="77777777" w:rsidR="007C525D" w:rsidRDefault="007C525D">
            <w:pPr>
              <w:pStyle w:val="LightGrid-Accent31"/>
              <w:widowControl w:val="0"/>
              <w:tabs>
                <w:tab w:val="left" w:pos="426"/>
              </w:tabs>
              <w:spacing w:after="0" w:line="240" w:lineRule="auto"/>
              <w:rPr>
                <w:rFonts w:cs="Arial"/>
                <w:sz w:val="22"/>
                <w:szCs w:val="22"/>
                <w:lang w:eastAsia="en-GB"/>
              </w:rPr>
            </w:pP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502E568A" w14:textId="77777777" w:rsidR="007C525D" w:rsidRDefault="007C757A">
            <w:pPr>
              <w:widowControl w:val="0"/>
              <w:rPr>
                <w:rFonts w:ascii="Calibri" w:hAnsi="Calibri"/>
                <w:szCs w:val="22"/>
              </w:rPr>
            </w:pPr>
            <w:r>
              <w:rPr>
                <w:rFonts w:ascii="Calibri" w:hAnsi="Calibri"/>
                <w:szCs w:val="22"/>
              </w:rPr>
              <w:t>Blood sampling at 12 months of chronological age (pre-booster) for Groups 1 and 2.</w:t>
            </w:r>
          </w:p>
        </w:tc>
      </w:tr>
      <w:tr w:rsidR="007C525D" w14:paraId="3842989A" w14:textId="77777777">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43721CD4" w14:textId="77777777" w:rsidR="007C525D" w:rsidRDefault="007C757A">
            <w:pPr>
              <w:widowControl w:val="0"/>
              <w:spacing w:after="0"/>
            </w:pPr>
            <w:r>
              <w:rPr>
                <w:rFonts w:ascii="Calibri" w:hAnsi="Calibri"/>
                <w:lang w:eastAsia="en-GB"/>
              </w:rPr>
              <w:t xml:space="preserve">To compare the immunological responses one month after the 12-month 4CMenB booster in infants who received two different primary immunisation schedules of 4CMenB </w:t>
            </w:r>
            <w:r>
              <w:rPr>
                <w:rFonts w:ascii="Calibri" w:hAnsi="Calibri"/>
              </w:rPr>
              <w:t>(2 and 3 versus 2 and 4 months of age)</w:t>
            </w:r>
            <w:r>
              <w:rPr>
                <w:rFonts w:ascii="Calibri" w:hAnsi="Calibri"/>
                <w:lang w:eastAsia="en-GB"/>
              </w:rPr>
              <w:t>.</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0BC8CC95" w14:textId="77777777" w:rsidR="007C525D" w:rsidRDefault="007C757A">
            <w:pPr>
              <w:pStyle w:val="LightGrid-Accent31"/>
              <w:widowControl w:val="0"/>
              <w:numPr>
                <w:ilvl w:val="0"/>
                <w:numId w:val="7"/>
              </w:numPr>
              <w:tabs>
                <w:tab w:val="left" w:pos="0"/>
                <w:tab w:val="left" w:pos="426"/>
              </w:tabs>
              <w:spacing w:after="0" w:line="240" w:lineRule="auto"/>
              <w:ind w:left="360"/>
              <w:rPr>
                <w:rFonts w:cs="Arial"/>
                <w:sz w:val="22"/>
                <w:szCs w:val="22"/>
                <w:lang w:eastAsia="en-GB"/>
              </w:rPr>
            </w:pPr>
            <w:r>
              <w:rPr>
                <w:rFonts w:cs="Arial"/>
                <w:sz w:val="22"/>
                <w:szCs w:val="22"/>
                <w:lang w:eastAsia="en-GB"/>
              </w:rPr>
              <w:t>GMTs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at 13 months of chronological age (4 weeks post-booster).</w:t>
            </w:r>
          </w:p>
          <w:p w14:paraId="315D2242" w14:textId="77777777" w:rsidR="007C525D" w:rsidRDefault="007C525D">
            <w:pPr>
              <w:pStyle w:val="LightGrid-Accent31"/>
              <w:widowControl w:val="0"/>
              <w:tabs>
                <w:tab w:val="left" w:pos="426"/>
              </w:tabs>
              <w:spacing w:after="0" w:line="240" w:lineRule="auto"/>
              <w:ind w:left="0"/>
              <w:rPr>
                <w:rFonts w:cs="Arial"/>
                <w:sz w:val="22"/>
                <w:szCs w:val="22"/>
                <w:lang w:eastAsia="en-GB"/>
              </w:rPr>
            </w:pPr>
          </w:p>
          <w:p w14:paraId="5CF8054F" w14:textId="77777777" w:rsidR="007C525D" w:rsidRDefault="007C757A">
            <w:pPr>
              <w:pStyle w:val="LightGrid-Accent31"/>
              <w:widowControl w:val="0"/>
              <w:numPr>
                <w:ilvl w:val="0"/>
                <w:numId w:val="7"/>
              </w:numPr>
              <w:tabs>
                <w:tab w:val="left" w:pos="0"/>
                <w:tab w:val="left" w:pos="426"/>
              </w:tabs>
              <w:spacing w:after="0" w:line="240" w:lineRule="auto"/>
              <w:ind w:left="360"/>
              <w:rPr>
                <w:rFonts w:cs="Arial"/>
                <w:sz w:val="22"/>
                <w:szCs w:val="22"/>
                <w:lang w:eastAsia="en-GB"/>
              </w:rPr>
            </w:pPr>
            <w:r>
              <w:rPr>
                <w:rFonts w:cs="Arial"/>
                <w:sz w:val="22"/>
                <w:szCs w:val="22"/>
                <w:lang w:eastAsia="en-GB"/>
              </w:rPr>
              <w:t xml:space="preserve">The proportion of infants with antibody </w:t>
            </w:r>
            <w:proofErr w:type="spellStart"/>
            <w:r>
              <w:rPr>
                <w:rFonts w:cs="Arial"/>
                <w:sz w:val="22"/>
                <w:szCs w:val="22"/>
                <w:lang w:eastAsia="en-GB"/>
              </w:rPr>
              <w:t>titers</w:t>
            </w:r>
            <w:proofErr w:type="spellEnd"/>
            <w:r>
              <w:rPr>
                <w:rFonts w:cs="Arial"/>
                <w:sz w:val="22"/>
                <w:szCs w:val="22"/>
                <w:lang w:eastAsia="en-GB"/>
              </w:rPr>
              <w:t xml:space="preserve"> ≥ 1:4 against relevant 4CMenB antigens (</w:t>
            </w:r>
            <w:proofErr w:type="spellStart"/>
            <w:r>
              <w:rPr>
                <w:rFonts w:cs="Arial"/>
                <w:sz w:val="22"/>
                <w:szCs w:val="22"/>
                <w:lang w:eastAsia="en-GB"/>
              </w:rPr>
              <w:t>fHbp</w:t>
            </w:r>
            <w:proofErr w:type="spellEnd"/>
            <w:r>
              <w:rPr>
                <w:rFonts w:cs="Arial"/>
                <w:sz w:val="22"/>
                <w:szCs w:val="22"/>
                <w:lang w:eastAsia="en-GB"/>
              </w:rPr>
              <w:t xml:space="preserve">, </w:t>
            </w:r>
            <w:proofErr w:type="spellStart"/>
            <w:r>
              <w:rPr>
                <w:rFonts w:cs="Arial"/>
                <w:sz w:val="22"/>
                <w:szCs w:val="22"/>
                <w:lang w:eastAsia="en-GB"/>
              </w:rPr>
              <w:t>NadA</w:t>
            </w:r>
            <w:proofErr w:type="spellEnd"/>
            <w:r>
              <w:rPr>
                <w:rFonts w:cs="Arial"/>
                <w:sz w:val="22"/>
                <w:szCs w:val="22"/>
                <w:lang w:eastAsia="en-GB"/>
              </w:rPr>
              <w:t xml:space="preserve"> and </w:t>
            </w:r>
            <w:proofErr w:type="spellStart"/>
            <w:r>
              <w:rPr>
                <w:rFonts w:cs="Arial"/>
                <w:sz w:val="22"/>
                <w:szCs w:val="22"/>
                <w:lang w:eastAsia="en-GB"/>
              </w:rPr>
              <w:t>PorA</w:t>
            </w:r>
            <w:proofErr w:type="spellEnd"/>
            <w:r>
              <w:rPr>
                <w:rFonts w:cs="Arial"/>
                <w:sz w:val="22"/>
                <w:szCs w:val="22"/>
                <w:lang w:eastAsia="en-GB"/>
              </w:rPr>
              <w:t xml:space="preserve">) measured by </w:t>
            </w:r>
            <w:proofErr w:type="spellStart"/>
            <w:r>
              <w:rPr>
                <w:rFonts w:cs="Arial"/>
                <w:sz w:val="22"/>
                <w:szCs w:val="22"/>
                <w:lang w:eastAsia="en-GB"/>
              </w:rPr>
              <w:t>hSBA</w:t>
            </w:r>
            <w:proofErr w:type="spellEnd"/>
            <w:r>
              <w:rPr>
                <w:rFonts w:cs="Arial"/>
                <w:sz w:val="22"/>
                <w:szCs w:val="22"/>
                <w:lang w:eastAsia="en-GB"/>
              </w:rPr>
              <w:t xml:space="preserve"> at 13 months of chronological age (4 </w:t>
            </w:r>
            <w:r>
              <w:rPr>
                <w:rFonts w:cs="Arial"/>
                <w:sz w:val="22"/>
                <w:szCs w:val="22"/>
                <w:lang w:eastAsia="en-GB"/>
              </w:rPr>
              <w:lastRenderedPageBreak/>
              <w:t>weeks post booster).</w:t>
            </w:r>
          </w:p>
          <w:p w14:paraId="31F07E8B" w14:textId="77777777" w:rsidR="007C525D" w:rsidRDefault="007C525D">
            <w:pPr>
              <w:pStyle w:val="LightGrid-Accent31"/>
              <w:widowControl w:val="0"/>
              <w:tabs>
                <w:tab w:val="left" w:pos="426"/>
              </w:tabs>
              <w:spacing w:after="0" w:line="240" w:lineRule="auto"/>
              <w:ind w:left="360"/>
              <w:rPr>
                <w:rFonts w:cs="Arial"/>
                <w:sz w:val="22"/>
                <w:szCs w:val="22"/>
                <w:lang w:eastAsia="en-GB"/>
              </w:rPr>
            </w:pP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723361FA" w14:textId="77777777" w:rsidR="007C525D" w:rsidRDefault="007C757A">
            <w:pPr>
              <w:widowControl w:val="0"/>
              <w:rPr>
                <w:rFonts w:ascii="Calibri" w:hAnsi="Calibri"/>
                <w:szCs w:val="22"/>
              </w:rPr>
            </w:pPr>
            <w:r>
              <w:rPr>
                <w:rFonts w:ascii="Calibri" w:hAnsi="Calibri"/>
                <w:szCs w:val="22"/>
              </w:rPr>
              <w:lastRenderedPageBreak/>
              <w:t>Blood sampling at 13 months of chronological age (4 weeks post booster) for Groups 1 and 2.</w:t>
            </w:r>
          </w:p>
        </w:tc>
      </w:tr>
      <w:tr w:rsidR="007C525D" w14:paraId="7C7AC6F2" w14:textId="77777777">
        <w:tc>
          <w:tcPr>
            <w:tcW w:w="3391" w:type="dxa"/>
            <w:tcBorders>
              <w:left w:val="single" w:sz="4" w:space="0" w:color="000000"/>
              <w:bottom w:val="single" w:sz="4" w:space="0" w:color="000000"/>
              <w:right w:val="single" w:sz="4" w:space="0" w:color="000000"/>
            </w:tcBorders>
            <w:shd w:val="clear" w:color="auto" w:fill="auto"/>
          </w:tcPr>
          <w:p w14:paraId="6DE50B42" w14:textId="77777777" w:rsidR="007C525D" w:rsidRDefault="007C757A">
            <w:pPr>
              <w:widowControl w:val="0"/>
              <w:spacing w:after="0"/>
              <w:rPr>
                <w:rFonts w:ascii="Calibri" w:hAnsi="Calibri"/>
              </w:rPr>
            </w:pPr>
            <w:r>
              <w:rPr>
                <w:rFonts w:ascii="Calibri" w:hAnsi="Calibri"/>
              </w:rPr>
              <w:t>To compare the persistence of immunological responses to PCV13 at 12 months chronological age after two different primary immunisation schedules of PCV13 (3 versus 4 months of age).</w:t>
            </w:r>
          </w:p>
        </w:tc>
        <w:tc>
          <w:tcPr>
            <w:tcW w:w="3391" w:type="dxa"/>
            <w:tcBorders>
              <w:left w:val="single" w:sz="4" w:space="0" w:color="000000"/>
              <w:bottom w:val="single" w:sz="4" w:space="0" w:color="000000"/>
              <w:right w:val="single" w:sz="4" w:space="0" w:color="000000"/>
            </w:tcBorders>
            <w:shd w:val="clear" w:color="auto" w:fill="auto"/>
          </w:tcPr>
          <w:p w14:paraId="06EDCF7A" w14:textId="77777777" w:rsidR="007C525D" w:rsidRDefault="007C757A">
            <w:pPr>
              <w:pStyle w:val="LightGrid-Accent31"/>
              <w:widowControl w:val="0"/>
              <w:numPr>
                <w:ilvl w:val="0"/>
                <w:numId w:val="21"/>
              </w:numPr>
              <w:tabs>
                <w:tab w:val="left" w:pos="0"/>
                <w:tab w:val="left" w:pos="426"/>
              </w:tabs>
              <w:spacing w:after="0" w:line="240" w:lineRule="auto"/>
              <w:ind w:left="360" w:hanging="360"/>
              <w:rPr>
                <w:rFonts w:cs="Arial"/>
                <w:sz w:val="22"/>
                <w:szCs w:val="22"/>
                <w:lang w:eastAsia="en-GB"/>
              </w:rPr>
            </w:pPr>
            <w:r>
              <w:rPr>
                <w:rFonts w:cs="Arial"/>
                <w:sz w:val="22"/>
                <w:szCs w:val="22"/>
                <w:lang w:eastAsia="en-GB"/>
              </w:rPr>
              <w:t>Serotype specific GMCs against PCV13 serotypes at 12 months of age (pre PCV13 booster).</w:t>
            </w:r>
          </w:p>
          <w:p w14:paraId="6C3D2F65" w14:textId="77777777" w:rsidR="007C525D" w:rsidRDefault="007C525D">
            <w:pPr>
              <w:pStyle w:val="LightGrid-Accent31"/>
              <w:widowControl w:val="0"/>
              <w:tabs>
                <w:tab w:val="left" w:pos="0"/>
                <w:tab w:val="left" w:pos="426"/>
              </w:tabs>
              <w:spacing w:after="0" w:line="240" w:lineRule="auto"/>
              <w:ind w:left="754"/>
              <w:rPr>
                <w:rFonts w:cs="Arial"/>
                <w:sz w:val="22"/>
                <w:szCs w:val="22"/>
                <w:lang w:eastAsia="en-GB"/>
              </w:rPr>
            </w:pPr>
          </w:p>
          <w:p w14:paraId="025018C0" w14:textId="77777777" w:rsidR="007C525D" w:rsidRDefault="007C757A">
            <w:pPr>
              <w:pStyle w:val="LightGrid-Accent31"/>
              <w:widowControl w:val="0"/>
              <w:numPr>
                <w:ilvl w:val="0"/>
                <w:numId w:val="21"/>
              </w:numPr>
              <w:tabs>
                <w:tab w:val="left" w:pos="0"/>
                <w:tab w:val="left" w:pos="426"/>
              </w:tabs>
              <w:spacing w:after="0" w:line="240" w:lineRule="auto"/>
              <w:ind w:left="360" w:hanging="360"/>
              <w:rPr>
                <w:rFonts w:cs="Arial"/>
                <w:sz w:val="22"/>
                <w:szCs w:val="22"/>
                <w:lang w:eastAsia="en-GB"/>
              </w:rPr>
            </w:pPr>
            <w:r>
              <w:rPr>
                <w:rFonts w:cs="Arial"/>
                <w:sz w:val="22"/>
                <w:szCs w:val="22"/>
                <w:lang w:eastAsia="en-GB"/>
              </w:rPr>
              <w:t xml:space="preserve">The proportion of infants with serotype-specific GMCs ≥ 0.35 </w:t>
            </w:r>
            <w:proofErr w:type="spellStart"/>
            <w:r>
              <w:rPr>
                <w:rFonts w:cs="Arial"/>
                <w:sz w:val="22"/>
                <w:szCs w:val="22"/>
                <w:lang w:eastAsia="en-GB"/>
              </w:rPr>
              <w:t>μg</w:t>
            </w:r>
            <w:proofErr w:type="spellEnd"/>
            <w:r>
              <w:rPr>
                <w:rFonts w:cs="Arial"/>
                <w:sz w:val="22"/>
                <w:szCs w:val="22"/>
                <w:lang w:eastAsia="en-GB"/>
              </w:rPr>
              <w:t>/ml against PCV13 serotypes at 12 months of age (pre PCV13 booster).</w:t>
            </w:r>
          </w:p>
        </w:tc>
        <w:tc>
          <w:tcPr>
            <w:tcW w:w="3391" w:type="dxa"/>
            <w:tcBorders>
              <w:left w:val="single" w:sz="4" w:space="0" w:color="000000"/>
              <w:bottom w:val="single" w:sz="4" w:space="0" w:color="000000"/>
              <w:right w:val="single" w:sz="4" w:space="0" w:color="000000"/>
            </w:tcBorders>
            <w:shd w:val="clear" w:color="auto" w:fill="auto"/>
          </w:tcPr>
          <w:p w14:paraId="55D23652" w14:textId="77777777" w:rsidR="007C525D" w:rsidRDefault="007C757A">
            <w:pPr>
              <w:widowControl w:val="0"/>
              <w:rPr>
                <w:rFonts w:ascii="Calibri" w:hAnsi="Calibri"/>
                <w:szCs w:val="22"/>
              </w:rPr>
            </w:pPr>
            <w:r>
              <w:rPr>
                <w:rFonts w:ascii="Calibri" w:hAnsi="Calibri"/>
                <w:szCs w:val="22"/>
              </w:rPr>
              <w:t>Blood sampling at 12 months of chronological age (pre-booster) for Groups 1 and 2.</w:t>
            </w:r>
          </w:p>
        </w:tc>
      </w:tr>
      <w:tr w:rsidR="007C525D" w14:paraId="6B2E2815" w14:textId="77777777">
        <w:tc>
          <w:tcPr>
            <w:tcW w:w="3391" w:type="dxa"/>
            <w:tcBorders>
              <w:left w:val="single" w:sz="4" w:space="0" w:color="000000"/>
              <w:bottom w:val="single" w:sz="4" w:space="0" w:color="000000"/>
              <w:right w:val="single" w:sz="4" w:space="0" w:color="000000"/>
            </w:tcBorders>
            <w:shd w:val="clear" w:color="auto" w:fill="auto"/>
          </w:tcPr>
          <w:p w14:paraId="0D2F3CFC" w14:textId="77777777" w:rsidR="007C525D" w:rsidRDefault="007C757A">
            <w:pPr>
              <w:widowControl w:val="0"/>
              <w:spacing w:after="0"/>
              <w:rPr>
                <w:rFonts w:ascii="Calibri" w:hAnsi="Calibri"/>
              </w:rPr>
            </w:pPr>
            <w:r>
              <w:rPr>
                <w:rFonts w:ascii="Calibri" w:hAnsi="Calibri"/>
              </w:rPr>
              <w:t>To compare the immunological responses to the booster dose of PCV13 given at 12 months in infants who received two different primary immunisation schedules of PCV13 (3 versus 4 months of age).</w:t>
            </w:r>
          </w:p>
        </w:tc>
        <w:tc>
          <w:tcPr>
            <w:tcW w:w="3391" w:type="dxa"/>
            <w:tcBorders>
              <w:left w:val="single" w:sz="4" w:space="0" w:color="000000"/>
              <w:bottom w:val="single" w:sz="4" w:space="0" w:color="000000"/>
              <w:right w:val="single" w:sz="4" w:space="0" w:color="000000"/>
            </w:tcBorders>
            <w:shd w:val="clear" w:color="auto" w:fill="auto"/>
          </w:tcPr>
          <w:p w14:paraId="684347D1" w14:textId="77777777" w:rsidR="007C525D" w:rsidRDefault="007C757A">
            <w:pPr>
              <w:pStyle w:val="LightGrid-Accent31"/>
              <w:widowControl w:val="0"/>
              <w:numPr>
                <w:ilvl w:val="0"/>
                <w:numId w:val="23"/>
              </w:numPr>
              <w:tabs>
                <w:tab w:val="left" w:pos="0"/>
                <w:tab w:val="left" w:pos="426"/>
              </w:tabs>
              <w:spacing w:after="0" w:line="240" w:lineRule="auto"/>
              <w:ind w:left="360" w:hanging="360"/>
              <w:rPr>
                <w:rFonts w:cs="Arial"/>
                <w:sz w:val="22"/>
                <w:szCs w:val="22"/>
                <w:lang w:eastAsia="en-GB"/>
              </w:rPr>
            </w:pPr>
            <w:r>
              <w:rPr>
                <w:rFonts w:cs="Arial"/>
                <w:sz w:val="22"/>
                <w:szCs w:val="22"/>
                <w:lang w:eastAsia="en-GB"/>
              </w:rPr>
              <w:t>Serotype specific GMCs against PCV13 serotypes at 13 months of age (4 weeks post PCV13 booster).</w:t>
            </w:r>
          </w:p>
          <w:p w14:paraId="78270692" w14:textId="77777777" w:rsidR="007C525D" w:rsidRDefault="007C525D">
            <w:pPr>
              <w:pStyle w:val="LightGrid-Accent31"/>
              <w:widowControl w:val="0"/>
              <w:tabs>
                <w:tab w:val="left" w:pos="0"/>
                <w:tab w:val="left" w:pos="426"/>
              </w:tabs>
              <w:spacing w:after="0" w:line="240" w:lineRule="auto"/>
              <w:ind w:left="754"/>
              <w:rPr>
                <w:rFonts w:cs="Arial"/>
                <w:sz w:val="22"/>
                <w:szCs w:val="22"/>
                <w:lang w:eastAsia="en-GB"/>
              </w:rPr>
            </w:pPr>
          </w:p>
          <w:p w14:paraId="0C341397" w14:textId="77777777" w:rsidR="007C525D" w:rsidRDefault="007C757A">
            <w:pPr>
              <w:pStyle w:val="LightGrid-Accent31"/>
              <w:widowControl w:val="0"/>
              <w:numPr>
                <w:ilvl w:val="0"/>
                <w:numId w:val="21"/>
              </w:numPr>
              <w:tabs>
                <w:tab w:val="left" w:pos="0"/>
                <w:tab w:val="left" w:pos="426"/>
              </w:tabs>
              <w:spacing w:after="0" w:line="240" w:lineRule="auto"/>
              <w:ind w:left="360" w:hanging="360"/>
              <w:rPr>
                <w:rFonts w:cs="Arial"/>
                <w:sz w:val="22"/>
                <w:szCs w:val="22"/>
                <w:lang w:eastAsia="en-GB"/>
              </w:rPr>
            </w:pPr>
            <w:r>
              <w:rPr>
                <w:rFonts w:cs="Arial"/>
                <w:sz w:val="22"/>
                <w:szCs w:val="22"/>
                <w:lang w:eastAsia="en-GB"/>
              </w:rPr>
              <w:t xml:space="preserve">The proportion of infants with serotype-specific GMCs ≥ 0.35 </w:t>
            </w:r>
            <w:proofErr w:type="spellStart"/>
            <w:r>
              <w:rPr>
                <w:rFonts w:cs="Arial"/>
                <w:sz w:val="22"/>
                <w:szCs w:val="22"/>
                <w:lang w:eastAsia="en-GB"/>
              </w:rPr>
              <w:t>μg</w:t>
            </w:r>
            <w:proofErr w:type="spellEnd"/>
            <w:r>
              <w:rPr>
                <w:rFonts w:cs="Arial"/>
                <w:sz w:val="22"/>
                <w:szCs w:val="22"/>
                <w:lang w:eastAsia="en-GB"/>
              </w:rPr>
              <w:t>/ml against PCV13 serotypes at 13 months of age (4 weeks post PCV13 booster).</w:t>
            </w:r>
          </w:p>
        </w:tc>
        <w:tc>
          <w:tcPr>
            <w:tcW w:w="3391" w:type="dxa"/>
            <w:tcBorders>
              <w:left w:val="single" w:sz="4" w:space="0" w:color="000000"/>
              <w:bottom w:val="single" w:sz="4" w:space="0" w:color="000000"/>
              <w:right w:val="single" w:sz="4" w:space="0" w:color="000000"/>
            </w:tcBorders>
            <w:shd w:val="clear" w:color="auto" w:fill="auto"/>
          </w:tcPr>
          <w:p w14:paraId="44E047C5" w14:textId="77777777" w:rsidR="007C525D" w:rsidRDefault="007C757A">
            <w:pPr>
              <w:widowControl w:val="0"/>
              <w:rPr>
                <w:rFonts w:ascii="Calibri" w:hAnsi="Calibri"/>
                <w:szCs w:val="22"/>
              </w:rPr>
            </w:pPr>
            <w:r>
              <w:rPr>
                <w:rFonts w:ascii="Calibri" w:hAnsi="Calibri"/>
                <w:szCs w:val="22"/>
              </w:rPr>
              <w:t>Blood sampling at 13 months of chronological age (4 weeks post booster) for Groups 1 and 2.</w:t>
            </w:r>
          </w:p>
        </w:tc>
      </w:tr>
      <w:tr w:rsidR="007C525D" w14:paraId="6373CDFE" w14:textId="77777777">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Pr>
          <w:p w14:paraId="64C48D76" w14:textId="77777777" w:rsidR="007C525D" w:rsidRDefault="007C757A">
            <w:pPr>
              <w:widowControl w:val="0"/>
            </w:pPr>
            <w:r>
              <w:rPr>
                <w:rFonts w:ascii="Calibri" w:hAnsi="Calibri"/>
                <w:b/>
                <w:szCs w:val="22"/>
              </w:rPr>
              <w:t>Observational</w:t>
            </w:r>
            <w:r>
              <w:rPr>
                <w:rFonts w:ascii="Calibri" w:hAnsi="Calibri"/>
                <w:szCs w:val="22"/>
              </w:rPr>
              <w:t xml:space="preserve"> </w:t>
            </w:r>
            <w:r>
              <w:rPr>
                <w:rFonts w:ascii="Calibri" w:hAnsi="Calibri"/>
                <w:b/>
                <w:szCs w:val="22"/>
              </w:rPr>
              <w:t>Objectives</w:t>
            </w:r>
          </w:p>
        </w:tc>
      </w:tr>
      <w:tr w:rsidR="007C525D" w14:paraId="39EFC6AE" w14:textId="77777777">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6CB27937" w14:textId="77777777" w:rsidR="007C525D" w:rsidRDefault="007C757A">
            <w:pPr>
              <w:widowControl w:val="0"/>
            </w:pPr>
            <w:r>
              <w:rPr>
                <w:rFonts w:ascii="Calibri" w:hAnsi="Calibri" w:cs="Calibri"/>
                <w:lang w:eastAsia="en-GB"/>
              </w:rPr>
              <w:t xml:space="preserve">1. </w:t>
            </w:r>
            <w:r>
              <w:rPr>
                <w:rFonts w:ascii="Calibri" w:hAnsi="Calibri"/>
                <w:lang w:eastAsia="en-GB"/>
              </w:rPr>
              <w:t xml:space="preserve">To describe the safety of 4CMenB when given concomitantly with routine vaccines at 2 and 3 months of age </w:t>
            </w:r>
            <w:r>
              <w:rPr>
                <w:rFonts w:ascii="Calibri" w:hAnsi="Calibri"/>
                <w:b/>
                <w:lang w:eastAsia="en-GB"/>
              </w:rPr>
              <w:t>(</w:t>
            </w:r>
            <w:r>
              <w:rPr>
                <w:rFonts w:ascii="Calibri" w:hAnsi="Calibri"/>
                <w:b/>
                <w:szCs w:val="22"/>
                <w:lang w:eastAsia="en-GB"/>
              </w:rPr>
              <w:t>Group 1).</w:t>
            </w:r>
          </w:p>
          <w:p w14:paraId="15E11B0F" w14:textId="77777777" w:rsidR="007C525D" w:rsidRDefault="007C757A">
            <w:pPr>
              <w:widowControl w:val="0"/>
            </w:pPr>
            <w:r>
              <w:rPr>
                <w:rFonts w:ascii="Calibri" w:hAnsi="Calibri" w:cs="Calibri"/>
                <w:lang w:eastAsia="en-GB"/>
              </w:rPr>
              <w:t xml:space="preserve">2. </w:t>
            </w:r>
            <w:r>
              <w:rPr>
                <w:rFonts w:ascii="Calibri" w:hAnsi="Calibri"/>
                <w:lang w:eastAsia="en-GB"/>
              </w:rPr>
              <w:t xml:space="preserve">To describe the safety of 4CMenB when given concomitantly with routine vaccines at 2 and 4 months of age </w:t>
            </w:r>
            <w:r>
              <w:rPr>
                <w:rFonts w:ascii="Calibri" w:hAnsi="Calibri"/>
                <w:b/>
                <w:lang w:eastAsia="en-GB"/>
              </w:rPr>
              <w:t>(</w:t>
            </w:r>
            <w:r>
              <w:rPr>
                <w:rFonts w:ascii="Calibri" w:hAnsi="Calibri"/>
                <w:b/>
                <w:szCs w:val="22"/>
                <w:lang w:eastAsia="en-GB"/>
              </w:rPr>
              <w:t>Group 2).</w:t>
            </w:r>
          </w:p>
          <w:p w14:paraId="77D7CD76" w14:textId="77777777" w:rsidR="007C525D" w:rsidRDefault="007C757A">
            <w:pPr>
              <w:pStyle w:val="ListParagraph"/>
              <w:widowControl w:val="0"/>
              <w:spacing w:after="0" w:line="240" w:lineRule="auto"/>
              <w:ind w:left="0"/>
              <w:jc w:val="left"/>
            </w:pPr>
            <w:r>
              <w:rPr>
                <w:rFonts w:ascii="Calibri" w:hAnsi="Calibri"/>
                <w:lang w:eastAsia="en-GB"/>
              </w:rPr>
              <w:t xml:space="preserve">3. To describe the safety of PCV13 when given concomitantly with routine vaccines at 3 months of age </w:t>
            </w:r>
            <w:r>
              <w:rPr>
                <w:rFonts w:ascii="Calibri" w:hAnsi="Calibri"/>
                <w:b/>
                <w:lang w:eastAsia="en-GB"/>
              </w:rPr>
              <w:t>(Group 2).</w:t>
            </w:r>
          </w:p>
          <w:p w14:paraId="2CF21EDB" w14:textId="77777777" w:rsidR="007C525D" w:rsidRDefault="007C757A">
            <w:pPr>
              <w:widowControl w:val="0"/>
            </w:pPr>
            <w:r>
              <w:rPr>
                <w:rFonts w:ascii="Calibri" w:hAnsi="Calibri"/>
                <w:lang w:eastAsia="en-GB"/>
              </w:rPr>
              <w:t xml:space="preserve">4. To describe the safety of PCV13 when given concomitantly with routine vaccines at 4 months of age </w:t>
            </w:r>
            <w:r>
              <w:rPr>
                <w:rFonts w:ascii="Calibri" w:hAnsi="Calibri"/>
                <w:b/>
                <w:lang w:eastAsia="en-GB"/>
              </w:rPr>
              <w:t>(</w:t>
            </w:r>
            <w:r>
              <w:rPr>
                <w:rFonts w:ascii="Calibri" w:hAnsi="Calibri"/>
                <w:b/>
                <w:szCs w:val="22"/>
                <w:lang w:eastAsia="en-GB"/>
              </w:rPr>
              <w:t>Group 1).</w:t>
            </w:r>
            <w:r>
              <w:rPr>
                <w:rFonts w:ascii="Calibri" w:hAnsi="Calibri"/>
                <w:szCs w:val="22"/>
              </w:rPr>
              <w:t xml:space="preserve"> </w:t>
            </w:r>
          </w:p>
          <w:p w14:paraId="5F967C1E" w14:textId="77777777" w:rsidR="007C525D" w:rsidRDefault="007C757A">
            <w:pPr>
              <w:pStyle w:val="ListParagraph"/>
              <w:widowControl w:val="0"/>
              <w:spacing w:after="0" w:line="240" w:lineRule="auto"/>
              <w:ind w:left="0"/>
              <w:jc w:val="left"/>
            </w:pPr>
            <w:r>
              <w:rPr>
                <w:rFonts w:ascii="Calibri" w:hAnsi="Calibri"/>
                <w:lang w:eastAsia="en-GB"/>
              </w:rPr>
              <w:t xml:space="preserve">5. To describe the safety of 4CMenB booster when given concomitantly with routine vaccines at 12 months of age </w:t>
            </w:r>
            <w:r>
              <w:rPr>
                <w:rFonts w:ascii="Calibri" w:hAnsi="Calibri"/>
                <w:b/>
                <w:lang w:eastAsia="en-GB"/>
              </w:rPr>
              <w:t>(Group 1 and 2).</w:t>
            </w:r>
          </w:p>
          <w:p w14:paraId="2B246C75" w14:textId="77777777" w:rsidR="007C525D" w:rsidRDefault="007C525D">
            <w:pPr>
              <w:pStyle w:val="ListParagraph"/>
              <w:widowControl w:val="0"/>
              <w:spacing w:after="0" w:line="240" w:lineRule="auto"/>
              <w:ind w:left="0"/>
              <w:jc w:val="left"/>
              <w:rPr>
                <w:rFonts w:ascii="Calibri" w:hAnsi="Calibri"/>
                <w:lang w:eastAsia="en-GB"/>
              </w:rPr>
            </w:pPr>
          </w:p>
          <w:p w14:paraId="2F618B03" w14:textId="77777777" w:rsidR="007C525D" w:rsidRDefault="007C757A">
            <w:pPr>
              <w:pStyle w:val="ListParagraph"/>
              <w:widowControl w:val="0"/>
              <w:spacing w:after="0" w:line="240" w:lineRule="auto"/>
              <w:ind w:left="0"/>
              <w:jc w:val="left"/>
            </w:pPr>
            <w:r>
              <w:rPr>
                <w:rFonts w:ascii="Calibri" w:hAnsi="Calibri"/>
                <w:lang w:eastAsia="en-GB"/>
              </w:rPr>
              <w:t xml:space="preserve">6. To describe the safety of PCV13 booster when given concomitantly with routine vaccines at 12 months </w:t>
            </w:r>
            <w:r>
              <w:rPr>
                <w:rFonts w:ascii="Calibri" w:hAnsi="Calibri"/>
                <w:lang w:eastAsia="en-GB"/>
              </w:rPr>
              <w:lastRenderedPageBreak/>
              <w:t xml:space="preserve">of age </w:t>
            </w:r>
            <w:r>
              <w:rPr>
                <w:rFonts w:ascii="Calibri" w:hAnsi="Calibri"/>
                <w:b/>
                <w:lang w:eastAsia="en-GB"/>
              </w:rPr>
              <w:t>(Group 1 and 2).</w:t>
            </w:r>
          </w:p>
          <w:p w14:paraId="4C1EC902" w14:textId="77777777" w:rsidR="007C525D" w:rsidRDefault="007C525D">
            <w:pPr>
              <w:widowControl w:val="0"/>
              <w:rPr>
                <w:rFonts w:ascii="Calibri" w:hAnsi="Calibri"/>
                <w:szCs w:val="22"/>
              </w:rPr>
            </w:pP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5412202D" w14:textId="77777777" w:rsidR="007C525D" w:rsidRDefault="007C757A">
            <w:pPr>
              <w:pStyle w:val="LightGrid-Accent31"/>
              <w:widowControl w:val="0"/>
              <w:tabs>
                <w:tab w:val="left" w:pos="426"/>
              </w:tabs>
              <w:spacing w:after="0"/>
              <w:ind w:left="0"/>
              <w:jc w:val="left"/>
              <w:rPr>
                <w:rFonts w:cs="Arial"/>
                <w:sz w:val="22"/>
                <w:szCs w:val="22"/>
                <w:lang w:eastAsia="en-GB"/>
              </w:rPr>
            </w:pPr>
            <w:r>
              <w:rPr>
                <w:rFonts w:cs="Arial"/>
                <w:sz w:val="22"/>
                <w:szCs w:val="22"/>
                <w:lang w:eastAsia="en-GB"/>
              </w:rPr>
              <w:lastRenderedPageBreak/>
              <w:t>1. Occurrence, nature, time of onset, duration, intensity, action taken and whether the event led to early termination from the study, of any solicited AEs within 7 days after each vaccination(s).</w:t>
            </w:r>
          </w:p>
          <w:p w14:paraId="56693F01" w14:textId="77777777" w:rsidR="007C525D" w:rsidRDefault="007C525D">
            <w:pPr>
              <w:pStyle w:val="LightGrid-Accent31"/>
              <w:widowControl w:val="0"/>
              <w:tabs>
                <w:tab w:val="left" w:pos="426"/>
              </w:tabs>
              <w:spacing w:after="0"/>
              <w:ind w:left="0"/>
              <w:jc w:val="left"/>
              <w:rPr>
                <w:rFonts w:cs="Arial"/>
                <w:sz w:val="22"/>
                <w:szCs w:val="22"/>
                <w:lang w:eastAsia="en-GB"/>
              </w:rPr>
            </w:pPr>
          </w:p>
          <w:p w14:paraId="1EA2EF58" w14:textId="77777777" w:rsidR="007C525D" w:rsidRDefault="007C757A">
            <w:pPr>
              <w:pStyle w:val="LightGrid-Accent31"/>
              <w:widowControl w:val="0"/>
              <w:tabs>
                <w:tab w:val="left" w:pos="426"/>
              </w:tabs>
              <w:spacing w:after="0"/>
              <w:ind w:left="0"/>
              <w:jc w:val="left"/>
              <w:rPr>
                <w:rFonts w:cs="Arial"/>
                <w:sz w:val="22"/>
                <w:szCs w:val="22"/>
                <w:lang w:eastAsia="en-GB"/>
              </w:rPr>
            </w:pPr>
            <w:r>
              <w:rPr>
                <w:rFonts w:cs="Arial"/>
                <w:sz w:val="22"/>
                <w:szCs w:val="22"/>
                <w:lang w:eastAsia="en-GB"/>
              </w:rPr>
              <w:t xml:space="preserve">2. Occurrence, nature, time of onset, duration, intensity, action taken and whether the event led to early termination from the study, of any unsolicited AEs within 28 days after each vaccination(s). </w:t>
            </w:r>
          </w:p>
          <w:p w14:paraId="6BC4BE9C" w14:textId="77777777" w:rsidR="007C525D" w:rsidRDefault="007C525D">
            <w:pPr>
              <w:pStyle w:val="LightGrid-Accent31"/>
              <w:widowControl w:val="0"/>
              <w:tabs>
                <w:tab w:val="left" w:pos="426"/>
              </w:tabs>
              <w:spacing w:after="0"/>
              <w:ind w:left="0"/>
              <w:jc w:val="left"/>
              <w:rPr>
                <w:rFonts w:cs="Arial"/>
                <w:sz w:val="22"/>
                <w:szCs w:val="22"/>
                <w:lang w:eastAsia="en-GB"/>
              </w:rPr>
            </w:pPr>
          </w:p>
          <w:p w14:paraId="75D156FD" w14:textId="77777777" w:rsidR="007C525D" w:rsidRDefault="007C757A">
            <w:pPr>
              <w:pStyle w:val="LightGrid-Accent31"/>
              <w:widowControl w:val="0"/>
              <w:tabs>
                <w:tab w:val="left" w:pos="426"/>
              </w:tabs>
              <w:spacing w:after="0"/>
              <w:ind w:left="0"/>
              <w:jc w:val="left"/>
            </w:pPr>
            <w:r>
              <w:t xml:space="preserve">3. </w:t>
            </w:r>
            <w:r>
              <w:rPr>
                <w:rFonts w:cs="Arial"/>
                <w:sz w:val="22"/>
                <w:szCs w:val="22"/>
                <w:lang w:eastAsia="en-GB"/>
              </w:rPr>
              <w:t xml:space="preserve">Occurrence, nature, time of onset, duration, intensity, action taken and whether the event led to early termination from the study, of any </w:t>
            </w:r>
            <w:r>
              <w:t>medically attended AEs for the whole duration of the study.</w:t>
            </w:r>
          </w:p>
          <w:p w14:paraId="7B030C89" w14:textId="77777777" w:rsidR="007C525D" w:rsidRDefault="007C525D">
            <w:pPr>
              <w:pStyle w:val="LightGrid-Accent31"/>
              <w:widowControl w:val="0"/>
              <w:tabs>
                <w:tab w:val="left" w:pos="426"/>
              </w:tabs>
              <w:spacing w:after="0"/>
              <w:ind w:left="0"/>
              <w:jc w:val="left"/>
            </w:pPr>
          </w:p>
          <w:p w14:paraId="3F04E1E0" w14:textId="77777777" w:rsidR="007C525D" w:rsidRDefault="007C757A">
            <w:pPr>
              <w:pStyle w:val="LightGrid-Accent31"/>
              <w:widowControl w:val="0"/>
              <w:tabs>
                <w:tab w:val="left" w:pos="426"/>
              </w:tabs>
              <w:spacing w:after="0"/>
              <w:ind w:left="0"/>
              <w:jc w:val="left"/>
            </w:pPr>
            <w:r>
              <w:t xml:space="preserve">4. </w:t>
            </w:r>
            <w:r>
              <w:rPr>
                <w:rFonts w:cs="Arial"/>
                <w:sz w:val="22"/>
                <w:szCs w:val="22"/>
                <w:lang w:eastAsia="en-GB"/>
              </w:rPr>
              <w:t xml:space="preserve">Occurrence, nature, time of onset, duration, intensity, action taken, relationship to vaccination, </w:t>
            </w:r>
            <w:r>
              <w:rPr>
                <w:rFonts w:cs="Arial"/>
                <w:sz w:val="22"/>
                <w:szCs w:val="22"/>
                <w:lang w:eastAsia="en-GB"/>
              </w:rPr>
              <w:lastRenderedPageBreak/>
              <w:t xml:space="preserve">outcome and whether the event led to early termination from the study, of any </w:t>
            </w:r>
            <w:r>
              <w:t>SAEs and AESIs for the whole duration of the study.</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14:paraId="395A1CD3" w14:textId="77777777" w:rsidR="007C525D" w:rsidRDefault="007C757A">
            <w:pPr>
              <w:pStyle w:val="LightGrid-Accent31"/>
              <w:widowControl w:val="0"/>
              <w:tabs>
                <w:tab w:val="left" w:pos="426"/>
              </w:tabs>
              <w:ind w:left="0"/>
              <w:rPr>
                <w:rFonts w:cs="Arial"/>
                <w:sz w:val="22"/>
                <w:szCs w:val="22"/>
                <w:lang w:eastAsia="en-GB"/>
              </w:rPr>
            </w:pPr>
            <w:r>
              <w:rPr>
                <w:rFonts w:cs="Arial"/>
                <w:sz w:val="22"/>
                <w:szCs w:val="22"/>
                <w:lang w:eastAsia="en-GB"/>
              </w:rPr>
              <w:lastRenderedPageBreak/>
              <w:t xml:space="preserve">Subjects will be monitored in person for 20 minutes post-vaccination. </w:t>
            </w:r>
          </w:p>
          <w:p w14:paraId="5110AB4F" w14:textId="77777777" w:rsidR="007C525D" w:rsidRDefault="007C525D">
            <w:pPr>
              <w:pStyle w:val="LightGrid-Accent31"/>
              <w:widowControl w:val="0"/>
              <w:tabs>
                <w:tab w:val="left" w:pos="426"/>
              </w:tabs>
              <w:ind w:left="0"/>
              <w:rPr>
                <w:rFonts w:cs="Arial"/>
                <w:sz w:val="22"/>
                <w:szCs w:val="22"/>
                <w:lang w:eastAsia="en-GB"/>
              </w:rPr>
            </w:pPr>
          </w:p>
          <w:p w14:paraId="0788DBAE" w14:textId="77777777" w:rsidR="007C525D" w:rsidRDefault="007C757A">
            <w:pPr>
              <w:pStyle w:val="LightGrid-Accent31"/>
              <w:widowControl w:val="0"/>
              <w:tabs>
                <w:tab w:val="left" w:pos="426"/>
              </w:tabs>
              <w:ind w:left="0"/>
            </w:pPr>
            <w:r>
              <w:rPr>
                <w:rFonts w:cs="Arial"/>
                <w:sz w:val="22"/>
                <w:szCs w:val="22"/>
                <w:lang w:eastAsia="en-GB"/>
              </w:rPr>
              <w:t>Parents/legal guardians will receive a diary card</w:t>
            </w:r>
            <w:r w:rsidR="00886D5B">
              <w:rPr>
                <w:rFonts w:cs="Arial"/>
                <w:sz w:val="22"/>
                <w:szCs w:val="22"/>
                <w:lang w:eastAsia="en-GB"/>
              </w:rPr>
              <w:t xml:space="preserve"> (electronic or paper)</w:t>
            </w:r>
            <w:r>
              <w:rPr>
                <w:rFonts w:cs="Arial"/>
                <w:sz w:val="22"/>
                <w:szCs w:val="22"/>
                <w:lang w:eastAsia="en-GB"/>
              </w:rPr>
              <w:t xml:space="preserve"> following vaccination and will be given instructions about how this should be completed for the 28 days following vaccination. </w:t>
            </w:r>
            <w:r>
              <w:rPr>
                <w:szCs w:val="23"/>
              </w:rPr>
              <w:t>The information required will be clearly explained to the parents and the diary will be checked by research staff at the subsequent visits so that any necessary additional information can be sought.</w:t>
            </w:r>
          </w:p>
          <w:p w14:paraId="28605DDB" w14:textId="77777777" w:rsidR="007C525D" w:rsidRDefault="007C525D">
            <w:pPr>
              <w:pStyle w:val="LightGrid-Accent31"/>
              <w:widowControl w:val="0"/>
              <w:tabs>
                <w:tab w:val="left" w:pos="426"/>
              </w:tabs>
              <w:ind w:left="0"/>
              <w:rPr>
                <w:rFonts w:cs="Arial"/>
                <w:sz w:val="22"/>
                <w:szCs w:val="22"/>
                <w:lang w:eastAsia="en-GB"/>
              </w:rPr>
            </w:pPr>
          </w:p>
          <w:p w14:paraId="13FD6484" w14:textId="77777777" w:rsidR="007C525D" w:rsidRDefault="007C757A">
            <w:pPr>
              <w:pStyle w:val="LightGrid-Accent31"/>
              <w:widowControl w:val="0"/>
              <w:tabs>
                <w:tab w:val="left" w:pos="426"/>
              </w:tabs>
              <w:ind w:left="0"/>
              <w:rPr>
                <w:rFonts w:cs="Arial"/>
                <w:sz w:val="22"/>
                <w:szCs w:val="22"/>
                <w:lang w:eastAsia="en-GB"/>
              </w:rPr>
            </w:pPr>
            <w:r>
              <w:rPr>
                <w:rFonts w:cs="Arial"/>
                <w:sz w:val="22"/>
                <w:szCs w:val="22"/>
                <w:lang w:eastAsia="en-GB"/>
              </w:rPr>
              <w:t xml:space="preserve">In addition, they will be provided with a 24-hour telephone number to contact in case of any queries or </w:t>
            </w:r>
            <w:r>
              <w:rPr>
                <w:rFonts w:cs="Arial"/>
                <w:sz w:val="22"/>
                <w:szCs w:val="22"/>
                <w:lang w:eastAsia="en-GB"/>
              </w:rPr>
              <w:lastRenderedPageBreak/>
              <w:t xml:space="preserve">concerns and will be asked to contact the study team in the event of serious illness or illness requiring hospitalisation which will allow early identification of serious adverse events. </w:t>
            </w:r>
          </w:p>
          <w:p w14:paraId="7B05DA24" w14:textId="77777777" w:rsidR="007C525D" w:rsidRDefault="007C525D">
            <w:pPr>
              <w:pStyle w:val="LightGrid-Accent31"/>
              <w:widowControl w:val="0"/>
              <w:tabs>
                <w:tab w:val="left" w:pos="426"/>
              </w:tabs>
              <w:ind w:left="0"/>
              <w:rPr>
                <w:rFonts w:cs="Arial"/>
                <w:szCs w:val="22"/>
                <w:lang w:eastAsia="en-GB"/>
              </w:rPr>
            </w:pPr>
          </w:p>
          <w:p w14:paraId="2A8E8E24" w14:textId="77777777" w:rsidR="007C525D" w:rsidRDefault="007C757A">
            <w:pPr>
              <w:pStyle w:val="LightGrid-Accent31"/>
              <w:widowControl w:val="0"/>
              <w:tabs>
                <w:tab w:val="left" w:pos="426"/>
              </w:tabs>
              <w:ind w:left="0"/>
            </w:pPr>
            <w:r>
              <w:rPr>
                <w:rFonts w:cs="Arial"/>
                <w:szCs w:val="22"/>
                <w:lang w:eastAsia="en-GB"/>
              </w:rPr>
              <w:t>At each visit, the Investigator or a delegate will ask p</w:t>
            </w:r>
            <w:r>
              <w:rPr>
                <w:rFonts w:cs="Arial"/>
                <w:sz w:val="22"/>
                <w:szCs w:val="22"/>
                <w:lang w:eastAsia="en-GB"/>
              </w:rPr>
              <w:t xml:space="preserve">arents/legal guardians </w:t>
            </w:r>
            <w:r>
              <w:rPr>
                <w:rFonts w:cs="Arial"/>
                <w:szCs w:val="22"/>
                <w:lang w:eastAsia="en-GB"/>
              </w:rPr>
              <w:t>about any AEs recorded in the diary card</w:t>
            </w:r>
            <w:r w:rsidR="00886D5B">
              <w:rPr>
                <w:rFonts w:cs="Arial"/>
                <w:szCs w:val="22"/>
                <w:lang w:eastAsia="en-GB"/>
              </w:rPr>
              <w:t xml:space="preserve"> (paper or electronic)</w:t>
            </w:r>
            <w:r>
              <w:rPr>
                <w:rFonts w:cs="Arial"/>
                <w:szCs w:val="22"/>
                <w:lang w:eastAsia="en-GB"/>
              </w:rPr>
              <w:t xml:space="preserve">, as well as about any </w:t>
            </w:r>
            <w:r>
              <w:rPr>
                <w:rFonts w:cs="Arial"/>
                <w:sz w:val="22"/>
                <w:szCs w:val="22"/>
                <w:lang w:eastAsia="en-GB"/>
              </w:rPr>
              <w:t>other AEs that may have occurred since the previous visit.</w:t>
            </w:r>
          </w:p>
        </w:tc>
      </w:tr>
    </w:tbl>
    <w:p w14:paraId="3EA5E59E" w14:textId="77777777" w:rsidR="007C525D" w:rsidRDefault="007C525D">
      <w:pPr>
        <w:rPr>
          <w:rFonts w:ascii="Calibri" w:hAnsi="Calibri"/>
          <w:szCs w:val="22"/>
        </w:rPr>
      </w:pPr>
    </w:p>
    <w:p w14:paraId="7D66A128"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t>4</w:t>
      </w:r>
      <w:r>
        <w:rPr>
          <w:rFonts w:ascii="Calibri" w:hAnsi="Calibri"/>
          <w:color w:val="auto"/>
          <w:sz w:val="22"/>
          <w:szCs w:val="22"/>
        </w:rPr>
        <w:tab/>
        <w:t>TRIAL DESIGN</w:t>
      </w:r>
    </w:p>
    <w:p w14:paraId="654175AA" w14:textId="77777777" w:rsidR="007C525D" w:rsidRDefault="007C757A">
      <w:pPr>
        <w:widowControl w:val="0"/>
        <w:tabs>
          <w:tab w:val="left" w:pos="426"/>
          <w:tab w:val="left" w:pos="644"/>
        </w:tabs>
        <w:spacing w:after="200"/>
        <w:ind w:left="34" w:hanging="34"/>
      </w:pPr>
      <w:r>
        <w:rPr>
          <w:rFonts w:ascii="Calibri" w:hAnsi="Calibri"/>
          <w:szCs w:val="22"/>
          <w:lang w:eastAsia="en-GB"/>
        </w:rPr>
        <w:t xml:space="preserve">This will be an open label, phase IV study. After appropriate consent, 220 term infants (born at </w:t>
      </w:r>
      <w:r>
        <w:rPr>
          <w:szCs w:val="22"/>
          <w:lang w:eastAsia="en-GB"/>
        </w:rPr>
        <w:t>≥</w:t>
      </w:r>
      <w:r>
        <w:rPr>
          <w:rFonts w:ascii="Calibri" w:hAnsi="Calibri"/>
          <w:szCs w:val="22"/>
          <w:lang w:eastAsia="en-GB"/>
        </w:rPr>
        <w:t>37 weeks gestation) will be randomised to one of the two 4CMen B schedules. All infants will remain in the study from recruitment to around 13 months of age. All visits can be performed at the participant’s home or in clinic, depending on the preference of the parents and study team.</w:t>
      </w:r>
    </w:p>
    <w:p w14:paraId="1B4BD799"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t>5</w:t>
      </w:r>
      <w:r>
        <w:rPr>
          <w:rFonts w:ascii="Calibri" w:hAnsi="Calibri"/>
          <w:color w:val="auto"/>
          <w:sz w:val="22"/>
          <w:szCs w:val="22"/>
        </w:rPr>
        <w:tab/>
        <w:t>TRIAL SETTING</w:t>
      </w:r>
    </w:p>
    <w:p w14:paraId="479ABE15" w14:textId="77777777" w:rsidR="007C525D" w:rsidRDefault="007C757A">
      <w:pPr>
        <w:rPr>
          <w:rFonts w:ascii="Calibri" w:hAnsi="Calibri"/>
          <w:szCs w:val="22"/>
        </w:rPr>
      </w:pPr>
      <w:r>
        <w:rPr>
          <w:rFonts w:ascii="Calibri" w:hAnsi="Calibri"/>
          <w:szCs w:val="22"/>
        </w:rPr>
        <w:t xml:space="preserve">This is a multicentre study which will take place across several sites in England. </w:t>
      </w:r>
    </w:p>
    <w:p w14:paraId="167AF9A2" w14:textId="77777777" w:rsidR="007C525D" w:rsidRDefault="007C525D">
      <w:pPr>
        <w:rPr>
          <w:rFonts w:ascii="Calibri" w:hAnsi="Calibri"/>
          <w:szCs w:val="22"/>
        </w:rPr>
      </w:pPr>
    </w:p>
    <w:p w14:paraId="06C772B4"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t>6</w:t>
      </w:r>
      <w:r>
        <w:rPr>
          <w:rFonts w:ascii="Calibri" w:hAnsi="Calibri"/>
          <w:color w:val="auto"/>
          <w:sz w:val="22"/>
          <w:szCs w:val="22"/>
        </w:rPr>
        <w:tab/>
        <w:t>PARTICIPANT ELIGIBILITY CRITERIA</w:t>
      </w:r>
    </w:p>
    <w:p w14:paraId="2C88155F" w14:textId="77777777" w:rsidR="007C525D" w:rsidRDefault="007C525D">
      <w:pPr>
        <w:spacing w:after="0"/>
        <w:rPr>
          <w:rFonts w:ascii="Calibri" w:hAnsi="Calibri"/>
          <w:b/>
          <w:szCs w:val="22"/>
        </w:rPr>
      </w:pPr>
    </w:p>
    <w:p w14:paraId="7BA896E7" w14:textId="77777777" w:rsidR="007C525D" w:rsidRDefault="007C757A">
      <w:pPr>
        <w:pStyle w:val="Normal-nospacing"/>
        <w:spacing w:line="240" w:lineRule="auto"/>
        <w:rPr>
          <w:rFonts w:cs="Arial"/>
          <w:sz w:val="22"/>
          <w:szCs w:val="22"/>
        </w:rPr>
      </w:pPr>
      <w:r>
        <w:rPr>
          <w:rFonts w:cs="Arial"/>
          <w:sz w:val="22"/>
          <w:szCs w:val="22"/>
        </w:rPr>
        <w:t>There will be no exceptions (waivers) to eligibility criteria prior to participant inclusion into the study. Any questions raised about eligibility will be addressed prior to inclusion.</w:t>
      </w:r>
    </w:p>
    <w:p w14:paraId="0DB2215E" w14:textId="77777777" w:rsidR="007C525D" w:rsidRDefault="007C525D">
      <w:pPr>
        <w:pStyle w:val="Normal-nospacing"/>
        <w:spacing w:line="240" w:lineRule="auto"/>
        <w:rPr>
          <w:rFonts w:cs="Arial"/>
          <w:sz w:val="22"/>
          <w:szCs w:val="22"/>
        </w:rPr>
      </w:pPr>
    </w:p>
    <w:p w14:paraId="05B6D9F6" w14:textId="77777777" w:rsidR="007C525D" w:rsidRDefault="007C757A">
      <w:pPr>
        <w:pStyle w:val="Normal-nospacing"/>
        <w:spacing w:line="240" w:lineRule="auto"/>
        <w:rPr>
          <w:rFonts w:cs="Arial"/>
          <w:sz w:val="22"/>
          <w:szCs w:val="22"/>
        </w:rPr>
      </w:pPr>
      <w:r>
        <w:rPr>
          <w:rFonts w:cs="Arial"/>
          <w:sz w:val="22"/>
          <w:szCs w:val="22"/>
        </w:rPr>
        <w:t>The eligibility criteria have been carefully considered and are chosen to ensure both the safety of the participants and that the trial results can be appropriately used to make future decisions about vaccinating infants in general. It is, therefore, important that exceptions are not made to the selection criteria. Deviations from the eligibility criteria are considered to be protocol violations and may be reported to the MHRA as a serious breach.</w:t>
      </w:r>
    </w:p>
    <w:p w14:paraId="52D4586E" w14:textId="77777777" w:rsidR="007C525D" w:rsidRDefault="007C525D">
      <w:pPr>
        <w:pStyle w:val="Normal-nospacing"/>
        <w:spacing w:line="240" w:lineRule="auto"/>
        <w:rPr>
          <w:rFonts w:cs="Arial"/>
          <w:sz w:val="22"/>
          <w:szCs w:val="22"/>
        </w:rPr>
      </w:pPr>
    </w:p>
    <w:p w14:paraId="3751584A" w14:textId="77777777" w:rsidR="007C525D" w:rsidRDefault="007C757A">
      <w:pPr>
        <w:pStyle w:val="Normal-nospacing"/>
        <w:spacing w:line="240" w:lineRule="auto"/>
        <w:rPr>
          <w:rFonts w:cs="Arial"/>
          <w:sz w:val="22"/>
          <w:szCs w:val="22"/>
        </w:rPr>
      </w:pPr>
      <w:r>
        <w:rPr>
          <w:rFonts w:cs="Arial"/>
          <w:sz w:val="22"/>
          <w:szCs w:val="22"/>
        </w:rPr>
        <w:t xml:space="preserve">All participants that are screened for inclusion into the study must be entered onto the Sponsor screening and enrolment log and will be assigned a sequential number. Participants will be considered eligible for enrolment into this trial if they fulfil all of the inclusion criteria and none of the exclusion criteria as defined below. </w:t>
      </w:r>
    </w:p>
    <w:p w14:paraId="46B4F10A" w14:textId="77777777" w:rsidR="007C525D" w:rsidRDefault="007C525D">
      <w:pPr>
        <w:pStyle w:val="Normal-nospacing"/>
        <w:spacing w:line="240" w:lineRule="auto"/>
        <w:rPr>
          <w:rFonts w:cs="Arial"/>
          <w:sz w:val="22"/>
          <w:szCs w:val="22"/>
        </w:rPr>
      </w:pPr>
    </w:p>
    <w:p w14:paraId="268FE487" w14:textId="77777777" w:rsidR="007C525D" w:rsidRDefault="007C757A">
      <w:pPr>
        <w:pStyle w:val="Normal-nospacing"/>
        <w:spacing w:line="240" w:lineRule="auto"/>
        <w:rPr>
          <w:rFonts w:cs="Arial"/>
          <w:sz w:val="22"/>
          <w:szCs w:val="22"/>
        </w:rPr>
      </w:pPr>
      <w:r>
        <w:rPr>
          <w:rFonts w:cs="Arial"/>
          <w:sz w:val="22"/>
          <w:szCs w:val="22"/>
        </w:rPr>
        <w:t>Eligible participants will be entered onto the Sponsors Subject ID log and assigned a Trial specific Identification number in a pre-agreed format in accordance with Site identifier and next sequential numerical value e.g. SG001</w:t>
      </w:r>
    </w:p>
    <w:p w14:paraId="793EC4FD" w14:textId="77777777" w:rsidR="007C525D" w:rsidRDefault="007C525D">
      <w:pPr>
        <w:rPr>
          <w:rFonts w:ascii="Calibri" w:hAnsi="Calibri"/>
          <w:b/>
          <w:bCs/>
          <w:szCs w:val="22"/>
        </w:rPr>
      </w:pPr>
    </w:p>
    <w:p w14:paraId="781815B8" w14:textId="77777777" w:rsidR="007C525D" w:rsidRDefault="007C757A">
      <w:pPr>
        <w:rPr>
          <w:rFonts w:ascii="Calibri" w:hAnsi="Calibri"/>
          <w:b/>
          <w:bCs/>
          <w:szCs w:val="22"/>
        </w:rPr>
      </w:pPr>
      <w:r>
        <w:rPr>
          <w:rFonts w:ascii="Calibri" w:hAnsi="Calibri"/>
          <w:b/>
          <w:bCs/>
          <w:szCs w:val="22"/>
        </w:rPr>
        <w:t>6.1</w:t>
      </w:r>
      <w:r>
        <w:rPr>
          <w:rFonts w:ascii="Calibri" w:hAnsi="Calibri"/>
          <w:b/>
          <w:bCs/>
          <w:szCs w:val="22"/>
        </w:rPr>
        <w:tab/>
        <w:t>Inclusion criteria</w:t>
      </w:r>
    </w:p>
    <w:p w14:paraId="4F061EC4" w14:textId="77777777" w:rsidR="007C525D" w:rsidRDefault="007C757A">
      <w:pPr>
        <w:pStyle w:val="Normal-nospacing"/>
        <w:numPr>
          <w:ilvl w:val="0"/>
          <w:numId w:val="8"/>
        </w:numPr>
        <w:spacing w:line="240" w:lineRule="auto"/>
      </w:pPr>
      <w:r>
        <w:rPr>
          <w:rFonts w:cs="Arial"/>
          <w:sz w:val="22"/>
          <w:szCs w:val="22"/>
        </w:rPr>
        <w:lastRenderedPageBreak/>
        <w:t xml:space="preserve">Term infants born at </w:t>
      </w:r>
      <w:r>
        <w:rPr>
          <w:rFonts w:cs="Arial"/>
          <w:sz w:val="22"/>
          <w:szCs w:val="22"/>
          <w:lang w:eastAsia="en-GB"/>
        </w:rPr>
        <w:t>≥37</w:t>
      </w:r>
      <w:r>
        <w:rPr>
          <w:rFonts w:cs="Arial"/>
          <w:sz w:val="22"/>
          <w:szCs w:val="22"/>
        </w:rPr>
        <w:t xml:space="preserve"> weeks gestation</w:t>
      </w:r>
    </w:p>
    <w:p w14:paraId="38D726D6" w14:textId="77777777" w:rsidR="007C525D" w:rsidRDefault="007C757A">
      <w:pPr>
        <w:pStyle w:val="Normal-nospacing"/>
        <w:numPr>
          <w:ilvl w:val="0"/>
          <w:numId w:val="8"/>
        </w:numPr>
        <w:spacing w:line="240" w:lineRule="auto"/>
      </w:pPr>
      <w:r>
        <w:rPr>
          <w:rFonts w:cs="Arial"/>
          <w:sz w:val="22"/>
          <w:szCs w:val="22"/>
        </w:rPr>
        <w:t xml:space="preserve">Aged </w:t>
      </w:r>
      <w:r>
        <w:rPr>
          <w:rFonts w:cs="Arial"/>
          <w:sz w:val="22"/>
          <w:szCs w:val="22"/>
          <w:lang w:eastAsia="en-GB"/>
        </w:rPr>
        <w:t xml:space="preserve">≥56 days to </w:t>
      </w:r>
      <w:r>
        <w:rPr>
          <w:rFonts w:eastAsia="Ubuntu" w:cs="Ubuntu"/>
          <w:sz w:val="22"/>
          <w:szCs w:val="22"/>
          <w:lang w:eastAsia="en-GB"/>
        </w:rPr>
        <w:t>≤ 70 days on the day of first visit</w:t>
      </w:r>
    </w:p>
    <w:p w14:paraId="30F9AD38" w14:textId="77777777" w:rsidR="007C525D" w:rsidRDefault="007C757A">
      <w:pPr>
        <w:pStyle w:val="Normal-nospacing"/>
        <w:numPr>
          <w:ilvl w:val="0"/>
          <w:numId w:val="8"/>
        </w:numPr>
        <w:spacing w:line="240" w:lineRule="auto"/>
      </w:pPr>
      <w:r>
        <w:rPr>
          <w:rFonts w:cs="Arial"/>
          <w:sz w:val="22"/>
          <w:szCs w:val="22"/>
        </w:rPr>
        <w:t>No contraindications to vaccination according to the ‘Green Book’</w:t>
      </w:r>
    </w:p>
    <w:p w14:paraId="75771023" w14:textId="77777777" w:rsidR="007C525D" w:rsidRDefault="007C757A">
      <w:pPr>
        <w:pStyle w:val="Normal-nospacing"/>
        <w:numPr>
          <w:ilvl w:val="0"/>
          <w:numId w:val="8"/>
        </w:numPr>
        <w:spacing w:line="240" w:lineRule="auto"/>
      </w:pPr>
      <w:r>
        <w:rPr>
          <w:rFonts w:cs="Arial"/>
          <w:sz w:val="22"/>
          <w:szCs w:val="22"/>
        </w:rPr>
        <w:t>Willing and able to comply with study procedures</w:t>
      </w:r>
    </w:p>
    <w:p w14:paraId="73B303E6" w14:textId="77777777" w:rsidR="007C525D" w:rsidRDefault="007C757A">
      <w:pPr>
        <w:pStyle w:val="Normal-nospacing"/>
        <w:numPr>
          <w:ilvl w:val="0"/>
          <w:numId w:val="8"/>
        </w:numPr>
        <w:spacing w:line="240" w:lineRule="auto"/>
      </w:pPr>
      <w:r>
        <w:rPr>
          <w:rFonts w:cs="Arial"/>
          <w:sz w:val="22"/>
          <w:szCs w:val="22"/>
        </w:rPr>
        <w:t>Written informed consent</w:t>
      </w:r>
    </w:p>
    <w:p w14:paraId="35A9920E" w14:textId="77777777" w:rsidR="007C525D" w:rsidRDefault="007C525D">
      <w:pPr>
        <w:rPr>
          <w:rFonts w:ascii="Calibri" w:hAnsi="Calibri"/>
          <w:b/>
          <w:bCs/>
          <w:szCs w:val="22"/>
        </w:rPr>
      </w:pPr>
    </w:p>
    <w:p w14:paraId="4554F488" w14:textId="77777777" w:rsidR="007C525D" w:rsidRDefault="007C757A">
      <w:r>
        <w:rPr>
          <w:rFonts w:ascii="Calibri" w:hAnsi="Calibri"/>
          <w:b/>
          <w:bCs/>
        </w:rPr>
        <w:t>6.2</w:t>
      </w:r>
      <w:r>
        <w:rPr>
          <w:rFonts w:ascii="Calibri" w:hAnsi="Calibri"/>
          <w:b/>
          <w:bCs/>
        </w:rPr>
        <w:tab/>
        <w:t xml:space="preserve">Exclusion criteria </w:t>
      </w:r>
    </w:p>
    <w:p w14:paraId="6735F040" w14:textId="77777777" w:rsidR="007C525D" w:rsidRDefault="007C757A">
      <w:pPr>
        <w:pStyle w:val="ListParagraph"/>
        <w:numPr>
          <w:ilvl w:val="0"/>
          <w:numId w:val="9"/>
        </w:numPr>
        <w:spacing w:line="240" w:lineRule="auto"/>
      </w:pPr>
      <w:r>
        <w:rPr>
          <w:rFonts w:ascii="Calibri" w:hAnsi="Calibri" w:cs="Calibri"/>
        </w:rPr>
        <w:t>Contraindication to vaccination according to the Green Book</w:t>
      </w:r>
    </w:p>
    <w:p w14:paraId="1B4EC834" w14:textId="77777777" w:rsidR="007C525D" w:rsidRDefault="007C757A">
      <w:pPr>
        <w:pStyle w:val="ListParagraph"/>
        <w:numPr>
          <w:ilvl w:val="0"/>
          <w:numId w:val="9"/>
        </w:numPr>
        <w:spacing w:line="240" w:lineRule="auto"/>
        <w:ind w:hanging="357"/>
      </w:pPr>
      <w:bookmarkStart w:id="15" w:name="OLE_LINK362"/>
      <w:bookmarkStart w:id="16" w:name="OLE_LINK352"/>
      <w:bookmarkStart w:id="17" w:name="OLE_LINK342"/>
      <w:bookmarkStart w:id="18" w:name="OLE_LINK332"/>
      <w:bookmarkEnd w:id="15"/>
      <w:bookmarkEnd w:id="16"/>
      <w:bookmarkEnd w:id="17"/>
      <w:bookmarkEnd w:id="18"/>
      <w:r>
        <w:rPr>
          <w:rFonts w:ascii="Calibri" w:hAnsi="Calibri"/>
        </w:rPr>
        <w:t xml:space="preserve">Life-limiting congenital abnormality or condition </w:t>
      </w:r>
    </w:p>
    <w:p w14:paraId="38633D85" w14:textId="77777777" w:rsidR="007C525D" w:rsidRDefault="007C757A">
      <w:pPr>
        <w:pStyle w:val="ListParagraph"/>
        <w:numPr>
          <w:ilvl w:val="0"/>
          <w:numId w:val="9"/>
        </w:numPr>
        <w:spacing w:line="240" w:lineRule="auto"/>
        <w:ind w:hanging="357"/>
      </w:pPr>
      <w:bookmarkStart w:id="19" w:name="OLE_LINK3611"/>
      <w:bookmarkStart w:id="20" w:name="OLE_LINK3311"/>
      <w:bookmarkStart w:id="21" w:name="OLE_LINK3511"/>
      <w:bookmarkStart w:id="22" w:name="OLE_LINK3411"/>
      <w:bookmarkEnd w:id="19"/>
      <w:bookmarkEnd w:id="20"/>
      <w:bookmarkEnd w:id="21"/>
      <w:bookmarkEnd w:id="22"/>
      <w:r>
        <w:rPr>
          <w:rFonts w:ascii="Calibri" w:hAnsi="Calibri" w:cs="Calibri"/>
        </w:rPr>
        <w:t>Prior diagnosis of an immunodeficiency syndrome</w:t>
      </w:r>
    </w:p>
    <w:p w14:paraId="523BEDDC" w14:textId="77777777" w:rsidR="007C525D" w:rsidRDefault="007C757A">
      <w:pPr>
        <w:pStyle w:val="ListParagraph"/>
        <w:numPr>
          <w:ilvl w:val="0"/>
          <w:numId w:val="9"/>
        </w:numPr>
        <w:spacing w:line="240" w:lineRule="auto"/>
        <w:ind w:hanging="357"/>
      </w:pPr>
      <w:bookmarkStart w:id="23" w:name="OLE_LINK121"/>
      <w:bookmarkEnd w:id="23"/>
      <w:r>
        <w:rPr>
          <w:rFonts w:ascii="Calibri" w:hAnsi="Calibri" w:cs="Calibri"/>
        </w:rPr>
        <w:t>Previous vaccination against meningococcal disease</w:t>
      </w:r>
    </w:p>
    <w:p w14:paraId="6020E2E4" w14:textId="77777777" w:rsidR="007C525D" w:rsidRDefault="007C757A">
      <w:pPr>
        <w:pStyle w:val="ListParagraph"/>
        <w:numPr>
          <w:ilvl w:val="0"/>
          <w:numId w:val="9"/>
        </w:numPr>
        <w:spacing w:line="240" w:lineRule="auto"/>
        <w:ind w:hanging="357"/>
      </w:pPr>
      <w:r>
        <w:rPr>
          <w:rFonts w:ascii="Calibri" w:hAnsi="Calibri" w:cs="Calibri"/>
        </w:rPr>
        <w:t xml:space="preserve">History of </w:t>
      </w:r>
      <w:r>
        <w:rPr>
          <w:rFonts w:ascii="Calibri" w:hAnsi="Calibri" w:cs="Calibri"/>
          <w:i/>
          <w:iCs/>
        </w:rPr>
        <w:t>Neisseria meningitidis</w:t>
      </w:r>
      <w:r>
        <w:rPr>
          <w:rFonts w:ascii="Calibri" w:hAnsi="Calibri" w:cs="Calibri"/>
        </w:rPr>
        <w:t xml:space="preserve"> infection, confirmed either clinically, serologically, or microbiologically </w:t>
      </w:r>
    </w:p>
    <w:p w14:paraId="68AD3A17" w14:textId="77777777" w:rsidR="007C525D" w:rsidRDefault="007C757A">
      <w:pPr>
        <w:pStyle w:val="ListParagraph"/>
        <w:numPr>
          <w:ilvl w:val="0"/>
          <w:numId w:val="9"/>
        </w:numPr>
        <w:spacing w:line="240" w:lineRule="auto"/>
        <w:ind w:hanging="357"/>
      </w:pPr>
      <w:r>
        <w:rPr>
          <w:rFonts w:ascii="Calibri" w:hAnsi="Calibri" w:cs="Calibri"/>
        </w:rPr>
        <w:t>Considered unlikely to complete expected follow up until the end of the study</w:t>
      </w:r>
    </w:p>
    <w:p w14:paraId="589A6875" w14:textId="77777777" w:rsidR="007C525D" w:rsidRDefault="007C757A">
      <w:pPr>
        <w:pStyle w:val="ListParagraph"/>
        <w:numPr>
          <w:ilvl w:val="0"/>
          <w:numId w:val="9"/>
        </w:numPr>
        <w:spacing w:line="240" w:lineRule="auto"/>
        <w:ind w:hanging="357"/>
      </w:pPr>
      <w:r>
        <w:rPr>
          <w:rFonts w:ascii="Calibri" w:hAnsi="Calibri" w:cs="Calibri"/>
        </w:rPr>
        <w:t>Child in care</w:t>
      </w:r>
    </w:p>
    <w:p w14:paraId="36A6441F" w14:textId="77777777" w:rsidR="007C525D" w:rsidRDefault="007C525D">
      <w:pPr>
        <w:spacing w:after="0"/>
        <w:rPr>
          <w:rFonts w:ascii="Calibri" w:hAnsi="Calibri"/>
          <w:b/>
          <w:bCs/>
          <w:szCs w:val="22"/>
        </w:rPr>
      </w:pPr>
    </w:p>
    <w:p w14:paraId="23901728" w14:textId="77777777" w:rsidR="007C525D" w:rsidRDefault="007C525D">
      <w:pPr>
        <w:pStyle w:val="Heading1"/>
        <w:spacing w:before="0" w:after="120"/>
        <w:rPr>
          <w:rFonts w:ascii="Calibri" w:hAnsi="Calibri"/>
          <w:color w:val="auto"/>
          <w:sz w:val="22"/>
          <w:szCs w:val="22"/>
        </w:rPr>
      </w:pPr>
    </w:p>
    <w:p w14:paraId="69D50E5A" w14:textId="77777777" w:rsidR="007C525D" w:rsidRDefault="007C757A">
      <w:pPr>
        <w:pStyle w:val="Heading1"/>
        <w:spacing w:before="0" w:after="120"/>
      </w:pPr>
      <w:r>
        <w:rPr>
          <w:rFonts w:ascii="Calibri" w:hAnsi="Calibri"/>
          <w:color w:val="auto"/>
          <w:sz w:val="22"/>
          <w:szCs w:val="22"/>
        </w:rPr>
        <w:t>7</w:t>
      </w:r>
      <w:r>
        <w:rPr>
          <w:rFonts w:ascii="Calibri" w:hAnsi="Calibri"/>
          <w:color w:val="auto"/>
          <w:sz w:val="22"/>
          <w:szCs w:val="22"/>
        </w:rPr>
        <w:tab/>
        <w:t xml:space="preserve">TRIAL PROCEDURES </w:t>
      </w:r>
    </w:p>
    <w:p w14:paraId="2D949512" w14:textId="77777777" w:rsidR="007C525D" w:rsidRDefault="007C525D">
      <w:pPr>
        <w:rPr>
          <w:rFonts w:ascii="Calibri" w:hAnsi="Calibri"/>
          <w:szCs w:val="22"/>
        </w:rPr>
      </w:pPr>
    </w:p>
    <w:p w14:paraId="3827AF7A" w14:textId="77777777" w:rsidR="007C525D" w:rsidRDefault="007C757A">
      <w:pPr>
        <w:widowControl w:val="0"/>
        <w:tabs>
          <w:tab w:val="left" w:pos="426"/>
          <w:tab w:val="left" w:pos="644"/>
        </w:tabs>
        <w:spacing w:after="200"/>
        <w:ind w:left="34" w:hanging="34"/>
      </w:pPr>
      <w:r>
        <w:rPr>
          <w:rFonts w:ascii="Calibri" w:hAnsi="Calibri"/>
          <w:b/>
          <w:bCs/>
          <w:szCs w:val="22"/>
          <w:lang w:eastAsia="en-GB"/>
        </w:rPr>
        <w:t>Group 1</w:t>
      </w:r>
      <w:r>
        <w:rPr>
          <w:rFonts w:ascii="Calibri" w:hAnsi="Calibri"/>
          <w:szCs w:val="22"/>
          <w:lang w:eastAsia="en-GB"/>
        </w:rPr>
        <w:t xml:space="preserve">: </w:t>
      </w:r>
      <w:r>
        <w:rPr>
          <w:rFonts w:ascii="Calibri" w:hAnsi="Calibri"/>
          <w:lang w:eastAsia="en-GB"/>
        </w:rPr>
        <w:t>4CMenB</w:t>
      </w:r>
      <w:r>
        <w:rPr>
          <w:rFonts w:ascii="Calibri" w:hAnsi="Calibri"/>
          <w:szCs w:val="22"/>
          <w:lang w:eastAsia="en-GB"/>
        </w:rPr>
        <w:t xml:space="preserve"> Bexsero® at 2, 3 and 12 months of age; PCV13 at 4 months of age </w:t>
      </w:r>
    </w:p>
    <w:p w14:paraId="6583B049" w14:textId="77777777" w:rsidR="007C525D" w:rsidRDefault="007C757A">
      <w:pPr>
        <w:widowControl w:val="0"/>
        <w:tabs>
          <w:tab w:val="left" w:pos="426"/>
          <w:tab w:val="left" w:pos="644"/>
        </w:tabs>
        <w:spacing w:after="200"/>
        <w:ind w:left="34" w:hanging="34"/>
      </w:pPr>
      <w:r>
        <w:rPr>
          <w:rFonts w:ascii="Calibri" w:hAnsi="Calibri"/>
          <w:b/>
          <w:bCs/>
          <w:szCs w:val="22"/>
          <w:lang w:eastAsia="en-GB"/>
        </w:rPr>
        <w:t>Group 2</w:t>
      </w:r>
      <w:r>
        <w:rPr>
          <w:rFonts w:ascii="Calibri" w:hAnsi="Calibri"/>
          <w:szCs w:val="22"/>
          <w:lang w:eastAsia="en-GB"/>
        </w:rPr>
        <w:t xml:space="preserve">: 4CMenB Bexsero® at 2, 4 and 12 months of age; PCV13 at 3 months of age </w:t>
      </w:r>
    </w:p>
    <w:p w14:paraId="080EDFFA" w14:textId="77777777" w:rsidR="007C525D" w:rsidRDefault="007C525D">
      <w:pPr>
        <w:rPr>
          <w:rFonts w:ascii="Calibri" w:hAnsi="Calibri"/>
          <w:szCs w:val="22"/>
          <w:lang w:eastAsia="en-GB"/>
        </w:rPr>
      </w:pPr>
    </w:p>
    <w:p w14:paraId="3DB32C2C" w14:textId="77777777" w:rsidR="007C525D" w:rsidRDefault="007C757A">
      <w:pPr>
        <w:rPr>
          <w:rFonts w:ascii="Calibri" w:hAnsi="Calibri"/>
          <w:b/>
          <w:bCs/>
          <w:szCs w:val="22"/>
          <w:lang w:eastAsia="en-GB"/>
        </w:rPr>
      </w:pPr>
      <w:r>
        <w:rPr>
          <w:rFonts w:ascii="Calibri" w:hAnsi="Calibri"/>
          <w:b/>
          <w:bCs/>
          <w:szCs w:val="22"/>
          <w:lang w:eastAsia="en-GB"/>
        </w:rPr>
        <w:t>Table 2. Study Procedures - Group 1</w:t>
      </w:r>
    </w:p>
    <w:tbl>
      <w:tblPr>
        <w:tblW w:w="9759" w:type="dxa"/>
        <w:tblLayout w:type="fixed"/>
        <w:tblCellMar>
          <w:left w:w="58" w:type="dxa"/>
        </w:tblCellMar>
        <w:tblLook w:val="04A0" w:firstRow="1" w:lastRow="0" w:firstColumn="1" w:lastColumn="0" w:noHBand="0" w:noVBand="1"/>
      </w:tblPr>
      <w:tblGrid>
        <w:gridCol w:w="2025"/>
        <w:gridCol w:w="1414"/>
        <w:gridCol w:w="1259"/>
        <w:gridCol w:w="1268"/>
        <w:gridCol w:w="1271"/>
        <w:gridCol w:w="1267"/>
        <w:gridCol w:w="1255"/>
      </w:tblGrid>
      <w:tr w:rsidR="007C525D" w14:paraId="5A3F9FC2" w14:textId="77777777">
        <w:trPr>
          <w:trHeight w:val="631"/>
        </w:trPr>
        <w:tc>
          <w:tcPr>
            <w:tcW w:w="20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DB27039" w14:textId="77777777" w:rsidR="007C525D" w:rsidRDefault="007C757A">
            <w:pPr>
              <w:pStyle w:val="MediumGrid2-Accent11"/>
              <w:widowControl w:val="0"/>
              <w:spacing w:after="0" w:line="240" w:lineRule="auto"/>
            </w:pPr>
            <w:r>
              <w:rPr>
                <w:rFonts w:cs="Tahoma"/>
                <w:b/>
                <w:sz w:val="22"/>
                <w:szCs w:val="22"/>
                <w:lang w:eastAsia="en-GB"/>
              </w:rPr>
              <w:t>Visits</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6188052F" w14:textId="77777777" w:rsidR="007C525D" w:rsidRDefault="007C757A">
            <w:pPr>
              <w:pStyle w:val="MediumGrid2-Accent11"/>
              <w:widowControl w:val="0"/>
              <w:spacing w:before="283" w:after="0" w:line="240" w:lineRule="auto"/>
            </w:pPr>
            <w:r>
              <w:rPr>
                <w:rFonts w:cs="Tahoma"/>
                <w:b/>
                <w:sz w:val="22"/>
                <w:szCs w:val="22"/>
                <w:lang w:eastAsia="en-GB"/>
              </w:rPr>
              <w:t>Screening</w:t>
            </w:r>
          </w:p>
        </w:tc>
        <w:tc>
          <w:tcPr>
            <w:tcW w:w="12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A3BCB0B" w14:textId="77777777" w:rsidR="007C525D" w:rsidRDefault="007C757A">
            <w:pPr>
              <w:pStyle w:val="MediumGrid2-Accent11"/>
              <w:widowControl w:val="0"/>
              <w:spacing w:after="0" w:line="240" w:lineRule="auto"/>
              <w:jc w:val="center"/>
            </w:pPr>
            <w:r>
              <w:rPr>
                <w:rFonts w:cs="Tahoma"/>
                <w:b/>
                <w:sz w:val="22"/>
                <w:szCs w:val="22"/>
                <w:lang w:eastAsia="en-GB"/>
              </w:rPr>
              <w:t>Visit 1</w:t>
            </w:r>
          </w:p>
        </w:tc>
        <w:tc>
          <w:tcPr>
            <w:tcW w:w="1268" w:type="dxa"/>
            <w:tcBorders>
              <w:top w:val="single" w:sz="4" w:space="0" w:color="000000"/>
              <w:left w:val="single" w:sz="4" w:space="0" w:color="000000"/>
              <w:bottom w:val="single" w:sz="4" w:space="0" w:color="000000"/>
              <w:right w:val="single" w:sz="4" w:space="0" w:color="000000"/>
            </w:tcBorders>
            <w:shd w:val="clear" w:color="auto" w:fill="FFC000"/>
          </w:tcPr>
          <w:p w14:paraId="22E93F36" w14:textId="77777777" w:rsidR="007C525D" w:rsidRDefault="007C757A">
            <w:pPr>
              <w:pStyle w:val="MediumGrid2-Accent11"/>
              <w:widowControl w:val="0"/>
              <w:spacing w:before="283" w:after="0" w:line="240" w:lineRule="auto"/>
              <w:jc w:val="center"/>
            </w:pPr>
            <w:r>
              <w:rPr>
                <w:rFonts w:cs="Tahoma"/>
                <w:b/>
                <w:sz w:val="22"/>
                <w:szCs w:val="22"/>
                <w:lang w:eastAsia="en-GB"/>
              </w:rPr>
              <w:t>Visit 2</w:t>
            </w:r>
          </w:p>
          <w:p w14:paraId="692AC8C4" w14:textId="77777777" w:rsidR="007C525D" w:rsidRDefault="007C525D">
            <w:pPr>
              <w:pStyle w:val="MediumGrid2-Accent11"/>
              <w:widowControl w:val="0"/>
              <w:spacing w:after="0" w:line="240" w:lineRule="auto"/>
              <w:rPr>
                <w:rFonts w:cs="Tahoma"/>
                <w:b/>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FFC000"/>
          </w:tcPr>
          <w:p w14:paraId="2964F25A" w14:textId="77777777" w:rsidR="007C525D" w:rsidRDefault="007C757A">
            <w:pPr>
              <w:pStyle w:val="MediumGrid2-Accent11"/>
              <w:widowControl w:val="0"/>
              <w:spacing w:before="283" w:after="0" w:line="240" w:lineRule="auto"/>
              <w:jc w:val="center"/>
            </w:pPr>
            <w:r>
              <w:rPr>
                <w:rFonts w:cs="Tahoma"/>
                <w:b/>
                <w:sz w:val="22"/>
                <w:szCs w:val="22"/>
                <w:lang w:eastAsia="en-GB"/>
              </w:rPr>
              <w:t>Visit 3</w:t>
            </w:r>
          </w:p>
          <w:p w14:paraId="20B236CC" w14:textId="77777777" w:rsidR="007C525D" w:rsidRDefault="007C525D">
            <w:pPr>
              <w:pStyle w:val="MediumGrid2-Accent11"/>
              <w:widowControl w:val="0"/>
              <w:spacing w:after="0" w:line="240" w:lineRule="auto"/>
              <w:rPr>
                <w:rFonts w:cs="Tahoma"/>
                <w:b/>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FFC000"/>
          </w:tcPr>
          <w:p w14:paraId="6FECEA40" w14:textId="77777777" w:rsidR="007C525D" w:rsidRDefault="007C757A">
            <w:pPr>
              <w:pStyle w:val="MediumGrid2-Accent11"/>
              <w:widowControl w:val="0"/>
              <w:spacing w:before="283" w:after="0" w:line="240" w:lineRule="auto"/>
              <w:jc w:val="center"/>
            </w:pPr>
            <w:r>
              <w:rPr>
                <w:rFonts w:cs="Tahoma"/>
                <w:b/>
                <w:sz w:val="22"/>
                <w:szCs w:val="22"/>
                <w:lang w:eastAsia="en-GB"/>
              </w:rPr>
              <w:t>Visit 4</w:t>
            </w:r>
          </w:p>
          <w:p w14:paraId="6EE397A7" w14:textId="77777777" w:rsidR="007C525D" w:rsidRDefault="007C525D">
            <w:pPr>
              <w:pStyle w:val="MediumGrid2-Accent11"/>
              <w:widowControl w:val="0"/>
              <w:spacing w:after="0" w:line="240" w:lineRule="auto"/>
              <w:rPr>
                <w:rFonts w:cs="Tahoma"/>
                <w:b/>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C3DCBFE" w14:textId="77777777" w:rsidR="007C525D" w:rsidRDefault="007C757A">
            <w:pPr>
              <w:pStyle w:val="MediumGrid2-Accent11"/>
              <w:widowControl w:val="0"/>
              <w:spacing w:before="227" w:after="0" w:line="240" w:lineRule="auto"/>
              <w:jc w:val="center"/>
            </w:pPr>
            <w:r>
              <w:rPr>
                <w:rFonts w:cs="Tahoma"/>
                <w:b/>
                <w:sz w:val="22"/>
                <w:szCs w:val="22"/>
                <w:lang w:eastAsia="en-GB"/>
              </w:rPr>
              <w:t>Visit 5</w:t>
            </w:r>
          </w:p>
          <w:p w14:paraId="59C79F85" w14:textId="77777777" w:rsidR="007C525D" w:rsidRDefault="007C525D">
            <w:pPr>
              <w:pStyle w:val="MediumGrid2-Accent11"/>
              <w:widowControl w:val="0"/>
              <w:spacing w:after="0" w:line="240" w:lineRule="auto"/>
              <w:rPr>
                <w:rFonts w:cs="Tahoma"/>
                <w:b/>
                <w:sz w:val="22"/>
                <w:szCs w:val="22"/>
                <w:lang w:eastAsia="en-GB"/>
              </w:rPr>
            </w:pPr>
          </w:p>
        </w:tc>
      </w:tr>
      <w:tr w:rsidR="007C525D" w14:paraId="321DE2FC" w14:textId="77777777">
        <w:trPr>
          <w:trHeight w:val="631"/>
        </w:trPr>
        <w:tc>
          <w:tcPr>
            <w:tcW w:w="20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5E0CBA3" w14:textId="77777777" w:rsidR="007C525D" w:rsidRDefault="007C757A">
            <w:pPr>
              <w:pStyle w:val="MediumGrid2-Accent11"/>
              <w:widowControl w:val="0"/>
              <w:spacing w:after="0" w:line="240" w:lineRule="auto"/>
            </w:pPr>
            <w:r>
              <w:t>Approximate age of participants</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2BF11737" w14:textId="77777777" w:rsidR="007C525D" w:rsidRDefault="007C525D">
            <w:pPr>
              <w:pStyle w:val="MediumGrid2-Accent11"/>
              <w:widowControl w:val="0"/>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B145B24" w14:textId="77777777" w:rsidR="007C525D" w:rsidRDefault="007C757A">
            <w:pPr>
              <w:pStyle w:val="MediumGrid2-Accent11"/>
              <w:widowControl w:val="0"/>
              <w:spacing w:after="0" w:line="240" w:lineRule="auto"/>
            </w:pPr>
            <w:r>
              <w:rPr>
                <w:rFonts w:cs="Tahoma"/>
                <w:b/>
                <w:sz w:val="22"/>
                <w:szCs w:val="22"/>
                <w:lang w:eastAsia="en-GB"/>
              </w:rPr>
              <w:t>2 months</w:t>
            </w:r>
          </w:p>
        </w:tc>
        <w:tc>
          <w:tcPr>
            <w:tcW w:w="1268" w:type="dxa"/>
            <w:tcBorders>
              <w:top w:val="single" w:sz="4" w:space="0" w:color="000000"/>
              <w:left w:val="single" w:sz="4" w:space="0" w:color="000000"/>
              <w:bottom w:val="single" w:sz="4" w:space="0" w:color="000000"/>
              <w:right w:val="single" w:sz="4" w:space="0" w:color="000000"/>
            </w:tcBorders>
            <w:shd w:val="clear" w:color="auto" w:fill="FFC000"/>
          </w:tcPr>
          <w:p w14:paraId="36F95CD4" w14:textId="77777777" w:rsidR="007C525D" w:rsidRDefault="007C757A">
            <w:pPr>
              <w:pStyle w:val="MediumGrid2-Accent11"/>
              <w:widowControl w:val="0"/>
              <w:spacing w:before="170" w:after="0" w:line="240" w:lineRule="auto"/>
              <w:jc w:val="center"/>
            </w:pPr>
            <w:r>
              <w:rPr>
                <w:rFonts w:cs="Tahoma"/>
                <w:b/>
                <w:sz w:val="22"/>
                <w:szCs w:val="22"/>
                <w:lang w:eastAsia="en-GB"/>
              </w:rPr>
              <w:t>3 months</w:t>
            </w:r>
          </w:p>
        </w:tc>
        <w:tc>
          <w:tcPr>
            <w:tcW w:w="1271" w:type="dxa"/>
            <w:tcBorders>
              <w:top w:val="single" w:sz="4" w:space="0" w:color="000000"/>
              <w:left w:val="single" w:sz="4" w:space="0" w:color="000000"/>
              <w:bottom w:val="single" w:sz="4" w:space="0" w:color="000000"/>
              <w:right w:val="single" w:sz="4" w:space="0" w:color="000000"/>
            </w:tcBorders>
            <w:shd w:val="clear" w:color="auto" w:fill="FFC000"/>
          </w:tcPr>
          <w:p w14:paraId="176B084F" w14:textId="77777777" w:rsidR="007C525D" w:rsidRDefault="007C757A">
            <w:pPr>
              <w:pStyle w:val="MediumGrid2-Accent11"/>
              <w:widowControl w:val="0"/>
              <w:spacing w:before="170" w:after="0" w:line="240" w:lineRule="auto"/>
            </w:pPr>
            <w:r>
              <w:rPr>
                <w:rFonts w:cs="Tahoma"/>
                <w:b/>
                <w:sz w:val="22"/>
                <w:szCs w:val="22"/>
                <w:lang w:eastAsia="en-GB"/>
              </w:rPr>
              <w:t>4 months</w:t>
            </w:r>
          </w:p>
        </w:tc>
        <w:tc>
          <w:tcPr>
            <w:tcW w:w="1267" w:type="dxa"/>
            <w:tcBorders>
              <w:top w:val="single" w:sz="4" w:space="0" w:color="000000"/>
              <w:left w:val="single" w:sz="4" w:space="0" w:color="000000"/>
              <w:bottom w:val="single" w:sz="4" w:space="0" w:color="000000"/>
              <w:right w:val="single" w:sz="4" w:space="0" w:color="000000"/>
            </w:tcBorders>
            <w:shd w:val="clear" w:color="auto" w:fill="FFC000"/>
          </w:tcPr>
          <w:p w14:paraId="002A89A2" w14:textId="77777777" w:rsidR="007C525D" w:rsidRDefault="007C757A">
            <w:pPr>
              <w:pStyle w:val="MediumGrid2-Accent11"/>
              <w:widowControl w:val="0"/>
              <w:spacing w:after="0" w:line="240" w:lineRule="auto"/>
            </w:pPr>
            <w:r>
              <w:rPr>
                <w:rFonts w:cs="Tahoma"/>
                <w:b/>
                <w:sz w:val="22"/>
                <w:szCs w:val="22"/>
                <w:lang w:eastAsia="en-GB"/>
              </w:rPr>
              <w:t>12 months</w:t>
            </w:r>
          </w:p>
        </w:tc>
        <w:tc>
          <w:tcPr>
            <w:tcW w:w="125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AEEB18A" w14:textId="77777777" w:rsidR="007C525D" w:rsidRDefault="007C757A">
            <w:pPr>
              <w:pStyle w:val="MediumGrid2-Accent11"/>
              <w:widowControl w:val="0"/>
              <w:spacing w:after="0" w:line="240" w:lineRule="auto"/>
            </w:pPr>
            <w:r>
              <w:rPr>
                <w:rFonts w:cs="Tahoma"/>
                <w:b/>
                <w:sz w:val="22"/>
                <w:szCs w:val="22"/>
                <w:lang w:eastAsia="en-GB"/>
              </w:rPr>
              <w:t>13 months</w:t>
            </w:r>
          </w:p>
        </w:tc>
      </w:tr>
      <w:tr w:rsidR="007C525D" w14:paraId="4F375516" w14:textId="77777777">
        <w:trPr>
          <w:trHeight w:val="631"/>
        </w:trPr>
        <w:tc>
          <w:tcPr>
            <w:tcW w:w="20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99BC55" w14:textId="77777777" w:rsidR="007C525D" w:rsidRDefault="007C757A">
            <w:pPr>
              <w:pStyle w:val="MediumGrid2-Accent11"/>
              <w:widowControl w:val="0"/>
              <w:spacing w:after="0" w:line="240" w:lineRule="auto"/>
            </w:pPr>
            <w:r>
              <w:t>Trial timeline (days)</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07DADA1B" w14:textId="77777777" w:rsidR="007C525D" w:rsidRDefault="007C525D">
            <w:pPr>
              <w:pStyle w:val="MediumGrid2-Accent11"/>
              <w:widowControl w:val="0"/>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1EDED63" w14:textId="77777777" w:rsidR="007C525D" w:rsidRDefault="007C757A">
            <w:pPr>
              <w:pStyle w:val="MediumGrid2-Accent11"/>
              <w:widowControl w:val="0"/>
              <w:spacing w:after="0" w:line="240" w:lineRule="auto"/>
            </w:pPr>
            <w:r>
              <w:t>Day 0</w:t>
            </w:r>
          </w:p>
        </w:tc>
        <w:tc>
          <w:tcPr>
            <w:tcW w:w="1268" w:type="dxa"/>
            <w:tcBorders>
              <w:top w:val="single" w:sz="4" w:space="0" w:color="000000"/>
              <w:left w:val="single" w:sz="4" w:space="0" w:color="000000"/>
              <w:bottom w:val="single" w:sz="4" w:space="0" w:color="000000"/>
              <w:right w:val="single" w:sz="4" w:space="0" w:color="000000"/>
            </w:tcBorders>
            <w:shd w:val="clear" w:color="auto" w:fill="FFC000"/>
          </w:tcPr>
          <w:p w14:paraId="4FB8D5EA" w14:textId="77777777" w:rsidR="007C525D" w:rsidRDefault="007C757A">
            <w:pPr>
              <w:pStyle w:val="MediumGrid2-Accent11"/>
              <w:widowControl w:val="0"/>
              <w:spacing w:after="0" w:line="240" w:lineRule="auto"/>
            </w:pPr>
            <w:r>
              <w:t>Visit 1 +</w:t>
            </w:r>
          </w:p>
          <w:p w14:paraId="00F36208" w14:textId="77777777" w:rsidR="007C525D" w:rsidRDefault="007C757A">
            <w:pPr>
              <w:pStyle w:val="MediumGrid2-Accent11"/>
              <w:widowControl w:val="0"/>
              <w:spacing w:after="0" w:line="240" w:lineRule="auto"/>
            </w:pPr>
            <w:r>
              <w:t>30 days</w:t>
            </w:r>
          </w:p>
        </w:tc>
        <w:tc>
          <w:tcPr>
            <w:tcW w:w="1271" w:type="dxa"/>
            <w:tcBorders>
              <w:top w:val="single" w:sz="4" w:space="0" w:color="000000"/>
              <w:left w:val="single" w:sz="4" w:space="0" w:color="000000"/>
              <w:bottom w:val="single" w:sz="4" w:space="0" w:color="000000"/>
              <w:right w:val="single" w:sz="4" w:space="0" w:color="000000"/>
            </w:tcBorders>
            <w:shd w:val="clear" w:color="auto" w:fill="FFC000"/>
          </w:tcPr>
          <w:p w14:paraId="14046F3A" w14:textId="77777777" w:rsidR="007C525D" w:rsidRDefault="007C757A">
            <w:pPr>
              <w:pStyle w:val="MediumGrid2-Accent11"/>
              <w:widowControl w:val="0"/>
              <w:spacing w:after="0" w:line="240" w:lineRule="auto"/>
            </w:pPr>
            <w:r>
              <w:t>Visit 2 +</w:t>
            </w:r>
          </w:p>
          <w:p w14:paraId="092BBEE5" w14:textId="77777777" w:rsidR="007C525D" w:rsidRDefault="007C757A">
            <w:pPr>
              <w:pStyle w:val="MediumGrid2-Accent11"/>
              <w:widowControl w:val="0"/>
              <w:spacing w:after="0" w:line="240" w:lineRule="auto"/>
            </w:pPr>
            <w:r>
              <w:t>30 days</w:t>
            </w:r>
          </w:p>
        </w:tc>
        <w:tc>
          <w:tcPr>
            <w:tcW w:w="1267" w:type="dxa"/>
            <w:tcBorders>
              <w:top w:val="single" w:sz="4" w:space="0" w:color="000000"/>
              <w:left w:val="single" w:sz="4" w:space="0" w:color="000000"/>
              <w:bottom w:val="single" w:sz="4" w:space="0" w:color="000000"/>
              <w:right w:val="single" w:sz="4" w:space="0" w:color="000000"/>
            </w:tcBorders>
            <w:shd w:val="clear" w:color="auto" w:fill="FFC000"/>
          </w:tcPr>
          <w:p w14:paraId="6E47065B" w14:textId="77777777" w:rsidR="007C525D" w:rsidRDefault="007C525D">
            <w:pPr>
              <w:pStyle w:val="MediumGrid2-Accent11"/>
              <w:widowControl w:val="0"/>
              <w:spacing w:after="0" w:line="240" w:lineRule="auto"/>
            </w:pPr>
          </w:p>
        </w:tc>
        <w:tc>
          <w:tcPr>
            <w:tcW w:w="125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5CBCB3B" w14:textId="77777777" w:rsidR="007C525D" w:rsidRDefault="007C757A">
            <w:pPr>
              <w:pStyle w:val="MediumGrid2-Accent11"/>
              <w:widowControl w:val="0"/>
              <w:spacing w:after="0" w:line="240" w:lineRule="auto"/>
            </w:pPr>
            <w:r>
              <w:t>Visit 5 +</w:t>
            </w:r>
          </w:p>
          <w:p w14:paraId="66406388" w14:textId="77777777" w:rsidR="007C525D" w:rsidRDefault="007C757A">
            <w:pPr>
              <w:pStyle w:val="MediumGrid2-Accent11"/>
              <w:widowControl w:val="0"/>
              <w:spacing w:after="0" w:line="240" w:lineRule="auto"/>
            </w:pPr>
            <w:r>
              <w:t>30 days</w:t>
            </w:r>
          </w:p>
        </w:tc>
      </w:tr>
      <w:tr w:rsidR="007C525D" w14:paraId="2BCAEE0A" w14:textId="77777777">
        <w:trPr>
          <w:trHeight w:val="631"/>
        </w:trPr>
        <w:tc>
          <w:tcPr>
            <w:tcW w:w="202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C8106D" w14:textId="77777777" w:rsidR="007C525D" w:rsidRDefault="007C757A">
            <w:pPr>
              <w:pStyle w:val="MediumGrid2-Accent11"/>
              <w:widowControl w:val="0"/>
              <w:spacing w:after="0" w:line="240" w:lineRule="auto"/>
            </w:pPr>
            <w:r>
              <w:t>Time windows (days)</w:t>
            </w:r>
          </w:p>
        </w:tc>
        <w:tc>
          <w:tcPr>
            <w:tcW w:w="1414" w:type="dxa"/>
            <w:tcBorders>
              <w:top w:val="single" w:sz="4" w:space="0" w:color="000000"/>
              <w:left w:val="single" w:sz="4" w:space="0" w:color="000000"/>
              <w:bottom w:val="single" w:sz="4" w:space="0" w:color="000000"/>
              <w:right w:val="single" w:sz="4" w:space="0" w:color="000000"/>
            </w:tcBorders>
            <w:shd w:val="clear" w:color="auto" w:fill="FFC000"/>
          </w:tcPr>
          <w:p w14:paraId="4E2ADA7F" w14:textId="77777777" w:rsidR="007C525D" w:rsidRDefault="007C525D">
            <w:pPr>
              <w:pStyle w:val="MediumGrid2-Accent11"/>
              <w:widowControl w:val="0"/>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D0D1D1E" w14:textId="77777777" w:rsidR="007C525D" w:rsidRDefault="007C525D">
            <w:pPr>
              <w:pStyle w:val="MediumGrid2-Accent11"/>
              <w:widowControl w:val="0"/>
              <w:spacing w:after="0" w:line="240" w:lineRule="auto"/>
            </w:pPr>
          </w:p>
        </w:tc>
        <w:tc>
          <w:tcPr>
            <w:tcW w:w="1268" w:type="dxa"/>
            <w:tcBorders>
              <w:top w:val="single" w:sz="4" w:space="0" w:color="000000"/>
              <w:left w:val="single" w:sz="4" w:space="0" w:color="000000"/>
              <w:bottom w:val="single" w:sz="4" w:space="0" w:color="000000"/>
              <w:right w:val="single" w:sz="4" w:space="0" w:color="000000"/>
            </w:tcBorders>
            <w:shd w:val="clear" w:color="auto" w:fill="FFC000"/>
          </w:tcPr>
          <w:p w14:paraId="5B22DFB7" w14:textId="77777777" w:rsidR="007C525D" w:rsidRDefault="007C757A">
            <w:pPr>
              <w:pStyle w:val="MediumGrid2-Accent11"/>
              <w:widowControl w:val="0"/>
              <w:spacing w:before="170" w:after="0" w:line="240" w:lineRule="auto"/>
            </w:pPr>
            <w:r>
              <w:t>+14 days</w:t>
            </w:r>
          </w:p>
        </w:tc>
        <w:tc>
          <w:tcPr>
            <w:tcW w:w="1271" w:type="dxa"/>
            <w:tcBorders>
              <w:top w:val="single" w:sz="4" w:space="0" w:color="000000"/>
              <w:left w:val="single" w:sz="4" w:space="0" w:color="000000"/>
              <w:bottom w:val="single" w:sz="4" w:space="0" w:color="000000"/>
              <w:right w:val="single" w:sz="4" w:space="0" w:color="000000"/>
            </w:tcBorders>
            <w:shd w:val="clear" w:color="auto" w:fill="FFC000"/>
          </w:tcPr>
          <w:p w14:paraId="63ED44D2" w14:textId="77777777" w:rsidR="007C525D" w:rsidRDefault="007C757A">
            <w:pPr>
              <w:pStyle w:val="MediumGrid2-Accent11"/>
              <w:widowControl w:val="0"/>
              <w:spacing w:before="170" w:after="0" w:line="240" w:lineRule="auto"/>
            </w:pPr>
            <w:r>
              <w:t>+14 days</w:t>
            </w:r>
          </w:p>
        </w:tc>
        <w:tc>
          <w:tcPr>
            <w:tcW w:w="1267" w:type="dxa"/>
            <w:tcBorders>
              <w:top w:val="single" w:sz="4" w:space="0" w:color="000000"/>
              <w:left w:val="single" w:sz="4" w:space="0" w:color="000000"/>
              <w:bottom w:val="single" w:sz="4" w:space="0" w:color="000000"/>
              <w:right w:val="single" w:sz="4" w:space="0" w:color="000000"/>
            </w:tcBorders>
            <w:shd w:val="clear" w:color="auto" w:fill="FFC000"/>
          </w:tcPr>
          <w:p w14:paraId="20762839" w14:textId="77777777" w:rsidR="007C525D" w:rsidRDefault="007C757A">
            <w:pPr>
              <w:pStyle w:val="MediumGrid2-Accent11"/>
              <w:widowControl w:val="0"/>
              <w:spacing w:before="170" w:after="0" w:line="240" w:lineRule="auto"/>
            </w:pPr>
            <w:r>
              <w:t>+14 days</w:t>
            </w:r>
          </w:p>
        </w:tc>
        <w:tc>
          <w:tcPr>
            <w:tcW w:w="125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F1D6D0" w14:textId="77777777" w:rsidR="007C525D" w:rsidRDefault="007C757A">
            <w:pPr>
              <w:pStyle w:val="BodyText"/>
              <w:widowControl w:val="0"/>
            </w:pPr>
            <w:r>
              <w:rPr>
                <w:rFonts w:ascii="Calibri" w:hAnsi="Calibri"/>
                <w:i w:val="0"/>
                <w:sz w:val="23"/>
                <w:szCs w:val="23"/>
              </w:rPr>
              <w:t>+21 days</w:t>
            </w:r>
          </w:p>
        </w:tc>
      </w:tr>
      <w:tr w:rsidR="007C525D" w14:paraId="09FEBD0F"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AE81" w14:textId="77777777" w:rsidR="007C525D" w:rsidRDefault="007C757A">
            <w:pPr>
              <w:pStyle w:val="MediumGrid2-Accent11"/>
              <w:widowControl w:val="0"/>
              <w:spacing w:after="0" w:line="240" w:lineRule="auto"/>
              <w:jc w:val="left"/>
            </w:pPr>
            <w:r>
              <w:rPr>
                <w:sz w:val="22"/>
                <w:szCs w:val="22"/>
              </w:rPr>
              <w:t>Discuss study with parent/guardian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A55F8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C7FC" w14:textId="77777777" w:rsidR="007C525D" w:rsidRDefault="007C525D">
            <w:pPr>
              <w:pStyle w:val="MediumGrid2-Accent11"/>
              <w:widowControl w:val="0"/>
              <w:spacing w:after="0" w:line="240" w:lineRule="auto"/>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795AF7BE"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DF3520" w14:textId="77777777" w:rsidR="007C525D" w:rsidRDefault="007C525D">
            <w:pPr>
              <w:pStyle w:val="MediumGrid2-Accent11"/>
              <w:widowControl w:val="0"/>
              <w:spacing w:after="0" w:line="240" w:lineRule="auto"/>
              <w:rPr>
                <w:rFonts w:cs="Tahoma"/>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B05E544" w14:textId="77777777" w:rsidR="007C525D" w:rsidRDefault="007C525D">
            <w:pPr>
              <w:pStyle w:val="MediumGrid2-Accent11"/>
              <w:widowControl w:val="0"/>
              <w:spacing w:after="0" w:line="240" w:lineRule="auto"/>
              <w:rPr>
                <w:rFonts w:cs="Tahoma"/>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36FA" w14:textId="77777777" w:rsidR="007C525D" w:rsidRDefault="007C525D">
            <w:pPr>
              <w:pStyle w:val="MediumGrid2-Accent11"/>
              <w:widowControl w:val="0"/>
              <w:spacing w:after="0" w:line="240" w:lineRule="auto"/>
              <w:rPr>
                <w:rFonts w:cs="Tahoma"/>
                <w:sz w:val="22"/>
                <w:szCs w:val="22"/>
                <w:lang w:eastAsia="en-GB"/>
              </w:rPr>
            </w:pPr>
          </w:p>
        </w:tc>
      </w:tr>
      <w:tr w:rsidR="007C525D" w14:paraId="4044368C" w14:textId="77777777">
        <w:trPr>
          <w:trHeight w:val="368"/>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B0AF" w14:textId="77777777" w:rsidR="007C525D" w:rsidRDefault="007C757A">
            <w:pPr>
              <w:pStyle w:val="MediumGrid2-Accent11"/>
              <w:widowControl w:val="0"/>
              <w:spacing w:after="0" w:line="240" w:lineRule="auto"/>
            </w:pPr>
            <w:r>
              <w:rPr>
                <w:rFonts w:cs="Tahoma"/>
                <w:sz w:val="22"/>
                <w:szCs w:val="22"/>
                <w:lang w:eastAsia="en-GB"/>
              </w:rPr>
              <w:t>Eligibility check</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31E0F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86A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92E3765"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D0FFF66" w14:textId="77777777" w:rsidR="007C525D" w:rsidRDefault="007C525D">
            <w:pPr>
              <w:pStyle w:val="MediumGrid2-Accent11"/>
              <w:widowControl w:val="0"/>
              <w:spacing w:after="0" w:line="240" w:lineRule="auto"/>
              <w:rPr>
                <w:rFonts w:cs="Tahoma"/>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9C5C080" w14:textId="77777777" w:rsidR="007C525D" w:rsidRDefault="007C525D">
            <w:pPr>
              <w:pStyle w:val="MediumGrid2-Accent11"/>
              <w:widowControl w:val="0"/>
              <w:spacing w:after="0" w:line="240" w:lineRule="auto"/>
              <w:rPr>
                <w:rFonts w:cs="Tahoma"/>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BD2D" w14:textId="77777777" w:rsidR="007C525D" w:rsidRDefault="007C525D">
            <w:pPr>
              <w:pStyle w:val="MediumGrid2-Accent11"/>
              <w:widowControl w:val="0"/>
              <w:spacing w:after="0" w:line="240" w:lineRule="auto"/>
              <w:rPr>
                <w:rFonts w:cs="Tahoma"/>
                <w:sz w:val="22"/>
                <w:szCs w:val="22"/>
                <w:lang w:eastAsia="en-GB"/>
              </w:rPr>
            </w:pPr>
          </w:p>
        </w:tc>
      </w:tr>
      <w:tr w:rsidR="007C525D" w14:paraId="6620CC51" w14:textId="77777777">
        <w:trPr>
          <w:trHeight w:val="371"/>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727A" w14:textId="77777777" w:rsidR="007C525D" w:rsidRDefault="007C757A">
            <w:pPr>
              <w:pStyle w:val="MediumGrid2-Accent11"/>
              <w:widowControl w:val="0"/>
              <w:spacing w:after="0" w:line="240" w:lineRule="auto"/>
            </w:pPr>
            <w:r>
              <w:rPr>
                <w:rFonts w:cs="Tahoma"/>
                <w:sz w:val="22"/>
                <w:szCs w:val="22"/>
                <w:lang w:eastAsia="en-GB"/>
              </w:rPr>
              <w:t>Informed consent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74D6F1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84B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F10607E"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25271BA" w14:textId="77777777" w:rsidR="007C525D" w:rsidRDefault="007C525D">
            <w:pPr>
              <w:pStyle w:val="MediumGrid2-Accent11"/>
              <w:widowControl w:val="0"/>
              <w:spacing w:after="0" w:line="240" w:lineRule="auto"/>
              <w:rPr>
                <w:rFonts w:cs="Tahoma"/>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FE1D000" w14:textId="77777777" w:rsidR="007C525D" w:rsidRDefault="007C525D">
            <w:pPr>
              <w:pStyle w:val="MediumGrid2-Accent11"/>
              <w:widowControl w:val="0"/>
              <w:spacing w:after="0" w:line="240" w:lineRule="auto"/>
              <w:rPr>
                <w:rFonts w:cs="Tahoma"/>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56B43" w14:textId="77777777" w:rsidR="007C525D" w:rsidRDefault="007C525D">
            <w:pPr>
              <w:pStyle w:val="MediumGrid2-Accent11"/>
              <w:widowControl w:val="0"/>
              <w:spacing w:after="0" w:line="240" w:lineRule="auto"/>
              <w:rPr>
                <w:rFonts w:cs="Tahoma"/>
                <w:sz w:val="22"/>
                <w:szCs w:val="22"/>
                <w:lang w:eastAsia="en-GB"/>
              </w:rPr>
            </w:pPr>
          </w:p>
        </w:tc>
      </w:tr>
      <w:tr w:rsidR="007C525D" w14:paraId="5697D7D6"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3D9C" w14:textId="77777777" w:rsidR="007C525D" w:rsidRDefault="007C757A">
            <w:pPr>
              <w:pStyle w:val="MediumGrid2-Accent11"/>
              <w:widowControl w:val="0"/>
              <w:spacing w:after="0" w:line="240" w:lineRule="auto"/>
              <w:rPr>
                <w:sz w:val="22"/>
                <w:szCs w:val="22"/>
              </w:rPr>
            </w:pPr>
            <w:r>
              <w:rPr>
                <w:sz w:val="22"/>
                <w:szCs w:val="22"/>
              </w:rPr>
              <w:t>Collection of demographic data</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88738A7" w14:textId="77777777" w:rsidR="007C525D" w:rsidRDefault="007C525D">
            <w:pPr>
              <w:pStyle w:val="MediumGrid2-Accent11"/>
              <w:widowControl w:val="0"/>
              <w:spacing w:after="0" w:line="240" w:lineRule="auto"/>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343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501CC46"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06512D" w14:textId="77777777" w:rsidR="007C525D" w:rsidRDefault="007C525D">
            <w:pPr>
              <w:pStyle w:val="MediumGrid2-Accent11"/>
              <w:widowControl w:val="0"/>
              <w:spacing w:after="0" w:line="240" w:lineRule="auto"/>
              <w:rPr>
                <w:rFonts w:cs="Tahoma"/>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A650A94" w14:textId="77777777" w:rsidR="007C525D" w:rsidRDefault="007C525D">
            <w:pPr>
              <w:pStyle w:val="MediumGrid2-Accent11"/>
              <w:widowControl w:val="0"/>
              <w:spacing w:after="0" w:line="240" w:lineRule="auto"/>
              <w:rPr>
                <w:rFonts w:cs="Tahoma"/>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CACD" w14:textId="77777777" w:rsidR="007C525D" w:rsidRDefault="007C525D">
            <w:pPr>
              <w:pStyle w:val="MediumGrid2-Accent11"/>
              <w:widowControl w:val="0"/>
              <w:spacing w:after="0" w:line="240" w:lineRule="auto"/>
              <w:rPr>
                <w:rFonts w:cs="Tahoma"/>
                <w:sz w:val="22"/>
                <w:szCs w:val="22"/>
                <w:lang w:eastAsia="en-GB"/>
              </w:rPr>
            </w:pPr>
          </w:p>
        </w:tc>
      </w:tr>
      <w:tr w:rsidR="007C525D" w14:paraId="12F61FC5" w14:textId="77777777">
        <w:trPr>
          <w:trHeight w:val="51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23E1" w14:textId="77777777" w:rsidR="007C525D" w:rsidRDefault="007C757A">
            <w:pPr>
              <w:pStyle w:val="MediumGrid2-Accent11"/>
              <w:widowControl w:val="0"/>
              <w:spacing w:after="0" w:line="240" w:lineRule="auto"/>
            </w:pPr>
            <w:r>
              <w:rPr>
                <w:rFonts w:cs="Tahoma"/>
                <w:sz w:val="22"/>
                <w:szCs w:val="22"/>
                <w:lang w:eastAsia="en-GB"/>
              </w:rPr>
              <w:lastRenderedPageBreak/>
              <w:t>Medical history</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9AD413C"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741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0EF43CB"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0892B3" w14:textId="77777777" w:rsidR="007C525D" w:rsidRDefault="007C525D">
            <w:pPr>
              <w:pStyle w:val="MediumGrid2-Accent11"/>
              <w:widowControl w:val="0"/>
              <w:spacing w:after="0" w:line="240" w:lineRule="auto"/>
              <w:rPr>
                <w:rFonts w:cs="Tahoma"/>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11F0893D" w14:textId="77777777" w:rsidR="007C525D" w:rsidRDefault="007C525D">
            <w:pPr>
              <w:pStyle w:val="MediumGrid2-Accent11"/>
              <w:widowControl w:val="0"/>
              <w:spacing w:after="0" w:line="240" w:lineRule="auto"/>
              <w:rPr>
                <w:rFonts w:cs="Tahoma"/>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A314" w14:textId="77777777" w:rsidR="007C525D" w:rsidRDefault="007C525D">
            <w:pPr>
              <w:pStyle w:val="MediumGrid2-Accent11"/>
              <w:widowControl w:val="0"/>
              <w:spacing w:after="0" w:line="240" w:lineRule="auto"/>
              <w:rPr>
                <w:rFonts w:cs="Tahoma"/>
                <w:sz w:val="22"/>
                <w:szCs w:val="22"/>
                <w:lang w:eastAsia="en-GB"/>
              </w:rPr>
            </w:pPr>
          </w:p>
        </w:tc>
      </w:tr>
      <w:tr w:rsidR="007C525D" w14:paraId="413D2085"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7275" w14:textId="77777777" w:rsidR="007C525D" w:rsidRDefault="007C757A">
            <w:pPr>
              <w:pStyle w:val="MediumGrid2-Accent11"/>
              <w:widowControl w:val="0"/>
              <w:spacing w:after="0" w:line="240" w:lineRule="auto"/>
            </w:pPr>
            <w:r>
              <w:rPr>
                <w:rFonts w:cs="Tahoma"/>
                <w:sz w:val="22"/>
                <w:szCs w:val="22"/>
                <w:lang w:eastAsia="en-GB"/>
              </w:rPr>
              <w:t>Concomitant medication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58C9438"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1E8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DE225F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7D6315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F2ED50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51C2" w14:textId="77777777" w:rsidR="007C525D" w:rsidRDefault="007C757A">
            <w:pPr>
              <w:pStyle w:val="LightGrid-Accent31"/>
              <w:widowControl w:val="0"/>
              <w:ind w:left="0"/>
            </w:pPr>
            <w:r>
              <w:t>✓</w:t>
            </w:r>
          </w:p>
        </w:tc>
      </w:tr>
      <w:tr w:rsidR="007C525D" w14:paraId="0BF74D09"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6C21" w14:textId="77777777" w:rsidR="007C525D" w:rsidRDefault="007C757A">
            <w:pPr>
              <w:pStyle w:val="MediumGrid2-Accent11"/>
              <w:widowControl w:val="0"/>
              <w:spacing w:after="0" w:line="240" w:lineRule="auto"/>
            </w:pPr>
            <w:r>
              <w:rPr>
                <w:rFonts w:cs="Tahoma"/>
                <w:sz w:val="22"/>
                <w:szCs w:val="22"/>
                <w:lang w:eastAsia="en-GB"/>
              </w:rPr>
              <w:t>Record of physical examination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DE2085B"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740C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B2D1B90"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873429" w14:textId="77777777" w:rsidR="007C525D" w:rsidRDefault="007C525D">
            <w:pPr>
              <w:pStyle w:val="MediumGrid2-Accent11"/>
              <w:widowControl w:val="0"/>
              <w:spacing w:after="0" w:line="240" w:lineRule="auto"/>
              <w:rPr>
                <w:rFonts w:cs="Tahoma"/>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9E8E25C" w14:textId="77777777" w:rsidR="007C525D" w:rsidRDefault="007C525D">
            <w:pPr>
              <w:pStyle w:val="MediumGrid2-Accent11"/>
              <w:widowControl w:val="0"/>
              <w:spacing w:after="0" w:line="240" w:lineRule="auto"/>
              <w:rPr>
                <w:rFonts w:cs="Tahoma"/>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B89D" w14:textId="77777777" w:rsidR="007C525D" w:rsidRDefault="007C525D">
            <w:pPr>
              <w:pStyle w:val="MediumGrid2-Accent11"/>
              <w:widowControl w:val="0"/>
              <w:spacing w:after="0" w:line="240" w:lineRule="auto"/>
              <w:rPr>
                <w:rFonts w:cs="Tahoma"/>
                <w:sz w:val="22"/>
                <w:szCs w:val="22"/>
                <w:lang w:eastAsia="en-GB"/>
              </w:rPr>
            </w:pPr>
          </w:p>
        </w:tc>
      </w:tr>
      <w:tr w:rsidR="007C525D" w14:paraId="12A0D84A"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F843" w14:textId="77777777" w:rsidR="007C525D" w:rsidRDefault="007C757A">
            <w:pPr>
              <w:pStyle w:val="MediumGrid2-Accent11"/>
              <w:widowControl w:val="0"/>
              <w:spacing w:after="0" w:line="240" w:lineRule="auto"/>
              <w:rPr>
                <w:sz w:val="22"/>
                <w:szCs w:val="22"/>
              </w:rPr>
            </w:pPr>
            <w:r>
              <w:rPr>
                <w:sz w:val="22"/>
                <w:szCs w:val="22"/>
              </w:rPr>
              <w:t>Measurement of temperature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0AD956"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9E8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00E2BE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AB74A1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4A1E99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FC4C" w14:textId="77777777" w:rsidR="007C525D" w:rsidRDefault="007C525D">
            <w:pPr>
              <w:pStyle w:val="MediumGrid2-Accent11"/>
              <w:widowControl w:val="0"/>
              <w:spacing w:after="0" w:line="240" w:lineRule="auto"/>
              <w:rPr>
                <w:rFonts w:cs="Tahoma"/>
                <w:sz w:val="22"/>
                <w:szCs w:val="22"/>
                <w:lang w:eastAsia="en-GB"/>
              </w:rPr>
            </w:pPr>
          </w:p>
        </w:tc>
      </w:tr>
      <w:tr w:rsidR="007C525D" w14:paraId="159328BF" w14:textId="77777777">
        <w:trPr>
          <w:trHeight w:val="388"/>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638D8" w14:textId="77777777" w:rsidR="007C525D" w:rsidRDefault="007C757A">
            <w:pPr>
              <w:pStyle w:val="MediumGrid2-Accent11"/>
              <w:widowControl w:val="0"/>
              <w:spacing w:after="0" w:line="240" w:lineRule="auto"/>
            </w:pPr>
            <w:r>
              <w:rPr>
                <w:rFonts w:cs="Tahoma"/>
                <w:sz w:val="22"/>
                <w:szCs w:val="22"/>
                <w:lang w:eastAsia="en-GB"/>
              </w:rPr>
              <w:t>Randomisation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10F8586"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0AF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6EC9DA5" w14:textId="77777777" w:rsidR="007C525D" w:rsidRDefault="007C525D">
            <w:pPr>
              <w:pStyle w:val="MediumGrid2-Accent11"/>
              <w:widowControl w:val="0"/>
              <w:spacing w:after="0" w:line="240" w:lineRule="auto"/>
              <w:rPr>
                <w:rFonts w:cs="Segoe UI Symbol"/>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E68B369" w14:textId="77777777" w:rsidR="007C525D" w:rsidRDefault="007C525D">
            <w:pPr>
              <w:pStyle w:val="MediumGrid2-Accent11"/>
              <w:widowControl w:val="0"/>
              <w:spacing w:after="0" w:line="240" w:lineRule="auto"/>
              <w:rPr>
                <w:rFonts w:cs="Segoe UI Symbol"/>
                <w:sz w:val="22"/>
                <w:szCs w:val="22"/>
                <w:lang w:eastAsia="en-GB"/>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1B78F46" w14:textId="77777777" w:rsidR="007C525D" w:rsidRDefault="007C525D">
            <w:pPr>
              <w:pStyle w:val="MediumGrid2-Accent11"/>
              <w:widowControl w:val="0"/>
              <w:spacing w:after="0" w:line="240" w:lineRule="auto"/>
              <w:rPr>
                <w:rFonts w:cs="Segoe UI Symbol"/>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038E3" w14:textId="77777777" w:rsidR="007C525D" w:rsidRDefault="007C525D">
            <w:pPr>
              <w:pStyle w:val="MediumGrid2-Accent11"/>
              <w:widowControl w:val="0"/>
              <w:spacing w:after="0" w:line="240" w:lineRule="auto"/>
              <w:rPr>
                <w:rFonts w:cs="Tahoma"/>
                <w:sz w:val="22"/>
                <w:szCs w:val="22"/>
                <w:lang w:eastAsia="en-GB"/>
              </w:rPr>
            </w:pPr>
          </w:p>
        </w:tc>
      </w:tr>
      <w:tr w:rsidR="007C525D" w14:paraId="4EE14212"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D76A" w14:textId="77777777" w:rsidR="007C525D" w:rsidRDefault="007C757A">
            <w:pPr>
              <w:pStyle w:val="MediumGrid2-Accent11"/>
              <w:widowControl w:val="0"/>
              <w:spacing w:after="0" w:line="240" w:lineRule="auto"/>
            </w:pPr>
            <w:r>
              <w:rPr>
                <w:rFonts w:cs="Tahoma"/>
                <w:sz w:val="22"/>
                <w:szCs w:val="22"/>
                <w:lang w:eastAsia="en-GB"/>
              </w:rPr>
              <w:t>Dispensing of vaccines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EAE7E9"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866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964C09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3D352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C2CD9E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70BA" w14:textId="77777777" w:rsidR="007C525D" w:rsidRDefault="007C525D">
            <w:pPr>
              <w:pStyle w:val="MediumGrid2-Accent11"/>
              <w:widowControl w:val="0"/>
              <w:spacing w:after="0" w:line="240" w:lineRule="auto"/>
              <w:rPr>
                <w:rFonts w:cs="Tahoma"/>
                <w:sz w:val="22"/>
                <w:szCs w:val="22"/>
                <w:lang w:eastAsia="en-GB"/>
              </w:rPr>
            </w:pPr>
          </w:p>
        </w:tc>
      </w:tr>
      <w:tr w:rsidR="007C525D" w14:paraId="20BC639A"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96B7" w14:textId="77777777" w:rsidR="007C525D" w:rsidRDefault="007C757A">
            <w:pPr>
              <w:pStyle w:val="MediumGrid2-Accent11"/>
              <w:widowControl w:val="0"/>
              <w:spacing w:after="0" w:line="240" w:lineRule="auto"/>
            </w:pPr>
            <w:r>
              <w:rPr>
                <w:rFonts w:cs="Tahoma"/>
                <w:sz w:val="22"/>
                <w:szCs w:val="22"/>
                <w:lang w:eastAsia="en-GB"/>
              </w:rPr>
              <w:t>Vaccination with Bexsero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92ACB8"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8D83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98AEFB2" w14:textId="77777777" w:rsidR="007C525D" w:rsidRDefault="007C757A">
            <w:pPr>
              <w:pStyle w:val="MediumGrid2-Accent11"/>
              <w:widowControl w:val="0"/>
              <w:spacing w:after="0" w:line="240" w:lineRule="auto"/>
              <w:rPr>
                <w:rFonts w:ascii="Segoe UI Symbol" w:hAnsi="Segoe UI Symbol" w:cs="Segoe UI Symbol"/>
                <w:sz w:val="22"/>
                <w:szCs w:val="22"/>
                <w:lang w:eastAsia="en-GB"/>
              </w:rPr>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21A7155" w14:textId="77777777" w:rsidR="007C525D" w:rsidRDefault="007C525D">
            <w:pPr>
              <w:pStyle w:val="MediumGrid2-Accent11"/>
              <w:widowControl w:val="0"/>
              <w:spacing w:after="0" w:line="240" w:lineRule="auto"/>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B7A926A"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9963" w14:textId="77777777" w:rsidR="007C525D" w:rsidRDefault="007C525D">
            <w:pPr>
              <w:pStyle w:val="MediumGrid2-Accent11"/>
              <w:widowControl w:val="0"/>
              <w:spacing w:after="0" w:line="240" w:lineRule="auto"/>
              <w:rPr>
                <w:rFonts w:cs="Tahoma"/>
                <w:sz w:val="22"/>
                <w:szCs w:val="22"/>
                <w:lang w:eastAsia="en-GB"/>
              </w:rPr>
            </w:pPr>
          </w:p>
        </w:tc>
      </w:tr>
      <w:tr w:rsidR="007C525D" w14:paraId="06CF7FEB" w14:textId="77777777">
        <w:trPr>
          <w:trHeight w:val="259"/>
        </w:trPr>
        <w:tc>
          <w:tcPr>
            <w:tcW w:w="2024" w:type="dxa"/>
            <w:tcBorders>
              <w:left w:val="single" w:sz="4" w:space="0" w:color="000000"/>
              <w:bottom w:val="single" w:sz="4" w:space="0" w:color="000000"/>
              <w:right w:val="single" w:sz="4" w:space="0" w:color="000000"/>
            </w:tcBorders>
            <w:shd w:val="clear" w:color="auto" w:fill="auto"/>
            <w:vAlign w:val="center"/>
          </w:tcPr>
          <w:p w14:paraId="7645CF80" w14:textId="77777777" w:rsidR="007C525D" w:rsidRDefault="007C757A">
            <w:pPr>
              <w:pStyle w:val="MediumGrid2-Accent11"/>
              <w:widowControl w:val="0"/>
              <w:spacing w:after="0" w:line="240" w:lineRule="auto"/>
            </w:pPr>
            <w:r>
              <w:t>Vaccination with PCV13</w:t>
            </w:r>
          </w:p>
        </w:tc>
        <w:tc>
          <w:tcPr>
            <w:tcW w:w="1414" w:type="dxa"/>
            <w:tcBorders>
              <w:left w:val="single" w:sz="4" w:space="0" w:color="000000"/>
              <w:bottom w:val="single" w:sz="4" w:space="0" w:color="000000"/>
              <w:right w:val="single" w:sz="4" w:space="0" w:color="000000"/>
            </w:tcBorders>
            <w:shd w:val="clear" w:color="auto" w:fill="auto"/>
          </w:tcPr>
          <w:p w14:paraId="6F36696B"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left w:val="single" w:sz="4" w:space="0" w:color="000000"/>
              <w:bottom w:val="single" w:sz="4" w:space="0" w:color="000000"/>
              <w:right w:val="single" w:sz="4" w:space="0" w:color="000000"/>
            </w:tcBorders>
            <w:shd w:val="clear" w:color="auto" w:fill="auto"/>
            <w:vAlign w:val="center"/>
          </w:tcPr>
          <w:p w14:paraId="15771AE5" w14:textId="77777777" w:rsidR="007C525D" w:rsidRDefault="007C525D">
            <w:pPr>
              <w:pStyle w:val="MediumGrid2-Accent11"/>
              <w:widowControl w:val="0"/>
              <w:spacing w:after="0" w:line="240" w:lineRule="auto"/>
            </w:pPr>
          </w:p>
        </w:tc>
        <w:tc>
          <w:tcPr>
            <w:tcW w:w="1268" w:type="dxa"/>
            <w:tcBorders>
              <w:left w:val="single" w:sz="4" w:space="0" w:color="000000"/>
              <w:bottom w:val="single" w:sz="4" w:space="0" w:color="000000"/>
              <w:right w:val="single" w:sz="4" w:space="0" w:color="000000"/>
            </w:tcBorders>
            <w:shd w:val="clear" w:color="auto" w:fill="auto"/>
          </w:tcPr>
          <w:p w14:paraId="154F81C2" w14:textId="77777777" w:rsidR="007C525D" w:rsidRDefault="007C525D">
            <w:pPr>
              <w:pStyle w:val="MediumGrid2-Accent11"/>
              <w:widowControl w:val="0"/>
              <w:spacing w:after="0" w:line="240" w:lineRule="auto"/>
              <w:rPr>
                <w:rFonts w:ascii="Segoe UI Symbol" w:hAnsi="Segoe UI Symbol" w:cs="Segoe UI Symbol"/>
                <w:sz w:val="22"/>
                <w:szCs w:val="22"/>
                <w:lang w:eastAsia="en-GB"/>
              </w:rPr>
            </w:pPr>
          </w:p>
        </w:tc>
        <w:tc>
          <w:tcPr>
            <w:tcW w:w="1271" w:type="dxa"/>
            <w:tcBorders>
              <w:left w:val="single" w:sz="4" w:space="0" w:color="000000"/>
              <w:bottom w:val="single" w:sz="4" w:space="0" w:color="000000"/>
              <w:right w:val="single" w:sz="4" w:space="0" w:color="000000"/>
            </w:tcBorders>
            <w:shd w:val="clear" w:color="auto" w:fill="auto"/>
          </w:tcPr>
          <w:p w14:paraId="2631BCA8" w14:textId="77777777" w:rsidR="007C525D" w:rsidRDefault="007C757A">
            <w:pPr>
              <w:pStyle w:val="MediumGrid2-Accent11"/>
              <w:widowControl w:val="0"/>
              <w:spacing w:after="0" w:line="240" w:lineRule="auto"/>
            </w:pPr>
            <w:r>
              <w:t>✓</w:t>
            </w:r>
          </w:p>
        </w:tc>
        <w:tc>
          <w:tcPr>
            <w:tcW w:w="1267" w:type="dxa"/>
            <w:tcBorders>
              <w:left w:val="single" w:sz="4" w:space="0" w:color="000000"/>
              <w:bottom w:val="single" w:sz="4" w:space="0" w:color="000000"/>
              <w:right w:val="single" w:sz="4" w:space="0" w:color="000000"/>
            </w:tcBorders>
            <w:shd w:val="clear" w:color="auto" w:fill="auto"/>
          </w:tcPr>
          <w:p w14:paraId="5D1F2FF4" w14:textId="77777777" w:rsidR="007C525D" w:rsidRDefault="007C525D">
            <w:pPr>
              <w:pStyle w:val="MediumGrid2-Accent11"/>
              <w:widowControl w:val="0"/>
              <w:spacing w:after="0" w:line="240" w:lineRule="auto"/>
            </w:pPr>
          </w:p>
        </w:tc>
        <w:tc>
          <w:tcPr>
            <w:tcW w:w="1255" w:type="dxa"/>
            <w:tcBorders>
              <w:left w:val="single" w:sz="4" w:space="0" w:color="000000"/>
              <w:bottom w:val="single" w:sz="4" w:space="0" w:color="000000"/>
              <w:right w:val="single" w:sz="4" w:space="0" w:color="000000"/>
            </w:tcBorders>
            <w:shd w:val="clear" w:color="auto" w:fill="auto"/>
            <w:vAlign w:val="center"/>
          </w:tcPr>
          <w:p w14:paraId="107F82F4" w14:textId="77777777" w:rsidR="007C525D" w:rsidRDefault="007C525D">
            <w:pPr>
              <w:pStyle w:val="MediumGrid2-Accent11"/>
              <w:widowControl w:val="0"/>
              <w:spacing w:after="0" w:line="240" w:lineRule="auto"/>
              <w:rPr>
                <w:rFonts w:cs="Tahoma"/>
                <w:sz w:val="22"/>
                <w:szCs w:val="22"/>
                <w:lang w:eastAsia="en-GB"/>
              </w:rPr>
            </w:pPr>
          </w:p>
        </w:tc>
      </w:tr>
      <w:tr w:rsidR="007C525D" w14:paraId="68A2C438"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1377" w14:textId="77777777" w:rsidR="007C525D" w:rsidRDefault="007C757A">
            <w:pPr>
              <w:pStyle w:val="MediumGrid2-Accent11"/>
              <w:widowControl w:val="0"/>
              <w:spacing w:after="0" w:line="240" w:lineRule="auto"/>
            </w:pPr>
            <w:r>
              <w:rPr>
                <w:rFonts w:cs="Tahoma"/>
                <w:sz w:val="22"/>
                <w:szCs w:val="22"/>
                <w:lang w:eastAsia="en-GB"/>
              </w:rPr>
              <w:t>Vaccination with routine vaccines*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D6A5CD"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A70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D4C880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0C048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6416BD0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BDC3" w14:textId="77777777" w:rsidR="007C525D" w:rsidRDefault="007C525D">
            <w:pPr>
              <w:pStyle w:val="MediumGrid2-Accent11"/>
              <w:widowControl w:val="0"/>
              <w:spacing w:after="0" w:line="240" w:lineRule="auto"/>
              <w:rPr>
                <w:rFonts w:cs="Tahoma"/>
                <w:sz w:val="22"/>
                <w:szCs w:val="22"/>
                <w:lang w:eastAsia="en-GB"/>
              </w:rPr>
            </w:pPr>
          </w:p>
        </w:tc>
      </w:tr>
      <w:tr w:rsidR="007C525D" w14:paraId="3599F1CF"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8524" w14:textId="77777777" w:rsidR="007C525D" w:rsidRDefault="007C757A">
            <w:pPr>
              <w:pStyle w:val="MediumGrid2-Accent11"/>
              <w:widowControl w:val="0"/>
              <w:spacing w:after="0" w:line="240" w:lineRule="auto"/>
            </w:pPr>
            <w:r>
              <w:rPr>
                <w:rFonts w:cs="Tahoma"/>
                <w:sz w:val="22"/>
                <w:szCs w:val="22"/>
                <w:lang w:eastAsia="en-GB"/>
              </w:rPr>
              <w:t>Observation following vaccine administration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A568607"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08D1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71271D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9A5486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14D84DD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45EA" w14:textId="77777777" w:rsidR="007C525D" w:rsidRDefault="007C525D">
            <w:pPr>
              <w:pStyle w:val="MediumGrid2-Accent11"/>
              <w:widowControl w:val="0"/>
              <w:spacing w:after="0" w:line="240" w:lineRule="auto"/>
              <w:rPr>
                <w:rFonts w:cs="Tahoma"/>
                <w:sz w:val="22"/>
                <w:szCs w:val="22"/>
                <w:lang w:eastAsia="en-GB"/>
              </w:rPr>
            </w:pPr>
          </w:p>
        </w:tc>
      </w:tr>
      <w:tr w:rsidR="007C525D" w14:paraId="6D9839E4"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56D5" w14:textId="77777777" w:rsidR="007C525D" w:rsidRDefault="007C757A">
            <w:pPr>
              <w:pStyle w:val="MediumGrid2-Accent11"/>
              <w:widowControl w:val="0"/>
              <w:spacing w:after="0" w:line="240" w:lineRule="auto"/>
            </w:pPr>
            <w:r>
              <w:rPr>
                <w:rFonts w:cs="Tahoma"/>
                <w:sz w:val="22"/>
                <w:szCs w:val="22"/>
                <w:lang w:eastAsia="en-GB"/>
              </w:rPr>
              <w:t>Completion of red book and letter to GP</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B611E8"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B3B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ED15E4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11ADD5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EA9ABF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20E2" w14:textId="77777777" w:rsidR="007C525D" w:rsidRDefault="007C525D">
            <w:pPr>
              <w:pStyle w:val="MediumGrid2-Accent11"/>
              <w:widowControl w:val="0"/>
              <w:spacing w:after="0" w:line="240" w:lineRule="auto"/>
              <w:rPr>
                <w:rFonts w:cs="Tahoma"/>
                <w:sz w:val="22"/>
                <w:szCs w:val="22"/>
                <w:lang w:eastAsia="en-GB"/>
              </w:rPr>
            </w:pPr>
          </w:p>
        </w:tc>
      </w:tr>
      <w:tr w:rsidR="007C525D" w14:paraId="10A707BD"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DE16" w14:textId="77777777" w:rsidR="007C525D" w:rsidRDefault="007C757A">
            <w:pPr>
              <w:pStyle w:val="MediumGrid2-Accent11"/>
              <w:widowControl w:val="0"/>
              <w:spacing w:after="0" w:line="240" w:lineRule="auto"/>
              <w:rPr>
                <w:sz w:val="22"/>
                <w:szCs w:val="22"/>
              </w:rPr>
            </w:pPr>
            <w:r>
              <w:rPr>
                <w:sz w:val="22"/>
                <w:szCs w:val="22"/>
              </w:rPr>
              <w:t>Review of temporary contraindications for</w:t>
            </w:r>
          </w:p>
          <w:p w14:paraId="70E1A803" w14:textId="77777777" w:rsidR="007C525D" w:rsidRDefault="007C757A">
            <w:pPr>
              <w:pStyle w:val="MediumGrid2-Accent11"/>
              <w:widowControl w:val="0"/>
              <w:spacing w:after="0" w:line="240" w:lineRule="auto"/>
              <w:rPr>
                <w:sz w:val="22"/>
                <w:szCs w:val="22"/>
              </w:rPr>
            </w:pPr>
            <w:r>
              <w:rPr>
                <w:sz w:val="22"/>
                <w:szCs w:val="22"/>
              </w:rPr>
              <w:t>blood sampling</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BF779DF"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2061" w14:textId="77777777" w:rsidR="007C525D" w:rsidRDefault="007C525D">
            <w:pPr>
              <w:pStyle w:val="MediumGrid2-Accent11"/>
              <w:widowControl w:val="0"/>
              <w:spacing w:after="0" w:line="240" w:lineRule="auto"/>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45E5DDD7" w14:textId="77777777" w:rsidR="007C525D" w:rsidRDefault="007C525D">
            <w:pPr>
              <w:pStyle w:val="MediumGrid2-Accent11"/>
              <w:widowControl w:val="0"/>
              <w:spacing w:after="0" w:line="240" w:lineRule="auto"/>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7C483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0EB358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5EAD" w14:textId="77777777" w:rsidR="007C525D" w:rsidRDefault="007C757A">
            <w:pPr>
              <w:pStyle w:val="LightGrid-Accent31"/>
              <w:widowControl w:val="0"/>
              <w:spacing w:after="737"/>
              <w:ind w:left="57"/>
              <w:jc w:val="left"/>
            </w:pPr>
            <w:r>
              <w:rPr>
                <w:rFonts w:ascii="Segoe UI Symbol" w:hAnsi="Segoe UI Symbol" w:cs="Segoe UI Symbol"/>
                <w:sz w:val="22"/>
                <w:szCs w:val="22"/>
                <w:lang w:eastAsia="en-GB"/>
              </w:rPr>
              <w:t>✓</w:t>
            </w:r>
          </w:p>
        </w:tc>
      </w:tr>
      <w:tr w:rsidR="007C525D" w14:paraId="43B6B1F1" w14:textId="77777777">
        <w:trPr>
          <w:trHeight w:val="394"/>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9EEB" w14:textId="77777777" w:rsidR="007C525D" w:rsidRDefault="007C757A">
            <w:pPr>
              <w:pStyle w:val="MediumGrid2-Accent11"/>
              <w:widowControl w:val="0"/>
              <w:spacing w:after="0" w:line="240" w:lineRule="auto"/>
            </w:pPr>
            <w:r>
              <w:rPr>
                <w:rFonts w:cs="Tahoma"/>
                <w:sz w:val="22"/>
                <w:szCs w:val="22"/>
                <w:lang w:eastAsia="en-GB"/>
              </w:rPr>
              <w:t>Blood sampling</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E3DA598" w14:textId="77777777" w:rsidR="007C525D" w:rsidRDefault="007C525D">
            <w:pPr>
              <w:pStyle w:val="MediumGrid2-Accent11"/>
              <w:widowControl w:val="0"/>
              <w:spacing w:after="0" w:line="240" w:lineRule="auto"/>
              <w:rPr>
                <w:rFonts w:cs="Tahoma"/>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7464" w14:textId="77777777" w:rsidR="007C525D" w:rsidRDefault="007C525D">
            <w:pPr>
              <w:pStyle w:val="MediumGrid2-Accent11"/>
              <w:widowControl w:val="0"/>
              <w:spacing w:after="0" w:line="240" w:lineRule="auto"/>
              <w:rPr>
                <w:rFonts w:cs="Tahoma"/>
                <w:sz w:val="22"/>
                <w:szCs w:val="22"/>
                <w:lang w:eastAsia="en-G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8ABCE56"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21780F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3ABABD9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6FD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4CC2F5AE"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3E8B" w14:textId="77777777" w:rsidR="007C525D" w:rsidRDefault="007C757A">
            <w:pPr>
              <w:pStyle w:val="MediumGrid2-Accent11"/>
              <w:widowControl w:val="0"/>
              <w:spacing w:after="0" w:line="240" w:lineRule="auto"/>
            </w:pPr>
            <w:r>
              <w:rPr>
                <w:rFonts w:cs="Tahoma"/>
                <w:sz w:val="22"/>
                <w:szCs w:val="22"/>
                <w:lang w:eastAsia="en-GB"/>
              </w:rPr>
              <w:t>Processing blood samples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9CD4C16" w14:textId="77777777" w:rsidR="007C525D" w:rsidRDefault="007C525D">
            <w:pPr>
              <w:pStyle w:val="MediumGrid2-Accent11"/>
              <w:widowControl w:val="0"/>
              <w:spacing w:after="0" w:line="240" w:lineRule="auto"/>
              <w:rPr>
                <w:rFonts w:cs="Tahoma"/>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CFEB" w14:textId="77777777" w:rsidR="007C525D" w:rsidRDefault="007C525D">
            <w:pPr>
              <w:pStyle w:val="MediumGrid2-Accent11"/>
              <w:widowControl w:val="0"/>
              <w:spacing w:after="0" w:line="240" w:lineRule="auto"/>
              <w:rPr>
                <w:rFonts w:cs="Tahoma"/>
                <w:sz w:val="22"/>
                <w:szCs w:val="22"/>
                <w:lang w:eastAsia="en-G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EF141BD" w14:textId="77777777" w:rsidR="007C525D" w:rsidRDefault="007C525D">
            <w:pPr>
              <w:pStyle w:val="MediumGrid2-Accent11"/>
              <w:widowControl w:val="0"/>
              <w:spacing w:after="0" w:line="240" w:lineRule="auto"/>
              <w:rPr>
                <w:rFonts w:cs="Tahoma"/>
                <w:sz w:val="22"/>
                <w:szCs w:val="22"/>
                <w:lang w:eastAsia="en-GB"/>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873C18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BD552E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69F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3B986FED"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02F4" w14:textId="77777777" w:rsidR="007C525D" w:rsidRDefault="007C757A">
            <w:pPr>
              <w:pStyle w:val="MediumGrid2-Accent11"/>
              <w:widowControl w:val="0"/>
              <w:spacing w:after="0" w:line="240" w:lineRule="auto"/>
            </w:pPr>
            <w:r>
              <w:rPr>
                <w:rFonts w:cs="Tahoma"/>
                <w:sz w:val="22"/>
                <w:szCs w:val="22"/>
                <w:lang w:eastAsia="en-GB"/>
              </w:rPr>
              <w:t>Distribution of diary card</w:t>
            </w:r>
            <w:r w:rsidR="00886D5B">
              <w:rPr>
                <w:rFonts w:cs="Tahoma"/>
                <w:sz w:val="22"/>
                <w:szCs w:val="22"/>
                <w:lang w:eastAsia="en-GB"/>
              </w:rPr>
              <w:t>/set-up e-diary</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763650"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75A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8C4524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E96042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1C2A1E2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19FB" w14:textId="77777777" w:rsidR="007C525D" w:rsidRDefault="007C525D">
            <w:pPr>
              <w:pStyle w:val="MediumGrid2-Accent11"/>
              <w:widowControl w:val="0"/>
              <w:spacing w:after="0" w:line="240" w:lineRule="auto"/>
              <w:rPr>
                <w:rFonts w:cs="Segoe UI Symbol"/>
                <w:sz w:val="22"/>
                <w:szCs w:val="22"/>
                <w:lang w:eastAsia="en-GB"/>
              </w:rPr>
            </w:pPr>
          </w:p>
        </w:tc>
      </w:tr>
      <w:tr w:rsidR="007C525D" w14:paraId="57214603"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A459" w14:textId="77777777" w:rsidR="007C525D" w:rsidRDefault="007C757A">
            <w:pPr>
              <w:pStyle w:val="MediumGrid2-Accent11"/>
              <w:widowControl w:val="0"/>
              <w:spacing w:after="0" w:line="240" w:lineRule="auto"/>
            </w:pPr>
            <w:r>
              <w:rPr>
                <w:rFonts w:cs="Tahoma"/>
                <w:sz w:val="22"/>
                <w:szCs w:val="22"/>
                <w:lang w:eastAsia="en-GB"/>
              </w:rPr>
              <w:t>Checking diary card with parents</w:t>
            </w:r>
            <w:r w:rsidR="00886D5B">
              <w:rPr>
                <w:rFonts w:cs="Tahoma"/>
                <w:sz w:val="22"/>
                <w:szCs w:val="22"/>
                <w:lang w:eastAsia="en-GB"/>
              </w:rPr>
              <w:t xml:space="preserve"> (paper/electronic)</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D4FCE96"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2BAF" w14:textId="77777777" w:rsidR="007C525D" w:rsidRDefault="007C525D">
            <w:pPr>
              <w:pStyle w:val="MediumGrid2-Accent11"/>
              <w:widowControl w:val="0"/>
              <w:spacing w:after="0" w:line="240" w:lineRule="auto"/>
              <w:rPr>
                <w:rFonts w:cs="Segoe UI Symbol"/>
                <w:sz w:val="22"/>
                <w:szCs w:val="22"/>
                <w:lang w:eastAsia="en-G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6598E3A"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B1FCA5"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2B361AE9" w14:textId="77777777" w:rsidR="007C525D" w:rsidRDefault="007C525D">
            <w:pPr>
              <w:pStyle w:val="MediumGrid2-Accent11"/>
              <w:widowControl w:val="0"/>
              <w:spacing w:after="0" w:line="240" w:lineRule="auto"/>
              <w:rPr>
                <w:rFonts w:ascii="Segoe UI Symbol" w:hAnsi="Segoe UI Symbol" w:cs="Segoe UI Symbol"/>
                <w:sz w:val="22"/>
                <w:szCs w:val="22"/>
                <w:lang w:eastAsia="en-G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35B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5A723E8D" w14:textId="77777777">
        <w:trPr>
          <w:trHeight w:val="259"/>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D54" w14:textId="77777777" w:rsidR="007C525D" w:rsidRDefault="007C757A">
            <w:pPr>
              <w:pStyle w:val="MediumGrid2-Accent11"/>
              <w:widowControl w:val="0"/>
              <w:spacing w:after="0" w:line="240" w:lineRule="auto"/>
            </w:pPr>
            <w:r>
              <w:rPr>
                <w:rFonts w:cs="Tahoma"/>
                <w:sz w:val="22"/>
                <w:szCs w:val="22"/>
                <w:lang w:eastAsia="en-GB"/>
              </w:rPr>
              <w:t>Checking for AEs/SAEs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C7709FF" w14:textId="77777777" w:rsidR="007C525D" w:rsidRDefault="007C525D">
            <w:pPr>
              <w:pStyle w:val="MediumGrid2-Accent11"/>
              <w:widowControl w:val="0"/>
              <w:spacing w:after="0" w:line="240" w:lineRule="auto"/>
              <w:rPr>
                <w:rFonts w:cs="Segoe UI Symbol"/>
                <w:sz w:val="22"/>
                <w:szCs w:val="22"/>
                <w:lang w:eastAsia="en-GB"/>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443F" w14:textId="77777777" w:rsidR="007C525D" w:rsidRDefault="007C525D">
            <w:pPr>
              <w:pStyle w:val="MediumGrid2-Accent11"/>
              <w:widowControl w:val="0"/>
              <w:spacing w:after="0" w:line="240" w:lineRule="auto"/>
              <w:rPr>
                <w:rFonts w:cs="Segoe UI Symbol"/>
                <w:sz w:val="22"/>
                <w:szCs w:val="22"/>
                <w:lang w:eastAsia="en-GB"/>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91D8B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63498C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5AD7285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B9F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bl>
    <w:p w14:paraId="6BD690CB" w14:textId="77777777" w:rsidR="007C525D" w:rsidRDefault="007C757A">
      <w:bookmarkStart w:id="24" w:name="_Toc261532675"/>
      <w:bookmarkEnd w:id="24"/>
      <w:r>
        <w:t xml:space="preserve">* </w:t>
      </w:r>
      <w:r>
        <w:rPr>
          <w:rFonts w:ascii="Calibri" w:hAnsi="Calibri"/>
          <w:szCs w:val="22"/>
          <w:lang w:eastAsia="en-GB"/>
        </w:rPr>
        <w:t>Routine paediatric vaccines will be given to participants in all groups according to the UK immunisation schedule (Table 1)</w:t>
      </w:r>
    </w:p>
    <w:p w14:paraId="217DB954" w14:textId="77777777" w:rsidR="007C525D" w:rsidRDefault="007C757A">
      <w:pPr>
        <w:rPr>
          <w:rFonts w:ascii="Calibri" w:hAnsi="Calibri"/>
          <w:b/>
          <w:bCs/>
          <w:szCs w:val="22"/>
          <w:lang w:eastAsia="en-GB"/>
        </w:rPr>
      </w:pPr>
      <w:r>
        <w:rPr>
          <w:rFonts w:ascii="Calibri" w:hAnsi="Calibri"/>
          <w:b/>
          <w:bCs/>
          <w:szCs w:val="22"/>
          <w:lang w:eastAsia="en-GB"/>
        </w:rPr>
        <w:t>Table 2. Study Procedures - Group 2</w:t>
      </w:r>
    </w:p>
    <w:p w14:paraId="6F3B8F79" w14:textId="77777777" w:rsidR="007C757A" w:rsidRDefault="007C757A">
      <w:pPr>
        <w:rPr>
          <w:rFonts w:ascii="Calibri" w:hAnsi="Calibri"/>
          <w:b/>
          <w:bCs/>
          <w:szCs w:val="22"/>
          <w:lang w:eastAsia="en-GB"/>
        </w:rPr>
      </w:pPr>
    </w:p>
    <w:p w14:paraId="5AFC0B7E" w14:textId="77777777" w:rsidR="007C757A" w:rsidRDefault="007C757A">
      <w:pPr>
        <w:rPr>
          <w:rFonts w:ascii="Calibri" w:hAnsi="Calibri"/>
          <w:b/>
          <w:bCs/>
          <w:szCs w:val="22"/>
          <w:lang w:eastAsia="en-GB"/>
        </w:rPr>
      </w:pPr>
    </w:p>
    <w:p w14:paraId="1251C867" w14:textId="77777777" w:rsidR="007C757A" w:rsidRDefault="007C757A">
      <w:pPr>
        <w:rPr>
          <w:rFonts w:ascii="Calibri" w:hAnsi="Calibri"/>
          <w:b/>
          <w:bCs/>
          <w:szCs w:val="22"/>
          <w:lang w:eastAsia="en-GB"/>
        </w:rPr>
      </w:pPr>
    </w:p>
    <w:p w14:paraId="6681D2E9" w14:textId="77777777" w:rsidR="007C757A" w:rsidRDefault="007C757A">
      <w:pPr>
        <w:rPr>
          <w:rFonts w:ascii="Calibri" w:hAnsi="Calibri"/>
          <w:b/>
          <w:bCs/>
          <w:szCs w:val="22"/>
          <w:lang w:eastAsia="en-GB"/>
        </w:rPr>
      </w:pPr>
    </w:p>
    <w:p w14:paraId="1D851707" w14:textId="77777777" w:rsidR="007C757A" w:rsidRDefault="007C757A">
      <w:pPr>
        <w:rPr>
          <w:rFonts w:ascii="Calibri" w:hAnsi="Calibri"/>
          <w:b/>
          <w:bCs/>
          <w:szCs w:val="22"/>
          <w:lang w:eastAsia="en-GB"/>
        </w:rPr>
      </w:pPr>
    </w:p>
    <w:p w14:paraId="15D12DFA" w14:textId="77777777" w:rsidR="007C757A" w:rsidRDefault="007C757A">
      <w:pPr>
        <w:rPr>
          <w:rFonts w:ascii="Calibri" w:hAnsi="Calibri"/>
          <w:b/>
          <w:bCs/>
          <w:szCs w:val="22"/>
          <w:lang w:eastAsia="en-GB"/>
        </w:rPr>
      </w:pPr>
    </w:p>
    <w:tbl>
      <w:tblPr>
        <w:tblW w:w="9962" w:type="dxa"/>
        <w:tblLayout w:type="fixed"/>
        <w:tblCellMar>
          <w:left w:w="58" w:type="dxa"/>
        </w:tblCellMar>
        <w:tblLook w:val="04A0" w:firstRow="1" w:lastRow="0" w:firstColumn="1" w:lastColumn="0" w:noHBand="0" w:noVBand="1"/>
      </w:tblPr>
      <w:tblGrid>
        <w:gridCol w:w="1834"/>
        <w:gridCol w:w="1279"/>
        <w:gridCol w:w="1139"/>
        <w:gridCol w:w="1151"/>
        <w:gridCol w:w="1146"/>
        <w:gridCol w:w="1139"/>
        <w:gridCol w:w="1148"/>
        <w:gridCol w:w="1126"/>
      </w:tblGrid>
      <w:tr w:rsidR="007C525D" w14:paraId="0DB4BBE8" w14:textId="77777777">
        <w:trPr>
          <w:trHeight w:val="630"/>
        </w:trPr>
        <w:tc>
          <w:tcPr>
            <w:tcW w:w="18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4DD9FC6" w14:textId="77777777" w:rsidR="007C525D" w:rsidRDefault="007C757A">
            <w:pPr>
              <w:pStyle w:val="MediumGrid2-Accent11"/>
              <w:widowControl w:val="0"/>
              <w:spacing w:after="0" w:line="240" w:lineRule="auto"/>
            </w:pPr>
            <w:r>
              <w:rPr>
                <w:rFonts w:cs="Tahoma"/>
                <w:b/>
                <w:sz w:val="22"/>
                <w:szCs w:val="22"/>
                <w:lang w:eastAsia="en-GB"/>
              </w:rPr>
              <w:t>Visits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15471B24" w14:textId="77777777" w:rsidR="007C525D" w:rsidRDefault="007C757A">
            <w:pPr>
              <w:pStyle w:val="MediumGrid2-Accent11"/>
              <w:widowControl w:val="0"/>
              <w:spacing w:before="283" w:after="0" w:line="240" w:lineRule="auto"/>
            </w:pPr>
            <w:r>
              <w:rPr>
                <w:rFonts w:cs="Tahoma"/>
                <w:b/>
                <w:sz w:val="22"/>
                <w:szCs w:val="22"/>
                <w:lang w:eastAsia="en-GB"/>
              </w:rPr>
              <w:t>Screening</w:t>
            </w: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E8EDFF" w14:textId="77777777" w:rsidR="007C525D" w:rsidRDefault="007C757A">
            <w:pPr>
              <w:pStyle w:val="MediumGrid2-Accent11"/>
              <w:widowControl w:val="0"/>
              <w:spacing w:after="0" w:line="240" w:lineRule="auto"/>
              <w:jc w:val="center"/>
            </w:pPr>
            <w:r>
              <w:rPr>
                <w:rFonts w:cs="Tahoma"/>
                <w:b/>
                <w:sz w:val="22"/>
                <w:szCs w:val="22"/>
                <w:lang w:eastAsia="en-GB"/>
              </w:rPr>
              <w:t>Visit 1</w:t>
            </w:r>
          </w:p>
        </w:tc>
        <w:tc>
          <w:tcPr>
            <w:tcW w:w="1151" w:type="dxa"/>
            <w:tcBorders>
              <w:top w:val="single" w:sz="4" w:space="0" w:color="000000"/>
              <w:left w:val="single" w:sz="4" w:space="0" w:color="000000"/>
              <w:bottom w:val="single" w:sz="4" w:space="0" w:color="000000"/>
              <w:right w:val="single" w:sz="4" w:space="0" w:color="000000"/>
            </w:tcBorders>
            <w:shd w:val="clear" w:color="auto" w:fill="FFC000"/>
          </w:tcPr>
          <w:p w14:paraId="79FF3922" w14:textId="77777777" w:rsidR="007C525D" w:rsidRDefault="007C757A">
            <w:pPr>
              <w:pStyle w:val="MediumGrid2-Accent11"/>
              <w:widowControl w:val="0"/>
              <w:spacing w:before="283" w:after="0" w:line="240" w:lineRule="auto"/>
              <w:jc w:val="center"/>
            </w:pPr>
            <w:r>
              <w:rPr>
                <w:rFonts w:cs="Tahoma"/>
                <w:b/>
                <w:sz w:val="22"/>
                <w:szCs w:val="22"/>
                <w:lang w:eastAsia="en-GB"/>
              </w:rPr>
              <w:t>Visit 2</w:t>
            </w:r>
          </w:p>
          <w:p w14:paraId="4F3FC3F6" w14:textId="77777777" w:rsidR="007C525D" w:rsidRDefault="007C525D">
            <w:pPr>
              <w:pStyle w:val="MediumGrid2-Accent11"/>
              <w:widowControl w:val="0"/>
              <w:spacing w:after="0" w:line="240" w:lineRule="auto"/>
              <w:rPr>
                <w:rFonts w:cs="Tahoma"/>
                <w:b/>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5C4DA2E3" w14:textId="77777777" w:rsidR="007C525D" w:rsidRDefault="007C757A">
            <w:pPr>
              <w:pStyle w:val="MediumGrid2-Accent11"/>
              <w:widowControl w:val="0"/>
              <w:spacing w:before="283" w:after="0" w:line="240" w:lineRule="auto"/>
              <w:jc w:val="center"/>
            </w:pPr>
            <w:r>
              <w:rPr>
                <w:rFonts w:cs="Tahoma"/>
                <w:b/>
                <w:sz w:val="22"/>
                <w:szCs w:val="22"/>
                <w:lang w:eastAsia="en-GB"/>
              </w:rPr>
              <w:t>Visit 3</w:t>
            </w:r>
          </w:p>
          <w:p w14:paraId="296EB53C" w14:textId="77777777" w:rsidR="007C525D" w:rsidRDefault="007C525D">
            <w:pPr>
              <w:pStyle w:val="MediumGrid2-Accent11"/>
              <w:widowControl w:val="0"/>
              <w:spacing w:after="0" w:line="240" w:lineRule="auto"/>
              <w:rPr>
                <w:rFonts w:cs="Tahoma"/>
                <w:b/>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172B7F50" w14:textId="77777777" w:rsidR="007C525D" w:rsidRDefault="007C757A">
            <w:pPr>
              <w:pStyle w:val="MediumGrid2-Accent11"/>
              <w:widowControl w:val="0"/>
              <w:spacing w:before="283" w:after="0" w:line="240" w:lineRule="auto"/>
              <w:jc w:val="center"/>
            </w:pPr>
            <w:r>
              <w:rPr>
                <w:rFonts w:cs="Tahoma"/>
                <w:b/>
                <w:sz w:val="22"/>
                <w:szCs w:val="22"/>
                <w:lang w:eastAsia="en-GB"/>
              </w:rPr>
              <w:t>Visit 4</w:t>
            </w:r>
          </w:p>
          <w:p w14:paraId="7ABFE298" w14:textId="77777777" w:rsidR="007C525D" w:rsidRDefault="007C525D">
            <w:pPr>
              <w:pStyle w:val="MediumGrid2-Accent11"/>
              <w:widowControl w:val="0"/>
              <w:spacing w:after="0" w:line="240" w:lineRule="auto"/>
              <w:rPr>
                <w:rFonts w:cs="Tahoma"/>
                <w:b/>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2E64ECD0" w14:textId="77777777" w:rsidR="007C525D" w:rsidRDefault="007C757A">
            <w:pPr>
              <w:pStyle w:val="MediumGrid2-Accent11"/>
              <w:widowControl w:val="0"/>
              <w:spacing w:before="283" w:after="0" w:line="240" w:lineRule="auto"/>
              <w:jc w:val="center"/>
            </w:pPr>
            <w:r>
              <w:rPr>
                <w:rFonts w:cs="Tahoma"/>
                <w:b/>
                <w:sz w:val="22"/>
                <w:szCs w:val="22"/>
                <w:lang w:eastAsia="en-GB"/>
              </w:rPr>
              <w:t>Visit 5</w:t>
            </w:r>
          </w:p>
          <w:p w14:paraId="70DDAA52" w14:textId="77777777" w:rsidR="007C525D" w:rsidRDefault="007C525D">
            <w:pPr>
              <w:pStyle w:val="MediumGrid2-Accent11"/>
              <w:widowControl w:val="0"/>
              <w:spacing w:after="0" w:line="240" w:lineRule="auto"/>
              <w:rPr>
                <w:rFonts w:cs="Tahoma"/>
                <w:b/>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2DC05ED" w14:textId="77777777" w:rsidR="007C525D" w:rsidRDefault="007C757A">
            <w:pPr>
              <w:pStyle w:val="MediumGrid2-Accent11"/>
              <w:widowControl w:val="0"/>
              <w:spacing w:before="227" w:after="0" w:line="240" w:lineRule="auto"/>
              <w:jc w:val="center"/>
            </w:pPr>
            <w:r>
              <w:rPr>
                <w:rFonts w:cs="Tahoma"/>
                <w:b/>
                <w:sz w:val="22"/>
                <w:szCs w:val="22"/>
                <w:lang w:eastAsia="en-GB"/>
              </w:rPr>
              <w:t>Visit 6</w:t>
            </w:r>
          </w:p>
          <w:p w14:paraId="4DDC0B92" w14:textId="77777777" w:rsidR="007C525D" w:rsidRDefault="007C525D">
            <w:pPr>
              <w:pStyle w:val="MediumGrid2-Accent11"/>
              <w:widowControl w:val="0"/>
              <w:spacing w:after="0" w:line="240" w:lineRule="auto"/>
              <w:rPr>
                <w:rFonts w:cs="Tahoma"/>
                <w:b/>
                <w:sz w:val="22"/>
                <w:szCs w:val="22"/>
                <w:lang w:eastAsia="en-GB"/>
              </w:rPr>
            </w:pPr>
          </w:p>
        </w:tc>
      </w:tr>
      <w:tr w:rsidR="007C525D" w14:paraId="2BBBD44F" w14:textId="77777777">
        <w:trPr>
          <w:trHeight w:val="630"/>
        </w:trPr>
        <w:tc>
          <w:tcPr>
            <w:tcW w:w="18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99971EB" w14:textId="77777777" w:rsidR="007C525D" w:rsidRDefault="007C757A">
            <w:pPr>
              <w:pStyle w:val="MediumGrid2-Accent11"/>
              <w:widowControl w:val="0"/>
              <w:spacing w:after="0" w:line="240" w:lineRule="auto"/>
            </w:pPr>
            <w:r>
              <w:t>Approximate age of participants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3EB43EE1"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DD16E8" w14:textId="77777777" w:rsidR="007C525D" w:rsidRDefault="007C757A">
            <w:pPr>
              <w:pStyle w:val="MediumGrid2-Accent11"/>
              <w:widowControl w:val="0"/>
              <w:spacing w:after="0" w:line="240" w:lineRule="auto"/>
            </w:pPr>
            <w:r>
              <w:rPr>
                <w:rFonts w:cs="Tahoma"/>
                <w:b/>
                <w:sz w:val="22"/>
                <w:szCs w:val="22"/>
                <w:lang w:eastAsia="en-GB"/>
              </w:rPr>
              <w:t>2 months</w:t>
            </w:r>
          </w:p>
        </w:tc>
        <w:tc>
          <w:tcPr>
            <w:tcW w:w="1151" w:type="dxa"/>
            <w:tcBorders>
              <w:top w:val="single" w:sz="4" w:space="0" w:color="000000"/>
              <w:left w:val="single" w:sz="4" w:space="0" w:color="000000"/>
              <w:bottom w:val="single" w:sz="4" w:space="0" w:color="000000"/>
              <w:right w:val="single" w:sz="4" w:space="0" w:color="000000"/>
            </w:tcBorders>
            <w:shd w:val="clear" w:color="auto" w:fill="FFC000"/>
          </w:tcPr>
          <w:p w14:paraId="73C47B99" w14:textId="77777777" w:rsidR="007C525D" w:rsidRDefault="007C757A">
            <w:pPr>
              <w:pStyle w:val="MediumGrid2-Accent11"/>
              <w:widowControl w:val="0"/>
              <w:spacing w:before="170" w:after="0" w:line="240" w:lineRule="auto"/>
              <w:jc w:val="center"/>
            </w:pPr>
            <w:r>
              <w:rPr>
                <w:rFonts w:cs="Tahoma"/>
                <w:b/>
                <w:sz w:val="22"/>
                <w:szCs w:val="22"/>
                <w:lang w:eastAsia="en-GB"/>
              </w:rPr>
              <w:t>3 months</w:t>
            </w: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53C69B0F" w14:textId="77777777" w:rsidR="007C525D" w:rsidRDefault="007C757A">
            <w:pPr>
              <w:pStyle w:val="MediumGrid2-Accent11"/>
              <w:widowControl w:val="0"/>
              <w:spacing w:before="170" w:after="0" w:line="240" w:lineRule="auto"/>
            </w:pPr>
            <w:r>
              <w:rPr>
                <w:rFonts w:cs="Tahoma"/>
                <w:b/>
                <w:sz w:val="22"/>
                <w:szCs w:val="22"/>
                <w:lang w:eastAsia="en-GB"/>
              </w:rPr>
              <w:t>4 months</w:t>
            </w: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05377FAB" w14:textId="77777777" w:rsidR="007C525D" w:rsidRDefault="007C757A">
            <w:pPr>
              <w:pStyle w:val="MediumGrid2-Accent11"/>
              <w:widowControl w:val="0"/>
              <w:spacing w:before="170" w:after="0" w:line="240" w:lineRule="auto"/>
            </w:pPr>
            <w:r>
              <w:rPr>
                <w:rFonts w:cs="Tahoma"/>
                <w:b/>
                <w:sz w:val="22"/>
                <w:szCs w:val="22"/>
                <w:lang w:eastAsia="en-GB"/>
              </w:rPr>
              <w:t>5 months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3D298835" w14:textId="77777777" w:rsidR="007C525D" w:rsidRDefault="007C757A">
            <w:pPr>
              <w:pStyle w:val="MediumGrid2-Accent11"/>
              <w:widowControl w:val="0"/>
              <w:spacing w:after="0" w:line="240" w:lineRule="auto"/>
            </w:pPr>
            <w:r>
              <w:rPr>
                <w:rFonts w:cs="Tahoma"/>
                <w:b/>
                <w:sz w:val="22"/>
                <w:szCs w:val="22"/>
                <w:lang w:eastAsia="en-GB"/>
              </w:rPr>
              <w:t>12 months</w:t>
            </w:r>
          </w:p>
        </w:tc>
        <w:tc>
          <w:tcPr>
            <w:tcW w:w="112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5B1EDC" w14:textId="77777777" w:rsidR="007C525D" w:rsidRDefault="007C757A">
            <w:pPr>
              <w:pStyle w:val="MediumGrid2-Accent11"/>
              <w:widowControl w:val="0"/>
              <w:spacing w:after="0" w:line="240" w:lineRule="auto"/>
            </w:pPr>
            <w:r>
              <w:rPr>
                <w:rFonts w:cs="Tahoma"/>
                <w:b/>
                <w:sz w:val="22"/>
                <w:szCs w:val="22"/>
                <w:lang w:eastAsia="en-GB"/>
              </w:rPr>
              <w:t>13 months</w:t>
            </w:r>
          </w:p>
        </w:tc>
      </w:tr>
      <w:tr w:rsidR="007C525D" w14:paraId="724EEE45" w14:textId="77777777">
        <w:trPr>
          <w:trHeight w:val="630"/>
        </w:trPr>
        <w:tc>
          <w:tcPr>
            <w:tcW w:w="18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FCCB43D" w14:textId="77777777" w:rsidR="007C525D" w:rsidRDefault="007C757A">
            <w:pPr>
              <w:pStyle w:val="MediumGrid2-Accent11"/>
              <w:widowControl w:val="0"/>
              <w:spacing w:after="0" w:line="240" w:lineRule="auto"/>
            </w:pPr>
            <w:r>
              <w:t>Trial timeline (days)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4B2B6452"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B487A9" w14:textId="77777777" w:rsidR="007C525D" w:rsidRDefault="007C757A">
            <w:pPr>
              <w:pStyle w:val="MediumGrid2-Accent11"/>
              <w:widowControl w:val="0"/>
              <w:spacing w:after="0" w:line="240" w:lineRule="auto"/>
            </w:pPr>
            <w:r>
              <w:t>Day 0</w:t>
            </w:r>
          </w:p>
        </w:tc>
        <w:tc>
          <w:tcPr>
            <w:tcW w:w="1151" w:type="dxa"/>
            <w:tcBorders>
              <w:top w:val="single" w:sz="4" w:space="0" w:color="000000"/>
              <w:left w:val="single" w:sz="4" w:space="0" w:color="000000"/>
              <w:bottom w:val="single" w:sz="4" w:space="0" w:color="000000"/>
              <w:right w:val="single" w:sz="4" w:space="0" w:color="000000"/>
            </w:tcBorders>
            <w:shd w:val="clear" w:color="auto" w:fill="FFC000"/>
          </w:tcPr>
          <w:p w14:paraId="5AC5517C" w14:textId="77777777" w:rsidR="007C525D" w:rsidRDefault="007C757A">
            <w:pPr>
              <w:pStyle w:val="MediumGrid2-Accent11"/>
              <w:widowControl w:val="0"/>
              <w:spacing w:after="0" w:line="240" w:lineRule="auto"/>
            </w:pPr>
            <w:r>
              <w:t>Visit 1 +</w:t>
            </w:r>
          </w:p>
          <w:p w14:paraId="5ED3DBE2" w14:textId="77777777" w:rsidR="007C525D" w:rsidRDefault="007C757A">
            <w:pPr>
              <w:pStyle w:val="MediumGrid2-Accent11"/>
              <w:widowControl w:val="0"/>
              <w:spacing w:after="0" w:line="240" w:lineRule="auto"/>
            </w:pPr>
            <w:r>
              <w:t>30 days</w:t>
            </w: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00A76524" w14:textId="77777777" w:rsidR="007C525D" w:rsidRDefault="007C757A">
            <w:pPr>
              <w:pStyle w:val="MediumGrid2-Accent11"/>
              <w:widowControl w:val="0"/>
              <w:spacing w:after="0" w:line="240" w:lineRule="auto"/>
            </w:pPr>
            <w:r>
              <w:t>Visit 2 +</w:t>
            </w:r>
          </w:p>
          <w:p w14:paraId="30DFC91B" w14:textId="77777777" w:rsidR="007C525D" w:rsidRDefault="007C757A">
            <w:pPr>
              <w:pStyle w:val="MediumGrid2-Accent11"/>
              <w:widowControl w:val="0"/>
              <w:spacing w:after="0" w:line="240" w:lineRule="auto"/>
            </w:pPr>
            <w:r>
              <w:t>30 days</w:t>
            </w: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1432DF0A" w14:textId="77777777" w:rsidR="007C525D" w:rsidRDefault="007C757A">
            <w:pPr>
              <w:pStyle w:val="MediumGrid2-Accent11"/>
              <w:widowControl w:val="0"/>
              <w:spacing w:after="0" w:line="240" w:lineRule="auto"/>
            </w:pPr>
            <w:r>
              <w:t>Visit 3 +</w:t>
            </w:r>
          </w:p>
          <w:p w14:paraId="7EA33385" w14:textId="77777777" w:rsidR="007C525D" w:rsidRDefault="007C757A">
            <w:pPr>
              <w:pStyle w:val="MediumGrid2-Accent11"/>
              <w:widowControl w:val="0"/>
              <w:spacing w:after="0" w:line="240" w:lineRule="auto"/>
            </w:pPr>
            <w:r>
              <w:t>30 days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55FC764E" w14:textId="77777777" w:rsidR="007C525D" w:rsidRDefault="007C525D">
            <w:pPr>
              <w:pStyle w:val="MediumGrid2-Accent11"/>
              <w:widowControl w:val="0"/>
              <w:spacing w:after="0" w:line="240" w:lineRule="auto"/>
            </w:pPr>
          </w:p>
        </w:tc>
        <w:tc>
          <w:tcPr>
            <w:tcW w:w="112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536FAB" w14:textId="77777777" w:rsidR="007C525D" w:rsidRDefault="007C757A">
            <w:pPr>
              <w:pStyle w:val="MediumGrid2-Accent11"/>
              <w:widowControl w:val="0"/>
              <w:spacing w:after="0" w:line="240" w:lineRule="auto"/>
            </w:pPr>
            <w:r>
              <w:t>Visit 5 +</w:t>
            </w:r>
          </w:p>
          <w:p w14:paraId="08EFCB17" w14:textId="77777777" w:rsidR="007C525D" w:rsidRDefault="007C757A">
            <w:pPr>
              <w:pStyle w:val="MediumGrid2-Accent11"/>
              <w:widowControl w:val="0"/>
              <w:spacing w:after="0" w:line="240" w:lineRule="auto"/>
            </w:pPr>
            <w:r>
              <w:t>30 days</w:t>
            </w:r>
          </w:p>
        </w:tc>
      </w:tr>
      <w:tr w:rsidR="007C525D" w14:paraId="795799B5" w14:textId="77777777">
        <w:trPr>
          <w:trHeight w:val="630"/>
        </w:trPr>
        <w:tc>
          <w:tcPr>
            <w:tcW w:w="183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917C0C1" w14:textId="77777777" w:rsidR="007C525D" w:rsidRDefault="007C757A">
            <w:pPr>
              <w:pStyle w:val="MediumGrid2-Accent11"/>
              <w:widowControl w:val="0"/>
              <w:spacing w:after="0" w:line="240" w:lineRule="auto"/>
            </w:pPr>
            <w:r>
              <w:t>Time windows (days)</w:t>
            </w:r>
          </w:p>
        </w:tc>
        <w:tc>
          <w:tcPr>
            <w:tcW w:w="1278" w:type="dxa"/>
            <w:tcBorders>
              <w:top w:val="single" w:sz="4" w:space="0" w:color="000000"/>
              <w:left w:val="single" w:sz="4" w:space="0" w:color="000000"/>
              <w:bottom w:val="single" w:sz="4" w:space="0" w:color="000000"/>
              <w:right w:val="single" w:sz="4" w:space="0" w:color="000000"/>
            </w:tcBorders>
            <w:shd w:val="clear" w:color="auto" w:fill="FFC000"/>
          </w:tcPr>
          <w:p w14:paraId="7F4A9755"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B9C954E" w14:textId="77777777" w:rsidR="007C525D" w:rsidRDefault="007C525D">
            <w:pPr>
              <w:pStyle w:val="MediumGrid2-Accent11"/>
              <w:widowControl w:val="0"/>
              <w:spacing w:after="0" w:line="240" w:lineRule="auto"/>
            </w:pPr>
          </w:p>
        </w:tc>
        <w:tc>
          <w:tcPr>
            <w:tcW w:w="1151" w:type="dxa"/>
            <w:tcBorders>
              <w:top w:val="single" w:sz="4" w:space="0" w:color="000000"/>
              <w:left w:val="single" w:sz="4" w:space="0" w:color="000000"/>
              <w:bottom w:val="single" w:sz="4" w:space="0" w:color="000000"/>
              <w:right w:val="single" w:sz="4" w:space="0" w:color="000000"/>
            </w:tcBorders>
            <w:shd w:val="clear" w:color="auto" w:fill="FFC000"/>
          </w:tcPr>
          <w:p w14:paraId="7118D43C" w14:textId="77777777" w:rsidR="007C525D" w:rsidRDefault="007C757A">
            <w:pPr>
              <w:pStyle w:val="MediumGrid2-Accent11"/>
              <w:widowControl w:val="0"/>
              <w:spacing w:before="170" w:after="0" w:line="240" w:lineRule="auto"/>
            </w:pPr>
            <w:r>
              <w:t>+14 days</w:t>
            </w:r>
          </w:p>
        </w:tc>
        <w:tc>
          <w:tcPr>
            <w:tcW w:w="1146" w:type="dxa"/>
            <w:tcBorders>
              <w:top w:val="single" w:sz="4" w:space="0" w:color="000000"/>
              <w:left w:val="single" w:sz="4" w:space="0" w:color="000000"/>
              <w:bottom w:val="single" w:sz="4" w:space="0" w:color="000000"/>
              <w:right w:val="single" w:sz="4" w:space="0" w:color="000000"/>
            </w:tcBorders>
            <w:shd w:val="clear" w:color="auto" w:fill="FFC000"/>
          </w:tcPr>
          <w:p w14:paraId="6092E839" w14:textId="77777777" w:rsidR="007C525D" w:rsidRDefault="007C757A">
            <w:pPr>
              <w:pStyle w:val="MediumGrid2-Accent11"/>
              <w:widowControl w:val="0"/>
              <w:spacing w:before="170" w:after="0" w:line="240" w:lineRule="auto"/>
            </w:pPr>
            <w:r>
              <w:t>+14 days</w:t>
            </w:r>
          </w:p>
        </w:tc>
        <w:tc>
          <w:tcPr>
            <w:tcW w:w="1139" w:type="dxa"/>
            <w:tcBorders>
              <w:top w:val="single" w:sz="4" w:space="0" w:color="000000"/>
              <w:left w:val="single" w:sz="4" w:space="0" w:color="000000"/>
              <w:bottom w:val="single" w:sz="4" w:space="0" w:color="000000"/>
              <w:right w:val="single" w:sz="4" w:space="0" w:color="000000"/>
            </w:tcBorders>
            <w:shd w:val="clear" w:color="auto" w:fill="FFC000"/>
          </w:tcPr>
          <w:p w14:paraId="7EE3B83B" w14:textId="77777777" w:rsidR="007C525D" w:rsidRDefault="007C757A">
            <w:pPr>
              <w:pStyle w:val="MediumGrid2-Accent11"/>
              <w:widowControl w:val="0"/>
              <w:spacing w:before="170" w:after="0" w:line="240" w:lineRule="auto"/>
            </w:pPr>
            <w:r>
              <w:t>+14 days</w:t>
            </w:r>
          </w:p>
        </w:tc>
        <w:tc>
          <w:tcPr>
            <w:tcW w:w="1148" w:type="dxa"/>
            <w:tcBorders>
              <w:top w:val="single" w:sz="4" w:space="0" w:color="000000"/>
              <w:left w:val="single" w:sz="4" w:space="0" w:color="000000"/>
              <w:bottom w:val="single" w:sz="4" w:space="0" w:color="000000"/>
              <w:right w:val="single" w:sz="4" w:space="0" w:color="000000"/>
            </w:tcBorders>
            <w:shd w:val="clear" w:color="auto" w:fill="FFC000"/>
          </w:tcPr>
          <w:p w14:paraId="011FB45C" w14:textId="77777777" w:rsidR="007C525D" w:rsidRDefault="007C757A">
            <w:pPr>
              <w:pStyle w:val="MediumGrid2-Accent11"/>
              <w:widowControl w:val="0"/>
              <w:spacing w:before="170" w:after="0" w:line="240" w:lineRule="auto"/>
            </w:pPr>
            <w:r>
              <w:t>+14 days</w:t>
            </w:r>
          </w:p>
        </w:tc>
        <w:tc>
          <w:tcPr>
            <w:tcW w:w="112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56E9E4" w14:textId="77777777" w:rsidR="007C525D" w:rsidRDefault="007C757A">
            <w:pPr>
              <w:pStyle w:val="BodyText"/>
              <w:widowControl w:val="0"/>
            </w:pPr>
            <w:r>
              <w:rPr>
                <w:rFonts w:ascii="Calibri" w:hAnsi="Calibri"/>
                <w:i w:val="0"/>
                <w:sz w:val="23"/>
                <w:szCs w:val="23"/>
              </w:rPr>
              <w:t>+21 days</w:t>
            </w:r>
          </w:p>
        </w:tc>
      </w:tr>
      <w:tr w:rsidR="007C525D" w14:paraId="5AE88B1B"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9DCE" w14:textId="77777777" w:rsidR="007C525D" w:rsidRDefault="007C757A">
            <w:pPr>
              <w:pStyle w:val="MediumGrid2-Accent11"/>
              <w:widowControl w:val="0"/>
              <w:spacing w:after="0" w:line="240" w:lineRule="auto"/>
              <w:jc w:val="left"/>
            </w:pPr>
            <w:r>
              <w:rPr>
                <w:sz w:val="22"/>
                <w:szCs w:val="22"/>
              </w:rPr>
              <w:t>Discuss study with parent/guardian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2A2B4C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71C4" w14:textId="77777777" w:rsidR="007C525D" w:rsidRDefault="007C525D">
            <w:pPr>
              <w:pStyle w:val="MediumGrid2-Accent11"/>
              <w:widowControl w:val="0"/>
              <w:spacing w:after="0" w:line="240" w:lineRule="auto"/>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5A5F3183"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0FB601C"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6A2CCC5"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E9656B0" w14:textId="77777777" w:rsidR="007C525D" w:rsidRDefault="007C525D">
            <w:pPr>
              <w:pStyle w:val="MediumGrid2-Accent11"/>
              <w:widowControl w:val="0"/>
              <w:spacing w:after="0" w:line="240" w:lineRule="auto"/>
              <w:rPr>
                <w:rFonts w:cs="Tahoma"/>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95D2" w14:textId="77777777" w:rsidR="007C525D" w:rsidRDefault="007C525D">
            <w:pPr>
              <w:pStyle w:val="MediumGrid2-Accent11"/>
              <w:widowControl w:val="0"/>
              <w:spacing w:after="0" w:line="240" w:lineRule="auto"/>
              <w:rPr>
                <w:rFonts w:cs="Tahoma"/>
                <w:sz w:val="22"/>
                <w:szCs w:val="22"/>
                <w:lang w:eastAsia="en-GB"/>
              </w:rPr>
            </w:pPr>
          </w:p>
        </w:tc>
      </w:tr>
      <w:tr w:rsidR="007C525D" w14:paraId="0CE4BBED" w14:textId="77777777">
        <w:trPr>
          <w:trHeight w:val="368"/>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6147" w14:textId="77777777" w:rsidR="007C525D" w:rsidRDefault="007C757A">
            <w:pPr>
              <w:pStyle w:val="MediumGrid2-Accent11"/>
              <w:widowControl w:val="0"/>
              <w:spacing w:after="0" w:line="240" w:lineRule="auto"/>
            </w:pPr>
            <w:r>
              <w:rPr>
                <w:rFonts w:cs="Tahoma"/>
                <w:sz w:val="22"/>
                <w:szCs w:val="22"/>
                <w:lang w:eastAsia="en-GB"/>
              </w:rPr>
              <w:t>Eligibility check</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5F9ABC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842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419C9B8"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C5C689D"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02647E5"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7A0F582" w14:textId="77777777" w:rsidR="007C525D" w:rsidRDefault="007C525D">
            <w:pPr>
              <w:pStyle w:val="MediumGrid2-Accent11"/>
              <w:widowControl w:val="0"/>
              <w:spacing w:after="0" w:line="240" w:lineRule="auto"/>
              <w:rPr>
                <w:rFonts w:cs="Tahoma"/>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437C" w14:textId="77777777" w:rsidR="007C525D" w:rsidRDefault="007C525D">
            <w:pPr>
              <w:pStyle w:val="MediumGrid2-Accent11"/>
              <w:widowControl w:val="0"/>
              <w:spacing w:after="0" w:line="240" w:lineRule="auto"/>
              <w:rPr>
                <w:rFonts w:cs="Tahoma"/>
                <w:sz w:val="22"/>
                <w:szCs w:val="22"/>
                <w:lang w:eastAsia="en-GB"/>
              </w:rPr>
            </w:pPr>
          </w:p>
        </w:tc>
      </w:tr>
      <w:tr w:rsidR="007C525D" w14:paraId="2421814A" w14:textId="77777777">
        <w:trPr>
          <w:trHeight w:val="371"/>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1856" w14:textId="77777777" w:rsidR="007C525D" w:rsidRDefault="007C757A">
            <w:pPr>
              <w:pStyle w:val="MediumGrid2-Accent11"/>
              <w:widowControl w:val="0"/>
              <w:spacing w:after="0" w:line="240" w:lineRule="auto"/>
            </w:pPr>
            <w:r>
              <w:rPr>
                <w:rFonts w:cs="Tahoma"/>
                <w:sz w:val="22"/>
                <w:szCs w:val="22"/>
                <w:lang w:eastAsia="en-GB"/>
              </w:rPr>
              <w:t>Informed consent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4547FA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C61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7084DF2"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54A31999"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019F6E0"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4F209F41" w14:textId="77777777" w:rsidR="007C525D" w:rsidRDefault="007C525D">
            <w:pPr>
              <w:pStyle w:val="MediumGrid2-Accent11"/>
              <w:widowControl w:val="0"/>
              <w:spacing w:after="0" w:line="240" w:lineRule="auto"/>
              <w:rPr>
                <w:rFonts w:cs="Tahoma"/>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5D13" w14:textId="77777777" w:rsidR="007C525D" w:rsidRDefault="007C525D">
            <w:pPr>
              <w:pStyle w:val="MediumGrid2-Accent11"/>
              <w:widowControl w:val="0"/>
              <w:spacing w:after="0" w:line="240" w:lineRule="auto"/>
              <w:rPr>
                <w:rFonts w:cs="Tahoma"/>
                <w:sz w:val="22"/>
                <w:szCs w:val="22"/>
                <w:lang w:eastAsia="en-GB"/>
              </w:rPr>
            </w:pPr>
          </w:p>
        </w:tc>
      </w:tr>
      <w:tr w:rsidR="007C525D" w14:paraId="7F23ABA0"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B020" w14:textId="77777777" w:rsidR="007C525D" w:rsidRDefault="007C757A">
            <w:pPr>
              <w:pStyle w:val="MediumGrid2-Accent11"/>
              <w:widowControl w:val="0"/>
              <w:spacing w:after="0" w:line="240" w:lineRule="auto"/>
              <w:rPr>
                <w:sz w:val="22"/>
                <w:szCs w:val="22"/>
              </w:rPr>
            </w:pPr>
            <w:r>
              <w:rPr>
                <w:sz w:val="22"/>
                <w:szCs w:val="22"/>
              </w:rPr>
              <w:t>Collection of demographic data</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59696F6"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455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9B2081F"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DEE62FB"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D58093B"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566F24E" w14:textId="77777777" w:rsidR="007C525D" w:rsidRDefault="007C525D">
            <w:pPr>
              <w:pStyle w:val="MediumGrid2-Accent11"/>
              <w:widowControl w:val="0"/>
              <w:spacing w:after="0" w:line="240" w:lineRule="auto"/>
              <w:rPr>
                <w:rFonts w:cs="Tahoma"/>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53F4" w14:textId="77777777" w:rsidR="007C525D" w:rsidRDefault="007C525D">
            <w:pPr>
              <w:pStyle w:val="MediumGrid2-Accent11"/>
              <w:widowControl w:val="0"/>
              <w:spacing w:after="0" w:line="240" w:lineRule="auto"/>
              <w:rPr>
                <w:rFonts w:cs="Tahoma"/>
                <w:sz w:val="22"/>
                <w:szCs w:val="22"/>
                <w:lang w:eastAsia="en-GB"/>
              </w:rPr>
            </w:pPr>
          </w:p>
        </w:tc>
      </w:tr>
      <w:tr w:rsidR="007C525D" w14:paraId="4E1BD493" w14:textId="77777777">
        <w:trPr>
          <w:trHeight w:val="518"/>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2039" w14:textId="77777777" w:rsidR="007C525D" w:rsidRDefault="007C757A">
            <w:pPr>
              <w:pStyle w:val="MediumGrid2-Accent11"/>
              <w:widowControl w:val="0"/>
              <w:spacing w:after="0" w:line="240" w:lineRule="auto"/>
            </w:pPr>
            <w:r>
              <w:rPr>
                <w:rFonts w:cs="Tahoma"/>
                <w:sz w:val="22"/>
                <w:szCs w:val="22"/>
                <w:lang w:eastAsia="en-GB"/>
              </w:rPr>
              <w:t>Medical history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2ECF15E"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61A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85296CA"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36F7E6E"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751FA88"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4F051291" w14:textId="77777777" w:rsidR="007C525D" w:rsidRDefault="007C525D">
            <w:pPr>
              <w:pStyle w:val="MediumGrid2-Accent11"/>
              <w:widowControl w:val="0"/>
              <w:spacing w:after="0" w:line="240" w:lineRule="auto"/>
              <w:rPr>
                <w:rFonts w:cs="Tahoma"/>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61261" w14:textId="77777777" w:rsidR="007C525D" w:rsidRDefault="007C525D">
            <w:pPr>
              <w:pStyle w:val="MediumGrid2-Accent11"/>
              <w:widowControl w:val="0"/>
              <w:spacing w:after="0" w:line="240" w:lineRule="auto"/>
              <w:rPr>
                <w:rFonts w:cs="Tahoma"/>
                <w:sz w:val="22"/>
                <w:szCs w:val="22"/>
                <w:lang w:eastAsia="en-GB"/>
              </w:rPr>
            </w:pPr>
          </w:p>
        </w:tc>
      </w:tr>
      <w:tr w:rsidR="007C525D" w14:paraId="682B9BC3"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F43B" w14:textId="77777777" w:rsidR="007C525D" w:rsidRDefault="007C757A">
            <w:pPr>
              <w:pStyle w:val="MediumGrid2-Accent11"/>
              <w:widowControl w:val="0"/>
              <w:spacing w:after="0" w:line="240" w:lineRule="auto"/>
            </w:pPr>
            <w:r>
              <w:rPr>
                <w:rFonts w:cs="Tahoma"/>
                <w:sz w:val="22"/>
                <w:szCs w:val="22"/>
                <w:lang w:eastAsia="en-GB"/>
              </w:rPr>
              <w:t>Concomitant medication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1C43355"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0AB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690CE5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C49AA1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10FFCB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D5DEA5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3F5DA" w14:textId="77777777" w:rsidR="007C525D" w:rsidRDefault="007C757A">
            <w:pPr>
              <w:pStyle w:val="LightGrid-Accent31"/>
              <w:widowControl w:val="0"/>
              <w:ind w:left="0"/>
            </w:pPr>
            <w:r>
              <w:t>✓</w:t>
            </w:r>
          </w:p>
        </w:tc>
      </w:tr>
      <w:tr w:rsidR="007C525D" w14:paraId="3FC5701E"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736F" w14:textId="77777777" w:rsidR="007C525D" w:rsidRDefault="007C757A">
            <w:pPr>
              <w:pStyle w:val="MediumGrid2-Accent11"/>
              <w:widowControl w:val="0"/>
              <w:spacing w:after="0" w:line="240" w:lineRule="auto"/>
            </w:pPr>
            <w:r>
              <w:rPr>
                <w:rFonts w:cs="Tahoma"/>
                <w:sz w:val="22"/>
                <w:szCs w:val="22"/>
                <w:lang w:eastAsia="en-GB"/>
              </w:rPr>
              <w:t>Record of physical examination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B70633B"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BCA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EA133ED"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951DC19"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4757795"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9797A6D" w14:textId="77777777" w:rsidR="007C525D" w:rsidRDefault="007C525D">
            <w:pPr>
              <w:pStyle w:val="MediumGrid2-Accent11"/>
              <w:widowControl w:val="0"/>
              <w:spacing w:after="0" w:line="240" w:lineRule="auto"/>
              <w:rPr>
                <w:rFonts w:cs="Tahoma"/>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85A2" w14:textId="77777777" w:rsidR="007C525D" w:rsidRDefault="007C525D">
            <w:pPr>
              <w:pStyle w:val="MediumGrid2-Accent11"/>
              <w:widowControl w:val="0"/>
              <w:spacing w:after="0" w:line="240" w:lineRule="auto"/>
              <w:rPr>
                <w:rFonts w:cs="Tahoma"/>
                <w:sz w:val="22"/>
                <w:szCs w:val="22"/>
                <w:lang w:eastAsia="en-GB"/>
              </w:rPr>
            </w:pPr>
          </w:p>
        </w:tc>
      </w:tr>
      <w:tr w:rsidR="007C525D" w14:paraId="2C5B2A1F"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07B1" w14:textId="77777777" w:rsidR="007C525D" w:rsidRDefault="007C757A">
            <w:pPr>
              <w:pStyle w:val="MediumGrid2-Accent11"/>
              <w:widowControl w:val="0"/>
              <w:spacing w:after="0" w:line="240" w:lineRule="auto"/>
              <w:rPr>
                <w:sz w:val="22"/>
                <w:szCs w:val="22"/>
              </w:rPr>
            </w:pPr>
            <w:r>
              <w:rPr>
                <w:sz w:val="22"/>
                <w:szCs w:val="22"/>
              </w:rPr>
              <w:t>Measurement of temperature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912CE24"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27C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CB2AC7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D8EB4D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6BC2F49"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C6EF08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C2FD" w14:textId="77777777" w:rsidR="007C525D" w:rsidRDefault="007C525D">
            <w:pPr>
              <w:pStyle w:val="MediumGrid2-Accent11"/>
              <w:widowControl w:val="0"/>
              <w:spacing w:after="0" w:line="240" w:lineRule="auto"/>
              <w:rPr>
                <w:rFonts w:cs="Tahoma"/>
                <w:sz w:val="22"/>
                <w:szCs w:val="22"/>
                <w:lang w:eastAsia="en-GB"/>
              </w:rPr>
            </w:pPr>
          </w:p>
        </w:tc>
      </w:tr>
      <w:tr w:rsidR="007C525D" w14:paraId="110AABB5" w14:textId="77777777">
        <w:trPr>
          <w:trHeight w:val="388"/>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A24E" w14:textId="77777777" w:rsidR="007C525D" w:rsidRDefault="007C757A">
            <w:pPr>
              <w:pStyle w:val="MediumGrid2-Accent11"/>
              <w:widowControl w:val="0"/>
              <w:spacing w:after="0" w:line="240" w:lineRule="auto"/>
            </w:pPr>
            <w:r>
              <w:rPr>
                <w:rFonts w:cs="Tahoma"/>
                <w:sz w:val="22"/>
                <w:szCs w:val="22"/>
                <w:lang w:eastAsia="en-GB"/>
              </w:rPr>
              <w:t>Randomisation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C3E6944"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5B3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5C0D8DEB" w14:textId="77777777" w:rsidR="007C525D" w:rsidRDefault="007C525D">
            <w:pPr>
              <w:pStyle w:val="MediumGrid2-Accent11"/>
              <w:widowControl w:val="0"/>
              <w:spacing w:after="0" w:line="240" w:lineRule="auto"/>
              <w:rPr>
                <w:rFonts w:cs="Segoe UI Symbol"/>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F0A6603"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CF846C7"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BBFF0EB" w14:textId="77777777" w:rsidR="007C525D" w:rsidRDefault="007C525D">
            <w:pPr>
              <w:pStyle w:val="MediumGrid2-Accent11"/>
              <w:widowControl w:val="0"/>
              <w:spacing w:after="0" w:line="240" w:lineRule="auto"/>
              <w:rPr>
                <w:rFonts w:cs="Segoe UI Symbol"/>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6328" w14:textId="77777777" w:rsidR="007C525D" w:rsidRDefault="007C525D">
            <w:pPr>
              <w:pStyle w:val="MediumGrid2-Accent11"/>
              <w:widowControl w:val="0"/>
              <w:spacing w:after="0" w:line="240" w:lineRule="auto"/>
              <w:rPr>
                <w:rFonts w:cs="Tahoma"/>
                <w:sz w:val="22"/>
                <w:szCs w:val="22"/>
                <w:lang w:eastAsia="en-GB"/>
              </w:rPr>
            </w:pPr>
          </w:p>
        </w:tc>
      </w:tr>
      <w:tr w:rsidR="007C525D" w14:paraId="562ACBD7"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FEBE" w14:textId="77777777" w:rsidR="007C525D" w:rsidRDefault="007C757A">
            <w:pPr>
              <w:pStyle w:val="MediumGrid2-Accent11"/>
              <w:widowControl w:val="0"/>
              <w:spacing w:after="0" w:line="240" w:lineRule="auto"/>
            </w:pPr>
            <w:r>
              <w:rPr>
                <w:rFonts w:cs="Tahoma"/>
                <w:sz w:val="22"/>
                <w:szCs w:val="22"/>
                <w:lang w:eastAsia="en-GB"/>
              </w:rPr>
              <w:t>Dispensing of vaccines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A5E9D82"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5FF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3E6609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8154C7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4242F01"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6B2BF9C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0F68" w14:textId="77777777" w:rsidR="007C525D" w:rsidRDefault="007C525D">
            <w:pPr>
              <w:pStyle w:val="MediumGrid2-Accent11"/>
              <w:widowControl w:val="0"/>
              <w:spacing w:after="0" w:line="240" w:lineRule="auto"/>
              <w:rPr>
                <w:rFonts w:cs="Tahoma"/>
                <w:sz w:val="22"/>
                <w:szCs w:val="22"/>
                <w:lang w:eastAsia="en-GB"/>
              </w:rPr>
            </w:pPr>
          </w:p>
        </w:tc>
      </w:tr>
      <w:tr w:rsidR="007C525D" w14:paraId="3DAF93CA"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E6C0" w14:textId="77777777" w:rsidR="007C525D" w:rsidRDefault="007C757A">
            <w:pPr>
              <w:pStyle w:val="MediumGrid2-Accent11"/>
              <w:widowControl w:val="0"/>
              <w:spacing w:after="0" w:line="240" w:lineRule="auto"/>
            </w:pPr>
            <w:r>
              <w:rPr>
                <w:rFonts w:cs="Tahoma"/>
                <w:sz w:val="22"/>
                <w:szCs w:val="22"/>
                <w:lang w:eastAsia="en-GB"/>
              </w:rPr>
              <w:t>Vaccination with Bexsero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2D31FF3"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A31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66E58B54" w14:textId="77777777" w:rsidR="007C525D" w:rsidRDefault="007C525D">
            <w:pPr>
              <w:pStyle w:val="MediumGrid2-Accent11"/>
              <w:widowControl w:val="0"/>
              <w:spacing w:after="0" w:line="240" w:lineRule="auto"/>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F1F12A6" w14:textId="77777777" w:rsidR="007C525D" w:rsidRDefault="007C757A">
            <w:pPr>
              <w:pStyle w:val="MediumGrid2-Accent11"/>
              <w:widowControl w:val="0"/>
              <w:spacing w:after="0" w:line="240" w:lineRule="auto"/>
              <w:rPr>
                <w:rFonts w:ascii="Segoe UI Symbol" w:hAnsi="Segoe UI Symbol" w:cs="Segoe UI Symbol"/>
                <w:sz w:val="22"/>
                <w:szCs w:val="22"/>
                <w:lang w:eastAsia="en-GB"/>
              </w:rPr>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61B2AD2"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4B467CD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8FE1" w14:textId="77777777" w:rsidR="007C525D" w:rsidRDefault="007C525D">
            <w:pPr>
              <w:pStyle w:val="MediumGrid2-Accent11"/>
              <w:widowControl w:val="0"/>
              <w:spacing w:after="0" w:line="240" w:lineRule="auto"/>
              <w:rPr>
                <w:rFonts w:cs="Tahoma"/>
                <w:sz w:val="22"/>
                <w:szCs w:val="22"/>
                <w:lang w:eastAsia="en-GB"/>
              </w:rPr>
            </w:pPr>
          </w:p>
        </w:tc>
      </w:tr>
      <w:tr w:rsidR="007C525D" w14:paraId="71FF981E" w14:textId="77777777">
        <w:trPr>
          <w:trHeight w:val="259"/>
        </w:trPr>
        <w:tc>
          <w:tcPr>
            <w:tcW w:w="1833" w:type="dxa"/>
            <w:tcBorders>
              <w:left w:val="single" w:sz="4" w:space="0" w:color="000000"/>
              <w:bottom w:val="single" w:sz="4" w:space="0" w:color="000000"/>
              <w:right w:val="single" w:sz="4" w:space="0" w:color="000000"/>
            </w:tcBorders>
            <w:shd w:val="clear" w:color="auto" w:fill="auto"/>
            <w:vAlign w:val="center"/>
          </w:tcPr>
          <w:p w14:paraId="13C57930" w14:textId="77777777" w:rsidR="007C525D" w:rsidRDefault="007C757A">
            <w:pPr>
              <w:pStyle w:val="MediumGrid2-Accent11"/>
              <w:widowControl w:val="0"/>
              <w:spacing w:after="0" w:line="240" w:lineRule="auto"/>
            </w:pPr>
            <w:r>
              <w:t>Vaccination with PCV13</w:t>
            </w:r>
          </w:p>
        </w:tc>
        <w:tc>
          <w:tcPr>
            <w:tcW w:w="1278" w:type="dxa"/>
            <w:tcBorders>
              <w:left w:val="single" w:sz="4" w:space="0" w:color="000000"/>
              <w:bottom w:val="single" w:sz="4" w:space="0" w:color="000000"/>
              <w:right w:val="single" w:sz="4" w:space="0" w:color="000000"/>
            </w:tcBorders>
            <w:shd w:val="clear" w:color="auto" w:fill="auto"/>
          </w:tcPr>
          <w:p w14:paraId="19C6E0E2"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left w:val="single" w:sz="4" w:space="0" w:color="000000"/>
              <w:bottom w:val="single" w:sz="4" w:space="0" w:color="000000"/>
              <w:right w:val="single" w:sz="4" w:space="0" w:color="000000"/>
            </w:tcBorders>
            <w:shd w:val="clear" w:color="auto" w:fill="auto"/>
            <w:vAlign w:val="center"/>
          </w:tcPr>
          <w:p w14:paraId="7DAE0BA6" w14:textId="77777777" w:rsidR="007C525D" w:rsidRDefault="007C525D">
            <w:pPr>
              <w:pStyle w:val="MediumGrid2-Accent11"/>
              <w:widowControl w:val="0"/>
              <w:spacing w:after="0" w:line="240" w:lineRule="auto"/>
            </w:pPr>
          </w:p>
        </w:tc>
        <w:tc>
          <w:tcPr>
            <w:tcW w:w="1151" w:type="dxa"/>
            <w:tcBorders>
              <w:left w:val="single" w:sz="4" w:space="0" w:color="000000"/>
              <w:bottom w:val="single" w:sz="4" w:space="0" w:color="000000"/>
              <w:right w:val="single" w:sz="4" w:space="0" w:color="000000"/>
            </w:tcBorders>
            <w:shd w:val="clear" w:color="auto" w:fill="auto"/>
          </w:tcPr>
          <w:p w14:paraId="1901DF6F" w14:textId="77777777" w:rsidR="007C525D" w:rsidRDefault="007C757A">
            <w:pPr>
              <w:pStyle w:val="MediumGrid2-Accent11"/>
              <w:widowControl w:val="0"/>
              <w:spacing w:after="0" w:line="240" w:lineRule="auto"/>
            </w:pPr>
            <w:r>
              <w:t>✓</w:t>
            </w:r>
          </w:p>
        </w:tc>
        <w:tc>
          <w:tcPr>
            <w:tcW w:w="1146" w:type="dxa"/>
            <w:tcBorders>
              <w:left w:val="single" w:sz="4" w:space="0" w:color="000000"/>
              <w:bottom w:val="single" w:sz="4" w:space="0" w:color="000000"/>
              <w:right w:val="single" w:sz="4" w:space="0" w:color="000000"/>
            </w:tcBorders>
            <w:shd w:val="clear" w:color="auto" w:fill="auto"/>
          </w:tcPr>
          <w:p w14:paraId="77E5702D" w14:textId="77777777" w:rsidR="007C525D" w:rsidRDefault="007C525D">
            <w:pPr>
              <w:pStyle w:val="MediumGrid2-Accent11"/>
              <w:widowControl w:val="0"/>
              <w:spacing w:after="0" w:line="240" w:lineRule="auto"/>
              <w:rPr>
                <w:rFonts w:ascii="Segoe UI Symbol" w:hAnsi="Segoe UI Symbol" w:cs="Segoe UI Symbol"/>
                <w:sz w:val="22"/>
                <w:szCs w:val="22"/>
                <w:lang w:eastAsia="en-GB"/>
              </w:rPr>
            </w:pPr>
          </w:p>
        </w:tc>
        <w:tc>
          <w:tcPr>
            <w:tcW w:w="1139" w:type="dxa"/>
            <w:tcBorders>
              <w:left w:val="single" w:sz="4" w:space="0" w:color="000000"/>
              <w:bottom w:val="single" w:sz="4" w:space="0" w:color="000000"/>
              <w:right w:val="single" w:sz="4" w:space="0" w:color="000000"/>
            </w:tcBorders>
            <w:shd w:val="clear" w:color="auto" w:fill="auto"/>
          </w:tcPr>
          <w:p w14:paraId="380D59CC"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left w:val="single" w:sz="4" w:space="0" w:color="000000"/>
              <w:bottom w:val="single" w:sz="4" w:space="0" w:color="000000"/>
              <w:right w:val="single" w:sz="4" w:space="0" w:color="000000"/>
            </w:tcBorders>
            <w:shd w:val="clear" w:color="auto" w:fill="auto"/>
          </w:tcPr>
          <w:p w14:paraId="733AACDD" w14:textId="77777777" w:rsidR="007C525D" w:rsidRDefault="007C525D">
            <w:pPr>
              <w:pStyle w:val="MediumGrid2-Accent11"/>
              <w:widowControl w:val="0"/>
              <w:spacing w:after="0" w:line="240" w:lineRule="auto"/>
            </w:pPr>
          </w:p>
        </w:tc>
        <w:tc>
          <w:tcPr>
            <w:tcW w:w="1126" w:type="dxa"/>
            <w:tcBorders>
              <w:left w:val="single" w:sz="4" w:space="0" w:color="000000"/>
              <w:bottom w:val="single" w:sz="4" w:space="0" w:color="000000"/>
              <w:right w:val="single" w:sz="4" w:space="0" w:color="000000"/>
            </w:tcBorders>
            <w:shd w:val="clear" w:color="auto" w:fill="auto"/>
            <w:vAlign w:val="center"/>
          </w:tcPr>
          <w:p w14:paraId="2D069E9C" w14:textId="77777777" w:rsidR="007C525D" w:rsidRDefault="007C525D">
            <w:pPr>
              <w:pStyle w:val="MediumGrid2-Accent11"/>
              <w:widowControl w:val="0"/>
              <w:spacing w:after="0" w:line="240" w:lineRule="auto"/>
              <w:rPr>
                <w:rFonts w:cs="Tahoma"/>
                <w:sz w:val="22"/>
                <w:szCs w:val="22"/>
                <w:lang w:eastAsia="en-GB"/>
              </w:rPr>
            </w:pPr>
          </w:p>
        </w:tc>
      </w:tr>
      <w:tr w:rsidR="007C525D" w14:paraId="732C0143"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A1BE" w14:textId="77777777" w:rsidR="007C525D" w:rsidRDefault="007C757A">
            <w:pPr>
              <w:pStyle w:val="MediumGrid2-Accent11"/>
              <w:widowControl w:val="0"/>
              <w:spacing w:after="0" w:line="240" w:lineRule="auto"/>
            </w:pPr>
            <w:r>
              <w:rPr>
                <w:rFonts w:cs="Tahoma"/>
                <w:sz w:val="22"/>
                <w:szCs w:val="22"/>
                <w:lang w:eastAsia="en-GB"/>
              </w:rPr>
              <w:t>Vaccination with routine vaccines*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2F8F721"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5F4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BAC88F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450F870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FBD12AD"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3827AF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78BF" w14:textId="77777777" w:rsidR="007C525D" w:rsidRDefault="007C525D">
            <w:pPr>
              <w:pStyle w:val="MediumGrid2-Accent11"/>
              <w:widowControl w:val="0"/>
              <w:spacing w:after="0" w:line="240" w:lineRule="auto"/>
              <w:rPr>
                <w:rFonts w:cs="Tahoma"/>
                <w:sz w:val="22"/>
                <w:szCs w:val="22"/>
                <w:lang w:eastAsia="en-GB"/>
              </w:rPr>
            </w:pPr>
          </w:p>
        </w:tc>
      </w:tr>
      <w:tr w:rsidR="007C525D" w14:paraId="6E7A2CF9"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6B49" w14:textId="77777777" w:rsidR="007C525D" w:rsidRDefault="007C757A">
            <w:pPr>
              <w:pStyle w:val="MediumGrid2-Accent11"/>
              <w:widowControl w:val="0"/>
              <w:spacing w:after="0" w:line="240" w:lineRule="auto"/>
            </w:pPr>
            <w:r>
              <w:rPr>
                <w:rFonts w:cs="Tahoma"/>
                <w:sz w:val="22"/>
                <w:szCs w:val="22"/>
                <w:lang w:eastAsia="en-GB"/>
              </w:rPr>
              <w:t>Observation following vaccine administration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7D5CAC8"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067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0F2CD3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7DB78EB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5EB1D96"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7DAC25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061D" w14:textId="77777777" w:rsidR="007C525D" w:rsidRDefault="007C525D">
            <w:pPr>
              <w:pStyle w:val="MediumGrid2-Accent11"/>
              <w:widowControl w:val="0"/>
              <w:spacing w:after="0" w:line="240" w:lineRule="auto"/>
              <w:rPr>
                <w:rFonts w:cs="Tahoma"/>
                <w:sz w:val="22"/>
                <w:szCs w:val="22"/>
                <w:lang w:eastAsia="en-GB"/>
              </w:rPr>
            </w:pPr>
          </w:p>
        </w:tc>
      </w:tr>
      <w:tr w:rsidR="007C525D" w14:paraId="7E3A756A"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2D43" w14:textId="77777777" w:rsidR="007C525D" w:rsidRDefault="007C757A">
            <w:pPr>
              <w:pStyle w:val="MediumGrid2-Accent11"/>
              <w:widowControl w:val="0"/>
              <w:spacing w:after="0" w:line="240" w:lineRule="auto"/>
            </w:pPr>
            <w:r>
              <w:rPr>
                <w:rFonts w:cs="Tahoma"/>
                <w:sz w:val="22"/>
                <w:szCs w:val="22"/>
                <w:lang w:eastAsia="en-GB"/>
              </w:rPr>
              <w:t>Completion of red book and letter to GP</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4015741"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326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8027DF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2A6640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45987AA" w14:textId="77777777" w:rsidR="007C525D" w:rsidRDefault="007C525D">
            <w:pPr>
              <w:pStyle w:val="MediumGrid2-Accent11"/>
              <w:widowControl w:val="0"/>
              <w:spacing w:after="0" w:line="240" w:lineRule="auto"/>
              <w:rPr>
                <w:rFonts w:cs="Tahoma"/>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9B65409"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977E" w14:textId="77777777" w:rsidR="007C525D" w:rsidRDefault="007C525D">
            <w:pPr>
              <w:pStyle w:val="MediumGrid2-Accent11"/>
              <w:widowControl w:val="0"/>
              <w:spacing w:after="0" w:line="240" w:lineRule="auto"/>
              <w:rPr>
                <w:rFonts w:cs="Tahoma"/>
                <w:sz w:val="22"/>
                <w:szCs w:val="22"/>
                <w:lang w:eastAsia="en-GB"/>
              </w:rPr>
            </w:pPr>
          </w:p>
        </w:tc>
      </w:tr>
      <w:tr w:rsidR="007C525D" w14:paraId="4966A672"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7001" w14:textId="77777777" w:rsidR="007C525D" w:rsidRDefault="007C757A">
            <w:pPr>
              <w:pStyle w:val="MediumGrid2-Accent11"/>
              <w:widowControl w:val="0"/>
              <w:spacing w:after="0" w:line="240" w:lineRule="auto"/>
              <w:rPr>
                <w:sz w:val="22"/>
                <w:szCs w:val="22"/>
              </w:rPr>
            </w:pPr>
            <w:r>
              <w:rPr>
                <w:sz w:val="22"/>
                <w:szCs w:val="22"/>
              </w:rPr>
              <w:t>Review of temporary contraindications for</w:t>
            </w:r>
          </w:p>
          <w:p w14:paraId="4F509095" w14:textId="77777777" w:rsidR="007C525D" w:rsidRDefault="007C757A">
            <w:pPr>
              <w:pStyle w:val="MediumGrid2-Accent11"/>
              <w:widowControl w:val="0"/>
              <w:spacing w:after="0" w:line="240" w:lineRule="auto"/>
              <w:rPr>
                <w:sz w:val="22"/>
                <w:szCs w:val="22"/>
              </w:rPr>
            </w:pPr>
            <w:r>
              <w:rPr>
                <w:sz w:val="22"/>
                <w:szCs w:val="22"/>
              </w:rPr>
              <w:t>blood sampling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0C78323"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BD7" w14:textId="77777777" w:rsidR="007C525D" w:rsidRDefault="007C525D">
            <w:pPr>
              <w:pStyle w:val="MediumGrid2-Accent11"/>
              <w:widowControl w:val="0"/>
              <w:spacing w:after="0" w:line="240" w:lineRule="auto"/>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779170D" w14:textId="77777777" w:rsidR="007C525D" w:rsidRDefault="007C525D">
            <w:pPr>
              <w:pStyle w:val="MediumGrid2-Accent11"/>
              <w:widowControl w:val="0"/>
              <w:spacing w:after="0" w:line="240" w:lineRule="auto"/>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6B760F6F"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B3AFAA1"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10ADBC25"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A01E" w14:textId="77777777" w:rsidR="007C525D" w:rsidRDefault="007C757A">
            <w:pPr>
              <w:pStyle w:val="LightGrid-Accent31"/>
              <w:widowControl w:val="0"/>
              <w:spacing w:after="737"/>
              <w:ind w:left="57"/>
              <w:jc w:val="left"/>
            </w:pPr>
            <w:r>
              <w:rPr>
                <w:rFonts w:ascii="Segoe UI Symbol" w:hAnsi="Segoe UI Symbol" w:cs="Segoe UI Symbol"/>
                <w:sz w:val="22"/>
                <w:szCs w:val="22"/>
                <w:lang w:eastAsia="en-GB"/>
              </w:rPr>
              <w:t>✓</w:t>
            </w:r>
          </w:p>
        </w:tc>
      </w:tr>
      <w:tr w:rsidR="007C525D" w14:paraId="1313B469" w14:textId="77777777">
        <w:trPr>
          <w:trHeight w:val="394"/>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2D86" w14:textId="77777777" w:rsidR="007C525D" w:rsidRDefault="007C757A">
            <w:pPr>
              <w:pStyle w:val="MediumGrid2-Accent11"/>
              <w:widowControl w:val="0"/>
              <w:spacing w:after="0" w:line="240" w:lineRule="auto"/>
            </w:pPr>
            <w:r>
              <w:rPr>
                <w:rFonts w:cs="Tahoma"/>
                <w:sz w:val="22"/>
                <w:szCs w:val="22"/>
                <w:lang w:eastAsia="en-GB"/>
              </w:rPr>
              <w:t>Blood sampling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83B1372"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C4DE" w14:textId="77777777" w:rsidR="007C525D" w:rsidRDefault="007C525D">
            <w:pPr>
              <w:pStyle w:val="MediumGrid2-Accent11"/>
              <w:widowControl w:val="0"/>
              <w:spacing w:after="0" w:line="240" w:lineRule="auto"/>
              <w:rPr>
                <w:rFonts w:cs="Tahoma"/>
                <w:sz w:val="22"/>
                <w:szCs w:val="22"/>
                <w:lang w:eastAsia="en-GB"/>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43E824B"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D1944A6"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D6B602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B53CB4C"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FF5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3DFB914E"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CBE6" w14:textId="77777777" w:rsidR="007C525D" w:rsidRDefault="007C757A">
            <w:pPr>
              <w:pStyle w:val="MediumGrid2-Accent11"/>
              <w:widowControl w:val="0"/>
              <w:spacing w:after="0" w:line="240" w:lineRule="auto"/>
            </w:pPr>
            <w:r>
              <w:rPr>
                <w:rFonts w:cs="Tahoma"/>
                <w:sz w:val="22"/>
                <w:szCs w:val="22"/>
                <w:lang w:eastAsia="en-GB"/>
              </w:rPr>
              <w:lastRenderedPageBreak/>
              <w:t>Processing blood samples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E2739C0" w14:textId="77777777" w:rsidR="007C525D" w:rsidRDefault="007C525D">
            <w:pPr>
              <w:pStyle w:val="MediumGrid2-Accent11"/>
              <w:widowControl w:val="0"/>
              <w:spacing w:after="0" w:line="240" w:lineRule="auto"/>
              <w:rPr>
                <w:rFonts w:cs="Tahoma"/>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7D0D" w14:textId="77777777" w:rsidR="007C525D" w:rsidRDefault="007C525D">
            <w:pPr>
              <w:pStyle w:val="MediumGrid2-Accent11"/>
              <w:widowControl w:val="0"/>
              <w:spacing w:after="0" w:line="240" w:lineRule="auto"/>
              <w:rPr>
                <w:rFonts w:cs="Tahoma"/>
                <w:sz w:val="22"/>
                <w:szCs w:val="22"/>
                <w:lang w:eastAsia="en-GB"/>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5CD30C4" w14:textId="77777777" w:rsidR="007C525D" w:rsidRDefault="007C525D">
            <w:pPr>
              <w:pStyle w:val="MediumGrid2-Accent11"/>
              <w:widowControl w:val="0"/>
              <w:spacing w:after="0" w:line="240" w:lineRule="auto"/>
              <w:rPr>
                <w:rFonts w:cs="Tahoma"/>
                <w:sz w:val="22"/>
                <w:szCs w:val="22"/>
                <w:lang w:eastAsia="en-GB"/>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BD4AF44" w14:textId="77777777" w:rsidR="007C525D" w:rsidRDefault="007C525D">
            <w:pPr>
              <w:pStyle w:val="MediumGrid2-Accent11"/>
              <w:widowControl w:val="0"/>
              <w:spacing w:after="0" w:line="240" w:lineRule="auto"/>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95471E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47A3BA6F"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21A4"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4868A990"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3992" w14:textId="77777777" w:rsidR="007C525D" w:rsidRDefault="007C757A">
            <w:pPr>
              <w:pStyle w:val="MediumGrid2-Accent11"/>
              <w:widowControl w:val="0"/>
              <w:spacing w:after="0" w:line="240" w:lineRule="auto"/>
            </w:pPr>
            <w:r>
              <w:rPr>
                <w:rFonts w:cs="Tahoma"/>
                <w:sz w:val="22"/>
                <w:szCs w:val="22"/>
                <w:lang w:eastAsia="en-GB"/>
              </w:rPr>
              <w:t>Distribution of diary card</w:t>
            </w:r>
            <w:r w:rsidR="00886D5B">
              <w:rPr>
                <w:rFonts w:cs="Tahoma"/>
                <w:sz w:val="22"/>
                <w:szCs w:val="22"/>
                <w:lang w:eastAsia="en-GB"/>
              </w:rPr>
              <w:t>/set-up e-diary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B6786E2"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54DB"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63FA3DB5"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21E3507"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BE51314" w14:textId="77777777" w:rsidR="007C525D" w:rsidRDefault="007C525D">
            <w:pPr>
              <w:pStyle w:val="MediumGrid2-Accent11"/>
              <w:widowControl w:val="0"/>
              <w:spacing w:after="0" w:line="240" w:lineRule="auto"/>
              <w:rPr>
                <w:rFonts w:cs="Segoe UI Symbol"/>
                <w:sz w:val="22"/>
                <w:szCs w:val="22"/>
                <w:lang w:eastAsia="en-GB"/>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E19AF5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BA74" w14:textId="77777777" w:rsidR="007C525D" w:rsidRDefault="007C525D">
            <w:pPr>
              <w:pStyle w:val="MediumGrid2-Accent11"/>
              <w:widowControl w:val="0"/>
              <w:spacing w:after="0" w:line="240" w:lineRule="auto"/>
              <w:rPr>
                <w:rFonts w:cs="Segoe UI Symbol"/>
                <w:sz w:val="22"/>
                <w:szCs w:val="22"/>
                <w:lang w:eastAsia="en-GB"/>
              </w:rPr>
            </w:pPr>
          </w:p>
        </w:tc>
      </w:tr>
      <w:tr w:rsidR="007C525D" w14:paraId="646F8156"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E6B4" w14:textId="71ABC668" w:rsidR="007C525D" w:rsidRDefault="007C757A">
            <w:pPr>
              <w:pStyle w:val="MediumGrid2-Accent11"/>
              <w:widowControl w:val="0"/>
              <w:spacing w:after="0" w:line="240" w:lineRule="auto"/>
            </w:pPr>
            <w:r>
              <w:rPr>
                <w:rFonts w:cs="Tahoma"/>
                <w:sz w:val="22"/>
                <w:szCs w:val="22"/>
                <w:lang w:eastAsia="en-GB"/>
              </w:rPr>
              <w:t>Checking diary card</w:t>
            </w:r>
            <w:r w:rsidR="00886D5B">
              <w:rPr>
                <w:rFonts w:cs="Tahoma"/>
                <w:sz w:val="22"/>
                <w:szCs w:val="22"/>
                <w:lang w:eastAsia="en-GB"/>
              </w:rPr>
              <w:t xml:space="preserve"> (electronic or paper) </w:t>
            </w:r>
            <w:r>
              <w:rPr>
                <w:rFonts w:cs="Tahoma"/>
                <w:sz w:val="22"/>
                <w:szCs w:val="22"/>
                <w:lang w:eastAsia="en-GB"/>
              </w:rPr>
              <w:t>with parents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BC88F16"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1708" w14:textId="77777777" w:rsidR="007C525D" w:rsidRDefault="007C525D">
            <w:pPr>
              <w:pStyle w:val="MediumGrid2-Accent11"/>
              <w:widowControl w:val="0"/>
              <w:spacing w:after="0" w:line="240" w:lineRule="auto"/>
              <w:rPr>
                <w:rFonts w:cs="Segoe UI Symbol"/>
                <w:sz w:val="22"/>
                <w:szCs w:val="22"/>
                <w:lang w:eastAsia="en-GB"/>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84E782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5645FBD"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6B99AE5"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597816BC" w14:textId="77777777" w:rsidR="007C525D" w:rsidRDefault="007C525D">
            <w:pPr>
              <w:pStyle w:val="MediumGrid2-Accent11"/>
              <w:widowControl w:val="0"/>
              <w:spacing w:after="0" w:line="240" w:lineRule="auto"/>
              <w:rPr>
                <w:rFonts w:cs="Segoe UI Symbol"/>
                <w:sz w:val="22"/>
                <w:szCs w:val="22"/>
                <w:lang w:eastAsia="en-G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1870"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r w:rsidR="007C525D" w14:paraId="556754A7" w14:textId="77777777">
        <w:trPr>
          <w:trHeight w:val="259"/>
        </w:trPr>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BBCD" w14:textId="77777777" w:rsidR="007C525D" w:rsidRDefault="007C757A">
            <w:pPr>
              <w:pStyle w:val="MediumGrid2-Accent11"/>
              <w:widowControl w:val="0"/>
              <w:spacing w:after="0" w:line="240" w:lineRule="auto"/>
            </w:pPr>
            <w:r>
              <w:rPr>
                <w:rFonts w:cs="Tahoma"/>
                <w:sz w:val="22"/>
                <w:szCs w:val="22"/>
                <w:lang w:eastAsia="en-GB"/>
              </w:rPr>
              <w:t>Checking for AEs/SAEs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74E6F1B" w14:textId="77777777" w:rsidR="007C525D" w:rsidRDefault="007C525D">
            <w:pPr>
              <w:pStyle w:val="MediumGrid2-Accent11"/>
              <w:widowControl w:val="0"/>
              <w:spacing w:after="0" w:line="240" w:lineRule="auto"/>
              <w:rPr>
                <w:rFonts w:cs="Segoe UI Symbol"/>
                <w:sz w:val="22"/>
                <w:szCs w:val="22"/>
                <w:lang w:eastAsia="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2B29" w14:textId="77777777" w:rsidR="007C525D" w:rsidRDefault="007C525D">
            <w:pPr>
              <w:pStyle w:val="MediumGrid2-Accent11"/>
              <w:widowControl w:val="0"/>
              <w:spacing w:after="0" w:line="240" w:lineRule="auto"/>
              <w:rPr>
                <w:rFonts w:cs="Segoe UI Symbol"/>
                <w:sz w:val="22"/>
                <w:szCs w:val="22"/>
                <w:lang w:eastAsia="en-GB"/>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5C9A142"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733C20E3"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4C6A258"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34EE9CE"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4386" w14:textId="77777777" w:rsidR="007C525D" w:rsidRDefault="007C757A">
            <w:pPr>
              <w:pStyle w:val="MediumGrid2-Accent11"/>
              <w:widowControl w:val="0"/>
              <w:spacing w:after="0" w:line="240" w:lineRule="auto"/>
            </w:pPr>
            <w:r>
              <w:rPr>
                <w:rFonts w:ascii="Segoe UI Symbol" w:hAnsi="Segoe UI Symbol" w:cs="Segoe UI Symbol"/>
                <w:sz w:val="22"/>
                <w:szCs w:val="22"/>
                <w:lang w:eastAsia="en-GB"/>
              </w:rPr>
              <w:t>✓</w:t>
            </w:r>
          </w:p>
        </w:tc>
      </w:tr>
    </w:tbl>
    <w:p w14:paraId="782776F0" w14:textId="77777777" w:rsidR="007C525D" w:rsidRDefault="007C757A">
      <w:r>
        <w:rPr>
          <w:rFonts w:ascii="Calibri" w:hAnsi="Calibri"/>
          <w:szCs w:val="22"/>
          <w:lang w:eastAsia="en-GB"/>
        </w:rPr>
        <w:t>* Routine paediatric vaccines will be given to participants in all groups according to the UK immunisation schedule (Table 1)</w:t>
      </w:r>
    </w:p>
    <w:p w14:paraId="1D0AC116" w14:textId="77777777" w:rsidR="007C525D" w:rsidRDefault="007C525D"/>
    <w:p w14:paraId="409E320C"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7.1</w:t>
      </w:r>
      <w:r>
        <w:rPr>
          <w:rFonts w:ascii="Calibri" w:hAnsi="Calibri" w:cs="Arial"/>
          <w:b/>
          <w:i w:val="0"/>
          <w:sz w:val="22"/>
          <w:szCs w:val="22"/>
        </w:rPr>
        <w:tab/>
        <w:t>Recruitment</w:t>
      </w:r>
    </w:p>
    <w:p w14:paraId="0FF2D406" w14:textId="77777777" w:rsidR="007C525D" w:rsidRDefault="007C525D">
      <w:pPr>
        <w:pStyle w:val="BodyText"/>
        <w:spacing w:after="120"/>
        <w:rPr>
          <w:rFonts w:ascii="Calibri" w:eastAsia="MS PGothic" w:hAnsi="Calibri" w:cs="Arial"/>
          <w:b/>
          <w:i w:val="0"/>
          <w:color w:val="0000FF"/>
          <w:spacing w:val="0"/>
          <w:sz w:val="22"/>
          <w:szCs w:val="22"/>
        </w:rPr>
      </w:pPr>
    </w:p>
    <w:p w14:paraId="71BC9F9A" w14:textId="77777777" w:rsidR="007C525D" w:rsidRDefault="007C757A">
      <w:pPr>
        <w:pStyle w:val="BodyText"/>
        <w:spacing w:after="120"/>
        <w:rPr>
          <w:rFonts w:ascii="Calibri" w:hAnsi="Calibri" w:cs="Arial"/>
          <w:b/>
          <w:bCs/>
          <w:i w:val="0"/>
          <w:iCs/>
          <w:sz w:val="22"/>
          <w:szCs w:val="22"/>
        </w:rPr>
      </w:pPr>
      <w:r>
        <w:rPr>
          <w:rFonts w:ascii="Calibri" w:hAnsi="Calibri" w:cs="Arial"/>
          <w:b/>
          <w:bCs/>
          <w:i w:val="0"/>
          <w:iCs/>
          <w:sz w:val="22"/>
          <w:szCs w:val="22"/>
        </w:rPr>
        <w:t>7.1.1 Participant identification</w:t>
      </w:r>
    </w:p>
    <w:p w14:paraId="6C43C457" w14:textId="77777777" w:rsidR="007C525D" w:rsidRDefault="007C757A">
      <w:pPr>
        <w:rPr>
          <w:rFonts w:ascii="Calibri" w:hAnsi="Calibri"/>
          <w:szCs w:val="22"/>
        </w:rPr>
      </w:pPr>
      <w:r>
        <w:rPr>
          <w:rFonts w:ascii="Calibri" w:hAnsi="Calibri"/>
          <w:szCs w:val="22"/>
        </w:rPr>
        <w:t>220 participants will be recruited from suitable participating sites. A variety of recruitment strategies will be used by the different participating centres to recruit eligible participants. Some centres may choose to advertise the study on institutional websites or newsletters, or on posters in the hospital or the community (e.g. in GP practices). Eligible infants may also be identified through the local child health information systems (CHIS) and initially contacted by post. There will also be a twitter account to allow parents to follow the progress of the study, although this will not be used explicitly for recruitment. Families expressing an interest in participating in the study by post, email, text or phone will then be approached by the study team.</w:t>
      </w:r>
    </w:p>
    <w:p w14:paraId="7ED01EEF" w14:textId="77777777" w:rsidR="007C525D" w:rsidRDefault="007C525D">
      <w:pPr>
        <w:pStyle w:val="BodyText"/>
        <w:tabs>
          <w:tab w:val="left" w:pos="709"/>
        </w:tabs>
        <w:spacing w:after="120"/>
        <w:rPr>
          <w:rFonts w:ascii="Calibri" w:hAnsi="Calibri" w:cs="Arial"/>
          <w:b/>
          <w:i w:val="0"/>
          <w:sz w:val="22"/>
          <w:szCs w:val="22"/>
        </w:rPr>
      </w:pPr>
    </w:p>
    <w:p w14:paraId="113FB53B" w14:textId="77777777" w:rsidR="007C525D" w:rsidRDefault="007C757A">
      <w:pPr>
        <w:pStyle w:val="BodyText"/>
        <w:tabs>
          <w:tab w:val="left" w:pos="709"/>
        </w:tabs>
        <w:spacing w:after="120"/>
      </w:pPr>
      <w:r>
        <w:rPr>
          <w:rFonts w:ascii="Calibri" w:hAnsi="Calibri" w:cs="Arial"/>
          <w:b/>
          <w:i w:val="0"/>
          <w:sz w:val="22"/>
          <w:szCs w:val="22"/>
        </w:rPr>
        <w:t>7.1.2</w:t>
      </w:r>
      <w:r>
        <w:rPr>
          <w:rFonts w:ascii="Calibri" w:hAnsi="Calibri" w:cs="Arial"/>
          <w:b/>
          <w:i w:val="0"/>
          <w:sz w:val="22"/>
          <w:szCs w:val="22"/>
        </w:rPr>
        <w:tab/>
        <w:t>Screening</w:t>
      </w:r>
    </w:p>
    <w:p w14:paraId="54185C65" w14:textId="77777777" w:rsidR="007C525D" w:rsidRDefault="007C757A">
      <w:pPr>
        <w:rPr>
          <w:rFonts w:ascii="Calibri" w:hAnsi="Calibri"/>
          <w:szCs w:val="22"/>
        </w:rPr>
      </w:pPr>
      <w:r>
        <w:rPr>
          <w:rFonts w:ascii="Calibri" w:hAnsi="Calibri"/>
          <w:szCs w:val="22"/>
        </w:rPr>
        <w:t xml:space="preserve">The eligibility of an individual to participate in this study will be assessed by any trained member of the research team by checking against the inclusion and exclusion criteria. There are no further screening requirements. </w:t>
      </w:r>
    </w:p>
    <w:p w14:paraId="459D5EDD" w14:textId="77777777" w:rsidR="007C525D" w:rsidRDefault="007C525D">
      <w:pPr>
        <w:rPr>
          <w:rFonts w:ascii="Calibri" w:hAnsi="Calibri"/>
          <w:color w:val="0000FF"/>
          <w:szCs w:val="22"/>
        </w:rPr>
      </w:pPr>
    </w:p>
    <w:p w14:paraId="414D2BC3" w14:textId="77777777" w:rsidR="007C525D" w:rsidRDefault="007C757A">
      <w:pPr>
        <w:pStyle w:val="RightPar1"/>
        <w:tabs>
          <w:tab w:val="clear" w:pos="-720"/>
          <w:tab w:val="clear" w:pos="0"/>
          <w:tab w:val="clear" w:pos="720"/>
        </w:tabs>
        <w:suppressAutoHyphens w:val="0"/>
        <w:ind w:left="0"/>
        <w:rPr>
          <w:rFonts w:ascii="Calibri" w:hAnsi="Calibri" w:cs="Arial"/>
          <w:b/>
          <w:spacing w:val="-3"/>
          <w:szCs w:val="22"/>
          <w:lang w:val="en-GB"/>
        </w:rPr>
      </w:pPr>
      <w:r>
        <w:rPr>
          <w:rFonts w:ascii="Calibri" w:hAnsi="Calibri" w:cs="Arial"/>
          <w:b/>
          <w:spacing w:val="-3"/>
          <w:szCs w:val="22"/>
          <w:lang w:val="en-GB"/>
        </w:rPr>
        <w:t xml:space="preserve">7.1.3 </w:t>
      </w:r>
      <w:r>
        <w:rPr>
          <w:rFonts w:ascii="Calibri" w:hAnsi="Calibri" w:cs="Arial"/>
          <w:b/>
          <w:spacing w:val="-3"/>
          <w:szCs w:val="22"/>
          <w:lang w:val="en-GB"/>
        </w:rPr>
        <w:tab/>
        <w:t xml:space="preserve">Payment </w:t>
      </w:r>
    </w:p>
    <w:p w14:paraId="4894ABC2" w14:textId="77777777" w:rsidR="007C525D" w:rsidRDefault="007C757A">
      <w:pPr>
        <w:pStyle w:val="BodyText"/>
        <w:tabs>
          <w:tab w:val="left" w:pos="709"/>
        </w:tabs>
        <w:spacing w:after="120"/>
        <w:rPr>
          <w:rFonts w:ascii="Calibri" w:hAnsi="Calibri" w:cs="Arial"/>
          <w:i w:val="0"/>
          <w:sz w:val="22"/>
          <w:szCs w:val="22"/>
        </w:rPr>
      </w:pPr>
      <w:r>
        <w:rPr>
          <w:rFonts w:ascii="Calibri" w:hAnsi="Calibri" w:cs="Arial"/>
          <w:i w:val="0"/>
          <w:sz w:val="22"/>
          <w:szCs w:val="22"/>
        </w:rPr>
        <w:t xml:space="preserve">Participants will be reimbursed for their travel expenses if they attend appointments in hospital/university. </w:t>
      </w:r>
    </w:p>
    <w:p w14:paraId="0A8E1C1A" w14:textId="77777777" w:rsidR="007C525D" w:rsidRDefault="007C525D">
      <w:pPr>
        <w:pStyle w:val="BodyText"/>
        <w:tabs>
          <w:tab w:val="left" w:pos="709"/>
        </w:tabs>
        <w:spacing w:after="120"/>
        <w:rPr>
          <w:rFonts w:ascii="Calibri" w:hAnsi="Calibri" w:cs="Arial"/>
          <w:b/>
          <w:i w:val="0"/>
          <w:color w:val="FF0000"/>
          <w:sz w:val="22"/>
          <w:szCs w:val="22"/>
        </w:rPr>
      </w:pPr>
    </w:p>
    <w:p w14:paraId="08D8D722" w14:textId="77777777" w:rsidR="007C525D" w:rsidRDefault="007C757A">
      <w:pPr>
        <w:pStyle w:val="BodyText"/>
        <w:spacing w:after="120"/>
        <w:rPr>
          <w:rFonts w:ascii="Calibri" w:hAnsi="Calibri" w:cs="Arial"/>
          <w:b/>
          <w:i w:val="0"/>
          <w:sz w:val="22"/>
          <w:szCs w:val="22"/>
        </w:rPr>
      </w:pPr>
      <w:r>
        <w:rPr>
          <w:rFonts w:ascii="Calibri" w:hAnsi="Calibri" w:cs="Arial"/>
          <w:b/>
          <w:i w:val="0"/>
          <w:sz w:val="22"/>
          <w:szCs w:val="22"/>
        </w:rPr>
        <w:t xml:space="preserve">7.2       Consent </w:t>
      </w:r>
    </w:p>
    <w:p w14:paraId="01C1E3FC" w14:textId="77777777" w:rsidR="007C525D" w:rsidRDefault="007C757A">
      <w:pPr>
        <w:rPr>
          <w:rFonts w:ascii="Calibri" w:hAnsi="Calibri"/>
          <w:szCs w:val="22"/>
          <w:lang w:eastAsia="en-GB"/>
        </w:rPr>
      </w:pPr>
      <w:r>
        <w:rPr>
          <w:rFonts w:ascii="Calibri" w:hAnsi="Calibri"/>
          <w:szCs w:val="22"/>
          <w:lang w:eastAsia="en-GB"/>
        </w:rPr>
        <w:t xml:space="preserve">All trial personnel/staff undertaking the informed consent process will have signed the Sponsor’s Delegation of Responsibilities Log to ensure that the person has been delegated the responsibility by the study CI/PI. All personnel taking informed consent will be GCP trained. </w:t>
      </w:r>
    </w:p>
    <w:p w14:paraId="0653E99B" w14:textId="77777777" w:rsidR="007C525D" w:rsidRDefault="007C757A">
      <w:pPr>
        <w:rPr>
          <w:rFonts w:ascii="Calibri" w:hAnsi="Calibri"/>
          <w:szCs w:val="22"/>
          <w:lang w:eastAsia="en-GB"/>
        </w:rPr>
      </w:pPr>
      <w:r>
        <w:rPr>
          <w:rFonts w:ascii="Calibri" w:hAnsi="Calibri"/>
          <w:szCs w:val="22"/>
          <w:lang w:eastAsia="en-GB"/>
        </w:rPr>
        <w:t xml:space="preserve">Informed consent from a parent or legal guardian will be obtained following explanation of the aims, methods, benefits and potential hazards of the trial and before any trial-specific procedures are performed. Consent will be re-sought for babies whose legal guardian has changed. </w:t>
      </w:r>
    </w:p>
    <w:p w14:paraId="5C35957C" w14:textId="77777777" w:rsidR="007C525D" w:rsidRDefault="007C757A">
      <w:pPr>
        <w:rPr>
          <w:rFonts w:ascii="Calibri" w:hAnsi="Calibri"/>
          <w:szCs w:val="22"/>
          <w:lang w:eastAsia="en-GB"/>
        </w:rPr>
      </w:pPr>
      <w:r>
        <w:rPr>
          <w:rFonts w:ascii="Calibri" w:hAnsi="Calibri"/>
          <w:szCs w:val="22"/>
          <w:lang w:eastAsia="en-GB"/>
        </w:rPr>
        <w:t xml:space="preserve">Consent can be taken by any member of the medical or nursing staff who is in possession of an up-to-date GCP qualification and who has been trained on the specifics of this study. Informed consent will be taken after the parents have had sufficient opportunity to read the information and ask questions about the study. There is no </w:t>
      </w:r>
      <w:r>
        <w:rPr>
          <w:rFonts w:ascii="Calibri" w:hAnsi="Calibri"/>
          <w:szCs w:val="22"/>
          <w:lang w:eastAsia="en-GB"/>
        </w:rPr>
        <w:lastRenderedPageBreak/>
        <w:t>time limit on the period between receiving information and consenting to the study providing that the parents feel they have had all their questions answered. Screening for eligibility and informed consent can take place at the initial contact with parents if they feel they have had sufficient time to consider the study, or can take place at the first visit (V1).</w:t>
      </w:r>
    </w:p>
    <w:p w14:paraId="0EB48D08" w14:textId="77777777" w:rsidR="007C525D" w:rsidRDefault="007C757A">
      <w:pPr>
        <w:rPr>
          <w:rFonts w:ascii="Calibri" w:hAnsi="Calibri"/>
          <w:szCs w:val="22"/>
          <w:lang w:eastAsia="en-GB"/>
        </w:rPr>
      </w:pPr>
      <w:r>
        <w:rPr>
          <w:rFonts w:ascii="Calibri" w:hAnsi="Calibri"/>
          <w:szCs w:val="22"/>
          <w:lang w:eastAsia="en-GB"/>
        </w:rPr>
        <w:t>The Investigator or designee will explain that the parents are under no obligation to have their infant enter the trial and that they can withdraw their consent at any time during the trial, without having to give a reason.</w:t>
      </w:r>
    </w:p>
    <w:p w14:paraId="3F93320A" w14:textId="77777777" w:rsidR="007C525D" w:rsidRDefault="007C757A">
      <w:pPr>
        <w:rPr>
          <w:rFonts w:ascii="Calibri" w:hAnsi="Calibri"/>
          <w:szCs w:val="22"/>
          <w:lang w:eastAsia="en-GB"/>
        </w:rPr>
      </w:pPr>
      <w:r>
        <w:rPr>
          <w:rFonts w:ascii="Calibri" w:hAnsi="Calibri"/>
          <w:szCs w:val="22"/>
          <w:lang w:eastAsia="en-GB"/>
        </w:rPr>
        <w:t>A copy of the signed Informed Consent Form (ICF) along with a copy of the most recent approved Parent Information Sheet (PIS) will be given to the parent/guardian of the study participant.  The original signed and dated consent form will then be retained in the investigator site file and a copy will be filed in the medical notes along with the corresponding version of the PIS.  A copy of the PIS will be sent to the infant’s general practitioner (GP) along with a covering letter explain the child’s participation in the clinical trial.</w:t>
      </w:r>
    </w:p>
    <w:p w14:paraId="0CF38413" w14:textId="77777777" w:rsidR="007C525D" w:rsidRDefault="007C757A">
      <w:pPr>
        <w:rPr>
          <w:rFonts w:ascii="Calibri" w:hAnsi="Calibri"/>
          <w:szCs w:val="22"/>
          <w:lang w:eastAsia="en-GB"/>
        </w:rPr>
      </w:pPr>
      <w:r>
        <w:rPr>
          <w:rFonts w:ascii="Calibri" w:hAnsi="Calibri"/>
          <w:szCs w:val="22"/>
          <w:lang w:eastAsia="en-GB"/>
        </w:rPr>
        <w:t>If new safety information results in significant changes to the risk–benefit assessment, the consent form will be reviewed and updated if necessary. Parents/guardians of all participants, including of those already enrolled in the study, will be informed of the relevant new information, given a copy of the revised consent form, and asked to re-consent if they choose to continue in the study.</w:t>
      </w:r>
    </w:p>
    <w:p w14:paraId="751E8997" w14:textId="77777777" w:rsidR="007C525D" w:rsidRDefault="007C525D">
      <w:pPr>
        <w:ind w:left="850"/>
        <w:rPr>
          <w:rFonts w:ascii="Calibri" w:hAnsi="Calibri"/>
          <w:b/>
          <w:color w:val="0000FF"/>
          <w:szCs w:val="22"/>
        </w:rPr>
      </w:pPr>
    </w:p>
    <w:p w14:paraId="2F916B01"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7.2.1</w:t>
      </w:r>
      <w:r>
        <w:rPr>
          <w:rFonts w:ascii="Calibri" w:hAnsi="Calibri" w:cs="Arial"/>
          <w:b/>
          <w:i w:val="0"/>
          <w:sz w:val="22"/>
          <w:szCs w:val="22"/>
        </w:rPr>
        <w:tab/>
        <w:t>Additional consent provisions for collection and use of participant data and biological specimens in ancillary studies, if applicable</w:t>
      </w:r>
    </w:p>
    <w:p w14:paraId="78C2D6A8" w14:textId="77777777" w:rsidR="007C525D" w:rsidRDefault="007C757A">
      <w:pPr>
        <w:pStyle w:val="ListParagraph"/>
        <w:spacing w:line="240" w:lineRule="auto"/>
        <w:ind w:left="0"/>
      </w:pPr>
      <w:r>
        <w:rPr>
          <w:rFonts w:ascii="Calibri" w:hAnsi="Calibri"/>
          <w:lang w:eastAsia="en-GB"/>
        </w:rPr>
        <w:t>Parents/guardians of all participants</w:t>
      </w:r>
      <w:r>
        <w:rPr>
          <w:rFonts w:ascii="Calibri" w:hAnsi="Calibri"/>
        </w:rPr>
        <w:t xml:space="preserve"> will be asked if they agree for any remaining samples to be retained for future related and ethically approved research. Consent to this will not be required for participation in the main study. Residual samples will be stored with individual study identification numbers until the conclusion of this study after which point they will be de-identified and stored anonymously. Prior to the de-identification, participants can choose to withdraw from further research and have their samples destroyed. After de-identification this will not be possible. </w:t>
      </w:r>
    </w:p>
    <w:p w14:paraId="65B1EE4E" w14:textId="77777777" w:rsidR="007C525D" w:rsidRDefault="007C757A">
      <w:pPr>
        <w:pStyle w:val="BodyText"/>
        <w:tabs>
          <w:tab w:val="left" w:pos="709"/>
        </w:tabs>
        <w:spacing w:after="120"/>
      </w:pPr>
      <w:r>
        <w:rPr>
          <w:rFonts w:ascii="Calibri" w:hAnsi="Calibri" w:cs="Arial"/>
          <w:b/>
          <w:i w:val="0"/>
          <w:iCs/>
          <w:spacing w:val="0"/>
          <w:sz w:val="22"/>
          <w:szCs w:val="22"/>
        </w:rPr>
        <w:t>7.</w:t>
      </w:r>
      <w:r>
        <w:rPr>
          <w:rFonts w:ascii="Calibri" w:hAnsi="Calibri" w:cs="Arial"/>
          <w:b/>
          <w:i w:val="0"/>
          <w:sz w:val="22"/>
          <w:szCs w:val="22"/>
        </w:rPr>
        <w:t>3</w:t>
      </w:r>
      <w:r>
        <w:rPr>
          <w:rFonts w:ascii="Calibri" w:hAnsi="Calibri" w:cs="Arial"/>
          <w:b/>
          <w:i w:val="0"/>
          <w:sz w:val="22"/>
          <w:szCs w:val="22"/>
        </w:rPr>
        <w:tab/>
        <w:t xml:space="preserve">The randomisation scheme </w:t>
      </w:r>
    </w:p>
    <w:p w14:paraId="7610092A" w14:textId="65E7670F" w:rsidR="007C525D" w:rsidRDefault="007C757A">
      <w:r>
        <w:rPr>
          <w:rFonts w:ascii="Calibri" w:hAnsi="Calibri"/>
          <w:szCs w:val="22"/>
        </w:rPr>
        <w:t xml:space="preserve">Participants will be randomised </w:t>
      </w:r>
      <w:r w:rsidR="00D97445">
        <w:rPr>
          <w:rFonts w:ascii="Calibri" w:hAnsi="Calibri"/>
          <w:szCs w:val="22"/>
        </w:rPr>
        <w:t>i</w:t>
      </w:r>
      <w:r>
        <w:rPr>
          <w:rFonts w:ascii="Calibri" w:hAnsi="Calibri"/>
          <w:szCs w:val="22"/>
        </w:rPr>
        <w:t xml:space="preserve">n a 1:1 ratio to the two groups. </w:t>
      </w:r>
      <w:r>
        <w:rPr>
          <w:rFonts w:ascii="Calibri" w:hAnsi="Calibri"/>
          <w:b/>
          <w:bCs/>
          <w:szCs w:val="22"/>
          <w:lang w:eastAsia="en-GB"/>
        </w:rPr>
        <w:t>Group 1</w:t>
      </w:r>
      <w:r>
        <w:rPr>
          <w:rFonts w:ascii="Calibri" w:hAnsi="Calibri"/>
          <w:szCs w:val="22"/>
          <w:lang w:eastAsia="en-GB"/>
        </w:rPr>
        <w:t xml:space="preserve">: 4CMenB Bexsero® at 2, 3 months and at 12 months of age. </w:t>
      </w:r>
      <w:r>
        <w:rPr>
          <w:rFonts w:ascii="Calibri" w:hAnsi="Calibri"/>
          <w:b/>
          <w:bCs/>
          <w:szCs w:val="22"/>
          <w:lang w:eastAsia="en-GB"/>
        </w:rPr>
        <w:t>Group 2</w:t>
      </w:r>
      <w:r>
        <w:rPr>
          <w:rFonts w:ascii="Calibri" w:hAnsi="Calibri"/>
          <w:szCs w:val="22"/>
          <w:lang w:eastAsia="en-GB"/>
        </w:rPr>
        <w:t>: 4CMenB Bexsero® at 2, 4 months and at 12 months of age.</w:t>
      </w:r>
    </w:p>
    <w:p w14:paraId="603C8080" w14:textId="77777777" w:rsidR="007C525D" w:rsidRDefault="007C525D">
      <w:pPr>
        <w:pStyle w:val="BodyText"/>
        <w:tabs>
          <w:tab w:val="left" w:pos="709"/>
        </w:tabs>
        <w:spacing w:after="120"/>
        <w:rPr>
          <w:rFonts w:ascii="Calibri" w:hAnsi="Calibri" w:cs="Arial"/>
          <w:b/>
          <w:i w:val="0"/>
          <w:color w:val="0000FF"/>
          <w:sz w:val="22"/>
          <w:szCs w:val="22"/>
        </w:rPr>
      </w:pPr>
    </w:p>
    <w:p w14:paraId="0C1A8C3D"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7.3.1</w:t>
      </w:r>
      <w:r>
        <w:rPr>
          <w:rFonts w:ascii="Calibri" w:hAnsi="Calibri" w:cs="Arial"/>
          <w:b/>
          <w:i w:val="0"/>
          <w:sz w:val="22"/>
          <w:szCs w:val="22"/>
        </w:rPr>
        <w:tab/>
        <w:t>Method of implementing the randomisation/allocation sequence</w:t>
      </w:r>
    </w:p>
    <w:p w14:paraId="3F88567F" w14:textId="79699E36" w:rsidR="007C525D" w:rsidRDefault="007C757A">
      <w:r>
        <w:rPr>
          <w:rFonts w:ascii="Calibri" w:hAnsi="Calibri"/>
          <w:szCs w:val="22"/>
          <w:lang w:eastAsia="en-GB"/>
        </w:rPr>
        <w:t xml:space="preserve">A computerised block randomisation list will be produced for each site. This will be placed inside an opaque envelope bearing the corresponding participant number by a team of staff from SGUL who are not otherwise involved in the study. Each centre will be provided with the necessary envelopes. Upon recruitment, each participant will be allocated, in order of inclusion, the next available participant number from the randomisation. Following informed consent and prior to the first vaccinations, the local study team will open the envelope and reveal the group number. This will define the group to which the infant is assigned and, therefore, the vaccination </w:t>
      </w:r>
      <w:proofErr w:type="gramStart"/>
      <w:r>
        <w:rPr>
          <w:rFonts w:ascii="Calibri" w:hAnsi="Calibri"/>
          <w:szCs w:val="22"/>
          <w:lang w:eastAsia="en-GB"/>
        </w:rPr>
        <w:t>schedule</w:t>
      </w:r>
      <w:proofErr w:type="gramEnd"/>
      <w:r>
        <w:rPr>
          <w:rFonts w:ascii="Calibri" w:hAnsi="Calibri"/>
          <w:szCs w:val="22"/>
          <w:lang w:eastAsia="en-GB"/>
        </w:rPr>
        <w:t xml:space="preserve"> the baby will receive. Please note- randomisation must take place at the first visit even if consent has been obtained previously.</w:t>
      </w:r>
    </w:p>
    <w:p w14:paraId="6C6B27EA" w14:textId="77777777" w:rsidR="007C525D" w:rsidRDefault="007C757A">
      <w:pPr>
        <w:rPr>
          <w:rFonts w:ascii="Calibri" w:hAnsi="Calibri"/>
          <w:szCs w:val="22"/>
          <w:lang w:eastAsia="en-GB"/>
        </w:rPr>
      </w:pPr>
      <w:r>
        <w:rPr>
          <w:rFonts w:ascii="Calibri" w:hAnsi="Calibri"/>
          <w:szCs w:val="22"/>
          <w:lang w:eastAsia="en-GB"/>
        </w:rPr>
        <w:t xml:space="preserve">Participants may be replaced if they are withdrawn from the study prior to receiving their first vaccinations. Participants will not be replaced if they are withdrawn from the study after they have received their first vaccinations. </w:t>
      </w:r>
    </w:p>
    <w:p w14:paraId="65E73DC8" w14:textId="77777777" w:rsidR="007C525D" w:rsidRDefault="007C525D">
      <w:pPr>
        <w:pStyle w:val="CommentText"/>
        <w:tabs>
          <w:tab w:val="left" w:pos="709"/>
        </w:tabs>
        <w:spacing w:after="0"/>
        <w:rPr>
          <w:rFonts w:ascii="Calibri" w:eastAsia="Times New Roman" w:hAnsi="Calibri"/>
          <w:b/>
          <w:spacing w:val="-3"/>
          <w:sz w:val="22"/>
          <w:szCs w:val="22"/>
        </w:rPr>
      </w:pPr>
    </w:p>
    <w:p w14:paraId="733A1292"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7.4</w:t>
      </w:r>
      <w:r>
        <w:rPr>
          <w:rFonts w:ascii="Calibri" w:hAnsi="Calibri" w:cs="Arial"/>
          <w:b/>
          <w:i w:val="0"/>
          <w:sz w:val="22"/>
          <w:szCs w:val="22"/>
        </w:rPr>
        <w:tab/>
        <w:t>Blinding</w:t>
      </w:r>
    </w:p>
    <w:p w14:paraId="15E760FB" w14:textId="77777777" w:rsidR="007C525D" w:rsidRDefault="007C757A">
      <w:pPr>
        <w:pStyle w:val="BodyText"/>
        <w:spacing w:after="120"/>
      </w:pPr>
      <w:r>
        <w:rPr>
          <w:rFonts w:ascii="Calibri" w:hAnsi="Calibri" w:cs="Arial"/>
          <w:i w:val="0"/>
          <w:sz w:val="22"/>
          <w:szCs w:val="22"/>
        </w:rPr>
        <w:lastRenderedPageBreak/>
        <w:t>This study is not blinded. The two groups will receive 4CMenB in different timings and it is not possible to blind either the participants or the research team to the group allocation. However, the laboratory staff testing the vaccine responses will be blinded to the allocation of the trial participants until the end of the study.</w:t>
      </w:r>
    </w:p>
    <w:p w14:paraId="68802D10" w14:textId="77777777" w:rsidR="007C525D" w:rsidRDefault="007C525D">
      <w:pPr>
        <w:pStyle w:val="BodyText"/>
        <w:tabs>
          <w:tab w:val="left" w:pos="709"/>
        </w:tabs>
        <w:spacing w:after="120"/>
      </w:pPr>
    </w:p>
    <w:p w14:paraId="184D9B47" w14:textId="77777777" w:rsidR="007C525D" w:rsidRDefault="007C757A">
      <w:pPr>
        <w:pStyle w:val="BodyText"/>
        <w:tabs>
          <w:tab w:val="left" w:pos="709"/>
        </w:tabs>
        <w:spacing w:after="120"/>
        <w:rPr>
          <w:rFonts w:ascii="Calibri" w:hAnsi="Calibri" w:cs="Arial"/>
          <w:b/>
          <w:i w:val="0"/>
          <w:iCs/>
          <w:spacing w:val="0"/>
          <w:sz w:val="22"/>
          <w:szCs w:val="22"/>
        </w:rPr>
      </w:pPr>
      <w:r>
        <w:rPr>
          <w:rFonts w:ascii="Calibri" w:hAnsi="Calibri" w:cs="Arial"/>
          <w:b/>
          <w:i w:val="0"/>
          <w:iCs/>
          <w:spacing w:val="0"/>
          <w:sz w:val="22"/>
          <w:szCs w:val="22"/>
        </w:rPr>
        <w:t>7.5</w:t>
      </w:r>
      <w:r>
        <w:rPr>
          <w:rFonts w:ascii="Calibri" w:hAnsi="Calibri" w:cs="Arial"/>
          <w:b/>
          <w:i w:val="0"/>
          <w:iCs/>
          <w:spacing w:val="0"/>
          <w:sz w:val="22"/>
          <w:szCs w:val="22"/>
        </w:rPr>
        <w:tab/>
        <w:t>Baseline data</w:t>
      </w:r>
    </w:p>
    <w:p w14:paraId="744AABCF" w14:textId="77777777" w:rsidR="007C525D" w:rsidRDefault="007C757A">
      <w:r>
        <w:rPr>
          <w:rFonts w:ascii="Calibri" w:hAnsi="Calibri" w:cs="Tahoma"/>
          <w:szCs w:val="22"/>
        </w:rPr>
        <w:t>Baseline information collected about participants will include</w:t>
      </w:r>
      <w:r>
        <w:rPr>
          <w:rFonts w:ascii="Calibri" w:hAnsi="Calibri"/>
          <w:szCs w:val="22"/>
          <w:lang w:eastAsia="en-GB"/>
        </w:rPr>
        <w:t xml:space="preserve"> demographic information, past medical history, concomitant medication and vaccination history of the infant, contact details for the family and for the GP.</w:t>
      </w:r>
    </w:p>
    <w:p w14:paraId="6FAE2D2A" w14:textId="77777777" w:rsidR="007C525D" w:rsidRDefault="007C757A">
      <w:pPr>
        <w:spacing w:after="0"/>
      </w:pPr>
      <w:r>
        <w:rPr>
          <w:rFonts w:ascii="Calibri" w:hAnsi="Calibri"/>
          <w:b/>
          <w:iCs/>
          <w:szCs w:val="22"/>
        </w:rPr>
        <w:t>7.7</w:t>
      </w:r>
      <w:r>
        <w:rPr>
          <w:rFonts w:ascii="Calibri" w:hAnsi="Calibri"/>
          <w:b/>
          <w:iCs/>
          <w:szCs w:val="22"/>
        </w:rPr>
        <w:tab/>
        <w:t>Trial assessments</w:t>
      </w:r>
    </w:p>
    <w:p w14:paraId="0807A5F6" w14:textId="77777777" w:rsidR="007C525D" w:rsidRDefault="007C525D">
      <w:pPr>
        <w:spacing w:after="0"/>
        <w:rPr>
          <w:rFonts w:ascii="Calibri" w:hAnsi="Calibri"/>
          <w:b/>
          <w:iCs/>
          <w:szCs w:val="22"/>
        </w:rPr>
      </w:pPr>
    </w:p>
    <w:p w14:paraId="28769207" w14:textId="77777777" w:rsidR="007C525D" w:rsidRDefault="007C757A">
      <w:pPr>
        <w:rPr>
          <w:rFonts w:ascii="Calibri" w:hAnsi="Calibri"/>
        </w:rPr>
      </w:pPr>
      <w:bookmarkStart w:id="25" w:name="_Toc261532676"/>
      <w:bookmarkStart w:id="26" w:name="_Toc470102482"/>
      <w:r>
        <w:rPr>
          <w:rFonts w:ascii="Calibri" w:hAnsi="Calibri"/>
        </w:rPr>
        <w:t>Baseline assessments</w:t>
      </w:r>
      <w:bookmarkEnd w:id="25"/>
      <w:bookmarkEnd w:id="26"/>
    </w:p>
    <w:p w14:paraId="67CCF134" w14:textId="77777777" w:rsidR="007C525D" w:rsidRDefault="007C757A">
      <w:r>
        <w:rPr>
          <w:rFonts w:ascii="Calibri" w:hAnsi="Calibri"/>
          <w:szCs w:val="22"/>
          <w:lang w:eastAsia="en-GB"/>
        </w:rPr>
        <w:t xml:space="preserve">A standardised Case Report Form (CRF) will be completed after obtaining written consent which will check the infant’s eligibility, medical history, concomitant medications and any contraindications to vaccination. A record of physical examination will be made. The intention of this record of physical examination is to document that there are no clinical contraindications to vaccination. </w:t>
      </w:r>
      <w:bookmarkStart w:id="27" w:name="_Toc261532678"/>
      <w:bookmarkStart w:id="28" w:name="_Toc470102484"/>
      <w:bookmarkEnd w:id="27"/>
      <w:bookmarkEnd w:id="28"/>
    </w:p>
    <w:p w14:paraId="3C4E4FDA" w14:textId="77777777" w:rsidR="007C525D" w:rsidRDefault="007C757A">
      <w:r>
        <w:rPr>
          <w:rFonts w:ascii="Calibri" w:hAnsi="Calibri"/>
        </w:rPr>
        <w:t>Vaccination</w:t>
      </w:r>
    </w:p>
    <w:p w14:paraId="235A309E" w14:textId="77777777" w:rsidR="007C525D" w:rsidRDefault="007C757A">
      <w:r>
        <w:rPr>
          <w:rFonts w:ascii="Calibri" w:hAnsi="Calibri"/>
          <w:szCs w:val="22"/>
          <w:lang w:eastAsia="en-GB"/>
        </w:rPr>
        <w:t>The study personnel will reconstitute and administer the vaccines according to the SmPC for each vaccine. The dose or route of administration will not be modified for any of the vaccines under any circumstances. All vaccine doses administered to participants will be either in hospital/university or at home depending on family preference and local strategy. Before each dose is given, the infant’s temperature will be checked. Vaccination will be deferred if the axillary temperature is ≥38.0</w:t>
      </w:r>
      <w:r>
        <w:rPr>
          <w:rFonts w:ascii="Calibri" w:hAnsi="Calibri"/>
          <w:szCs w:val="22"/>
          <w:vertAlign w:val="superscript"/>
          <w:lang w:eastAsia="en-GB"/>
        </w:rPr>
        <w:t>o</w:t>
      </w:r>
      <w:r>
        <w:rPr>
          <w:rFonts w:ascii="Calibri" w:hAnsi="Calibri"/>
          <w:szCs w:val="22"/>
          <w:lang w:eastAsia="en-GB"/>
        </w:rPr>
        <w:t xml:space="preserve">C, or if there is acute illness on the day of vaccination. </w:t>
      </w:r>
    </w:p>
    <w:p w14:paraId="5607EFBE" w14:textId="77777777" w:rsidR="007C525D" w:rsidRDefault="007C757A">
      <w:r>
        <w:rPr>
          <w:rFonts w:ascii="Calibri" w:hAnsi="Calibri"/>
          <w:szCs w:val="22"/>
          <w:lang w:eastAsia="en-GB"/>
        </w:rPr>
        <w:t xml:space="preserve">The vaccines will be administered by intramuscular injection into the antero-lateral thighs, apart from Rotarix® which is an oral vaccine. All vaccines should be given according to the practice outline in The Green Book. If needles are provided with the vaccine these will be used, if needles are not provided, the person giving the vaccine will use a 25mm 23G (blue) or 25mm 25G (orange) needle. For the primary immunisations, 4CMenB will be given in the left thigh, </w:t>
      </w:r>
      <w:proofErr w:type="spellStart"/>
      <w:r>
        <w:rPr>
          <w:rFonts w:ascii="Calibri" w:hAnsi="Calibri"/>
          <w:szCs w:val="22"/>
          <w:lang w:eastAsia="en-GB"/>
        </w:rPr>
        <w:t>Infanrix</w:t>
      </w:r>
      <w:proofErr w:type="spellEnd"/>
      <w:r>
        <w:rPr>
          <w:rFonts w:ascii="Calibri" w:hAnsi="Calibri"/>
          <w:szCs w:val="22"/>
          <w:lang w:eastAsia="en-GB"/>
        </w:rPr>
        <w:t xml:space="preserve"> </w:t>
      </w:r>
      <w:proofErr w:type="spellStart"/>
      <w:r>
        <w:rPr>
          <w:rFonts w:ascii="Calibri" w:hAnsi="Calibri"/>
          <w:szCs w:val="22"/>
          <w:lang w:eastAsia="en-GB"/>
        </w:rPr>
        <w:t>Hexa</w:t>
      </w:r>
      <w:proofErr w:type="spellEnd"/>
      <w:r>
        <w:rPr>
          <w:rFonts w:ascii="Calibri" w:hAnsi="Calibri"/>
          <w:szCs w:val="22"/>
          <w:lang w:eastAsia="en-GB"/>
        </w:rPr>
        <w:t xml:space="preserve">® will be given in the upper right thigh and Prevenar 13® will be given in the lower right thigh and Rotarix® will be given orally.  For the 12-month booster, 4CMenB will be given in the left thigh, </w:t>
      </w:r>
      <w:proofErr w:type="spellStart"/>
      <w:r>
        <w:rPr>
          <w:rFonts w:ascii="Calibri" w:hAnsi="Calibri"/>
          <w:szCs w:val="22"/>
          <w:lang w:eastAsia="en-GB"/>
        </w:rPr>
        <w:t>Priorix</w:t>
      </w:r>
      <w:proofErr w:type="spellEnd"/>
      <w:r>
        <w:rPr>
          <w:rFonts w:ascii="Calibri" w:hAnsi="Calibri"/>
          <w:szCs w:val="22"/>
          <w:lang w:eastAsia="en-GB"/>
        </w:rPr>
        <w:t xml:space="preserve">® in the lower right thigh, Prevenar13® in the upper right thigh and </w:t>
      </w:r>
      <w:proofErr w:type="spellStart"/>
      <w:r>
        <w:rPr>
          <w:rFonts w:ascii="Calibri" w:hAnsi="Calibri"/>
          <w:szCs w:val="22"/>
          <w:lang w:eastAsia="en-GB"/>
        </w:rPr>
        <w:t>Menitorix</w:t>
      </w:r>
      <w:proofErr w:type="spellEnd"/>
      <w:r>
        <w:rPr>
          <w:rFonts w:ascii="Calibri" w:hAnsi="Calibri"/>
          <w:szCs w:val="22"/>
          <w:lang w:eastAsia="en-GB"/>
        </w:rPr>
        <w:t>® in the right arm. The skin at the injection site should be stretched flat between the thumb and forefinger with the needle inserted at a 90</w:t>
      </w:r>
      <w:r>
        <w:rPr>
          <w:rFonts w:ascii="Calibri" w:hAnsi="Calibri"/>
          <w:szCs w:val="22"/>
          <w:vertAlign w:val="superscript"/>
          <w:lang w:eastAsia="en-GB"/>
        </w:rPr>
        <w:t>o</w:t>
      </w:r>
      <w:r>
        <w:rPr>
          <w:rFonts w:ascii="Calibri" w:hAnsi="Calibri"/>
          <w:szCs w:val="22"/>
          <w:lang w:eastAsia="en-GB"/>
        </w:rPr>
        <w:t xml:space="preserve"> angle to the skin. Where more than one injection is to be given in the same limb, they will be administered at least 2.5 cm apart. Standard immunisation practices and appropriate precautions for any anaphylactic reaction will be followed. Subjects will be monitored in person for 20 minutes post-vaccination. Parents/legal guardians will receive a diary card</w:t>
      </w:r>
      <w:r w:rsidR="00886D5B">
        <w:rPr>
          <w:rFonts w:ascii="Calibri" w:hAnsi="Calibri"/>
          <w:szCs w:val="22"/>
          <w:lang w:eastAsia="en-GB"/>
        </w:rPr>
        <w:t xml:space="preserve"> (paper or electronic)</w:t>
      </w:r>
      <w:r>
        <w:rPr>
          <w:rFonts w:ascii="Calibri" w:hAnsi="Calibri"/>
          <w:szCs w:val="22"/>
          <w:lang w:eastAsia="en-GB"/>
        </w:rPr>
        <w:t xml:space="preserve"> following vaccination and will be given instructions about how this should be completed for the seven days following vaccination.</w:t>
      </w:r>
      <w:r>
        <w:t xml:space="preserve"> </w:t>
      </w:r>
      <w:r>
        <w:rPr>
          <w:rFonts w:ascii="Calibri" w:hAnsi="Calibri"/>
          <w:szCs w:val="22"/>
          <w:lang w:eastAsia="en-GB"/>
        </w:rPr>
        <w:t>The information required will be clearly explained to the parents and the diary will be checked by research staff at the subsequent visits so that any necessary additional information can be sought. In addition, they will be provided with a 24-hour telephone number to contact in case of any queries or concerns and will be asked to contact the study team in the event of serious illness or illness requiring hospitalisation which will allow early identification of serious adverse events</w:t>
      </w:r>
    </w:p>
    <w:p w14:paraId="09853DC5" w14:textId="77777777" w:rsidR="007C525D" w:rsidRDefault="007C757A">
      <w:r>
        <w:rPr>
          <w:rFonts w:ascii="Calibri" w:hAnsi="Calibri"/>
          <w:szCs w:val="22"/>
          <w:lang w:eastAsia="en-GB"/>
        </w:rPr>
        <w:t xml:space="preserve">Immunisations given to infants participating in this study still count for primary care target and remuneration purposes as though they had been given by the practice of the infant’s GP. GPs will be informed in writing of the participation of any of their participants in the study. A copy of the letter sent to the GP will be kept with the participant’s identifiable study file. The research team will notify the GP of the vaccine details after every vaccination visit. </w:t>
      </w:r>
    </w:p>
    <w:p w14:paraId="579F57B3" w14:textId="77777777" w:rsidR="007C525D" w:rsidRDefault="007C757A">
      <w:r>
        <w:rPr>
          <w:rFonts w:ascii="Calibri" w:hAnsi="Calibri"/>
          <w:szCs w:val="22"/>
          <w:lang w:eastAsia="en-GB"/>
        </w:rPr>
        <w:t>Paracetamol administration following vaccination</w:t>
      </w:r>
    </w:p>
    <w:p w14:paraId="16F46385" w14:textId="77777777" w:rsidR="007C525D" w:rsidRDefault="007C757A">
      <w:pPr>
        <w:widowControl w:val="0"/>
        <w:tabs>
          <w:tab w:val="left" w:pos="426"/>
          <w:tab w:val="left" w:pos="644"/>
        </w:tabs>
        <w:spacing w:after="200"/>
        <w:ind w:left="34" w:hanging="34"/>
        <w:rPr>
          <w:rFonts w:ascii="Calibri" w:hAnsi="Calibri"/>
          <w:szCs w:val="22"/>
          <w:lang w:eastAsia="en-GB"/>
        </w:rPr>
      </w:pPr>
      <w:r>
        <w:rPr>
          <w:rFonts w:ascii="Calibri" w:hAnsi="Calibri"/>
          <w:szCs w:val="22"/>
          <w:lang w:eastAsia="en-GB"/>
        </w:rPr>
        <w:t xml:space="preserve">Parents will be advised to give three doses of paracetamol during visits where 4CMenB is administered with </w:t>
      </w:r>
      <w:r>
        <w:rPr>
          <w:rFonts w:ascii="Calibri" w:hAnsi="Calibri"/>
          <w:szCs w:val="22"/>
          <w:lang w:eastAsia="en-GB"/>
        </w:rPr>
        <w:lastRenderedPageBreak/>
        <w:t xml:space="preserve">routine immunisations. The first dose of paracetamol will be given around the time of vaccination, with two additional doses at 4-6 hourly intervals according to UK guidance. Parents may be provided with an information sheet about the use of paracetamol with 4CMenB vaccination. </w:t>
      </w:r>
    </w:p>
    <w:p w14:paraId="389A919A" w14:textId="77777777" w:rsidR="007C525D" w:rsidRDefault="007C757A">
      <w:pPr>
        <w:rPr>
          <w:rFonts w:ascii="Calibri" w:hAnsi="Calibri"/>
        </w:rPr>
      </w:pPr>
      <w:bookmarkStart w:id="29" w:name="_Toc470102485"/>
      <w:bookmarkStart w:id="30" w:name="_Toc261532679"/>
      <w:r>
        <w:rPr>
          <w:rFonts w:ascii="Calibri" w:hAnsi="Calibri"/>
        </w:rPr>
        <w:t>Subsequent assessments</w:t>
      </w:r>
      <w:bookmarkEnd w:id="29"/>
      <w:bookmarkEnd w:id="30"/>
    </w:p>
    <w:p w14:paraId="1CD081D6" w14:textId="77777777" w:rsidR="007C525D" w:rsidRDefault="007C757A">
      <w:r>
        <w:rPr>
          <w:rFonts w:ascii="Calibri" w:hAnsi="Calibri"/>
          <w:szCs w:val="22"/>
          <w:lang w:eastAsia="en-GB"/>
        </w:rPr>
        <w:t>Prior to administering subsequent doses of vaccines, parents will be asked about any episodes of illness since the previous visit. The diary cards will be collected</w:t>
      </w:r>
      <w:r w:rsidR="00886D5B">
        <w:rPr>
          <w:rFonts w:ascii="Calibri" w:hAnsi="Calibri"/>
          <w:szCs w:val="22"/>
          <w:lang w:eastAsia="en-GB"/>
        </w:rPr>
        <w:t xml:space="preserve"> (or electronic diaries checked)</w:t>
      </w:r>
      <w:r>
        <w:rPr>
          <w:rFonts w:ascii="Calibri" w:hAnsi="Calibri"/>
          <w:szCs w:val="22"/>
          <w:lang w:eastAsia="en-GB"/>
        </w:rPr>
        <w:t xml:space="preserve">. Any adverse events will be recorded on the CRF and managed according to the protocol. Any concomitant medication of interest which is being taken or has been received since the last visit will also be recorded in the CRF. Peripheral temperature will then be measured and the vaccine will be administered after ensuring that the infant is fit for vaccination. Following administration of each set of vaccinations, infants will be observed in person for at least 20 minutes for any unexpected acute adverse events. AEs and SAEs </w:t>
      </w:r>
      <w:r>
        <w:rPr>
          <w:rFonts w:ascii="Calibri" w:hAnsi="Calibri"/>
          <w:szCs w:val="22"/>
        </w:rPr>
        <w:t xml:space="preserve">and AESIs </w:t>
      </w:r>
      <w:r>
        <w:rPr>
          <w:rFonts w:ascii="Calibri" w:hAnsi="Calibri"/>
          <w:szCs w:val="22"/>
          <w:lang w:eastAsia="en-GB"/>
        </w:rPr>
        <w:t>will be solicited at each study visit and parents will be asked to contact the study team if the infant is seriously unwell or hospitalised between visits.</w:t>
      </w:r>
    </w:p>
    <w:p w14:paraId="0611ADC3" w14:textId="77777777" w:rsidR="007C525D" w:rsidRDefault="007C525D">
      <w:pPr>
        <w:rPr>
          <w:rFonts w:ascii="Calibri" w:hAnsi="Calibri"/>
          <w:szCs w:val="22"/>
          <w:lang w:eastAsia="en-GB"/>
        </w:rPr>
      </w:pPr>
    </w:p>
    <w:p w14:paraId="6F43BC19" w14:textId="77777777" w:rsidR="007C525D" w:rsidRDefault="007C757A">
      <w:r>
        <w:rPr>
          <w:rFonts w:ascii="Calibri" w:hAnsi="Calibri"/>
          <w:szCs w:val="22"/>
          <w:lang w:eastAsia="en-GB"/>
        </w:rPr>
        <w:t>Blood collection</w:t>
      </w:r>
    </w:p>
    <w:p w14:paraId="1493F602" w14:textId="77777777" w:rsidR="007C525D" w:rsidRDefault="007C757A">
      <w:r>
        <w:rPr>
          <w:rFonts w:ascii="Calibri" w:hAnsi="Calibri"/>
          <w:szCs w:val="22"/>
          <w:lang w:eastAsia="en-GB"/>
        </w:rPr>
        <w:t>Blood sampling will be performed by appropriately trained members of the research team. Blood sampling will be postponed for at least 48 hours after the end of any course of antibiotics. If this is not possible, this will be recorded as a protocol deviation and a record should be taken of the antibiotic regime being received at the time of blood sampling. Blood sampling will be obtained by venepuncture where possible. Finger prick or heel prick may be attempted only as a last resort if venepuncture is not possible. Topical application of anaesthetic cream (EMLA or Ametop) and/or a milk feed or oral sucrose may be offered at the time of intended venepuncture site to minimise discomfort. Up to 3 mL of blood will be collected into a 5 mL serum separating tube. The research staff will clearly mark the tube with the participant’s study number, visit number, and date of sampling. Dedicated study labelling stickers will facilitate this process.</w:t>
      </w:r>
    </w:p>
    <w:p w14:paraId="0B516600" w14:textId="77777777" w:rsidR="007C525D" w:rsidRDefault="007C525D">
      <w:pPr>
        <w:rPr>
          <w:rFonts w:ascii="Calibri" w:hAnsi="Calibri"/>
          <w:szCs w:val="22"/>
          <w:lang w:eastAsia="en-GB"/>
        </w:rPr>
      </w:pPr>
    </w:p>
    <w:p w14:paraId="4CC2B51D" w14:textId="77777777" w:rsidR="007C525D" w:rsidRDefault="007C757A">
      <w:pPr>
        <w:widowControl w:val="0"/>
        <w:tabs>
          <w:tab w:val="left" w:pos="426"/>
          <w:tab w:val="left" w:pos="644"/>
        </w:tabs>
        <w:spacing w:after="200"/>
        <w:ind w:left="34" w:hanging="34"/>
      </w:pPr>
      <w:r>
        <w:rPr>
          <w:rFonts w:ascii="Calibri" w:hAnsi="Calibri"/>
          <w:b/>
          <w:szCs w:val="22"/>
          <w:lang w:eastAsia="en-GB"/>
        </w:rPr>
        <w:t>Table 4. Timing of vaccinations and blood sampling</w:t>
      </w:r>
    </w:p>
    <w:tbl>
      <w:tblPr>
        <w:tblW w:w="9831" w:type="dxa"/>
        <w:tblLayout w:type="fixed"/>
        <w:tblCellMar>
          <w:left w:w="107" w:type="dxa"/>
        </w:tblCellMar>
        <w:tblLook w:val="04A0" w:firstRow="1" w:lastRow="0" w:firstColumn="1" w:lastColumn="0" w:noHBand="0" w:noVBand="1"/>
      </w:tblPr>
      <w:tblGrid>
        <w:gridCol w:w="1014"/>
        <w:gridCol w:w="2011"/>
        <w:gridCol w:w="2013"/>
        <w:gridCol w:w="2009"/>
        <w:gridCol w:w="900"/>
        <w:gridCol w:w="988"/>
        <w:gridCol w:w="896"/>
      </w:tblGrid>
      <w:tr w:rsidR="007C525D" w14:paraId="5D4F4582" w14:textId="77777777">
        <w:trPr>
          <w:trHeight w:val="309"/>
        </w:trPr>
        <w:tc>
          <w:tcPr>
            <w:tcW w:w="1013" w:type="dxa"/>
            <w:tcBorders>
              <w:top w:val="single" w:sz="8" w:space="0" w:color="000000"/>
              <w:left w:val="single" w:sz="8" w:space="0" w:color="000000"/>
              <w:bottom w:val="single" w:sz="8" w:space="0" w:color="000000"/>
              <w:right w:val="single" w:sz="8" w:space="0" w:color="000000"/>
            </w:tcBorders>
            <w:shd w:val="clear" w:color="auto" w:fill="F0F0F0"/>
          </w:tcPr>
          <w:p w14:paraId="64AAEC54" w14:textId="77777777" w:rsidR="007C525D" w:rsidRDefault="007C757A">
            <w:pPr>
              <w:widowControl w:val="0"/>
              <w:tabs>
                <w:tab w:val="left" w:pos="426"/>
                <w:tab w:val="left" w:pos="644"/>
              </w:tabs>
            </w:pPr>
            <w:r>
              <w:rPr>
                <w:rFonts w:ascii="Calibri" w:hAnsi="Calibri"/>
                <w:b/>
                <w:bCs/>
                <w:szCs w:val="22"/>
              </w:rPr>
              <w:t>Visit Number</w:t>
            </w:r>
            <w:r>
              <w:rPr>
                <w:rFonts w:ascii="Calibri" w:hAnsi="Calibri"/>
                <w:szCs w:val="22"/>
              </w:rPr>
              <w:t> </w:t>
            </w:r>
          </w:p>
        </w:tc>
        <w:tc>
          <w:tcPr>
            <w:tcW w:w="2011" w:type="dxa"/>
            <w:tcBorders>
              <w:top w:val="single" w:sz="8" w:space="0" w:color="000000"/>
              <w:left w:val="single" w:sz="8" w:space="0" w:color="6D6D6D"/>
              <w:bottom w:val="single" w:sz="8" w:space="0" w:color="000000"/>
              <w:right w:val="single" w:sz="8" w:space="0" w:color="000000"/>
            </w:tcBorders>
            <w:shd w:val="clear" w:color="auto" w:fill="F0F0F0"/>
          </w:tcPr>
          <w:p w14:paraId="0C3947B5" w14:textId="77777777" w:rsidR="007C525D" w:rsidRDefault="007C757A">
            <w:pPr>
              <w:widowControl w:val="0"/>
              <w:tabs>
                <w:tab w:val="left" w:pos="426"/>
                <w:tab w:val="left" w:pos="644"/>
              </w:tabs>
            </w:pPr>
            <w:r>
              <w:rPr>
                <w:rFonts w:ascii="Calibri" w:hAnsi="Calibri"/>
                <w:b/>
                <w:bCs/>
                <w:szCs w:val="22"/>
              </w:rPr>
              <w:t>1</w:t>
            </w:r>
            <w:r>
              <w:rPr>
                <w:rFonts w:ascii="Calibri" w:hAnsi="Calibri"/>
                <w:szCs w:val="22"/>
              </w:rPr>
              <w:t> </w:t>
            </w:r>
          </w:p>
        </w:tc>
        <w:tc>
          <w:tcPr>
            <w:tcW w:w="2013" w:type="dxa"/>
            <w:tcBorders>
              <w:top w:val="single" w:sz="8" w:space="0" w:color="000000"/>
              <w:left w:val="single" w:sz="8" w:space="0" w:color="6D6D6D"/>
              <w:bottom w:val="single" w:sz="8" w:space="0" w:color="000000"/>
              <w:right w:val="single" w:sz="8" w:space="0" w:color="000000"/>
            </w:tcBorders>
            <w:shd w:val="clear" w:color="auto" w:fill="F0F0F0"/>
          </w:tcPr>
          <w:p w14:paraId="0C80A188" w14:textId="77777777" w:rsidR="007C525D" w:rsidRDefault="007C757A">
            <w:pPr>
              <w:widowControl w:val="0"/>
              <w:tabs>
                <w:tab w:val="left" w:pos="426"/>
                <w:tab w:val="left" w:pos="644"/>
              </w:tabs>
            </w:pPr>
            <w:r>
              <w:rPr>
                <w:rFonts w:ascii="Calibri" w:hAnsi="Calibri"/>
                <w:b/>
                <w:bCs/>
                <w:szCs w:val="22"/>
              </w:rPr>
              <w:t>2</w:t>
            </w:r>
            <w:r>
              <w:rPr>
                <w:rFonts w:ascii="Calibri" w:hAnsi="Calibri"/>
                <w:szCs w:val="22"/>
              </w:rPr>
              <w:t> </w:t>
            </w:r>
          </w:p>
        </w:tc>
        <w:tc>
          <w:tcPr>
            <w:tcW w:w="2009" w:type="dxa"/>
            <w:tcBorders>
              <w:top w:val="single" w:sz="8" w:space="0" w:color="000000"/>
              <w:left w:val="single" w:sz="8" w:space="0" w:color="6D6D6D"/>
              <w:bottom w:val="single" w:sz="8" w:space="0" w:color="000000"/>
              <w:right w:val="single" w:sz="8" w:space="0" w:color="000000"/>
            </w:tcBorders>
            <w:shd w:val="clear" w:color="auto" w:fill="F0F0F0"/>
          </w:tcPr>
          <w:p w14:paraId="3DC1896A" w14:textId="77777777" w:rsidR="007C525D" w:rsidRDefault="007C757A">
            <w:pPr>
              <w:widowControl w:val="0"/>
              <w:tabs>
                <w:tab w:val="left" w:pos="426"/>
                <w:tab w:val="left" w:pos="644"/>
              </w:tabs>
            </w:pPr>
            <w:r>
              <w:rPr>
                <w:rFonts w:ascii="Calibri" w:hAnsi="Calibri"/>
                <w:b/>
                <w:bCs/>
                <w:szCs w:val="22"/>
              </w:rPr>
              <w:t>3</w:t>
            </w:r>
            <w:r>
              <w:rPr>
                <w:rFonts w:ascii="Calibri" w:hAnsi="Calibri"/>
                <w:szCs w:val="22"/>
              </w:rPr>
              <w:t> </w:t>
            </w:r>
          </w:p>
        </w:tc>
        <w:tc>
          <w:tcPr>
            <w:tcW w:w="900" w:type="dxa"/>
            <w:tcBorders>
              <w:top w:val="single" w:sz="8" w:space="0" w:color="000000"/>
              <w:left w:val="single" w:sz="8" w:space="0" w:color="6D6D6D"/>
              <w:bottom w:val="single" w:sz="8" w:space="0" w:color="000000"/>
              <w:right w:val="single" w:sz="8" w:space="0" w:color="000000"/>
            </w:tcBorders>
            <w:shd w:val="clear" w:color="auto" w:fill="F0F0F0"/>
          </w:tcPr>
          <w:p w14:paraId="44C18B63" w14:textId="77777777" w:rsidR="007C525D" w:rsidRDefault="007C757A">
            <w:pPr>
              <w:widowControl w:val="0"/>
              <w:tabs>
                <w:tab w:val="left" w:pos="426"/>
                <w:tab w:val="left" w:pos="644"/>
              </w:tabs>
            </w:pPr>
            <w:r>
              <w:rPr>
                <w:rFonts w:ascii="Calibri" w:hAnsi="Calibri"/>
                <w:b/>
                <w:bCs/>
                <w:szCs w:val="22"/>
              </w:rPr>
              <w:t>4</w:t>
            </w:r>
            <w:r>
              <w:rPr>
                <w:rFonts w:ascii="Calibri" w:hAnsi="Calibri"/>
                <w:szCs w:val="22"/>
              </w:rPr>
              <w:t> </w:t>
            </w:r>
          </w:p>
        </w:tc>
        <w:tc>
          <w:tcPr>
            <w:tcW w:w="988" w:type="dxa"/>
            <w:tcBorders>
              <w:top w:val="single" w:sz="8" w:space="0" w:color="000000"/>
              <w:left w:val="single" w:sz="8" w:space="0" w:color="6D6D6D"/>
              <w:bottom w:val="single" w:sz="8" w:space="0" w:color="000000"/>
              <w:right w:val="single" w:sz="8" w:space="0" w:color="000000"/>
            </w:tcBorders>
            <w:shd w:val="clear" w:color="auto" w:fill="F0F0F0"/>
          </w:tcPr>
          <w:p w14:paraId="500D33AC" w14:textId="77777777" w:rsidR="007C525D" w:rsidRDefault="007C757A">
            <w:pPr>
              <w:widowControl w:val="0"/>
              <w:tabs>
                <w:tab w:val="left" w:pos="426"/>
                <w:tab w:val="left" w:pos="644"/>
              </w:tabs>
            </w:pPr>
            <w:r>
              <w:rPr>
                <w:rFonts w:ascii="Calibri" w:hAnsi="Calibri"/>
                <w:b/>
                <w:bCs/>
                <w:szCs w:val="22"/>
              </w:rPr>
              <w:t>5</w:t>
            </w:r>
          </w:p>
        </w:tc>
        <w:tc>
          <w:tcPr>
            <w:tcW w:w="896" w:type="dxa"/>
            <w:tcBorders>
              <w:top w:val="single" w:sz="8" w:space="0" w:color="000000"/>
              <w:left w:val="single" w:sz="8" w:space="0" w:color="6D6D6D"/>
              <w:bottom w:val="single" w:sz="8" w:space="0" w:color="000000"/>
              <w:right w:val="single" w:sz="8" w:space="0" w:color="000000"/>
            </w:tcBorders>
            <w:shd w:val="clear" w:color="auto" w:fill="F0F0F0"/>
          </w:tcPr>
          <w:p w14:paraId="25843E1B" w14:textId="77777777" w:rsidR="007C525D" w:rsidRDefault="007C757A">
            <w:pPr>
              <w:widowControl w:val="0"/>
              <w:tabs>
                <w:tab w:val="left" w:pos="426"/>
                <w:tab w:val="left" w:pos="644"/>
              </w:tabs>
            </w:pPr>
            <w:r>
              <w:rPr>
                <w:rFonts w:ascii="Calibri" w:hAnsi="Calibri"/>
                <w:b/>
                <w:bCs/>
                <w:szCs w:val="22"/>
              </w:rPr>
              <w:t>6</w:t>
            </w:r>
            <w:r>
              <w:rPr>
                <w:rFonts w:ascii="Calibri" w:hAnsi="Calibri"/>
                <w:szCs w:val="22"/>
              </w:rPr>
              <w:t> </w:t>
            </w:r>
          </w:p>
        </w:tc>
      </w:tr>
      <w:tr w:rsidR="007C525D" w14:paraId="56AF6F47" w14:textId="77777777">
        <w:trPr>
          <w:trHeight w:val="618"/>
        </w:trPr>
        <w:tc>
          <w:tcPr>
            <w:tcW w:w="1013" w:type="dxa"/>
            <w:tcBorders>
              <w:top w:val="single" w:sz="8" w:space="0" w:color="6D6D6D"/>
              <w:left w:val="single" w:sz="8" w:space="0" w:color="000000"/>
              <w:bottom w:val="single" w:sz="8" w:space="0" w:color="000000"/>
              <w:right w:val="single" w:sz="8" w:space="0" w:color="000000"/>
            </w:tcBorders>
            <w:shd w:val="clear" w:color="auto" w:fill="auto"/>
          </w:tcPr>
          <w:p w14:paraId="452A72CE" w14:textId="77777777" w:rsidR="007C525D" w:rsidRDefault="007C757A">
            <w:pPr>
              <w:widowControl w:val="0"/>
              <w:tabs>
                <w:tab w:val="left" w:pos="426"/>
                <w:tab w:val="left" w:pos="644"/>
              </w:tabs>
            </w:pPr>
            <w:r>
              <w:rPr>
                <w:rFonts w:ascii="Calibri" w:hAnsi="Calibri"/>
                <w:b/>
                <w:bCs/>
                <w:szCs w:val="22"/>
              </w:rPr>
              <w:t>Age</w:t>
            </w:r>
          </w:p>
        </w:tc>
        <w:tc>
          <w:tcPr>
            <w:tcW w:w="2011" w:type="dxa"/>
            <w:tcBorders>
              <w:top w:val="single" w:sz="8" w:space="0" w:color="6D6D6D"/>
              <w:left w:val="single" w:sz="8" w:space="0" w:color="6D6D6D"/>
              <w:bottom w:val="single" w:sz="8" w:space="0" w:color="000000"/>
              <w:right w:val="single" w:sz="8" w:space="0" w:color="000000"/>
            </w:tcBorders>
            <w:shd w:val="clear" w:color="auto" w:fill="auto"/>
          </w:tcPr>
          <w:p w14:paraId="088315DE" w14:textId="77777777" w:rsidR="007C525D" w:rsidRDefault="007C757A">
            <w:pPr>
              <w:widowControl w:val="0"/>
              <w:tabs>
                <w:tab w:val="left" w:pos="426"/>
                <w:tab w:val="left" w:pos="644"/>
              </w:tabs>
            </w:pPr>
            <w:r>
              <w:rPr>
                <w:rFonts w:ascii="Calibri" w:hAnsi="Calibri"/>
                <w:szCs w:val="22"/>
              </w:rPr>
              <w:t>2 months</w:t>
            </w:r>
          </w:p>
          <w:p w14:paraId="27EA8EA3" w14:textId="77777777" w:rsidR="007C525D" w:rsidRDefault="007C525D">
            <w:pPr>
              <w:widowControl w:val="0"/>
              <w:tabs>
                <w:tab w:val="left" w:pos="426"/>
                <w:tab w:val="left" w:pos="644"/>
              </w:tabs>
              <w:rPr>
                <w:rFonts w:ascii="Calibri" w:hAnsi="Calibri"/>
                <w:szCs w:val="22"/>
              </w:rPr>
            </w:pPr>
          </w:p>
        </w:tc>
        <w:tc>
          <w:tcPr>
            <w:tcW w:w="2013" w:type="dxa"/>
            <w:tcBorders>
              <w:top w:val="single" w:sz="8" w:space="0" w:color="6D6D6D"/>
              <w:left w:val="single" w:sz="8" w:space="0" w:color="6D6D6D"/>
              <w:bottom w:val="single" w:sz="8" w:space="0" w:color="000000"/>
              <w:right w:val="single" w:sz="8" w:space="0" w:color="000000"/>
            </w:tcBorders>
            <w:shd w:val="clear" w:color="auto" w:fill="auto"/>
          </w:tcPr>
          <w:p w14:paraId="6C6EC466" w14:textId="77777777" w:rsidR="007C525D" w:rsidRDefault="007C757A">
            <w:pPr>
              <w:widowControl w:val="0"/>
              <w:tabs>
                <w:tab w:val="left" w:pos="426"/>
                <w:tab w:val="left" w:pos="644"/>
              </w:tabs>
            </w:pPr>
            <w:r>
              <w:rPr>
                <w:rFonts w:ascii="Calibri" w:hAnsi="Calibri"/>
                <w:szCs w:val="22"/>
              </w:rPr>
              <w:t>3 months</w:t>
            </w:r>
          </w:p>
          <w:p w14:paraId="70717E4E" w14:textId="77777777" w:rsidR="007C525D" w:rsidRDefault="007C757A">
            <w:pPr>
              <w:widowControl w:val="0"/>
              <w:tabs>
                <w:tab w:val="left" w:pos="426"/>
                <w:tab w:val="left" w:pos="644"/>
              </w:tabs>
            </w:pPr>
            <w:r>
              <w:rPr>
                <w:rFonts w:ascii="Calibri" w:hAnsi="Calibri"/>
                <w:szCs w:val="22"/>
              </w:rPr>
              <w:t xml:space="preserve">30 (+14) days </w:t>
            </w:r>
            <w:proofErr w:type="spellStart"/>
            <w:r>
              <w:rPr>
                <w:rFonts w:ascii="Calibri" w:hAnsi="Calibri"/>
                <w:szCs w:val="22"/>
              </w:rPr>
              <w:t>days</w:t>
            </w:r>
            <w:proofErr w:type="spellEnd"/>
            <w:r>
              <w:rPr>
                <w:rFonts w:ascii="Calibri" w:hAnsi="Calibri"/>
                <w:szCs w:val="22"/>
              </w:rPr>
              <w:t xml:space="preserve"> after V1</w:t>
            </w:r>
          </w:p>
        </w:tc>
        <w:tc>
          <w:tcPr>
            <w:tcW w:w="2009" w:type="dxa"/>
            <w:tcBorders>
              <w:top w:val="single" w:sz="8" w:space="0" w:color="6D6D6D"/>
              <w:left w:val="single" w:sz="8" w:space="0" w:color="6D6D6D"/>
              <w:bottom w:val="single" w:sz="8" w:space="0" w:color="000000"/>
              <w:right w:val="single" w:sz="8" w:space="0" w:color="000000"/>
            </w:tcBorders>
            <w:shd w:val="clear" w:color="auto" w:fill="auto"/>
          </w:tcPr>
          <w:p w14:paraId="4D075CEA" w14:textId="77777777" w:rsidR="007C525D" w:rsidRDefault="007C757A">
            <w:pPr>
              <w:widowControl w:val="0"/>
              <w:tabs>
                <w:tab w:val="left" w:pos="426"/>
                <w:tab w:val="left" w:pos="644"/>
              </w:tabs>
            </w:pPr>
            <w:r>
              <w:rPr>
                <w:rFonts w:ascii="Calibri" w:hAnsi="Calibri"/>
                <w:szCs w:val="22"/>
              </w:rPr>
              <w:t>4 months</w:t>
            </w:r>
          </w:p>
          <w:p w14:paraId="2E844A1C" w14:textId="77777777" w:rsidR="007C525D" w:rsidRDefault="007C757A">
            <w:pPr>
              <w:widowControl w:val="0"/>
              <w:tabs>
                <w:tab w:val="left" w:pos="426"/>
                <w:tab w:val="left" w:pos="644"/>
              </w:tabs>
            </w:pPr>
            <w:r>
              <w:rPr>
                <w:rFonts w:ascii="Calibri" w:hAnsi="Calibri"/>
                <w:szCs w:val="22"/>
              </w:rPr>
              <w:t>30 (+14) days after V2</w:t>
            </w:r>
          </w:p>
        </w:tc>
        <w:tc>
          <w:tcPr>
            <w:tcW w:w="900" w:type="dxa"/>
            <w:tcBorders>
              <w:top w:val="single" w:sz="8" w:space="0" w:color="6D6D6D"/>
              <w:left w:val="single" w:sz="8" w:space="0" w:color="6D6D6D"/>
              <w:bottom w:val="single" w:sz="8" w:space="0" w:color="000000"/>
              <w:right w:val="single" w:sz="8" w:space="0" w:color="000000"/>
            </w:tcBorders>
            <w:shd w:val="clear" w:color="auto" w:fill="auto"/>
          </w:tcPr>
          <w:p w14:paraId="241BEA7E" w14:textId="77777777" w:rsidR="007C525D" w:rsidRDefault="007C757A">
            <w:pPr>
              <w:widowControl w:val="0"/>
              <w:tabs>
                <w:tab w:val="left" w:pos="426"/>
                <w:tab w:val="left" w:pos="644"/>
              </w:tabs>
            </w:pPr>
            <w:r>
              <w:rPr>
                <w:rFonts w:ascii="Calibri" w:hAnsi="Calibri"/>
                <w:szCs w:val="22"/>
              </w:rPr>
              <w:t>5 months</w:t>
            </w:r>
          </w:p>
          <w:p w14:paraId="5DFFA0D7" w14:textId="77777777" w:rsidR="007C525D" w:rsidRDefault="007C757A">
            <w:pPr>
              <w:widowControl w:val="0"/>
              <w:tabs>
                <w:tab w:val="left" w:pos="426"/>
                <w:tab w:val="left" w:pos="644"/>
              </w:tabs>
            </w:pPr>
            <w:r>
              <w:rPr>
                <w:rFonts w:ascii="Calibri" w:hAnsi="Calibri"/>
                <w:szCs w:val="22"/>
              </w:rPr>
              <w:t>30 (+14) days after V3</w:t>
            </w:r>
          </w:p>
        </w:tc>
        <w:tc>
          <w:tcPr>
            <w:tcW w:w="988" w:type="dxa"/>
            <w:tcBorders>
              <w:top w:val="single" w:sz="8" w:space="0" w:color="6D6D6D"/>
              <w:left w:val="single" w:sz="8" w:space="0" w:color="6D6D6D"/>
              <w:bottom w:val="single" w:sz="8" w:space="0" w:color="000000"/>
              <w:right w:val="single" w:sz="8" w:space="0" w:color="000000"/>
            </w:tcBorders>
            <w:shd w:val="clear" w:color="auto" w:fill="auto"/>
          </w:tcPr>
          <w:p w14:paraId="32CA335F" w14:textId="77777777" w:rsidR="007C525D" w:rsidRDefault="007C757A">
            <w:pPr>
              <w:widowControl w:val="0"/>
              <w:tabs>
                <w:tab w:val="left" w:pos="426"/>
                <w:tab w:val="left" w:pos="644"/>
              </w:tabs>
            </w:pPr>
            <w:r>
              <w:rPr>
                <w:rFonts w:ascii="Calibri" w:hAnsi="Calibri"/>
                <w:szCs w:val="22"/>
              </w:rPr>
              <w:t>12 months</w:t>
            </w:r>
          </w:p>
          <w:p w14:paraId="12218022" w14:textId="77777777" w:rsidR="007C525D" w:rsidRDefault="007C525D">
            <w:pPr>
              <w:widowControl w:val="0"/>
              <w:tabs>
                <w:tab w:val="left" w:pos="426"/>
                <w:tab w:val="left" w:pos="644"/>
              </w:tabs>
              <w:rPr>
                <w:rFonts w:ascii="Calibri" w:hAnsi="Calibri"/>
                <w:szCs w:val="22"/>
              </w:rPr>
            </w:pPr>
          </w:p>
        </w:tc>
        <w:tc>
          <w:tcPr>
            <w:tcW w:w="896" w:type="dxa"/>
            <w:tcBorders>
              <w:top w:val="single" w:sz="8" w:space="0" w:color="6D6D6D"/>
              <w:left w:val="single" w:sz="8" w:space="0" w:color="6D6D6D"/>
              <w:bottom w:val="single" w:sz="8" w:space="0" w:color="000000"/>
              <w:right w:val="single" w:sz="8" w:space="0" w:color="000000"/>
            </w:tcBorders>
            <w:shd w:val="clear" w:color="auto" w:fill="auto"/>
          </w:tcPr>
          <w:p w14:paraId="2A3D49CE" w14:textId="77777777" w:rsidR="007C525D" w:rsidRDefault="007C757A">
            <w:pPr>
              <w:widowControl w:val="0"/>
              <w:tabs>
                <w:tab w:val="left" w:pos="426"/>
                <w:tab w:val="left" w:pos="644"/>
              </w:tabs>
            </w:pPr>
            <w:r>
              <w:rPr>
                <w:rFonts w:ascii="Calibri" w:hAnsi="Calibri"/>
                <w:szCs w:val="22"/>
              </w:rPr>
              <w:t>13 months</w:t>
            </w:r>
          </w:p>
          <w:p w14:paraId="0C45392F" w14:textId="77777777" w:rsidR="007C525D" w:rsidRDefault="007C757A">
            <w:pPr>
              <w:widowControl w:val="0"/>
              <w:tabs>
                <w:tab w:val="left" w:pos="426"/>
                <w:tab w:val="left" w:pos="644"/>
              </w:tabs>
            </w:pPr>
            <w:r>
              <w:rPr>
                <w:rFonts w:ascii="Calibri" w:hAnsi="Calibri"/>
                <w:szCs w:val="22"/>
              </w:rPr>
              <w:t>30 (+21) days after V5</w:t>
            </w:r>
          </w:p>
        </w:tc>
      </w:tr>
      <w:tr w:rsidR="007C525D" w14:paraId="0623EB62" w14:textId="77777777">
        <w:trPr>
          <w:trHeight w:val="928"/>
        </w:trPr>
        <w:tc>
          <w:tcPr>
            <w:tcW w:w="1013" w:type="dxa"/>
            <w:tcBorders>
              <w:top w:val="single" w:sz="8" w:space="0" w:color="6D6D6D"/>
              <w:left w:val="single" w:sz="8" w:space="0" w:color="000000"/>
              <w:bottom w:val="single" w:sz="8" w:space="0" w:color="000000"/>
              <w:right w:val="single" w:sz="8" w:space="0" w:color="000000"/>
            </w:tcBorders>
            <w:shd w:val="clear" w:color="auto" w:fill="auto"/>
          </w:tcPr>
          <w:p w14:paraId="234CE145" w14:textId="77777777" w:rsidR="007C525D" w:rsidRDefault="007C757A">
            <w:pPr>
              <w:widowControl w:val="0"/>
              <w:tabs>
                <w:tab w:val="left" w:pos="426"/>
                <w:tab w:val="left" w:pos="644"/>
              </w:tabs>
            </w:pPr>
            <w:r>
              <w:rPr>
                <w:rFonts w:ascii="Calibri" w:hAnsi="Calibri"/>
                <w:b/>
                <w:bCs/>
                <w:szCs w:val="22"/>
              </w:rPr>
              <w:t>Group 1</w:t>
            </w:r>
          </w:p>
        </w:tc>
        <w:tc>
          <w:tcPr>
            <w:tcW w:w="2011" w:type="dxa"/>
            <w:tcBorders>
              <w:top w:val="single" w:sz="8" w:space="0" w:color="6D6D6D"/>
              <w:left w:val="single" w:sz="8" w:space="0" w:color="6D6D6D"/>
              <w:bottom w:val="single" w:sz="8" w:space="0" w:color="000000"/>
              <w:right w:val="single" w:sz="8" w:space="0" w:color="000000"/>
            </w:tcBorders>
            <w:shd w:val="clear" w:color="auto" w:fill="auto"/>
          </w:tcPr>
          <w:p w14:paraId="576ACBD0" w14:textId="77777777" w:rsidR="007C525D" w:rsidRDefault="007C757A">
            <w:pPr>
              <w:widowControl w:val="0"/>
              <w:tabs>
                <w:tab w:val="left" w:pos="426"/>
                <w:tab w:val="left" w:pos="644"/>
              </w:tabs>
            </w:pPr>
            <w:r>
              <w:rPr>
                <w:rFonts w:ascii="Calibri" w:hAnsi="Calibri"/>
                <w:b/>
                <w:bCs/>
                <w:szCs w:val="22"/>
              </w:rPr>
              <w:t xml:space="preserve">4CMenB </w:t>
            </w:r>
          </w:p>
          <w:p w14:paraId="3719C9CC"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DTaP/IPV/Hib/</w:t>
            </w:r>
            <w:proofErr w:type="spellStart"/>
            <w:r>
              <w:rPr>
                <w:rFonts w:ascii="Calibri" w:hAnsi="Calibri"/>
                <w:szCs w:val="22"/>
                <w:lang w:eastAsia="en-GB"/>
              </w:rPr>
              <w:t>HepB</w:t>
            </w:r>
            <w:proofErr w:type="spellEnd"/>
          </w:p>
          <w:p w14:paraId="735F6BC7" w14:textId="77777777" w:rsidR="007C525D" w:rsidRDefault="007C757A">
            <w:pPr>
              <w:widowControl w:val="0"/>
              <w:tabs>
                <w:tab w:val="left" w:pos="426"/>
                <w:tab w:val="left" w:pos="644"/>
              </w:tabs>
            </w:pPr>
            <w:r>
              <w:rPr>
                <w:rFonts w:ascii="Calibri" w:hAnsi="Calibri"/>
                <w:szCs w:val="22"/>
                <w:lang w:eastAsia="en-GB"/>
              </w:rPr>
              <w:t>Rotavirus</w:t>
            </w:r>
            <w:r>
              <w:rPr>
                <w:rFonts w:ascii="Calibri" w:hAnsi="Calibri"/>
                <w:szCs w:val="22"/>
              </w:rPr>
              <w:t xml:space="preserve"> </w:t>
            </w:r>
          </w:p>
        </w:tc>
        <w:tc>
          <w:tcPr>
            <w:tcW w:w="2013" w:type="dxa"/>
            <w:tcBorders>
              <w:top w:val="single" w:sz="8" w:space="0" w:color="6D6D6D"/>
              <w:left w:val="single" w:sz="8" w:space="0" w:color="6D6D6D"/>
              <w:bottom w:val="single" w:sz="8" w:space="0" w:color="000000"/>
              <w:right w:val="single" w:sz="8" w:space="0" w:color="000000"/>
            </w:tcBorders>
            <w:shd w:val="clear" w:color="auto" w:fill="auto"/>
          </w:tcPr>
          <w:p w14:paraId="2EB694E0" w14:textId="77777777" w:rsidR="007C525D" w:rsidRDefault="007C757A">
            <w:pPr>
              <w:widowControl w:val="0"/>
              <w:tabs>
                <w:tab w:val="left" w:pos="426"/>
                <w:tab w:val="left" w:pos="644"/>
              </w:tabs>
            </w:pPr>
            <w:r>
              <w:rPr>
                <w:rFonts w:ascii="Calibri" w:hAnsi="Calibri"/>
                <w:b/>
                <w:bCs/>
                <w:szCs w:val="22"/>
              </w:rPr>
              <w:t>4CMenB</w:t>
            </w:r>
          </w:p>
          <w:p w14:paraId="2D7A184A"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DTaP/IPV/Hib/</w:t>
            </w:r>
            <w:proofErr w:type="spellStart"/>
            <w:r>
              <w:rPr>
                <w:rFonts w:ascii="Calibri" w:hAnsi="Calibri"/>
                <w:szCs w:val="22"/>
                <w:lang w:eastAsia="en-GB"/>
              </w:rPr>
              <w:t>HepB</w:t>
            </w:r>
            <w:proofErr w:type="spellEnd"/>
          </w:p>
          <w:p w14:paraId="40028A3A" w14:textId="77777777" w:rsidR="007C525D" w:rsidRDefault="007C757A">
            <w:pPr>
              <w:widowControl w:val="0"/>
              <w:tabs>
                <w:tab w:val="left" w:pos="426"/>
                <w:tab w:val="left" w:pos="644"/>
              </w:tabs>
            </w:pPr>
            <w:r>
              <w:rPr>
                <w:rFonts w:ascii="Calibri" w:hAnsi="Calibri"/>
                <w:szCs w:val="22"/>
                <w:lang w:eastAsia="en-GB"/>
              </w:rPr>
              <w:t>Rotavirus</w:t>
            </w:r>
            <w:r>
              <w:rPr>
                <w:rFonts w:ascii="Calibri" w:hAnsi="Calibri"/>
                <w:szCs w:val="22"/>
              </w:rPr>
              <w:t xml:space="preserve"> </w:t>
            </w:r>
          </w:p>
        </w:tc>
        <w:tc>
          <w:tcPr>
            <w:tcW w:w="2009" w:type="dxa"/>
            <w:tcBorders>
              <w:top w:val="single" w:sz="8" w:space="0" w:color="6D6D6D"/>
              <w:left w:val="single" w:sz="8" w:space="0" w:color="6D6D6D"/>
              <w:bottom w:val="single" w:sz="8" w:space="0" w:color="000000"/>
              <w:right w:val="single" w:sz="8" w:space="0" w:color="000000"/>
            </w:tcBorders>
            <w:shd w:val="clear" w:color="auto" w:fill="auto"/>
          </w:tcPr>
          <w:p w14:paraId="3C7DA784" w14:textId="77777777" w:rsidR="007C525D" w:rsidRDefault="007C757A">
            <w:pPr>
              <w:widowControl w:val="0"/>
              <w:tabs>
                <w:tab w:val="left" w:pos="426"/>
                <w:tab w:val="left" w:pos="644"/>
              </w:tabs>
              <w:rPr>
                <w:rFonts w:ascii="Calibri" w:hAnsi="Calibri"/>
                <w:b/>
                <w:szCs w:val="22"/>
              </w:rPr>
            </w:pPr>
            <w:r>
              <w:rPr>
                <w:rFonts w:ascii="Calibri" w:hAnsi="Calibri"/>
                <w:b/>
                <w:szCs w:val="22"/>
              </w:rPr>
              <w:t>PCV13</w:t>
            </w:r>
          </w:p>
          <w:p w14:paraId="3B9041A1" w14:textId="77777777" w:rsidR="007C525D" w:rsidRDefault="007C757A">
            <w:pPr>
              <w:widowControl w:val="0"/>
              <w:tabs>
                <w:tab w:val="left" w:pos="426"/>
                <w:tab w:val="left" w:pos="644"/>
              </w:tabs>
            </w:pPr>
            <w:r>
              <w:rPr>
                <w:rFonts w:ascii="Calibri" w:hAnsi="Calibri"/>
                <w:szCs w:val="22"/>
                <w:lang w:eastAsia="en-GB"/>
              </w:rPr>
              <w:t>DTaP/IPV/Hib/</w:t>
            </w:r>
            <w:proofErr w:type="spellStart"/>
            <w:r>
              <w:rPr>
                <w:rFonts w:ascii="Calibri" w:hAnsi="Calibri"/>
                <w:szCs w:val="22"/>
                <w:lang w:eastAsia="en-GB"/>
              </w:rPr>
              <w:t>HepB</w:t>
            </w:r>
            <w:proofErr w:type="spellEnd"/>
          </w:p>
          <w:p w14:paraId="28328CB0" w14:textId="77777777" w:rsidR="007C525D" w:rsidRDefault="007C525D">
            <w:pPr>
              <w:widowControl w:val="0"/>
              <w:tabs>
                <w:tab w:val="left" w:pos="426"/>
                <w:tab w:val="left" w:pos="644"/>
              </w:tabs>
              <w:rPr>
                <w:rFonts w:ascii="Calibri" w:hAnsi="Calibri"/>
                <w:szCs w:val="22"/>
              </w:rPr>
            </w:pPr>
          </w:p>
          <w:p w14:paraId="364C158D" w14:textId="77777777" w:rsidR="007C525D" w:rsidRDefault="007C525D">
            <w:pPr>
              <w:widowControl w:val="0"/>
              <w:tabs>
                <w:tab w:val="left" w:pos="426"/>
                <w:tab w:val="left" w:pos="644"/>
              </w:tabs>
              <w:rPr>
                <w:rFonts w:ascii="Calibri" w:hAnsi="Calibri"/>
                <w:szCs w:val="22"/>
              </w:rPr>
            </w:pPr>
          </w:p>
          <w:p w14:paraId="1FE3A55B" w14:textId="77777777" w:rsidR="007C525D" w:rsidRDefault="007C757A">
            <w:pPr>
              <w:widowControl w:val="0"/>
              <w:tabs>
                <w:tab w:val="left" w:pos="426"/>
                <w:tab w:val="left" w:pos="644"/>
              </w:tabs>
            </w:pPr>
            <w:r>
              <w:rPr>
                <w:noProof/>
              </w:rPr>
              <w:drawing>
                <wp:inline distT="0" distB="0" distL="0" distR="0" wp14:anchorId="79130565" wp14:editId="69C2EF3F">
                  <wp:extent cx="339725" cy="22606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p>
        </w:tc>
        <w:tc>
          <w:tcPr>
            <w:tcW w:w="900" w:type="dxa"/>
            <w:tcBorders>
              <w:top w:val="single" w:sz="8" w:space="0" w:color="6D6D6D"/>
              <w:left w:val="single" w:sz="8" w:space="0" w:color="6D6D6D"/>
              <w:bottom w:val="single" w:sz="8" w:space="0" w:color="000000"/>
              <w:right w:val="single" w:sz="8" w:space="0" w:color="000000"/>
            </w:tcBorders>
            <w:shd w:val="clear" w:color="auto" w:fill="auto"/>
          </w:tcPr>
          <w:p w14:paraId="7B4B5372" w14:textId="77777777" w:rsidR="007C525D" w:rsidRDefault="007C525D">
            <w:pPr>
              <w:widowControl w:val="0"/>
              <w:tabs>
                <w:tab w:val="left" w:pos="426"/>
                <w:tab w:val="left" w:pos="644"/>
              </w:tabs>
              <w:rPr>
                <w:rFonts w:ascii="Calibri" w:hAnsi="Calibri"/>
                <w:szCs w:val="22"/>
              </w:rPr>
            </w:pPr>
          </w:p>
          <w:p w14:paraId="13CD2FE2" w14:textId="77777777" w:rsidR="007C525D" w:rsidRDefault="007C525D">
            <w:pPr>
              <w:widowControl w:val="0"/>
              <w:tabs>
                <w:tab w:val="left" w:pos="426"/>
                <w:tab w:val="left" w:pos="644"/>
              </w:tabs>
              <w:rPr>
                <w:rFonts w:ascii="Calibri" w:hAnsi="Calibri"/>
                <w:szCs w:val="22"/>
              </w:rPr>
            </w:pPr>
          </w:p>
          <w:p w14:paraId="41B2A121" w14:textId="77777777" w:rsidR="007C525D" w:rsidRDefault="007C525D">
            <w:pPr>
              <w:widowControl w:val="0"/>
              <w:tabs>
                <w:tab w:val="left" w:pos="426"/>
                <w:tab w:val="left" w:pos="644"/>
              </w:tabs>
              <w:rPr>
                <w:rFonts w:ascii="Calibri" w:hAnsi="Calibri"/>
                <w:szCs w:val="22"/>
              </w:rPr>
            </w:pPr>
          </w:p>
          <w:p w14:paraId="7CDC5962" w14:textId="77777777" w:rsidR="007C525D" w:rsidRDefault="007C525D">
            <w:pPr>
              <w:widowControl w:val="0"/>
              <w:tabs>
                <w:tab w:val="left" w:pos="426"/>
                <w:tab w:val="left" w:pos="644"/>
              </w:tabs>
              <w:rPr>
                <w:rFonts w:ascii="Calibri" w:hAnsi="Calibri"/>
                <w:szCs w:val="22"/>
              </w:rPr>
            </w:pPr>
          </w:p>
          <w:p w14:paraId="2C5E021C" w14:textId="77777777" w:rsidR="007C525D" w:rsidRDefault="007C525D">
            <w:pPr>
              <w:widowControl w:val="0"/>
              <w:tabs>
                <w:tab w:val="left" w:pos="426"/>
                <w:tab w:val="left" w:pos="644"/>
              </w:tabs>
              <w:rPr>
                <w:rFonts w:ascii="Calibri" w:hAnsi="Calibri"/>
                <w:szCs w:val="22"/>
              </w:rPr>
            </w:pPr>
          </w:p>
          <w:p w14:paraId="2D83A93D" w14:textId="77777777" w:rsidR="007C525D" w:rsidRDefault="007C525D">
            <w:pPr>
              <w:widowControl w:val="0"/>
              <w:tabs>
                <w:tab w:val="left" w:pos="426"/>
                <w:tab w:val="left" w:pos="644"/>
              </w:tabs>
              <w:rPr>
                <w:rFonts w:ascii="Calibri" w:hAnsi="Calibri"/>
                <w:szCs w:val="22"/>
              </w:rPr>
            </w:pPr>
          </w:p>
        </w:tc>
        <w:tc>
          <w:tcPr>
            <w:tcW w:w="988" w:type="dxa"/>
            <w:tcBorders>
              <w:top w:val="single" w:sz="8" w:space="0" w:color="6D6D6D"/>
              <w:left w:val="single" w:sz="8" w:space="0" w:color="6D6D6D"/>
              <w:bottom w:val="single" w:sz="8" w:space="0" w:color="000000"/>
              <w:right w:val="single" w:sz="8" w:space="0" w:color="000000"/>
            </w:tcBorders>
            <w:shd w:val="clear" w:color="auto" w:fill="auto"/>
          </w:tcPr>
          <w:p w14:paraId="2F00646D" w14:textId="77777777" w:rsidR="007C525D" w:rsidRDefault="007C757A">
            <w:pPr>
              <w:widowControl w:val="0"/>
              <w:tabs>
                <w:tab w:val="left" w:pos="426"/>
                <w:tab w:val="left" w:pos="644"/>
              </w:tabs>
            </w:pPr>
            <w:r>
              <w:rPr>
                <w:rFonts w:ascii="Calibri" w:hAnsi="Calibri"/>
                <w:b/>
                <w:bCs/>
                <w:szCs w:val="22"/>
              </w:rPr>
              <w:t>4CMenB</w:t>
            </w:r>
          </w:p>
          <w:p w14:paraId="3D196637" w14:textId="77777777" w:rsidR="007C525D" w:rsidRDefault="007C757A">
            <w:pPr>
              <w:widowControl w:val="0"/>
              <w:tabs>
                <w:tab w:val="left" w:pos="426"/>
                <w:tab w:val="left" w:pos="644"/>
              </w:tabs>
              <w:rPr>
                <w:rFonts w:ascii="Calibri" w:hAnsi="Calibri"/>
                <w:szCs w:val="22"/>
              </w:rPr>
            </w:pPr>
            <w:r>
              <w:rPr>
                <w:rFonts w:ascii="Calibri" w:hAnsi="Calibri"/>
                <w:szCs w:val="22"/>
              </w:rPr>
              <w:t>PCV13</w:t>
            </w:r>
          </w:p>
          <w:p w14:paraId="127323CD"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MCC-TT/Hib-TT</w:t>
            </w:r>
          </w:p>
          <w:p w14:paraId="66311E73" w14:textId="77777777" w:rsidR="007C525D" w:rsidRDefault="007C757A">
            <w:pPr>
              <w:widowControl w:val="0"/>
              <w:tabs>
                <w:tab w:val="left" w:pos="426"/>
                <w:tab w:val="left" w:pos="644"/>
              </w:tabs>
              <w:spacing w:line="360" w:lineRule="auto"/>
              <w:jc w:val="left"/>
              <w:rPr>
                <w:rFonts w:ascii="Calibri" w:hAnsi="Calibri"/>
                <w:szCs w:val="22"/>
                <w:lang w:eastAsia="en-GB"/>
              </w:rPr>
            </w:pPr>
            <w:r>
              <w:rPr>
                <w:rFonts w:ascii="Calibri" w:hAnsi="Calibri"/>
                <w:szCs w:val="22"/>
                <w:lang w:eastAsia="en-GB"/>
              </w:rPr>
              <w:t>MMR</w:t>
            </w:r>
          </w:p>
          <w:p w14:paraId="056A1DB6" w14:textId="77777777" w:rsidR="007C525D" w:rsidRDefault="007C757A">
            <w:pPr>
              <w:widowControl w:val="0"/>
              <w:tabs>
                <w:tab w:val="left" w:pos="426"/>
                <w:tab w:val="left" w:pos="644"/>
              </w:tabs>
              <w:spacing w:line="360" w:lineRule="auto"/>
              <w:jc w:val="left"/>
            </w:pPr>
            <w:r>
              <w:rPr>
                <w:noProof/>
              </w:rPr>
              <w:lastRenderedPageBreak/>
              <w:drawing>
                <wp:inline distT="0" distB="0" distL="0" distR="0" wp14:anchorId="766131F4" wp14:editId="09C65754">
                  <wp:extent cx="339725" cy="22606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p>
        </w:tc>
        <w:tc>
          <w:tcPr>
            <w:tcW w:w="896" w:type="dxa"/>
            <w:tcBorders>
              <w:top w:val="single" w:sz="8" w:space="0" w:color="6D6D6D"/>
              <w:left w:val="single" w:sz="8" w:space="0" w:color="6D6D6D"/>
              <w:bottom w:val="single" w:sz="8" w:space="0" w:color="000000"/>
              <w:right w:val="single" w:sz="8" w:space="0" w:color="000000"/>
            </w:tcBorders>
            <w:shd w:val="clear" w:color="auto" w:fill="auto"/>
          </w:tcPr>
          <w:p w14:paraId="5302933A" w14:textId="77777777" w:rsidR="007C525D" w:rsidRDefault="007C525D">
            <w:pPr>
              <w:widowControl w:val="0"/>
              <w:tabs>
                <w:tab w:val="left" w:pos="426"/>
                <w:tab w:val="left" w:pos="644"/>
              </w:tabs>
              <w:rPr>
                <w:rFonts w:ascii="Calibri" w:hAnsi="Calibri"/>
                <w:szCs w:val="22"/>
              </w:rPr>
            </w:pPr>
          </w:p>
          <w:p w14:paraId="24D6F62F" w14:textId="77777777" w:rsidR="007C525D" w:rsidRDefault="007C525D">
            <w:pPr>
              <w:widowControl w:val="0"/>
              <w:tabs>
                <w:tab w:val="left" w:pos="426"/>
                <w:tab w:val="left" w:pos="644"/>
              </w:tabs>
              <w:rPr>
                <w:rFonts w:ascii="Calibri" w:hAnsi="Calibri"/>
                <w:szCs w:val="22"/>
              </w:rPr>
            </w:pPr>
          </w:p>
          <w:p w14:paraId="65AF21F1" w14:textId="77777777" w:rsidR="007C525D" w:rsidRDefault="007C525D">
            <w:pPr>
              <w:widowControl w:val="0"/>
              <w:tabs>
                <w:tab w:val="left" w:pos="426"/>
                <w:tab w:val="left" w:pos="644"/>
              </w:tabs>
              <w:rPr>
                <w:rFonts w:ascii="Calibri" w:hAnsi="Calibri"/>
                <w:szCs w:val="22"/>
              </w:rPr>
            </w:pPr>
          </w:p>
          <w:p w14:paraId="0AB61596" w14:textId="77777777" w:rsidR="007C525D" w:rsidRDefault="007C525D">
            <w:pPr>
              <w:widowControl w:val="0"/>
              <w:tabs>
                <w:tab w:val="left" w:pos="426"/>
                <w:tab w:val="left" w:pos="644"/>
              </w:tabs>
              <w:rPr>
                <w:rFonts w:ascii="Calibri" w:hAnsi="Calibri"/>
                <w:szCs w:val="22"/>
              </w:rPr>
            </w:pPr>
          </w:p>
          <w:p w14:paraId="0666D8B6" w14:textId="77777777" w:rsidR="007C525D" w:rsidRDefault="007C525D">
            <w:pPr>
              <w:widowControl w:val="0"/>
              <w:tabs>
                <w:tab w:val="left" w:pos="426"/>
                <w:tab w:val="left" w:pos="644"/>
              </w:tabs>
              <w:rPr>
                <w:rFonts w:ascii="Calibri" w:hAnsi="Calibri"/>
                <w:szCs w:val="22"/>
              </w:rPr>
            </w:pPr>
          </w:p>
          <w:p w14:paraId="329480F4" w14:textId="77777777" w:rsidR="007C525D" w:rsidRDefault="007C757A">
            <w:pPr>
              <w:widowControl w:val="0"/>
              <w:tabs>
                <w:tab w:val="left" w:pos="426"/>
                <w:tab w:val="left" w:pos="644"/>
              </w:tabs>
            </w:pPr>
            <w:r>
              <w:rPr>
                <w:noProof/>
              </w:rPr>
              <w:lastRenderedPageBreak/>
              <w:drawing>
                <wp:inline distT="0" distB="0" distL="0" distR="0" wp14:anchorId="1910E465" wp14:editId="3816B6FB">
                  <wp:extent cx="339725" cy="2260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p>
        </w:tc>
      </w:tr>
      <w:tr w:rsidR="007C525D" w14:paraId="30A747B5" w14:textId="77777777">
        <w:trPr>
          <w:trHeight w:val="406"/>
        </w:trPr>
        <w:tc>
          <w:tcPr>
            <w:tcW w:w="1013" w:type="dxa"/>
            <w:tcBorders>
              <w:top w:val="single" w:sz="8" w:space="0" w:color="6D6D6D"/>
              <w:left w:val="single" w:sz="8" w:space="0" w:color="000000"/>
              <w:bottom w:val="single" w:sz="8" w:space="0" w:color="000000"/>
              <w:right w:val="single" w:sz="8" w:space="0" w:color="000000"/>
            </w:tcBorders>
            <w:shd w:val="clear" w:color="auto" w:fill="auto"/>
          </w:tcPr>
          <w:p w14:paraId="2B09C0CE" w14:textId="77777777" w:rsidR="007C525D" w:rsidRDefault="007C757A">
            <w:pPr>
              <w:widowControl w:val="0"/>
              <w:tabs>
                <w:tab w:val="left" w:pos="426"/>
                <w:tab w:val="left" w:pos="644"/>
              </w:tabs>
            </w:pPr>
            <w:r>
              <w:rPr>
                <w:rFonts w:ascii="Calibri" w:hAnsi="Calibri"/>
                <w:b/>
                <w:bCs/>
                <w:szCs w:val="22"/>
              </w:rPr>
              <w:lastRenderedPageBreak/>
              <w:t>Group 2</w:t>
            </w:r>
          </w:p>
        </w:tc>
        <w:tc>
          <w:tcPr>
            <w:tcW w:w="2011" w:type="dxa"/>
            <w:tcBorders>
              <w:top w:val="single" w:sz="8" w:space="0" w:color="6D6D6D"/>
              <w:left w:val="single" w:sz="8" w:space="0" w:color="6D6D6D"/>
              <w:bottom w:val="single" w:sz="8" w:space="0" w:color="000000"/>
              <w:right w:val="single" w:sz="8" w:space="0" w:color="000000"/>
            </w:tcBorders>
            <w:shd w:val="clear" w:color="auto" w:fill="auto"/>
          </w:tcPr>
          <w:p w14:paraId="30366D23" w14:textId="77777777" w:rsidR="007C525D" w:rsidRDefault="007C757A">
            <w:pPr>
              <w:widowControl w:val="0"/>
              <w:tabs>
                <w:tab w:val="left" w:pos="426"/>
                <w:tab w:val="left" w:pos="644"/>
              </w:tabs>
            </w:pPr>
            <w:r>
              <w:rPr>
                <w:rFonts w:ascii="Calibri" w:hAnsi="Calibri"/>
                <w:b/>
                <w:bCs/>
                <w:szCs w:val="22"/>
              </w:rPr>
              <w:t>4CMenB</w:t>
            </w:r>
          </w:p>
          <w:p w14:paraId="3305AA70"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DTaP/IPV/Hib/</w:t>
            </w:r>
            <w:proofErr w:type="spellStart"/>
            <w:r>
              <w:rPr>
                <w:rFonts w:ascii="Calibri" w:hAnsi="Calibri"/>
                <w:szCs w:val="22"/>
                <w:lang w:eastAsia="en-GB"/>
              </w:rPr>
              <w:t>HepB</w:t>
            </w:r>
            <w:proofErr w:type="spellEnd"/>
          </w:p>
          <w:p w14:paraId="7B68528A" w14:textId="77777777" w:rsidR="007C525D" w:rsidRDefault="007C757A">
            <w:pPr>
              <w:widowControl w:val="0"/>
              <w:tabs>
                <w:tab w:val="left" w:pos="426"/>
                <w:tab w:val="left" w:pos="644"/>
              </w:tabs>
            </w:pPr>
            <w:r>
              <w:rPr>
                <w:rFonts w:ascii="Calibri" w:hAnsi="Calibri"/>
                <w:szCs w:val="22"/>
                <w:lang w:eastAsia="en-GB"/>
              </w:rPr>
              <w:t>Rotavirus</w:t>
            </w:r>
            <w:r>
              <w:rPr>
                <w:rFonts w:ascii="Calibri" w:hAnsi="Calibri"/>
                <w:szCs w:val="22"/>
              </w:rPr>
              <w:t xml:space="preserve"> </w:t>
            </w:r>
          </w:p>
        </w:tc>
        <w:tc>
          <w:tcPr>
            <w:tcW w:w="2013" w:type="dxa"/>
            <w:tcBorders>
              <w:top w:val="single" w:sz="8" w:space="0" w:color="6D6D6D"/>
              <w:left w:val="single" w:sz="8" w:space="0" w:color="6D6D6D"/>
              <w:bottom w:val="single" w:sz="8" w:space="0" w:color="000000"/>
              <w:right w:val="single" w:sz="8" w:space="0" w:color="000000"/>
            </w:tcBorders>
            <w:shd w:val="clear" w:color="auto" w:fill="auto"/>
          </w:tcPr>
          <w:p w14:paraId="6C337FC0" w14:textId="77777777" w:rsidR="007C525D" w:rsidRDefault="007C757A">
            <w:pPr>
              <w:widowControl w:val="0"/>
              <w:tabs>
                <w:tab w:val="left" w:pos="426"/>
                <w:tab w:val="left" w:pos="644"/>
              </w:tabs>
              <w:rPr>
                <w:rFonts w:ascii="Calibri" w:hAnsi="Calibri"/>
                <w:b/>
                <w:szCs w:val="22"/>
              </w:rPr>
            </w:pPr>
            <w:r>
              <w:rPr>
                <w:rFonts w:ascii="Calibri" w:hAnsi="Calibri"/>
                <w:b/>
                <w:szCs w:val="22"/>
              </w:rPr>
              <w:t>PCV13</w:t>
            </w:r>
          </w:p>
          <w:p w14:paraId="0EB8E044"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DTaP/IPV/Hib/</w:t>
            </w:r>
            <w:proofErr w:type="spellStart"/>
            <w:r>
              <w:rPr>
                <w:rFonts w:ascii="Calibri" w:hAnsi="Calibri"/>
                <w:szCs w:val="22"/>
                <w:lang w:eastAsia="en-GB"/>
              </w:rPr>
              <w:t>HepB</w:t>
            </w:r>
            <w:proofErr w:type="spellEnd"/>
          </w:p>
          <w:p w14:paraId="65803963" w14:textId="77777777" w:rsidR="007C525D" w:rsidRDefault="007C757A">
            <w:pPr>
              <w:widowControl w:val="0"/>
              <w:tabs>
                <w:tab w:val="left" w:pos="426"/>
                <w:tab w:val="left" w:pos="644"/>
              </w:tabs>
            </w:pPr>
            <w:r>
              <w:rPr>
                <w:rFonts w:ascii="Calibri" w:hAnsi="Calibri"/>
                <w:szCs w:val="22"/>
                <w:lang w:eastAsia="en-GB"/>
              </w:rPr>
              <w:t>Rotavirus</w:t>
            </w:r>
            <w:r>
              <w:rPr>
                <w:rFonts w:ascii="Calibri" w:hAnsi="Calibri"/>
                <w:szCs w:val="22"/>
              </w:rPr>
              <w:t xml:space="preserve"> </w:t>
            </w:r>
          </w:p>
          <w:p w14:paraId="03267D02" w14:textId="77777777" w:rsidR="007C525D" w:rsidRDefault="007C525D">
            <w:pPr>
              <w:widowControl w:val="0"/>
              <w:tabs>
                <w:tab w:val="left" w:pos="426"/>
                <w:tab w:val="left" w:pos="644"/>
              </w:tabs>
              <w:rPr>
                <w:rFonts w:ascii="Calibri" w:hAnsi="Calibri"/>
                <w:szCs w:val="22"/>
              </w:rPr>
            </w:pPr>
          </w:p>
        </w:tc>
        <w:tc>
          <w:tcPr>
            <w:tcW w:w="2009" w:type="dxa"/>
            <w:tcBorders>
              <w:top w:val="single" w:sz="8" w:space="0" w:color="6D6D6D"/>
              <w:left w:val="single" w:sz="8" w:space="0" w:color="6D6D6D"/>
              <w:bottom w:val="single" w:sz="8" w:space="0" w:color="000000"/>
              <w:right w:val="single" w:sz="8" w:space="0" w:color="000000"/>
            </w:tcBorders>
            <w:shd w:val="clear" w:color="auto" w:fill="auto"/>
          </w:tcPr>
          <w:p w14:paraId="76967ABC" w14:textId="77777777" w:rsidR="007C525D" w:rsidRDefault="007C757A">
            <w:pPr>
              <w:widowControl w:val="0"/>
              <w:tabs>
                <w:tab w:val="left" w:pos="426"/>
                <w:tab w:val="left" w:pos="644"/>
              </w:tabs>
            </w:pPr>
            <w:r>
              <w:rPr>
                <w:rFonts w:ascii="Calibri" w:hAnsi="Calibri"/>
                <w:b/>
                <w:bCs/>
                <w:szCs w:val="22"/>
              </w:rPr>
              <w:t>4CMenB</w:t>
            </w:r>
          </w:p>
          <w:p w14:paraId="05EF634E"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DTaP/IPV/Hib/</w:t>
            </w:r>
            <w:proofErr w:type="spellStart"/>
            <w:r>
              <w:rPr>
                <w:rFonts w:ascii="Calibri" w:hAnsi="Calibri"/>
                <w:szCs w:val="22"/>
                <w:lang w:eastAsia="en-GB"/>
              </w:rPr>
              <w:t>HepB</w:t>
            </w:r>
            <w:proofErr w:type="spellEnd"/>
          </w:p>
          <w:p w14:paraId="4BC16C32" w14:textId="77777777" w:rsidR="007C525D" w:rsidRDefault="007C525D">
            <w:pPr>
              <w:widowControl w:val="0"/>
              <w:tabs>
                <w:tab w:val="left" w:pos="426"/>
                <w:tab w:val="left" w:pos="644"/>
              </w:tabs>
              <w:rPr>
                <w:rFonts w:ascii="Calibri" w:hAnsi="Calibri"/>
                <w:szCs w:val="22"/>
              </w:rPr>
            </w:pPr>
          </w:p>
          <w:p w14:paraId="5660913B" w14:textId="77777777" w:rsidR="007C525D" w:rsidRDefault="007C525D">
            <w:pPr>
              <w:widowControl w:val="0"/>
              <w:tabs>
                <w:tab w:val="left" w:pos="426"/>
                <w:tab w:val="left" w:pos="644"/>
              </w:tabs>
              <w:rPr>
                <w:rFonts w:ascii="Calibri" w:hAnsi="Calibri"/>
                <w:szCs w:val="22"/>
              </w:rPr>
            </w:pPr>
          </w:p>
          <w:p w14:paraId="51B060D2" w14:textId="77777777" w:rsidR="007C525D" w:rsidRDefault="007C525D">
            <w:pPr>
              <w:widowControl w:val="0"/>
              <w:tabs>
                <w:tab w:val="left" w:pos="426"/>
                <w:tab w:val="left" w:pos="644"/>
              </w:tabs>
              <w:rPr>
                <w:rFonts w:ascii="Calibri" w:hAnsi="Calibri"/>
                <w:szCs w:val="22"/>
              </w:rPr>
            </w:pPr>
          </w:p>
          <w:p w14:paraId="767F30B4" w14:textId="77777777" w:rsidR="007C525D" w:rsidRDefault="007C525D">
            <w:pPr>
              <w:widowControl w:val="0"/>
              <w:tabs>
                <w:tab w:val="left" w:pos="426"/>
                <w:tab w:val="left" w:pos="644"/>
              </w:tabs>
              <w:rPr>
                <w:rFonts w:ascii="Calibri" w:hAnsi="Calibri"/>
                <w:szCs w:val="22"/>
              </w:rPr>
            </w:pPr>
          </w:p>
        </w:tc>
        <w:tc>
          <w:tcPr>
            <w:tcW w:w="900" w:type="dxa"/>
            <w:tcBorders>
              <w:top w:val="single" w:sz="8" w:space="0" w:color="6D6D6D"/>
              <w:left w:val="single" w:sz="8" w:space="0" w:color="6D6D6D"/>
              <w:bottom w:val="single" w:sz="8" w:space="0" w:color="000000"/>
              <w:right w:val="single" w:sz="8" w:space="0" w:color="000000"/>
            </w:tcBorders>
            <w:shd w:val="clear" w:color="auto" w:fill="auto"/>
          </w:tcPr>
          <w:p w14:paraId="087C501F" w14:textId="77777777" w:rsidR="007C525D" w:rsidRDefault="007C525D">
            <w:pPr>
              <w:widowControl w:val="0"/>
              <w:tabs>
                <w:tab w:val="left" w:pos="426"/>
                <w:tab w:val="left" w:pos="644"/>
              </w:tabs>
              <w:rPr>
                <w:rFonts w:ascii="Calibri" w:hAnsi="Calibri"/>
                <w:szCs w:val="22"/>
              </w:rPr>
            </w:pPr>
          </w:p>
          <w:p w14:paraId="241A69F0" w14:textId="77777777" w:rsidR="007C525D" w:rsidRDefault="007C525D">
            <w:pPr>
              <w:widowControl w:val="0"/>
              <w:tabs>
                <w:tab w:val="left" w:pos="426"/>
                <w:tab w:val="left" w:pos="644"/>
              </w:tabs>
              <w:rPr>
                <w:rFonts w:ascii="Calibri" w:hAnsi="Calibri"/>
                <w:szCs w:val="22"/>
              </w:rPr>
            </w:pPr>
          </w:p>
          <w:p w14:paraId="245EEA44" w14:textId="77777777" w:rsidR="007C525D" w:rsidRDefault="007C525D">
            <w:pPr>
              <w:widowControl w:val="0"/>
              <w:tabs>
                <w:tab w:val="left" w:pos="426"/>
                <w:tab w:val="left" w:pos="644"/>
              </w:tabs>
              <w:rPr>
                <w:rFonts w:ascii="Calibri" w:hAnsi="Calibri"/>
                <w:szCs w:val="22"/>
              </w:rPr>
            </w:pPr>
          </w:p>
          <w:p w14:paraId="684DF084" w14:textId="77777777" w:rsidR="007C525D" w:rsidRDefault="007C525D">
            <w:pPr>
              <w:widowControl w:val="0"/>
              <w:tabs>
                <w:tab w:val="left" w:pos="426"/>
                <w:tab w:val="left" w:pos="644"/>
              </w:tabs>
              <w:rPr>
                <w:rFonts w:ascii="Calibri" w:hAnsi="Calibri"/>
                <w:szCs w:val="22"/>
              </w:rPr>
            </w:pPr>
          </w:p>
          <w:p w14:paraId="1110F28A" w14:textId="77777777" w:rsidR="007C525D" w:rsidRDefault="007C525D">
            <w:pPr>
              <w:widowControl w:val="0"/>
              <w:tabs>
                <w:tab w:val="left" w:pos="426"/>
                <w:tab w:val="left" w:pos="644"/>
              </w:tabs>
              <w:rPr>
                <w:rFonts w:ascii="Calibri" w:hAnsi="Calibri"/>
                <w:szCs w:val="22"/>
              </w:rPr>
            </w:pPr>
          </w:p>
          <w:p w14:paraId="523551E7" w14:textId="77777777" w:rsidR="007C525D" w:rsidRDefault="007C757A">
            <w:pPr>
              <w:widowControl w:val="0"/>
              <w:tabs>
                <w:tab w:val="left" w:pos="426"/>
                <w:tab w:val="left" w:pos="644"/>
              </w:tabs>
            </w:pPr>
            <w:r>
              <w:rPr>
                <w:noProof/>
              </w:rPr>
              <w:drawing>
                <wp:inline distT="0" distB="0" distL="0" distR="0" wp14:anchorId="5A768F2D" wp14:editId="115FA2F1">
                  <wp:extent cx="339725" cy="22606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p>
        </w:tc>
        <w:tc>
          <w:tcPr>
            <w:tcW w:w="988" w:type="dxa"/>
            <w:tcBorders>
              <w:top w:val="single" w:sz="8" w:space="0" w:color="6D6D6D"/>
              <w:left w:val="single" w:sz="8" w:space="0" w:color="6D6D6D"/>
              <w:bottom w:val="single" w:sz="8" w:space="0" w:color="000000"/>
              <w:right w:val="single" w:sz="8" w:space="0" w:color="000000"/>
            </w:tcBorders>
            <w:shd w:val="clear" w:color="auto" w:fill="auto"/>
          </w:tcPr>
          <w:p w14:paraId="6293E67B" w14:textId="77777777" w:rsidR="007C525D" w:rsidRDefault="007C757A">
            <w:pPr>
              <w:widowControl w:val="0"/>
              <w:tabs>
                <w:tab w:val="left" w:pos="426"/>
                <w:tab w:val="left" w:pos="644"/>
              </w:tabs>
            </w:pPr>
            <w:r>
              <w:rPr>
                <w:rFonts w:ascii="Calibri" w:hAnsi="Calibri"/>
                <w:b/>
                <w:bCs/>
                <w:szCs w:val="22"/>
              </w:rPr>
              <w:t>4CMenB</w:t>
            </w:r>
          </w:p>
          <w:p w14:paraId="5EFDD52C" w14:textId="77777777" w:rsidR="007C525D" w:rsidRDefault="007C757A">
            <w:pPr>
              <w:widowControl w:val="0"/>
              <w:tabs>
                <w:tab w:val="left" w:pos="426"/>
                <w:tab w:val="left" w:pos="644"/>
              </w:tabs>
              <w:rPr>
                <w:rFonts w:ascii="Calibri" w:hAnsi="Calibri"/>
                <w:szCs w:val="22"/>
              </w:rPr>
            </w:pPr>
            <w:r>
              <w:rPr>
                <w:rFonts w:ascii="Calibri" w:hAnsi="Calibri"/>
                <w:szCs w:val="22"/>
              </w:rPr>
              <w:t>PCV13</w:t>
            </w:r>
          </w:p>
          <w:p w14:paraId="4AE7E6AE" w14:textId="77777777" w:rsidR="007C525D" w:rsidRDefault="007C757A">
            <w:pPr>
              <w:widowControl w:val="0"/>
              <w:tabs>
                <w:tab w:val="left" w:pos="426"/>
                <w:tab w:val="left" w:pos="644"/>
              </w:tabs>
              <w:rPr>
                <w:rFonts w:ascii="Calibri" w:hAnsi="Calibri"/>
                <w:szCs w:val="22"/>
                <w:lang w:eastAsia="en-GB"/>
              </w:rPr>
            </w:pPr>
            <w:r>
              <w:rPr>
                <w:rFonts w:ascii="Calibri" w:hAnsi="Calibri"/>
                <w:szCs w:val="22"/>
                <w:lang w:eastAsia="en-GB"/>
              </w:rPr>
              <w:t>MCC-TT/Hib-TT</w:t>
            </w:r>
          </w:p>
          <w:p w14:paraId="3D89780E" w14:textId="77777777" w:rsidR="007C525D" w:rsidRDefault="007C757A">
            <w:pPr>
              <w:widowControl w:val="0"/>
              <w:tabs>
                <w:tab w:val="left" w:pos="426"/>
                <w:tab w:val="left" w:pos="644"/>
              </w:tabs>
              <w:spacing w:line="360" w:lineRule="auto"/>
            </w:pPr>
            <w:r>
              <w:rPr>
                <w:rFonts w:ascii="Calibri" w:hAnsi="Calibri"/>
                <w:szCs w:val="22"/>
                <w:lang w:eastAsia="en-GB"/>
              </w:rPr>
              <w:t>MMR</w:t>
            </w:r>
          </w:p>
          <w:p w14:paraId="5DCF7891" w14:textId="77777777" w:rsidR="007C525D" w:rsidRDefault="007C757A">
            <w:pPr>
              <w:widowControl w:val="0"/>
              <w:tabs>
                <w:tab w:val="left" w:pos="426"/>
                <w:tab w:val="left" w:pos="644"/>
              </w:tabs>
              <w:spacing w:line="360" w:lineRule="auto"/>
            </w:pPr>
            <w:r>
              <w:rPr>
                <w:noProof/>
              </w:rPr>
              <w:drawing>
                <wp:inline distT="0" distB="0" distL="0" distR="0" wp14:anchorId="1CFAB91E" wp14:editId="599C64E6">
                  <wp:extent cx="339725" cy="22606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p>
        </w:tc>
        <w:tc>
          <w:tcPr>
            <w:tcW w:w="896" w:type="dxa"/>
            <w:tcBorders>
              <w:top w:val="single" w:sz="8" w:space="0" w:color="6D6D6D"/>
              <w:left w:val="single" w:sz="8" w:space="0" w:color="6D6D6D"/>
              <w:bottom w:val="single" w:sz="8" w:space="0" w:color="000000"/>
              <w:right w:val="single" w:sz="8" w:space="0" w:color="000000"/>
            </w:tcBorders>
            <w:shd w:val="clear" w:color="auto" w:fill="auto"/>
          </w:tcPr>
          <w:p w14:paraId="7B513773" w14:textId="77777777" w:rsidR="007C525D" w:rsidRDefault="007C525D">
            <w:pPr>
              <w:widowControl w:val="0"/>
              <w:tabs>
                <w:tab w:val="left" w:pos="426"/>
                <w:tab w:val="left" w:pos="644"/>
              </w:tabs>
              <w:rPr>
                <w:rFonts w:ascii="Calibri" w:hAnsi="Calibri"/>
                <w:szCs w:val="22"/>
              </w:rPr>
            </w:pPr>
          </w:p>
          <w:p w14:paraId="75C942BE" w14:textId="77777777" w:rsidR="007C525D" w:rsidRDefault="007C525D">
            <w:pPr>
              <w:widowControl w:val="0"/>
              <w:tabs>
                <w:tab w:val="left" w:pos="426"/>
                <w:tab w:val="left" w:pos="644"/>
              </w:tabs>
              <w:rPr>
                <w:rFonts w:ascii="Calibri" w:hAnsi="Calibri"/>
                <w:szCs w:val="22"/>
              </w:rPr>
            </w:pPr>
          </w:p>
          <w:p w14:paraId="4512588D" w14:textId="77777777" w:rsidR="007C525D" w:rsidRDefault="007C525D">
            <w:pPr>
              <w:widowControl w:val="0"/>
              <w:tabs>
                <w:tab w:val="left" w:pos="426"/>
                <w:tab w:val="left" w:pos="644"/>
              </w:tabs>
              <w:rPr>
                <w:rFonts w:ascii="Calibri" w:hAnsi="Calibri"/>
                <w:szCs w:val="22"/>
              </w:rPr>
            </w:pPr>
          </w:p>
          <w:p w14:paraId="6BDBF7DB" w14:textId="77777777" w:rsidR="007C525D" w:rsidRDefault="007C525D">
            <w:pPr>
              <w:widowControl w:val="0"/>
              <w:tabs>
                <w:tab w:val="left" w:pos="426"/>
                <w:tab w:val="left" w:pos="644"/>
              </w:tabs>
              <w:rPr>
                <w:rFonts w:ascii="Calibri" w:hAnsi="Calibri"/>
                <w:szCs w:val="22"/>
              </w:rPr>
            </w:pPr>
          </w:p>
          <w:p w14:paraId="70C07634" w14:textId="77777777" w:rsidR="007C525D" w:rsidRDefault="007C525D">
            <w:pPr>
              <w:widowControl w:val="0"/>
              <w:tabs>
                <w:tab w:val="left" w:pos="426"/>
                <w:tab w:val="left" w:pos="644"/>
              </w:tabs>
              <w:rPr>
                <w:rFonts w:ascii="Calibri" w:hAnsi="Calibri"/>
                <w:szCs w:val="22"/>
              </w:rPr>
            </w:pPr>
          </w:p>
          <w:p w14:paraId="2283AD97" w14:textId="77777777" w:rsidR="007C525D" w:rsidRDefault="007C757A">
            <w:pPr>
              <w:widowControl w:val="0"/>
              <w:tabs>
                <w:tab w:val="left" w:pos="426"/>
                <w:tab w:val="left" w:pos="644"/>
              </w:tabs>
            </w:pPr>
            <w:r>
              <w:rPr>
                <w:noProof/>
              </w:rPr>
              <w:drawing>
                <wp:inline distT="0" distB="0" distL="0" distR="0" wp14:anchorId="5FD7C3D0" wp14:editId="737FF0DB">
                  <wp:extent cx="339725" cy="22606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p>
        </w:tc>
      </w:tr>
    </w:tbl>
    <w:p w14:paraId="1C76BA08" w14:textId="77777777" w:rsidR="007C525D" w:rsidRDefault="007C757A">
      <w:pPr>
        <w:widowControl w:val="0"/>
        <w:tabs>
          <w:tab w:val="left" w:pos="426"/>
          <w:tab w:val="left" w:pos="644"/>
        </w:tabs>
        <w:spacing w:after="0"/>
      </w:pPr>
      <w:r>
        <w:rPr>
          <w:noProof/>
        </w:rPr>
        <w:drawing>
          <wp:inline distT="0" distB="0" distL="0" distR="0" wp14:anchorId="0E47E9CA" wp14:editId="77E090F8">
            <wp:extent cx="339725" cy="22606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noChangeArrowheads="1"/>
                    </pic:cNvPicPr>
                  </pic:nvPicPr>
                  <pic:blipFill>
                    <a:blip r:embed="rId17"/>
                    <a:stretch>
                      <a:fillRect/>
                    </a:stretch>
                  </pic:blipFill>
                  <pic:spPr bwMode="auto">
                    <a:xfrm>
                      <a:off x="0" y="0"/>
                      <a:ext cx="339725" cy="226060"/>
                    </a:xfrm>
                    <a:prstGeom prst="rect">
                      <a:avLst/>
                    </a:prstGeom>
                  </pic:spPr>
                </pic:pic>
              </a:graphicData>
            </a:graphic>
          </wp:inline>
        </w:drawing>
      </w:r>
      <w:r>
        <w:rPr>
          <w:rFonts w:ascii="Calibri" w:hAnsi="Calibri"/>
          <w:i/>
          <w:szCs w:val="22"/>
        </w:rPr>
        <w:t>= Blood sampling</w:t>
      </w:r>
    </w:p>
    <w:p w14:paraId="11CB7F21" w14:textId="77777777" w:rsidR="007C525D" w:rsidRDefault="007C757A">
      <w:pPr>
        <w:widowControl w:val="0"/>
        <w:tabs>
          <w:tab w:val="left" w:pos="426"/>
          <w:tab w:val="left" w:pos="644"/>
        </w:tabs>
        <w:spacing w:after="0"/>
      </w:pPr>
      <w:r>
        <w:rPr>
          <w:rFonts w:ascii="Calibri" w:hAnsi="Calibri"/>
          <w:i/>
          <w:szCs w:val="22"/>
        </w:rPr>
        <w:t>Ages of scheduled vaccination refer to chronological ages.</w:t>
      </w:r>
    </w:p>
    <w:p w14:paraId="46D8CDA2" w14:textId="77777777" w:rsidR="007C525D" w:rsidRDefault="007C525D">
      <w:pPr>
        <w:widowControl w:val="0"/>
        <w:tabs>
          <w:tab w:val="left" w:pos="426"/>
          <w:tab w:val="left" w:pos="644"/>
        </w:tabs>
        <w:spacing w:after="200"/>
        <w:ind w:left="34" w:hanging="34"/>
        <w:rPr>
          <w:rFonts w:ascii="Calibri" w:hAnsi="Calibri"/>
          <w:b/>
          <w:bCs/>
          <w:szCs w:val="22"/>
          <w:lang w:eastAsia="en-GB"/>
        </w:rPr>
      </w:pPr>
    </w:p>
    <w:p w14:paraId="0655A5FC" w14:textId="77777777" w:rsidR="007C525D" w:rsidRDefault="007C525D">
      <w:pPr>
        <w:spacing w:after="0"/>
        <w:rPr>
          <w:rFonts w:ascii="Calibri" w:hAnsi="Calibri"/>
          <w:b/>
          <w:iCs/>
          <w:szCs w:val="22"/>
        </w:rPr>
      </w:pPr>
    </w:p>
    <w:p w14:paraId="1ECD57C4" w14:textId="77777777" w:rsidR="007C525D" w:rsidRDefault="007C757A">
      <w:pPr>
        <w:rPr>
          <w:rFonts w:ascii="Calibri" w:hAnsi="Calibri"/>
          <w:b/>
          <w:szCs w:val="22"/>
        </w:rPr>
      </w:pPr>
      <w:r>
        <w:rPr>
          <w:rFonts w:ascii="Calibri" w:hAnsi="Calibri"/>
          <w:b/>
          <w:szCs w:val="22"/>
        </w:rPr>
        <w:t>7.8</w:t>
      </w:r>
      <w:r>
        <w:rPr>
          <w:rFonts w:ascii="Calibri" w:hAnsi="Calibri"/>
          <w:b/>
          <w:szCs w:val="22"/>
        </w:rPr>
        <w:tab/>
        <w:t xml:space="preserve">Withdrawal criteria </w:t>
      </w:r>
    </w:p>
    <w:p w14:paraId="46ACBBEA" w14:textId="77777777" w:rsidR="007C525D" w:rsidRDefault="007C757A">
      <w:pPr>
        <w:rPr>
          <w:rFonts w:ascii="Calibri" w:hAnsi="Calibri"/>
          <w:szCs w:val="22"/>
          <w:lang w:eastAsia="en-GB"/>
        </w:rPr>
      </w:pPr>
      <w:r>
        <w:rPr>
          <w:rFonts w:ascii="Calibri" w:hAnsi="Calibri"/>
          <w:szCs w:val="22"/>
          <w:lang w:eastAsia="en-GB"/>
        </w:rPr>
        <w:t xml:space="preserve">Because this study only involves licensed vaccines that would be routinely offered to infants as part of the national immunisation programme, we do not foresee any reason for stopping the study prematurely. Parents/legal guardians may withdraw their infants from the study at any time without offering an explanation. Exceptionally, the local PI may also withdraw an individual participant if there are significant safety concerns regarding ongoing participation, though it is expected that as far as possible there should have been prior discussion with the CI. This study is powered to allow for ~10% drop out of subjects over the course of the study and withdrawn subjects will not be replaced. </w:t>
      </w:r>
    </w:p>
    <w:p w14:paraId="6BB1E54F" w14:textId="77777777" w:rsidR="007C525D" w:rsidRDefault="007C757A">
      <w:pPr>
        <w:widowControl w:val="0"/>
        <w:spacing w:after="0"/>
      </w:pPr>
      <w:r>
        <w:rPr>
          <w:rFonts w:ascii="Calibri" w:hAnsi="Calibri"/>
          <w:color w:val="000000"/>
          <w:szCs w:val="22"/>
          <w:lang w:val="en-US"/>
        </w:rPr>
        <w:t>At all stages, it will be made clear to the parents that they remain free to withdraw their baby from the trial at any time without the need to provide any reason or explanation. Parents will be made aware that a decision to withdraw their infant will have no impact on any aspect of their infant’s continuing care. If parents choose to withdraw their infant from trial participation, permission will be sought to complete data collection and use data up to the point of withdrawal from the trial.</w:t>
      </w:r>
    </w:p>
    <w:p w14:paraId="22B6F7B8" w14:textId="77777777" w:rsidR="007C525D" w:rsidRDefault="007C525D">
      <w:pPr>
        <w:widowControl w:val="0"/>
        <w:spacing w:after="0"/>
        <w:rPr>
          <w:rFonts w:ascii="Calibri" w:hAnsi="Calibri"/>
        </w:rPr>
      </w:pPr>
    </w:p>
    <w:p w14:paraId="604A1699" w14:textId="77777777" w:rsidR="007C525D" w:rsidRDefault="007C757A">
      <w:pPr>
        <w:rPr>
          <w:rFonts w:ascii="Calibri" w:hAnsi="Calibri"/>
        </w:rPr>
      </w:pPr>
      <w:r>
        <w:rPr>
          <w:rFonts w:ascii="Calibri" w:hAnsi="Calibri"/>
        </w:rPr>
        <w:t>Loss to follow up</w:t>
      </w:r>
    </w:p>
    <w:p w14:paraId="1551D3BC" w14:textId="77777777" w:rsidR="007C525D" w:rsidRDefault="007C757A">
      <w:pPr>
        <w:rPr>
          <w:rFonts w:ascii="Calibri" w:hAnsi="Calibri"/>
          <w:szCs w:val="22"/>
          <w:lang w:eastAsia="en-GB"/>
        </w:rPr>
      </w:pPr>
      <w:r>
        <w:rPr>
          <w:rFonts w:ascii="Calibri" w:hAnsi="Calibri"/>
          <w:szCs w:val="22"/>
          <w:lang w:eastAsia="en-GB"/>
        </w:rPr>
        <w:t xml:space="preserve">Every effort will be made to maintain contact with participants. If unable to make contact after three consecutive phone calls or emails, the participant’s GP will be contacted to check the contact details. Permission to allow this will be included within the consent form. If the details are incorrect then contact should be attempted on up to three further occasions using the correct details. If contact is not subsequently obtained despite three attempts a letter will be sent to the participant’s home asking the parents to make contact with the study team. If there is no contact within 1 month of sending this letter the participant will be classified as lost to follow up. </w:t>
      </w:r>
    </w:p>
    <w:p w14:paraId="7F349934" w14:textId="77777777" w:rsidR="007C525D" w:rsidRDefault="007C525D">
      <w:pPr>
        <w:widowControl w:val="0"/>
        <w:spacing w:after="0"/>
        <w:rPr>
          <w:rFonts w:ascii="Calibri" w:hAnsi="Calibri"/>
          <w:color w:val="000000"/>
          <w:szCs w:val="22"/>
          <w:lang w:val="en-US"/>
        </w:rPr>
      </w:pPr>
    </w:p>
    <w:p w14:paraId="1FE64BCA" w14:textId="77777777" w:rsidR="007C525D" w:rsidRDefault="007C757A">
      <w:pPr>
        <w:tabs>
          <w:tab w:val="left" w:pos="-5103"/>
        </w:tabs>
      </w:pPr>
      <w:r>
        <w:rPr>
          <w:rFonts w:ascii="Calibri" w:hAnsi="Calibri"/>
          <w:b/>
          <w:szCs w:val="22"/>
        </w:rPr>
        <w:t>7.9</w:t>
      </w:r>
      <w:r>
        <w:rPr>
          <w:rFonts w:ascii="Calibri" w:hAnsi="Calibri"/>
          <w:b/>
          <w:szCs w:val="22"/>
        </w:rPr>
        <w:tab/>
        <w:t>Storage and analysis of clinical (biological) samples</w:t>
      </w:r>
    </w:p>
    <w:p w14:paraId="60F64D70" w14:textId="77777777" w:rsidR="007C525D" w:rsidRDefault="007C757A">
      <w:bookmarkStart w:id="31" w:name="_Toc470102489"/>
      <w:r>
        <w:rPr>
          <w:rFonts w:ascii="Calibri" w:hAnsi="Calibri"/>
          <w:b/>
        </w:rPr>
        <w:t xml:space="preserve">7.9.1 </w:t>
      </w:r>
      <w:bookmarkStart w:id="32" w:name="_Toc470102490"/>
      <w:bookmarkEnd w:id="31"/>
      <w:r>
        <w:rPr>
          <w:rFonts w:ascii="Calibri" w:hAnsi="Calibri"/>
          <w:b/>
        </w:rPr>
        <w:t>Obtaining, labelling, storing at local site</w:t>
      </w:r>
      <w:bookmarkEnd w:id="32"/>
    </w:p>
    <w:p w14:paraId="64059F59" w14:textId="77777777" w:rsidR="007C525D" w:rsidRDefault="007C525D">
      <w:pPr>
        <w:spacing w:after="0"/>
        <w:ind w:left="720"/>
        <w:rPr>
          <w:rFonts w:ascii="Calibri" w:hAnsi="Calibri"/>
          <w:szCs w:val="22"/>
          <w:lang w:eastAsia="en-GB"/>
        </w:rPr>
      </w:pPr>
    </w:p>
    <w:p w14:paraId="46BEF51E" w14:textId="77777777" w:rsidR="007C525D" w:rsidRDefault="007C757A">
      <w:pPr>
        <w:numPr>
          <w:ilvl w:val="0"/>
          <w:numId w:val="10"/>
        </w:numPr>
        <w:tabs>
          <w:tab w:val="left" w:pos="0"/>
        </w:tabs>
        <w:spacing w:after="0"/>
        <w:ind w:left="714" w:hanging="357"/>
        <w:rPr>
          <w:rFonts w:ascii="Calibri" w:hAnsi="Calibri"/>
          <w:szCs w:val="22"/>
          <w:lang w:eastAsia="en-GB"/>
        </w:rPr>
      </w:pPr>
      <w:r>
        <w:rPr>
          <w:rFonts w:ascii="Calibri" w:hAnsi="Calibri"/>
          <w:szCs w:val="22"/>
          <w:lang w:eastAsia="en-GB"/>
        </w:rPr>
        <w:t>The research staff will clearly mark the tube with the participant’s study number, visit number, and date of sampling. Dedicated study labelling stickers will facilitate this process.</w:t>
      </w:r>
    </w:p>
    <w:p w14:paraId="26CE6D4C" w14:textId="77777777" w:rsidR="007C525D" w:rsidRDefault="007C525D">
      <w:pPr>
        <w:spacing w:after="0"/>
        <w:ind w:left="714"/>
        <w:rPr>
          <w:rFonts w:ascii="Calibri" w:hAnsi="Calibri"/>
          <w:szCs w:val="22"/>
          <w:lang w:eastAsia="en-GB"/>
        </w:rPr>
      </w:pPr>
    </w:p>
    <w:p w14:paraId="610A29D7" w14:textId="77777777" w:rsidR="007C525D" w:rsidRDefault="007C525D">
      <w:pPr>
        <w:spacing w:after="0"/>
        <w:ind w:left="357"/>
        <w:rPr>
          <w:rFonts w:ascii="Calibri" w:hAnsi="Calibri"/>
          <w:szCs w:val="22"/>
          <w:lang w:eastAsia="en-GB"/>
        </w:rPr>
      </w:pPr>
    </w:p>
    <w:p w14:paraId="5DF3F585" w14:textId="7ED509F2" w:rsidR="007C525D" w:rsidRPr="00A97DA8" w:rsidRDefault="007C757A">
      <w:pPr>
        <w:rPr>
          <w:rFonts w:ascii="Calibri" w:hAnsi="Calibri"/>
          <w:b/>
        </w:rPr>
      </w:pPr>
      <w:r w:rsidRPr="00A97DA8">
        <w:rPr>
          <w:rFonts w:ascii="Calibri" w:hAnsi="Calibri"/>
          <w:b/>
        </w:rPr>
        <w:t>7.9.</w:t>
      </w:r>
      <w:r w:rsidR="00E04265" w:rsidRPr="00A97DA8">
        <w:rPr>
          <w:rFonts w:ascii="Calibri" w:hAnsi="Calibri"/>
          <w:b/>
        </w:rPr>
        <w:t>2</w:t>
      </w:r>
      <w:r w:rsidRPr="00A97DA8">
        <w:rPr>
          <w:rFonts w:ascii="Calibri" w:hAnsi="Calibri"/>
          <w:b/>
        </w:rPr>
        <w:t xml:space="preserve"> Processing samples at SGUL</w:t>
      </w:r>
      <w:r w:rsidR="004A41D2" w:rsidRPr="00A97DA8">
        <w:rPr>
          <w:rFonts w:ascii="Calibri" w:hAnsi="Calibri"/>
          <w:b/>
        </w:rPr>
        <w:t xml:space="preserve"> and at sites</w:t>
      </w:r>
    </w:p>
    <w:p w14:paraId="4F679EA8" w14:textId="77777777" w:rsidR="004A41D2" w:rsidRDefault="004A41D2"/>
    <w:p w14:paraId="731ED60A" w14:textId="635CBFE7" w:rsidR="007C525D" w:rsidRPr="00A97DA8" w:rsidRDefault="004A41D2" w:rsidP="000452B0">
      <w:pPr>
        <w:pStyle w:val="ListParagraph"/>
        <w:numPr>
          <w:ilvl w:val="1"/>
          <w:numId w:val="11"/>
        </w:numPr>
        <w:spacing w:after="0"/>
        <w:rPr>
          <w:lang w:eastAsia="en-GB"/>
        </w:rPr>
      </w:pPr>
      <w:r w:rsidRPr="00A97DA8">
        <w:rPr>
          <w:rFonts w:asciiTheme="minorHAnsi" w:hAnsiTheme="minorHAnsi" w:cstheme="minorHAnsi"/>
          <w:lang w:eastAsia="en-GB"/>
        </w:rPr>
        <w:t xml:space="preserve">All sites will process and store their own samples. </w:t>
      </w:r>
    </w:p>
    <w:p w14:paraId="01063EF7" w14:textId="35E1067B" w:rsidR="007C525D" w:rsidRDefault="007C757A">
      <w:pPr>
        <w:numPr>
          <w:ilvl w:val="1"/>
          <w:numId w:val="11"/>
        </w:numPr>
        <w:tabs>
          <w:tab w:val="left" w:pos="0"/>
        </w:tabs>
        <w:spacing w:after="0"/>
        <w:ind w:left="709" w:hanging="283"/>
      </w:pPr>
      <w:r>
        <w:rPr>
          <w:rFonts w:ascii="Calibri" w:hAnsi="Calibri"/>
          <w:szCs w:val="22"/>
          <w:lang w:eastAsia="en-GB"/>
        </w:rPr>
        <w:t xml:space="preserve">Samples will be centrifuged within 4 hours of being received by </w:t>
      </w:r>
      <w:r w:rsidR="004A41D2">
        <w:rPr>
          <w:rFonts w:ascii="Calibri" w:hAnsi="Calibri"/>
          <w:szCs w:val="22"/>
          <w:lang w:eastAsia="en-GB"/>
        </w:rPr>
        <w:t xml:space="preserve">the </w:t>
      </w:r>
      <w:r>
        <w:rPr>
          <w:rFonts w:ascii="Calibri" w:hAnsi="Calibri"/>
          <w:szCs w:val="22"/>
          <w:lang w:eastAsia="en-GB"/>
        </w:rPr>
        <w:t xml:space="preserve">study staff and the serum will be pipetted into cryovials. Approximately 0.5 mL of serum will be placed in a cryovial for transfer to PHE laboratory, Manchester, and the remainder will be retained </w:t>
      </w:r>
      <w:r w:rsidRPr="00A97DA8">
        <w:rPr>
          <w:rFonts w:ascii="Calibri" w:hAnsi="Calibri"/>
          <w:szCs w:val="22"/>
          <w:lang w:eastAsia="en-GB"/>
        </w:rPr>
        <w:t xml:space="preserve">at </w:t>
      </w:r>
      <w:r w:rsidR="004A41D2" w:rsidRPr="00A97DA8">
        <w:rPr>
          <w:rFonts w:ascii="Calibri" w:hAnsi="Calibri"/>
          <w:szCs w:val="22"/>
          <w:lang w:eastAsia="en-GB"/>
        </w:rPr>
        <w:t>site</w:t>
      </w:r>
      <w:r w:rsidR="004A41D2">
        <w:rPr>
          <w:rFonts w:ascii="Calibri" w:hAnsi="Calibri"/>
          <w:szCs w:val="22"/>
          <w:lang w:eastAsia="en-GB"/>
        </w:rPr>
        <w:t xml:space="preserve"> </w:t>
      </w:r>
      <w:r>
        <w:rPr>
          <w:rFonts w:ascii="Calibri" w:hAnsi="Calibri"/>
          <w:szCs w:val="22"/>
          <w:lang w:eastAsia="en-GB"/>
        </w:rPr>
        <w:t>in case a sample is lost, or, subject to parental consent, to be used in future ethically-approved research.  Parents will be asked specifically to consent for the retention of samples for such purposes. All cryovials will be immediately placed in the -80</w:t>
      </w:r>
      <w:r>
        <w:rPr>
          <w:rFonts w:ascii="Calibri" w:hAnsi="Calibri"/>
          <w:szCs w:val="22"/>
          <w:vertAlign w:val="superscript"/>
          <w:lang w:eastAsia="en-GB"/>
        </w:rPr>
        <w:t>o</w:t>
      </w:r>
      <w:r>
        <w:rPr>
          <w:rFonts w:ascii="Calibri" w:hAnsi="Calibri"/>
          <w:szCs w:val="22"/>
          <w:lang w:eastAsia="en-GB"/>
        </w:rPr>
        <w:t>C freezer.</w:t>
      </w:r>
    </w:p>
    <w:p w14:paraId="67AA2A9F" w14:textId="77777777" w:rsidR="007C525D" w:rsidRDefault="007C757A">
      <w:pPr>
        <w:numPr>
          <w:ilvl w:val="1"/>
          <w:numId w:val="11"/>
        </w:numPr>
        <w:tabs>
          <w:tab w:val="left" w:pos="0"/>
        </w:tabs>
        <w:spacing w:after="0"/>
        <w:ind w:left="709" w:hanging="283"/>
        <w:rPr>
          <w:rFonts w:ascii="Calibri" w:hAnsi="Calibri"/>
          <w:szCs w:val="22"/>
          <w:lang w:eastAsia="en-GB"/>
        </w:rPr>
      </w:pPr>
      <w:r>
        <w:rPr>
          <w:rFonts w:ascii="Calibri" w:hAnsi="Calibri"/>
          <w:szCs w:val="22"/>
          <w:lang w:eastAsia="en-GB"/>
        </w:rPr>
        <w:t>A log will be kept of samples being stored in this freezer</w:t>
      </w:r>
    </w:p>
    <w:p w14:paraId="06320C01" w14:textId="77777777" w:rsidR="007C525D" w:rsidRDefault="007C525D">
      <w:pPr>
        <w:spacing w:after="0"/>
        <w:rPr>
          <w:rFonts w:ascii="Calibri" w:hAnsi="Calibri"/>
          <w:szCs w:val="22"/>
          <w:shd w:val="clear" w:color="auto" w:fill="00FF00"/>
          <w:lang w:eastAsia="en-GB"/>
        </w:rPr>
      </w:pPr>
    </w:p>
    <w:p w14:paraId="49033311" w14:textId="14C26D89" w:rsidR="007C525D" w:rsidRDefault="007C757A">
      <w:r>
        <w:rPr>
          <w:rFonts w:ascii="Calibri" w:hAnsi="Calibri"/>
          <w:b/>
        </w:rPr>
        <w:t>7.9.</w:t>
      </w:r>
      <w:r w:rsidR="001508CE" w:rsidRPr="00A97DA8">
        <w:rPr>
          <w:rFonts w:ascii="Calibri" w:hAnsi="Calibri"/>
          <w:b/>
        </w:rPr>
        <w:t>3</w:t>
      </w:r>
      <w:r w:rsidR="001508CE">
        <w:rPr>
          <w:rFonts w:ascii="Calibri" w:hAnsi="Calibri"/>
          <w:b/>
        </w:rPr>
        <w:t xml:space="preserve"> </w:t>
      </w:r>
      <w:r>
        <w:rPr>
          <w:rFonts w:ascii="Calibri" w:hAnsi="Calibri"/>
          <w:b/>
        </w:rPr>
        <w:t>Transporting samples to PHE Manchester</w:t>
      </w:r>
    </w:p>
    <w:p w14:paraId="1ACAEF91" w14:textId="77777777" w:rsidR="007C525D" w:rsidRDefault="007C525D">
      <w:pPr>
        <w:spacing w:after="0"/>
        <w:ind w:left="426"/>
        <w:rPr>
          <w:rFonts w:ascii="Calibri" w:hAnsi="Calibri"/>
          <w:szCs w:val="22"/>
          <w:shd w:val="clear" w:color="auto" w:fill="00FF00"/>
          <w:lang w:eastAsia="en-GB"/>
        </w:rPr>
      </w:pPr>
    </w:p>
    <w:p w14:paraId="76553FBA" w14:textId="2F80A651" w:rsidR="007C525D" w:rsidRDefault="007C757A">
      <w:pPr>
        <w:numPr>
          <w:ilvl w:val="1"/>
          <w:numId w:val="10"/>
        </w:numPr>
        <w:tabs>
          <w:tab w:val="left" w:pos="0"/>
        </w:tabs>
        <w:spacing w:after="0"/>
        <w:ind w:left="709" w:hanging="283"/>
        <w:rPr>
          <w:rFonts w:ascii="Calibri" w:hAnsi="Calibri"/>
          <w:szCs w:val="22"/>
          <w:lang w:eastAsia="en-GB"/>
        </w:rPr>
      </w:pPr>
      <w:r>
        <w:rPr>
          <w:rFonts w:ascii="Calibri" w:hAnsi="Calibri"/>
          <w:szCs w:val="22"/>
          <w:lang w:eastAsia="en-GB"/>
        </w:rPr>
        <w:t>Samples will be sent</w:t>
      </w:r>
      <w:r w:rsidR="00E30994">
        <w:rPr>
          <w:rFonts w:ascii="Calibri" w:hAnsi="Calibri"/>
          <w:szCs w:val="22"/>
          <w:lang w:eastAsia="en-GB"/>
        </w:rPr>
        <w:t xml:space="preserve"> </w:t>
      </w:r>
      <w:r w:rsidR="00E30994" w:rsidRPr="00A97DA8">
        <w:rPr>
          <w:rFonts w:ascii="Calibri" w:hAnsi="Calibri"/>
          <w:szCs w:val="22"/>
          <w:lang w:eastAsia="en-GB"/>
        </w:rPr>
        <w:t>from sites</w:t>
      </w:r>
      <w:r w:rsidRPr="00A97DA8">
        <w:rPr>
          <w:rFonts w:ascii="Calibri" w:hAnsi="Calibri"/>
          <w:szCs w:val="22"/>
          <w:lang w:eastAsia="en-GB"/>
        </w:rPr>
        <w:t xml:space="preserve"> in batches</w:t>
      </w:r>
      <w:r>
        <w:rPr>
          <w:rFonts w:ascii="Calibri" w:hAnsi="Calibri"/>
          <w:szCs w:val="22"/>
          <w:lang w:eastAsia="en-GB"/>
        </w:rPr>
        <w:t xml:space="preserve"> on dry ice by courier to the Public Health England laboratory in Manchester at various time points throughout the study. </w:t>
      </w:r>
    </w:p>
    <w:p w14:paraId="3F7AA94C" w14:textId="77777777" w:rsidR="007C525D" w:rsidRDefault="007C525D">
      <w:pPr>
        <w:spacing w:after="0"/>
        <w:ind w:left="1004"/>
        <w:rPr>
          <w:rFonts w:ascii="Calibri" w:hAnsi="Calibri"/>
          <w:szCs w:val="22"/>
          <w:lang w:eastAsia="en-GB"/>
        </w:rPr>
      </w:pPr>
    </w:p>
    <w:p w14:paraId="5FBDA3A5" w14:textId="01F0D3E0" w:rsidR="007C525D" w:rsidRDefault="007C757A">
      <w:bookmarkStart w:id="33" w:name="_Toc470102491"/>
      <w:r>
        <w:rPr>
          <w:rFonts w:ascii="Calibri" w:hAnsi="Calibri"/>
          <w:b/>
        </w:rPr>
        <w:t>7.</w:t>
      </w:r>
      <w:r w:rsidRPr="00A97DA8">
        <w:rPr>
          <w:rFonts w:ascii="Calibri" w:hAnsi="Calibri"/>
          <w:b/>
        </w:rPr>
        <w:t>9.</w:t>
      </w:r>
      <w:r w:rsidR="001508CE" w:rsidRPr="00A97DA8">
        <w:rPr>
          <w:rFonts w:ascii="Calibri" w:hAnsi="Calibri"/>
          <w:b/>
        </w:rPr>
        <w:t>4</w:t>
      </w:r>
      <w:r>
        <w:rPr>
          <w:rFonts w:ascii="Calibri" w:hAnsi="Calibri"/>
          <w:b/>
        </w:rPr>
        <w:t xml:space="preserve"> Laboratory procedures</w:t>
      </w:r>
      <w:bookmarkEnd w:id="33"/>
    </w:p>
    <w:p w14:paraId="093BE562" w14:textId="7A2929E5" w:rsidR="007C525D" w:rsidRDefault="007C757A">
      <w:pPr>
        <w:ind w:left="284"/>
        <w:rPr>
          <w:rFonts w:ascii="Calibri" w:hAnsi="Calibri"/>
          <w:szCs w:val="22"/>
          <w:lang w:eastAsia="en-GB"/>
        </w:rPr>
      </w:pPr>
      <w:r>
        <w:rPr>
          <w:rFonts w:ascii="Calibri" w:hAnsi="Calibri"/>
          <w:szCs w:val="22"/>
          <w:lang w:eastAsia="en-GB"/>
        </w:rPr>
        <w:t xml:space="preserve">All laboratory testing for this study will be undertaken at the Public Health England laboratory in Manchester. Serum will be tested for functional antibody to the vaccine-containing antigens </w:t>
      </w:r>
      <w:proofErr w:type="spellStart"/>
      <w:r>
        <w:rPr>
          <w:rFonts w:ascii="Calibri" w:hAnsi="Calibri"/>
          <w:szCs w:val="22"/>
          <w:lang w:eastAsia="en-GB"/>
        </w:rPr>
        <w:t>fHbp</w:t>
      </w:r>
      <w:proofErr w:type="spellEnd"/>
      <w:r>
        <w:rPr>
          <w:rFonts w:ascii="Calibri" w:hAnsi="Calibri"/>
          <w:szCs w:val="22"/>
          <w:lang w:eastAsia="en-GB"/>
        </w:rPr>
        <w:t xml:space="preserve">, </w:t>
      </w:r>
      <w:proofErr w:type="spellStart"/>
      <w:r>
        <w:rPr>
          <w:rFonts w:ascii="Calibri" w:hAnsi="Calibri"/>
          <w:szCs w:val="22"/>
          <w:lang w:eastAsia="en-GB"/>
        </w:rPr>
        <w:t>NadA</w:t>
      </w:r>
      <w:proofErr w:type="spellEnd"/>
      <w:r>
        <w:rPr>
          <w:rFonts w:ascii="Calibri" w:hAnsi="Calibri"/>
          <w:szCs w:val="22"/>
          <w:lang w:eastAsia="en-GB"/>
        </w:rPr>
        <w:t xml:space="preserve"> and </w:t>
      </w:r>
      <w:proofErr w:type="spellStart"/>
      <w:r>
        <w:rPr>
          <w:rFonts w:ascii="Calibri" w:hAnsi="Calibri"/>
          <w:szCs w:val="22"/>
          <w:lang w:eastAsia="en-GB"/>
        </w:rPr>
        <w:t>PorA</w:t>
      </w:r>
      <w:proofErr w:type="spellEnd"/>
      <w:r>
        <w:rPr>
          <w:rFonts w:ascii="Calibri" w:hAnsi="Calibri"/>
          <w:szCs w:val="22"/>
          <w:lang w:eastAsia="en-GB"/>
        </w:rPr>
        <w:t xml:space="preserve"> by Serum Bactericidal Assay utilising human complement (</w:t>
      </w:r>
      <w:proofErr w:type="spellStart"/>
      <w:r>
        <w:rPr>
          <w:rFonts w:ascii="Calibri" w:hAnsi="Calibri"/>
          <w:szCs w:val="22"/>
          <w:lang w:eastAsia="en-GB"/>
        </w:rPr>
        <w:t>hSBA</w:t>
      </w:r>
      <w:proofErr w:type="spellEnd"/>
      <w:r w:rsidRPr="00A97DA8">
        <w:rPr>
          <w:rFonts w:ascii="Calibri" w:hAnsi="Calibri"/>
          <w:szCs w:val="22"/>
          <w:lang w:eastAsia="en-GB"/>
        </w:rPr>
        <w:t>).</w:t>
      </w:r>
      <w:r w:rsidR="00EC1E7B" w:rsidRPr="00A97DA8">
        <w:rPr>
          <w:rFonts w:ascii="Calibri" w:hAnsi="Calibri"/>
          <w:szCs w:val="22"/>
          <w:lang w:eastAsia="en-GB"/>
        </w:rPr>
        <w:t xml:space="preserve"> Serotype specific pneumococcal IgG antibodies will be measured using an ELISA.</w:t>
      </w:r>
      <w:r w:rsidR="00EC1E7B">
        <w:rPr>
          <w:rFonts w:ascii="Calibri" w:hAnsi="Calibri"/>
          <w:szCs w:val="22"/>
          <w:lang w:eastAsia="en-GB"/>
        </w:rPr>
        <w:t xml:space="preserve"> </w:t>
      </w:r>
    </w:p>
    <w:p w14:paraId="59594317" w14:textId="77777777" w:rsidR="007C525D" w:rsidRDefault="007C525D">
      <w:pPr>
        <w:rPr>
          <w:rFonts w:ascii="Calibri" w:hAnsi="Calibri"/>
          <w:b/>
          <w:i/>
        </w:rPr>
      </w:pPr>
    </w:p>
    <w:p w14:paraId="506FA97D" w14:textId="77777777" w:rsidR="007C525D" w:rsidRDefault="007C757A">
      <w:r>
        <w:rPr>
          <w:rFonts w:ascii="Calibri" w:hAnsi="Calibri"/>
          <w:b/>
        </w:rPr>
        <w:t>7.10</w:t>
      </w:r>
      <w:r>
        <w:rPr>
          <w:rFonts w:ascii="Calibri" w:hAnsi="Calibri"/>
          <w:b/>
        </w:rPr>
        <w:tab/>
        <w:t>End of trial</w:t>
      </w:r>
    </w:p>
    <w:p w14:paraId="66C5FBF8" w14:textId="77777777" w:rsidR="007C525D" w:rsidRDefault="007C525D">
      <w:pPr>
        <w:rPr>
          <w:rFonts w:ascii="Calibri" w:hAnsi="Calibri"/>
          <w:szCs w:val="22"/>
        </w:rPr>
      </w:pPr>
    </w:p>
    <w:p w14:paraId="546057F2" w14:textId="6B239EDF" w:rsidR="007C525D" w:rsidRDefault="007C757A">
      <w:pPr>
        <w:widowControl w:val="0"/>
        <w:spacing w:after="0"/>
        <w:rPr>
          <w:rFonts w:ascii="Calibri" w:hAnsi="Calibri"/>
          <w:szCs w:val="22"/>
          <w:lang w:eastAsia="en-GB"/>
        </w:rPr>
      </w:pPr>
      <w:r>
        <w:rPr>
          <w:rFonts w:ascii="Calibri" w:hAnsi="Calibri"/>
          <w:color w:val="000000"/>
          <w:szCs w:val="22"/>
          <w:lang w:val="en-US"/>
        </w:rPr>
        <w:t xml:space="preserve">The end of trial for an individual infant is defined as being on completion of their final study visit (V6) schedule at age 13 months. </w:t>
      </w:r>
      <w:r>
        <w:rPr>
          <w:rFonts w:ascii="Calibri" w:hAnsi="Calibri"/>
          <w:szCs w:val="22"/>
          <w:lang w:eastAsia="en-GB"/>
        </w:rPr>
        <w:t xml:space="preserve">The end of the trial overall will be defined as the time of final database lock following laboratory analysis of serum samples. The </w:t>
      </w:r>
      <w:r>
        <w:rPr>
          <w:rFonts w:ascii="Calibri" w:hAnsi="Calibri"/>
          <w:color w:val="000000"/>
          <w:szCs w:val="22"/>
          <w:lang w:val="en-US"/>
        </w:rPr>
        <w:t>approving</w:t>
      </w:r>
      <w:r>
        <w:rPr>
          <w:rFonts w:ascii="Calibri" w:hAnsi="Calibri"/>
          <w:szCs w:val="22"/>
          <w:lang w:eastAsia="en-GB"/>
        </w:rPr>
        <w:t xml:space="preserve"> REC and the MHRA require notification of the end of trial within 90 days of its planned completion or within 15 days if the study is terminated early. </w:t>
      </w:r>
      <w:r>
        <w:rPr>
          <w:rFonts w:ascii="Calibri" w:hAnsi="Calibri"/>
          <w:color w:val="000000"/>
          <w:szCs w:val="22"/>
          <w:lang w:val="en-US"/>
        </w:rPr>
        <w:t xml:space="preserve">The responsibility for submitting the Clinical Study Report will lie with the Chief Investigator and Sponsor. </w:t>
      </w:r>
      <w:r>
        <w:rPr>
          <w:rFonts w:ascii="Calibri" w:hAnsi="Calibri"/>
          <w:szCs w:val="22"/>
          <w:lang w:eastAsia="en-GB"/>
        </w:rPr>
        <w:t xml:space="preserve"> </w:t>
      </w:r>
    </w:p>
    <w:p w14:paraId="5092CA52" w14:textId="2A6888A0" w:rsidR="00296F58" w:rsidRDefault="00296F58">
      <w:pPr>
        <w:widowControl w:val="0"/>
        <w:spacing w:after="0"/>
        <w:rPr>
          <w:rFonts w:ascii="Calibri" w:hAnsi="Calibri"/>
          <w:szCs w:val="22"/>
          <w:lang w:eastAsia="en-GB"/>
        </w:rPr>
      </w:pPr>
    </w:p>
    <w:p w14:paraId="074E3DFE" w14:textId="77777777" w:rsidR="00296F58" w:rsidRDefault="00296F58">
      <w:pPr>
        <w:widowControl w:val="0"/>
        <w:spacing w:after="0"/>
        <w:rPr>
          <w:rFonts w:ascii="Calibri" w:hAnsi="Calibri"/>
          <w:szCs w:val="22"/>
          <w:lang w:eastAsia="en-GB"/>
        </w:rPr>
      </w:pPr>
    </w:p>
    <w:p w14:paraId="256F8459" w14:textId="42351915" w:rsidR="00296F58" w:rsidRDefault="00296F58">
      <w:pPr>
        <w:widowControl w:val="0"/>
        <w:spacing w:after="0"/>
      </w:pPr>
    </w:p>
    <w:p w14:paraId="6082715E" w14:textId="77777777" w:rsidR="00296F58" w:rsidRPr="00296F58" w:rsidRDefault="00296F58" w:rsidP="00296F58">
      <w:pPr>
        <w:widowControl w:val="0"/>
        <w:spacing w:after="0"/>
        <w:rPr>
          <w:rFonts w:asciiTheme="minorHAnsi" w:hAnsiTheme="minorHAnsi" w:cstheme="minorHAnsi"/>
          <w:b/>
        </w:rPr>
      </w:pPr>
      <w:r w:rsidRPr="00296F58">
        <w:rPr>
          <w:rFonts w:asciiTheme="minorHAnsi" w:hAnsiTheme="minorHAnsi" w:cstheme="minorHAnsi"/>
          <w:b/>
        </w:rPr>
        <w:t>7.10.1 Notification of results to parents</w:t>
      </w:r>
    </w:p>
    <w:p w14:paraId="074412CC" w14:textId="77777777" w:rsidR="00296F58" w:rsidRDefault="00296F58" w:rsidP="00296F58">
      <w:pPr>
        <w:widowControl w:val="0"/>
        <w:spacing w:after="0"/>
        <w:rPr>
          <w:rFonts w:asciiTheme="majorHAnsi" w:hAnsiTheme="majorHAnsi" w:cstheme="majorHAnsi"/>
          <w:b/>
        </w:rPr>
      </w:pPr>
    </w:p>
    <w:p w14:paraId="5991C1F2" w14:textId="64DE36C4" w:rsidR="00296F58" w:rsidRPr="00296F58" w:rsidRDefault="00296F58" w:rsidP="00296F58">
      <w:pPr>
        <w:spacing w:after="160" w:line="254" w:lineRule="auto"/>
        <w:rPr>
          <w:rFonts w:asciiTheme="minorHAnsi" w:hAnsiTheme="minorHAnsi" w:cstheme="minorHAnsi"/>
          <w:color w:val="000000"/>
        </w:rPr>
      </w:pPr>
      <w:r w:rsidRPr="00296F58">
        <w:rPr>
          <w:rFonts w:asciiTheme="minorHAnsi" w:hAnsiTheme="minorHAnsi" w:cstheme="minorHAnsi"/>
          <w:color w:val="000000"/>
        </w:rPr>
        <w:t>At the end of the trial, following the laboratory analysis of serum samples, parents will be provided with an information letter about their baby’s blood results. This letter will confirm, if the baby has adequate or inadequate protection against meningitis B and against pneumococcal serotypes, included in PCV13 vaccine</w:t>
      </w:r>
      <w:r w:rsidR="004B130B">
        <w:rPr>
          <w:rFonts w:asciiTheme="minorHAnsi" w:hAnsiTheme="minorHAnsi" w:cstheme="minorHAnsi"/>
          <w:color w:val="000000"/>
        </w:rPr>
        <w:t xml:space="preserve"> after the booster dose given at 12 months</w:t>
      </w:r>
      <w:r w:rsidRPr="00296F58">
        <w:rPr>
          <w:rFonts w:asciiTheme="minorHAnsi" w:hAnsiTheme="minorHAnsi" w:cstheme="minorHAnsi"/>
          <w:color w:val="000000"/>
        </w:rPr>
        <w:t>. </w:t>
      </w:r>
    </w:p>
    <w:p w14:paraId="47CA56B4" w14:textId="593AEB60" w:rsidR="00296F58" w:rsidRPr="00296F58" w:rsidRDefault="00296F58" w:rsidP="00296F58">
      <w:pPr>
        <w:widowControl w:val="0"/>
        <w:spacing w:after="0"/>
        <w:rPr>
          <w:rFonts w:asciiTheme="minorHAnsi" w:hAnsiTheme="minorHAnsi" w:cstheme="minorHAnsi"/>
          <w:b/>
        </w:rPr>
      </w:pPr>
      <w:r w:rsidRPr="00296F58">
        <w:rPr>
          <w:rFonts w:asciiTheme="minorHAnsi" w:hAnsiTheme="minorHAnsi" w:cstheme="minorHAnsi"/>
          <w:color w:val="000000"/>
        </w:rPr>
        <w:t xml:space="preserve">If </w:t>
      </w:r>
      <w:r w:rsidR="004B130B">
        <w:rPr>
          <w:rFonts w:asciiTheme="minorHAnsi" w:hAnsiTheme="minorHAnsi" w:cstheme="minorHAnsi"/>
          <w:color w:val="000000"/>
        </w:rPr>
        <w:t>the antibody levels are below what is considered a protective level</w:t>
      </w:r>
      <w:r w:rsidRPr="00296F58">
        <w:rPr>
          <w:rFonts w:asciiTheme="minorHAnsi" w:hAnsiTheme="minorHAnsi" w:cstheme="minorHAnsi"/>
          <w:color w:val="000000"/>
        </w:rPr>
        <w:t>,</w:t>
      </w:r>
      <w:r w:rsidR="004B130B">
        <w:rPr>
          <w:rFonts w:asciiTheme="minorHAnsi" w:hAnsiTheme="minorHAnsi" w:cstheme="minorHAnsi"/>
          <w:color w:val="000000"/>
        </w:rPr>
        <w:t xml:space="preserve"> we will recommend another dose of </w:t>
      </w:r>
      <w:r w:rsidR="004B130B">
        <w:rPr>
          <w:rFonts w:ascii="Calibri" w:hAnsi="Calibri"/>
          <w:szCs w:val="22"/>
        </w:rPr>
        <w:t>4CMenB or PCV13 vaccine</w:t>
      </w:r>
      <w:r w:rsidR="004B130B">
        <w:rPr>
          <w:rFonts w:asciiTheme="minorHAnsi" w:hAnsiTheme="minorHAnsi" w:cstheme="minorHAnsi"/>
          <w:color w:val="000000"/>
        </w:rPr>
        <w:t xml:space="preserve"> and contact the family to</w:t>
      </w:r>
      <w:r w:rsidRPr="00296F58">
        <w:rPr>
          <w:rFonts w:asciiTheme="minorHAnsi" w:hAnsiTheme="minorHAnsi" w:cstheme="minorHAnsi"/>
          <w:color w:val="000000"/>
        </w:rPr>
        <w:t xml:space="preserve"> discuss the options. </w:t>
      </w:r>
    </w:p>
    <w:p w14:paraId="0F1ACC9D" w14:textId="77777777" w:rsidR="007C525D" w:rsidRDefault="007C525D">
      <w:pPr>
        <w:rPr>
          <w:rFonts w:ascii="Calibri" w:hAnsi="Calibri"/>
          <w:szCs w:val="22"/>
        </w:rPr>
      </w:pPr>
    </w:p>
    <w:p w14:paraId="12285384" w14:textId="77777777" w:rsidR="007C525D" w:rsidRDefault="007C525D">
      <w:pPr>
        <w:rPr>
          <w:rFonts w:ascii="Calibri" w:hAnsi="Calibri"/>
          <w:color w:val="0000FF"/>
          <w:szCs w:val="22"/>
        </w:rPr>
      </w:pPr>
    </w:p>
    <w:p w14:paraId="3018B670"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lastRenderedPageBreak/>
        <w:t>8</w:t>
      </w:r>
      <w:r>
        <w:rPr>
          <w:rFonts w:ascii="Calibri" w:hAnsi="Calibri"/>
          <w:color w:val="auto"/>
          <w:sz w:val="22"/>
          <w:szCs w:val="22"/>
        </w:rPr>
        <w:tab/>
        <w:t>TRIAL TREATMENTS</w:t>
      </w:r>
    </w:p>
    <w:p w14:paraId="3F1BA51A" w14:textId="77777777" w:rsidR="007C525D" w:rsidRDefault="007C757A">
      <w:r>
        <w:rPr>
          <w:rFonts w:ascii="Calibri" w:hAnsi="Calibri"/>
          <w:b/>
        </w:rPr>
        <w:t>8.1.1</w:t>
      </w:r>
      <w:r>
        <w:rPr>
          <w:rFonts w:ascii="Calibri" w:hAnsi="Calibri"/>
          <w:b/>
        </w:rPr>
        <w:tab/>
        <w:t>Name and description of investigational medicinal product (IMP)</w:t>
      </w:r>
    </w:p>
    <w:p w14:paraId="2299BC0D" w14:textId="77777777" w:rsidR="007C525D" w:rsidRDefault="007C757A">
      <w:r>
        <w:rPr>
          <w:rFonts w:ascii="Calibri" w:hAnsi="Calibri"/>
          <w:szCs w:val="22"/>
        </w:rPr>
        <w:t>Bexsero</w:t>
      </w:r>
      <w:r>
        <w:rPr>
          <w:rFonts w:ascii="Calibri" w:hAnsi="Calibri" w:cs="Calibri"/>
          <w:szCs w:val="22"/>
        </w:rPr>
        <w:t xml:space="preserve">® </w:t>
      </w:r>
      <w:r>
        <w:rPr>
          <w:rFonts w:ascii="Calibri" w:hAnsi="Calibri"/>
          <w:szCs w:val="22"/>
        </w:rPr>
        <w:t>(4CMenB vaccine-GSK)</w:t>
      </w:r>
      <w:r>
        <w:rPr>
          <w:rFonts w:ascii="MS Gothic" w:hAnsi="MS Gothic" w:cs="MS Gothic"/>
          <w:szCs w:val="22"/>
        </w:rPr>
        <w:t xml:space="preserve"> </w:t>
      </w:r>
      <w:r>
        <w:rPr>
          <w:rFonts w:ascii="Calibri" w:hAnsi="Calibri"/>
          <w:szCs w:val="22"/>
        </w:rPr>
        <w:t xml:space="preserve">0.5mL intra-muscularly; two doses administered 1 to 6 months apart. Each dose of vaccine contains recombinant Neisseria meningitidis group B NHBA fusion protein (50 micrograms); recombinant Neisseria meningitidis group B </w:t>
      </w:r>
      <w:proofErr w:type="spellStart"/>
      <w:r>
        <w:rPr>
          <w:rFonts w:ascii="Calibri" w:hAnsi="Calibri"/>
          <w:szCs w:val="22"/>
        </w:rPr>
        <w:t>NadA</w:t>
      </w:r>
      <w:proofErr w:type="spellEnd"/>
      <w:r>
        <w:rPr>
          <w:rFonts w:ascii="Calibri" w:hAnsi="Calibri"/>
          <w:szCs w:val="22"/>
        </w:rPr>
        <w:t xml:space="preserve"> protein (50 micrograms); recombinant Neisseria meningitidis group B </w:t>
      </w:r>
      <w:proofErr w:type="spellStart"/>
      <w:r>
        <w:rPr>
          <w:rFonts w:ascii="Calibri" w:hAnsi="Calibri"/>
          <w:szCs w:val="22"/>
        </w:rPr>
        <w:t>FHbp</w:t>
      </w:r>
      <w:proofErr w:type="spellEnd"/>
      <w:r>
        <w:rPr>
          <w:rFonts w:ascii="Calibri" w:hAnsi="Calibri"/>
          <w:szCs w:val="22"/>
        </w:rPr>
        <w:t xml:space="preserve"> fusion protein (50 micrograms) and Outer membrane vesicles (OMV) from Neisseria meningitidis group B strain NZ98/254 (25 micrograms measured as amount of total protein containing the </w:t>
      </w:r>
      <w:proofErr w:type="spellStart"/>
      <w:r>
        <w:rPr>
          <w:rFonts w:ascii="Calibri" w:hAnsi="Calibri"/>
          <w:szCs w:val="22"/>
        </w:rPr>
        <w:t>PorA</w:t>
      </w:r>
      <w:proofErr w:type="spellEnd"/>
      <w:r>
        <w:rPr>
          <w:rFonts w:ascii="Calibri" w:hAnsi="Calibri"/>
          <w:szCs w:val="22"/>
        </w:rPr>
        <w:t xml:space="preserve"> P1.4) adsorbed on aluminium hydroxide (0.5 mg Al3+).</w:t>
      </w:r>
    </w:p>
    <w:p w14:paraId="7ECFFDE2" w14:textId="77777777" w:rsidR="007C525D" w:rsidRDefault="007C525D">
      <w:pPr>
        <w:rPr>
          <w:rFonts w:ascii="Calibri" w:hAnsi="Calibri"/>
          <w:color w:val="0000FF"/>
          <w:szCs w:val="22"/>
        </w:rPr>
      </w:pPr>
    </w:p>
    <w:p w14:paraId="0C4BCC07" w14:textId="77777777" w:rsidR="007C525D" w:rsidRDefault="007C757A">
      <w:r>
        <w:rPr>
          <w:rFonts w:ascii="Calibri" w:hAnsi="Calibri"/>
          <w:b/>
          <w:szCs w:val="22"/>
        </w:rPr>
        <w:t>8.1.2</w:t>
      </w:r>
      <w:r>
        <w:rPr>
          <w:rFonts w:ascii="Calibri" w:hAnsi="Calibri"/>
          <w:b/>
          <w:szCs w:val="22"/>
        </w:rPr>
        <w:tab/>
        <w:t>Name and description of non-investigational medicinal product (NIMP)</w:t>
      </w:r>
    </w:p>
    <w:p w14:paraId="52DEE502" w14:textId="77777777" w:rsidR="007C525D" w:rsidRDefault="007C525D">
      <w:pPr>
        <w:widowControl w:val="0"/>
        <w:tabs>
          <w:tab w:val="left" w:pos="426"/>
          <w:tab w:val="left" w:pos="644"/>
        </w:tabs>
        <w:spacing w:after="200"/>
        <w:ind w:left="34" w:hanging="34"/>
        <w:rPr>
          <w:rFonts w:ascii="Calibri" w:hAnsi="Calibri"/>
          <w:szCs w:val="22"/>
          <w:lang w:eastAsia="en-GB"/>
        </w:rPr>
      </w:pPr>
    </w:p>
    <w:p w14:paraId="4C046DF8" w14:textId="77777777" w:rsidR="007C525D" w:rsidRDefault="007C757A">
      <w:pPr>
        <w:pStyle w:val="ListParagraph"/>
        <w:widowControl w:val="0"/>
        <w:tabs>
          <w:tab w:val="left" w:pos="-620"/>
          <w:tab w:val="left" w:pos="644"/>
        </w:tabs>
        <w:spacing w:after="170"/>
        <w:ind w:left="0"/>
      </w:pPr>
      <w:proofErr w:type="spellStart"/>
      <w:r>
        <w:rPr>
          <w:rFonts w:ascii="Calibri" w:hAnsi="Calibri"/>
          <w:lang w:eastAsia="en-GB"/>
        </w:rPr>
        <w:t>Infanrix</w:t>
      </w:r>
      <w:proofErr w:type="spellEnd"/>
      <w:r>
        <w:rPr>
          <w:rFonts w:ascii="Calibri" w:hAnsi="Calibri"/>
          <w:lang w:eastAsia="en-GB"/>
        </w:rPr>
        <w:t xml:space="preserve"> </w:t>
      </w:r>
      <w:proofErr w:type="spellStart"/>
      <w:r>
        <w:rPr>
          <w:rFonts w:ascii="Calibri" w:hAnsi="Calibri"/>
          <w:lang w:eastAsia="en-GB"/>
        </w:rPr>
        <w:t>hexa</w:t>
      </w:r>
      <w:proofErr w:type="spellEnd"/>
      <w:r>
        <w:rPr>
          <w:rFonts w:ascii="Calibri" w:hAnsi="Calibri"/>
          <w:lang w:eastAsia="en-GB"/>
        </w:rPr>
        <w:t>® (Combined Diphtheria-Tetanus-acellular Pertussis [</w:t>
      </w:r>
      <w:proofErr w:type="spellStart"/>
      <w:r>
        <w:rPr>
          <w:rFonts w:ascii="Calibri" w:hAnsi="Calibri"/>
          <w:lang w:eastAsia="en-GB"/>
        </w:rPr>
        <w:t>DTPa</w:t>
      </w:r>
      <w:proofErr w:type="spellEnd"/>
      <w:r>
        <w:rPr>
          <w:rFonts w:ascii="Calibri" w:hAnsi="Calibri"/>
          <w:lang w:eastAsia="en-GB"/>
        </w:rPr>
        <w:t xml:space="preserve">], Hepatitis B, Inactivated Poliovirus and </w:t>
      </w:r>
      <w:r>
        <w:rPr>
          <w:rFonts w:ascii="Calibri" w:hAnsi="Calibri"/>
          <w:i/>
          <w:iCs/>
          <w:lang w:eastAsia="en-GB"/>
        </w:rPr>
        <w:t xml:space="preserve">Haemophilus influenzae </w:t>
      </w:r>
      <w:r>
        <w:rPr>
          <w:rFonts w:ascii="Calibri" w:hAnsi="Calibri"/>
          <w:lang w:eastAsia="en-GB"/>
        </w:rPr>
        <w:t xml:space="preserve">type b Vaccine; </w:t>
      </w:r>
      <w:proofErr w:type="spellStart"/>
      <w:r>
        <w:rPr>
          <w:rFonts w:ascii="Calibri" w:hAnsi="Calibri"/>
          <w:lang w:eastAsia="en-GB"/>
        </w:rPr>
        <w:t>DTPa-HBV-IPV+Hib</w:t>
      </w:r>
      <w:proofErr w:type="spellEnd"/>
      <w:r>
        <w:rPr>
          <w:rFonts w:ascii="Calibri" w:hAnsi="Calibri"/>
          <w:lang w:eastAsia="en-GB"/>
        </w:rPr>
        <w:t>) at 2, 3, and 4 months of age</w:t>
      </w:r>
    </w:p>
    <w:p w14:paraId="60FBA0AD" w14:textId="77777777" w:rsidR="007C525D" w:rsidRDefault="007C757A">
      <w:pPr>
        <w:pStyle w:val="ListParagraph"/>
        <w:widowControl w:val="0"/>
        <w:tabs>
          <w:tab w:val="left" w:pos="-620"/>
          <w:tab w:val="left" w:pos="644"/>
        </w:tabs>
        <w:spacing w:after="170"/>
        <w:ind w:left="0"/>
      </w:pPr>
      <w:r>
        <w:rPr>
          <w:rFonts w:ascii="Calibri" w:hAnsi="Calibri"/>
          <w:lang w:eastAsia="en-GB"/>
        </w:rPr>
        <w:t>Rotarix® (rotavirus vaccine; RV) at 2 and 3 months of age</w:t>
      </w:r>
    </w:p>
    <w:p w14:paraId="30500808" w14:textId="77777777" w:rsidR="007C525D" w:rsidRDefault="007C757A">
      <w:pPr>
        <w:pStyle w:val="ListParagraph"/>
        <w:widowControl w:val="0"/>
        <w:tabs>
          <w:tab w:val="left" w:pos="-620"/>
          <w:tab w:val="left" w:pos="644"/>
        </w:tabs>
        <w:spacing w:after="170"/>
        <w:ind w:left="0"/>
      </w:pPr>
      <w:r>
        <w:rPr>
          <w:rFonts w:ascii="Calibri" w:hAnsi="Calibri"/>
          <w:lang w:eastAsia="en-GB"/>
        </w:rPr>
        <w:t>Prevenar 13® (pneumococcal 13-valent conjugate vaccine; PCV13) at 3 or 4 months and 12 months of age</w:t>
      </w:r>
    </w:p>
    <w:p w14:paraId="0950E610" w14:textId="77777777" w:rsidR="007C525D" w:rsidRDefault="007C757A">
      <w:pPr>
        <w:pStyle w:val="ListParagraph"/>
        <w:widowControl w:val="0"/>
        <w:tabs>
          <w:tab w:val="left" w:pos="-620"/>
          <w:tab w:val="left" w:pos="644"/>
        </w:tabs>
        <w:spacing w:after="170"/>
        <w:ind w:left="0"/>
      </w:pPr>
      <w:proofErr w:type="spellStart"/>
      <w:r>
        <w:rPr>
          <w:rFonts w:ascii="Calibri" w:hAnsi="Calibri"/>
          <w:lang w:eastAsia="en-GB"/>
        </w:rPr>
        <w:t>Menitorix</w:t>
      </w:r>
      <w:proofErr w:type="spellEnd"/>
      <w:r>
        <w:rPr>
          <w:rFonts w:ascii="Calibri" w:hAnsi="Calibri"/>
          <w:vertAlign w:val="superscript"/>
          <w:lang w:val="en-US" w:eastAsia="en-GB"/>
        </w:rPr>
        <w:t xml:space="preserve">® </w:t>
      </w:r>
      <w:r>
        <w:rPr>
          <w:rFonts w:ascii="Calibri" w:hAnsi="Calibri"/>
          <w:lang w:eastAsia="en-GB"/>
        </w:rPr>
        <w:t xml:space="preserve">(combined </w:t>
      </w:r>
      <w:r>
        <w:rPr>
          <w:rFonts w:ascii="Calibri" w:hAnsi="Calibri"/>
          <w:i/>
          <w:lang w:eastAsia="en-GB"/>
        </w:rPr>
        <w:t>Haemophilus influenzae</w:t>
      </w:r>
      <w:r>
        <w:rPr>
          <w:rFonts w:ascii="Calibri" w:hAnsi="Calibri"/>
          <w:lang w:eastAsia="en-GB"/>
        </w:rPr>
        <w:t xml:space="preserve"> serotype b (Hib) and meningococcal serogroup C conjugate vaccine where the capsular polysaccharides of both organisms are covalently linked to tetanus toxoid carriers; MCC-TT/Hib-TT) at 12 months of age</w:t>
      </w:r>
    </w:p>
    <w:p w14:paraId="7F96AE67" w14:textId="77777777" w:rsidR="007C525D" w:rsidRDefault="007C757A">
      <w:pPr>
        <w:pStyle w:val="ListParagraph"/>
        <w:widowControl w:val="0"/>
        <w:tabs>
          <w:tab w:val="left" w:pos="-620"/>
          <w:tab w:val="left" w:pos="644"/>
        </w:tabs>
        <w:spacing w:after="170"/>
        <w:ind w:left="0"/>
      </w:pPr>
      <w:proofErr w:type="spellStart"/>
      <w:r>
        <w:rPr>
          <w:rFonts w:ascii="Calibri" w:hAnsi="Calibri"/>
        </w:rPr>
        <w:t>Priorix</w:t>
      </w:r>
      <w:proofErr w:type="spellEnd"/>
      <w:r>
        <w:rPr>
          <w:rFonts w:ascii="Calibri" w:hAnsi="Calibri"/>
          <w:vertAlign w:val="superscript"/>
          <w:lang w:val="en-US"/>
        </w:rPr>
        <w:t xml:space="preserve">® </w:t>
      </w:r>
      <w:r>
        <w:rPr>
          <w:rFonts w:ascii="Calibri" w:hAnsi="Calibri"/>
          <w:lang w:eastAsia="en-GB"/>
        </w:rPr>
        <w:t>(live attenuated vaccine against measles, mumps and rubella; MMR) at 12 months of age</w:t>
      </w:r>
    </w:p>
    <w:p w14:paraId="52ADA745" w14:textId="77777777" w:rsidR="007C525D" w:rsidRDefault="007C525D">
      <w:pPr>
        <w:ind w:left="720"/>
        <w:rPr>
          <w:rFonts w:ascii="Calibri" w:hAnsi="Calibri"/>
          <w:iCs/>
          <w:color w:val="0000FF"/>
          <w:szCs w:val="22"/>
        </w:rPr>
      </w:pPr>
    </w:p>
    <w:p w14:paraId="6AF6D3A9" w14:textId="77777777" w:rsidR="007C525D" w:rsidRDefault="007C757A">
      <w:r>
        <w:rPr>
          <w:rFonts w:ascii="Calibri" w:hAnsi="Calibri"/>
          <w:b/>
          <w:bCs/>
          <w:szCs w:val="22"/>
          <w:lang w:eastAsia="en-GB"/>
        </w:rPr>
        <w:t>8.2</w:t>
      </w:r>
      <w:r>
        <w:rPr>
          <w:rFonts w:ascii="Calibri" w:hAnsi="Calibri"/>
          <w:b/>
          <w:bCs/>
          <w:szCs w:val="22"/>
          <w:lang w:eastAsia="en-GB"/>
        </w:rPr>
        <w:tab/>
        <w:t>Regulatory status of the drugs</w:t>
      </w:r>
    </w:p>
    <w:p w14:paraId="1A22F32E" w14:textId="77777777" w:rsidR="007C525D" w:rsidRDefault="007C757A">
      <w:r>
        <w:rPr>
          <w:rFonts w:ascii="Calibri" w:hAnsi="Calibri"/>
          <w:szCs w:val="22"/>
          <w:lang w:eastAsia="en-GB"/>
        </w:rPr>
        <w:t>All the above vaccines are licensed for routine childhood immunisation in the UK. The Summary of medical Product Characteristics (SmPC) for each of the vaccines will be included in the Investigator Site File (ISF) and the Trial Master File (TMF).</w:t>
      </w:r>
    </w:p>
    <w:p w14:paraId="49D7FE0F" w14:textId="77777777" w:rsidR="007C525D" w:rsidRDefault="007C525D">
      <w:pPr>
        <w:rPr>
          <w:rFonts w:ascii="Calibri" w:hAnsi="Calibri"/>
          <w:b/>
          <w:bCs/>
          <w:color w:val="0000FF"/>
          <w:szCs w:val="22"/>
          <w:lang w:eastAsia="en-GB"/>
        </w:rPr>
      </w:pPr>
    </w:p>
    <w:p w14:paraId="7E3A50D3" w14:textId="77777777" w:rsidR="007C525D" w:rsidRDefault="007C757A">
      <w:pPr>
        <w:rPr>
          <w:rFonts w:ascii="Calibri" w:hAnsi="Calibri"/>
          <w:b/>
          <w:bCs/>
          <w:szCs w:val="22"/>
          <w:lang w:eastAsia="en-GB"/>
        </w:rPr>
      </w:pPr>
      <w:r>
        <w:rPr>
          <w:rFonts w:ascii="Calibri" w:hAnsi="Calibri"/>
          <w:b/>
          <w:bCs/>
          <w:szCs w:val="22"/>
          <w:lang w:eastAsia="en-GB"/>
        </w:rPr>
        <w:t>8.3</w:t>
      </w:r>
      <w:r>
        <w:rPr>
          <w:rFonts w:ascii="Calibri" w:hAnsi="Calibri"/>
          <w:b/>
          <w:bCs/>
          <w:szCs w:val="22"/>
          <w:lang w:eastAsia="en-GB"/>
        </w:rPr>
        <w:tab/>
        <w:t xml:space="preserve">Drug storage and supply </w:t>
      </w:r>
    </w:p>
    <w:p w14:paraId="1E3BA484" w14:textId="77777777" w:rsidR="007C525D" w:rsidRDefault="007C757A">
      <w:pPr>
        <w:spacing w:line="300" w:lineRule="exact"/>
      </w:pPr>
      <w:r>
        <w:rPr>
          <w:rFonts w:ascii="Calibri" w:hAnsi="Calibri"/>
          <w:szCs w:val="22"/>
          <w:lang w:eastAsia="en-GB"/>
        </w:rPr>
        <w:t xml:space="preserve">Vaccines will be obtained by individual sites from national stock using the </w:t>
      </w:r>
      <w:proofErr w:type="spellStart"/>
      <w:r>
        <w:rPr>
          <w:rFonts w:ascii="Calibri" w:hAnsi="Calibri"/>
          <w:szCs w:val="22"/>
          <w:lang w:eastAsia="en-GB"/>
        </w:rPr>
        <w:t>ImmForm</w:t>
      </w:r>
      <w:proofErr w:type="spellEnd"/>
      <w:r>
        <w:rPr>
          <w:rFonts w:ascii="Calibri" w:hAnsi="Calibri"/>
          <w:szCs w:val="22"/>
          <w:lang w:eastAsia="en-GB"/>
        </w:rPr>
        <w:t xml:space="preserve"> system or any other system used locally</w:t>
      </w:r>
      <w:r>
        <w:rPr>
          <w:rFonts w:ascii="Calibri" w:hAnsi="Calibri"/>
          <w:szCs w:val="22"/>
        </w:rPr>
        <w:t>.</w:t>
      </w:r>
      <w:r>
        <w:rPr>
          <w:rFonts w:ascii="Calibri" w:hAnsi="Calibri"/>
          <w:szCs w:val="22"/>
          <w:lang w:eastAsia="en-GB"/>
        </w:rPr>
        <w:t xml:space="preserve"> Vaccines may be stored by sites in either a hospital or research pharmacy or in an appropriately monitored fridge in the clinical research site. Vaccines will be stored in 2 – </w:t>
      </w:r>
      <w:proofErr w:type="gramStart"/>
      <w:r>
        <w:rPr>
          <w:rFonts w:ascii="Calibri" w:hAnsi="Calibri"/>
          <w:szCs w:val="22"/>
          <w:lang w:eastAsia="en-GB"/>
        </w:rPr>
        <w:t>8 degree</w:t>
      </w:r>
      <w:proofErr w:type="gramEnd"/>
      <w:r>
        <w:rPr>
          <w:rFonts w:ascii="Calibri" w:hAnsi="Calibri"/>
          <w:szCs w:val="22"/>
          <w:lang w:eastAsia="en-GB"/>
        </w:rPr>
        <w:t xml:space="preserve"> Celsius fridges at each study site or in hospital pharmacies, as per local arrangements. All fridges will be temperature monitored. Vaccines require transport in ‘cool-boxes’ able to maintain temperatures between 2 – 8 degrees Celsius. Minimal cold chain deviations should be managed as outlined in the clinical study plan which reflects manufacturer’s stability data.</w:t>
      </w:r>
    </w:p>
    <w:p w14:paraId="71232B26" w14:textId="77777777" w:rsidR="007C525D" w:rsidRDefault="007C757A">
      <w:pPr>
        <w:rPr>
          <w:rFonts w:ascii="Calibri" w:hAnsi="Calibri"/>
          <w:szCs w:val="22"/>
          <w:lang w:eastAsia="en-GB"/>
        </w:rPr>
      </w:pPr>
      <w:r>
        <w:rPr>
          <w:rFonts w:ascii="Calibri" w:hAnsi="Calibri"/>
          <w:szCs w:val="22"/>
          <w:lang w:eastAsia="en-GB"/>
        </w:rPr>
        <w:t>A study-specific prescription chart will be used for this study. This will be provided by the lead site, or individual sites may choose to use their own prescription charts. The person prescribing the vaccines on the study specific prescription chart must have been signed off by the PI on the Staff delegation of duties log for that task. A sample signature of all delegated prescribers must be provided for the Pharmacy Site File prior to receipt of the first trial prescription.</w:t>
      </w:r>
      <w:bookmarkStart w:id="34" w:name="_Toc303179273"/>
      <w:bookmarkStart w:id="35" w:name="_Toc246750032"/>
      <w:bookmarkEnd w:id="34"/>
      <w:bookmarkEnd w:id="35"/>
    </w:p>
    <w:p w14:paraId="6D3B50C8" w14:textId="77777777" w:rsidR="007C525D" w:rsidRDefault="007C525D">
      <w:pPr>
        <w:pStyle w:val="BodyText"/>
        <w:spacing w:after="120"/>
        <w:rPr>
          <w:rFonts w:ascii="Calibri" w:eastAsia="MS PGothic" w:hAnsi="Calibri" w:cs="Arial"/>
          <w:i w:val="0"/>
          <w:iCs/>
          <w:color w:val="0000FF"/>
          <w:spacing w:val="0"/>
          <w:sz w:val="22"/>
          <w:szCs w:val="22"/>
          <w:u w:val="single"/>
        </w:rPr>
      </w:pPr>
    </w:p>
    <w:p w14:paraId="1796EBCA" w14:textId="77777777" w:rsidR="007C525D" w:rsidRDefault="007C525D">
      <w:pPr>
        <w:rPr>
          <w:rFonts w:ascii="Calibri" w:hAnsi="Calibri"/>
          <w:b/>
          <w:szCs w:val="22"/>
        </w:rPr>
      </w:pPr>
    </w:p>
    <w:p w14:paraId="13E063DA" w14:textId="77777777" w:rsidR="007C525D" w:rsidRDefault="007C757A">
      <w:r>
        <w:rPr>
          <w:rFonts w:ascii="Calibri" w:hAnsi="Calibri"/>
          <w:b/>
          <w:bCs/>
          <w:szCs w:val="22"/>
          <w:lang w:eastAsia="en-GB"/>
        </w:rPr>
        <w:t>8.4</w:t>
      </w:r>
      <w:r>
        <w:rPr>
          <w:rFonts w:ascii="Calibri" w:hAnsi="Calibri"/>
          <w:b/>
          <w:bCs/>
          <w:szCs w:val="22"/>
          <w:lang w:eastAsia="en-GB"/>
        </w:rPr>
        <w:tab/>
        <w:t xml:space="preserve">Trial restrictions </w:t>
      </w:r>
    </w:p>
    <w:p w14:paraId="22634FE7" w14:textId="77777777" w:rsidR="007C525D" w:rsidRDefault="007C757A">
      <w:pPr>
        <w:rPr>
          <w:rFonts w:ascii="Calibri" w:hAnsi="Calibri"/>
          <w:szCs w:val="22"/>
        </w:rPr>
      </w:pPr>
      <w:r>
        <w:rPr>
          <w:rFonts w:ascii="Calibri" w:hAnsi="Calibri"/>
          <w:szCs w:val="22"/>
        </w:rPr>
        <w:t>Participants may take part in this study if they are already in involved in research providing that, in the opinion of the Principal Investigator, this involvement will not adversely affect the conduct or outcomes of the study.</w:t>
      </w:r>
    </w:p>
    <w:p w14:paraId="56FD231D" w14:textId="77777777" w:rsidR="007C525D" w:rsidRDefault="007C525D"/>
    <w:p w14:paraId="4838F357" w14:textId="77777777" w:rsidR="007C525D" w:rsidRDefault="007C525D">
      <w:pPr>
        <w:spacing w:after="0"/>
        <w:rPr>
          <w:rFonts w:ascii="Calibri" w:hAnsi="Calibri"/>
          <w:iCs/>
          <w:color w:val="0000FF"/>
          <w:szCs w:val="22"/>
        </w:rPr>
      </w:pPr>
    </w:p>
    <w:p w14:paraId="4BDC2859" w14:textId="77777777" w:rsidR="007C525D" w:rsidRDefault="007C757A">
      <w:pPr>
        <w:pStyle w:val="Heading1"/>
        <w:spacing w:before="0" w:after="120"/>
        <w:rPr>
          <w:rFonts w:ascii="Calibri" w:hAnsi="Calibri"/>
          <w:color w:val="auto"/>
          <w:sz w:val="22"/>
          <w:szCs w:val="22"/>
        </w:rPr>
      </w:pPr>
      <w:r>
        <w:rPr>
          <w:rFonts w:ascii="Calibri" w:hAnsi="Calibri"/>
          <w:color w:val="auto"/>
          <w:sz w:val="22"/>
          <w:szCs w:val="22"/>
        </w:rPr>
        <w:t>9</w:t>
      </w:r>
      <w:r>
        <w:rPr>
          <w:rFonts w:ascii="Calibri" w:hAnsi="Calibri"/>
          <w:color w:val="auto"/>
          <w:sz w:val="22"/>
          <w:szCs w:val="22"/>
        </w:rPr>
        <w:tab/>
        <w:t>PHARMACOVIGILANCE</w:t>
      </w:r>
    </w:p>
    <w:p w14:paraId="5804ACB5"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9.1</w:t>
      </w:r>
      <w:r>
        <w:rPr>
          <w:rFonts w:ascii="Calibri" w:hAnsi="Calibri" w:cs="Arial"/>
          <w:b/>
          <w:i w:val="0"/>
          <w:sz w:val="22"/>
          <w:szCs w:val="22"/>
        </w:rPr>
        <w:tab/>
      </w:r>
    </w:p>
    <w:tbl>
      <w:tblPr>
        <w:tblW w:w="10207" w:type="dxa"/>
        <w:tblInd w:w="-34" w:type="dxa"/>
        <w:tblLayout w:type="fixed"/>
        <w:tblLook w:val="04A0" w:firstRow="1" w:lastRow="0" w:firstColumn="1" w:lastColumn="0" w:noHBand="0" w:noVBand="1"/>
      </w:tblPr>
      <w:tblGrid>
        <w:gridCol w:w="2572"/>
        <w:gridCol w:w="7635"/>
      </w:tblGrid>
      <w:tr w:rsidR="007C525D" w14:paraId="21CF4570" w14:textId="77777777">
        <w:tc>
          <w:tcPr>
            <w:tcW w:w="2572" w:type="dxa"/>
            <w:tcBorders>
              <w:top w:val="single" w:sz="4" w:space="0" w:color="000000"/>
              <w:left w:val="single" w:sz="4" w:space="0" w:color="000000"/>
              <w:bottom w:val="single" w:sz="4" w:space="0" w:color="000000"/>
              <w:right w:val="single" w:sz="4" w:space="0" w:color="000000"/>
            </w:tcBorders>
            <w:shd w:val="clear" w:color="auto" w:fill="00B050"/>
          </w:tcPr>
          <w:p w14:paraId="46627571" w14:textId="77777777" w:rsidR="007C525D" w:rsidRDefault="007C757A">
            <w:pPr>
              <w:widowControl w:val="0"/>
              <w:rPr>
                <w:rFonts w:ascii="Calibri" w:eastAsia="SimSun" w:hAnsi="Calibri"/>
                <w:b/>
                <w:bCs/>
                <w:color w:val="FFFFFF"/>
                <w:szCs w:val="22"/>
                <w:lang w:val="en-US" w:eastAsia="zh-CN"/>
              </w:rPr>
            </w:pPr>
            <w:r>
              <w:rPr>
                <w:rFonts w:ascii="Calibri" w:eastAsia="SimSun" w:hAnsi="Calibri"/>
                <w:b/>
                <w:bCs/>
                <w:color w:val="FFFFFF"/>
                <w:szCs w:val="22"/>
                <w:lang w:val="en-US" w:eastAsia="zh-CN"/>
              </w:rPr>
              <w:t>Term</w:t>
            </w:r>
          </w:p>
        </w:tc>
        <w:tc>
          <w:tcPr>
            <w:tcW w:w="7634" w:type="dxa"/>
            <w:tcBorders>
              <w:top w:val="single" w:sz="4" w:space="0" w:color="000000"/>
              <w:left w:val="single" w:sz="4" w:space="0" w:color="000000"/>
              <w:bottom w:val="single" w:sz="4" w:space="0" w:color="000000"/>
              <w:right w:val="single" w:sz="4" w:space="0" w:color="000000"/>
            </w:tcBorders>
            <w:shd w:val="clear" w:color="auto" w:fill="00B050"/>
          </w:tcPr>
          <w:p w14:paraId="4A405A26" w14:textId="77777777" w:rsidR="007C525D" w:rsidRDefault="007C757A">
            <w:pPr>
              <w:widowControl w:val="0"/>
              <w:rPr>
                <w:rFonts w:ascii="Calibri" w:eastAsia="SimSun" w:hAnsi="Calibri"/>
                <w:b/>
                <w:bCs/>
                <w:color w:val="FFFFFF"/>
                <w:szCs w:val="22"/>
                <w:lang w:val="en-US" w:eastAsia="zh-CN"/>
              </w:rPr>
            </w:pPr>
            <w:r>
              <w:rPr>
                <w:rFonts w:ascii="Calibri" w:eastAsia="SimSun" w:hAnsi="Calibri"/>
                <w:b/>
                <w:bCs/>
                <w:color w:val="FFFFFF"/>
                <w:szCs w:val="22"/>
                <w:lang w:val="en-US" w:eastAsia="zh-CN"/>
              </w:rPr>
              <w:t>Definition</w:t>
            </w:r>
          </w:p>
        </w:tc>
      </w:tr>
      <w:tr w:rsidR="007C525D" w14:paraId="4961ECE9" w14:textId="77777777">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27A7A72A" w14:textId="77777777" w:rsidR="007C525D" w:rsidRDefault="007C757A">
            <w:pPr>
              <w:widowControl w:val="0"/>
              <w:rPr>
                <w:rFonts w:ascii="Calibri" w:eastAsia="SimSun" w:hAnsi="Calibri"/>
                <w:b/>
                <w:szCs w:val="22"/>
                <w:lang w:val="en-US" w:eastAsia="zh-CN"/>
              </w:rPr>
            </w:pPr>
            <w:r>
              <w:rPr>
                <w:rFonts w:ascii="Calibri" w:eastAsia="SimSun" w:hAnsi="Calibri"/>
                <w:b/>
                <w:szCs w:val="22"/>
                <w:lang w:val="en-US" w:eastAsia="zh-CN"/>
              </w:rPr>
              <w:t>Adverse Event (AE)</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14:paraId="65C4C90D" w14:textId="77777777" w:rsidR="007C525D" w:rsidRDefault="007C757A">
            <w:pPr>
              <w:widowControl w:val="0"/>
              <w:ind w:right="618"/>
              <w:rPr>
                <w:rFonts w:ascii="Calibri" w:hAnsi="Calibri"/>
                <w:szCs w:val="22"/>
              </w:rPr>
            </w:pPr>
            <w:r>
              <w:rPr>
                <w:rFonts w:ascii="Calibri" w:hAnsi="Calibri"/>
                <w:szCs w:val="22"/>
              </w:rPr>
              <w:t>Any untoward medical occurrence in a participant to whom a medicinal product has been administered, including occurrences which are not necessarily caused by or related to that product.</w:t>
            </w:r>
          </w:p>
        </w:tc>
      </w:tr>
      <w:tr w:rsidR="007C525D" w14:paraId="6D0B77AF" w14:textId="77777777">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4CCA83C8" w14:textId="77777777" w:rsidR="007C525D" w:rsidRDefault="007C757A">
            <w:pPr>
              <w:widowControl w:val="0"/>
              <w:rPr>
                <w:rFonts w:ascii="Calibri" w:eastAsia="SimSun" w:hAnsi="Calibri"/>
                <w:b/>
                <w:szCs w:val="22"/>
                <w:lang w:val="en-US" w:eastAsia="zh-CN"/>
              </w:rPr>
            </w:pPr>
            <w:r>
              <w:rPr>
                <w:rFonts w:ascii="Calibri" w:eastAsia="SimSun" w:hAnsi="Calibri"/>
                <w:b/>
                <w:szCs w:val="22"/>
                <w:lang w:val="en-US" w:eastAsia="zh-CN"/>
              </w:rPr>
              <w:t>Adverse Reaction (AR)</w:t>
            </w:r>
          </w:p>
          <w:p w14:paraId="102E6108" w14:textId="77777777" w:rsidR="007C525D" w:rsidRDefault="007C525D">
            <w:pPr>
              <w:widowControl w:val="0"/>
              <w:rPr>
                <w:rFonts w:ascii="Calibri" w:eastAsia="SimSun" w:hAnsi="Calibri"/>
                <w:b/>
                <w:szCs w:val="22"/>
                <w:lang w:val="en-US" w:eastAsia="zh-CN"/>
              </w:rPr>
            </w:pP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14:paraId="5E4D2D6C" w14:textId="77777777" w:rsidR="007C525D" w:rsidRDefault="007C757A">
            <w:pPr>
              <w:widowControl w:val="0"/>
              <w:ind w:right="618"/>
              <w:rPr>
                <w:rFonts w:ascii="Calibri" w:hAnsi="Calibri"/>
                <w:szCs w:val="22"/>
              </w:rPr>
            </w:pPr>
            <w:r>
              <w:rPr>
                <w:rFonts w:ascii="Calibri" w:hAnsi="Calibri"/>
                <w:szCs w:val="22"/>
              </w:rPr>
              <w:t>An untoward and unintended response in a participant to an investigational medicinal product which is related to any dose administered to that participant.</w:t>
            </w:r>
          </w:p>
          <w:p w14:paraId="51D466F1" w14:textId="77777777" w:rsidR="007C525D" w:rsidRDefault="007C757A">
            <w:pPr>
              <w:widowControl w:val="0"/>
              <w:ind w:right="618"/>
              <w:rPr>
                <w:rFonts w:ascii="Calibri" w:hAnsi="Calibri"/>
                <w:szCs w:val="22"/>
              </w:rPr>
            </w:pPr>
            <w:r>
              <w:rPr>
                <w:rFonts w:ascii="Calibri" w:hAnsi="Calibri"/>
                <w:szCs w:val="22"/>
              </w:rPr>
              <w:t>The phrase "response to an investigational medicinal product" means that a causal relationship between a trial medication and an AE is at least a reasonable possibility, i.e. the relationship cannot be ruled out.</w:t>
            </w:r>
          </w:p>
          <w:p w14:paraId="5C7E1C2B" w14:textId="77777777" w:rsidR="007C525D" w:rsidRDefault="007C757A">
            <w:pPr>
              <w:widowControl w:val="0"/>
              <w:ind w:right="618"/>
              <w:rPr>
                <w:rFonts w:ascii="Calibri" w:hAnsi="Calibri"/>
                <w:szCs w:val="22"/>
              </w:rPr>
            </w:pPr>
            <w:r>
              <w:rPr>
                <w:rFonts w:ascii="Calibri" w:hAnsi="Calibri"/>
                <w:szCs w:val="22"/>
              </w:rPr>
              <w:t>All cases judged by either the reporting medically qualified professional or the Sponsor as having a reasonable suspected causal relationship to the trial medication qualify as adverse reactions. It is important to note that this is entirely separate to the known side effects listed in the SmPC. It is specifically a temporal relationship between taking the drug, the half-life, and the time of the event or any valid alternative aetiology that would explain the event.</w:t>
            </w:r>
          </w:p>
        </w:tc>
      </w:tr>
      <w:tr w:rsidR="007C525D" w14:paraId="2073C158" w14:textId="77777777">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6BFB5B26" w14:textId="77777777" w:rsidR="007C525D" w:rsidRDefault="007C757A">
            <w:pPr>
              <w:widowControl w:val="0"/>
              <w:rPr>
                <w:rFonts w:ascii="Calibri" w:eastAsia="SimSun" w:hAnsi="Calibri"/>
                <w:b/>
                <w:szCs w:val="22"/>
                <w:lang w:val="en-US" w:eastAsia="zh-CN"/>
              </w:rPr>
            </w:pPr>
            <w:r>
              <w:rPr>
                <w:rFonts w:ascii="Calibri" w:eastAsia="SimSun" w:hAnsi="Calibri"/>
                <w:b/>
                <w:szCs w:val="22"/>
                <w:lang w:val="en-US" w:eastAsia="zh-CN"/>
              </w:rPr>
              <w:t>Serious Adverse Event (SAE)</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14:paraId="24E4B445" w14:textId="77777777" w:rsidR="007C525D" w:rsidRDefault="007C757A">
            <w:pPr>
              <w:widowControl w:val="0"/>
              <w:ind w:right="618"/>
              <w:rPr>
                <w:rFonts w:ascii="Calibri" w:hAnsi="Calibri"/>
                <w:szCs w:val="22"/>
              </w:rPr>
            </w:pPr>
            <w:r>
              <w:rPr>
                <w:rFonts w:ascii="Calibri" w:hAnsi="Calibri"/>
                <w:szCs w:val="22"/>
              </w:rPr>
              <w:t>A serious adverse event is any untoward medical occurrence that:</w:t>
            </w:r>
          </w:p>
          <w:p w14:paraId="74E49175"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results in death</w:t>
            </w:r>
          </w:p>
          <w:p w14:paraId="7FAD1FE6"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is life-threatening</w:t>
            </w:r>
          </w:p>
          <w:p w14:paraId="2FADB810"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requires inpatient hospitalisation or prolongation of existing hospitalisation</w:t>
            </w:r>
          </w:p>
          <w:p w14:paraId="367AFAE1"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results in persistent or significant disability/incapacity</w:t>
            </w:r>
          </w:p>
          <w:p w14:paraId="26F76501"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consists of a congenital anomaly or birth defect</w:t>
            </w:r>
          </w:p>
          <w:p w14:paraId="7BEA93FA" w14:textId="77777777" w:rsidR="007C525D" w:rsidRDefault="007C757A">
            <w:pPr>
              <w:widowControl w:val="0"/>
              <w:ind w:right="618"/>
              <w:rPr>
                <w:rFonts w:ascii="Calibri" w:hAnsi="Calibri"/>
                <w:szCs w:val="22"/>
              </w:rPr>
            </w:pPr>
            <w:r>
              <w:rPr>
                <w:rFonts w:ascii="Calibri" w:hAnsi="Calibri"/>
                <w:szCs w:val="22"/>
              </w:rPr>
              <w:t>Other ‘important medical events’ may also be considered serious if they jeopardise the participant or require an intervention to prevent one of the above consequences.</w:t>
            </w:r>
          </w:p>
          <w:p w14:paraId="713BDBFF" w14:textId="77777777" w:rsidR="007C525D" w:rsidRDefault="007C757A">
            <w:pPr>
              <w:widowControl w:val="0"/>
              <w:ind w:right="618"/>
              <w:rPr>
                <w:rFonts w:ascii="Calibri" w:hAnsi="Calibri"/>
                <w:szCs w:val="22"/>
              </w:rPr>
            </w:pPr>
            <w:r>
              <w:rPr>
                <w:rFonts w:ascii="Calibri" w:hAnsi="Calibri"/>
                <w:szCs w:val="22"/>
              </w:rPr>
              <w:t>NOTE: The term "life-threatening" in the definition of "serious" refers to an event in which the participant was at risk of death at the time of the event; it does not refer to an event which hypothetically might have caused death if it were more severe.</w:t>
            </w:r>
          </w:p>
        </w:tc>
      </w:tr>
      <w:tr w:rsidR="007C525D" w14:paraId="3798AE86" w14:textId="77777777">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13CD229D" w14:textId="77777777" w:rsidR="007C525D" w:rsidRDefault="007C757A">
            <w:pPr>
              <w:widowControl w:val="0"/>
              <w:rPr>
                <w:rFonts w:ascii="Calibri" w:eastAsia="SimSun" w:hAnsi="Calibri"/>
                <w:b/>
                <w:szCs w:val="22"/>
                <w:lang w:val="en-US" w:eastAsia="zh-CN"/>
              </w:rPr>
            </w:pPr>
            <w:r>
              <w:rPr>
                <w:rFonts w:ascii="Calibri" w:eastAsia="SimSun" w:hAnsi="Calibri"/>
                <w:b/>
                <w:szCs w:val="22"/>
                <w:lang w:val="en-US" w:eastAsia="zh-CN"/>
              </w:rPr>
              <w:t>Serious Adverse Reaction (SAR)</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14:paraId="3FB5AC1D" w14:textId="77777777" w:rsidR="007C525D" w:rsidRDefault="007C757A">
            <w:pPr>
              <w:widowControl w:val="0"/>
              <w:ind w:right="618"/>
              <w:rPr>
                <w:rFonts w:ascii="Calibri" w:hAnsi="Calibri"/>
                <w:szCs w:val="22"/>
              </w:rPr>
            </w:pPr>
            <w:r>
              <w:rPr>
                <w:rFonts w:ascii="Calibri" w:hAnsi="Calibri"/>
                <w:szCs w:val="22"/>
              </w:rPr>
              <w:t xml:space="preserve">An adverse event that is both serious and, in the opinion of the reporting Investigator, believed with reasonable probability to be due to one of the </w:t>
            </w:r>
            <w:r>
              <w:rPr>
                <w:rFonts w:ascii="Calibri" w:hAnsi="Calibri"/>
                <w:szCs w:val="22"/>
              </w:rPr>
              <w:lastRenderedPageBreak/>
              <w:t>trial treatments, based on the information provided.</w:t>
            </w:r>
          </w:p>
        </w:tc>
      </w:tr>
      <w:tr w:rsidR="007C525D" w14:paraId="5A16D3BB" w14:textId="77777777">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776C2A49" w14:textId="77777777" w:rsidR="007C525D" w:rsidRDefault="007C757A">
            <w:pPr>
              <w:widowControl w:val="0"/>
              <w:rPr>
                <w:rFonts w:ascii="Calibri" w:eastAsia="SimSun" w:hAnsi="Calibri"/>
                <w:b/>
                <w:szCs w:val="22"/>
                <w:lang w:val="en-US" w:eastAsia="zh-CN"/>
              </w:rPr>
            </w:pPr>
            <w:r>
              <w:rPr>
                <w:rFonts w:ascii="Calibri" w:eastAsia="SimSun" w:hAnsi="Calibri"/>
                <w:b/>
                <w:szCs w:val="22"/>
                <w:lang w:val="en-US" w:eastAsia="zh-CN"/>
              </w:rPr>
              <w:lastRenderedPageBreak/>
              <w:t>Suspected Unexpected Serious Adverse Reaction (SUSAR)</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14:paraId="0B9F2A09" w14:textId="77777777" w:rsidR="007C525D" w:rsidRDefault="007C757A">
            <w:pPr>
              <w:widowControl w:val="0"/>
              <w:ind w:right="618"/>
              <w:rPr>
                <w:rFonts w:ascii="Calibri" w:hAnsi="Calibri"/>
                <w:szCs w:val="22"/>
              </w:rPr>
            </w:pPr>
            <w:r>
              <w:rPr>
                <w:rFonts w:ascii="Calibri" w:hAnsi="Calibri"/>
                <w:szCs w:val="22"/>
              </w:rPr>
              <w:t>A serious adverse reaction, the nature and severity of which is not consistent with the information about the medicinal product in question set out in the reference safety information:</w:t>
            </w:r>
          </w:p>
          <w:p w14:paraId="741C43F4"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 xml:space="preserve">in the case of a product with a marketing authorisation, this could be in the summary of product characteristics (SmPC) for that product, so long as it is being used within its licence. If it is being used off label an assessment of the </w:t>
            </w:r>
            <w:proofErr w:type="spellStart"/>
            <w:r>
              <w:rPr>
                <w:rFonts w:ascii="Calibri" w:hAnsi="Calibri"/>
              </w:rPr>
              <w:t>SmPCs</w:t>
            </w:r>
            <w:proofErr w:type="spellEnd"/>
            <w:r>
              <w:rPr>
                <w:rFonts w:ascii="Calibri" w:hAnsi="Calibri"/>
              </w:rPr>
              <w:t xml:space="preserve"> suitability will need to be undertaken.</w:t>
            </w:r>
          </w:p>
          <w:p w14:paraId="7B67D9AE" w14:textId="77777777" w:rsidR="007C525D" w:rsidRDefault="007C757A">
            <w:pPr>
              <w:pStyle w:val="ListParagraph"/>
              <w:widowControl w:val="0"/>
              <w:numPr>
                <w:ilvl w:val="0"/>
                <w:numId w:val="12"/>
              </w:numPr>
              <w:tabs>
                <w:tab w:val="left" w:pos="0"/>
              </w:tabs>
              <w:spacing w:after="120" w:line="240" w:lineRule="auto"/>
              <w:ind w:left="489" w:hanging="284"/>
              <w:rPr>
                <w:rFonts w:ascii="Calibri" w:hAnsi="Calibri"/>
              </w:rPr>
            </w:pPr>
            <w:r>
              <w:rPr>
                <w:rFonts w:ascii="Calibri" w:hAnsi="Calibri"/>
              </w:rPr>
              <w:t>in the case of any other investigational medicinal product, in the investigator’s brochure (IB) relating to the trial in question</w:t>
            </w:r>
          </w:p>
        </w:tc>
      </w:tr>
      <w:tr w:rsidR="007C525D" w14:paraId="3E023AAB" w14:textId="77777777">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38C59FF3" w14:textId="77777777" w:rsidR="007C525D" w:rsidRDefault="007C757A">
            <w:pPr>
              <w:widowControl w:val="0"/>
            </w:pPr>
            <w:r>
              <w:rPr>
                <w:rFonts w:ascii="Calibri" w:hAnsi="Calibri" w:cs="Calibri"/>
                <w:b/>
                <w:bCs/>
                <w:szCs w:val="22"/>
              </w:rPr>
              <w:t>Adverse Events of Special Interest (AESIs)</w:t>
            </w:r>
          </w:p>
        </w:tc>
        <w:tc>
          <w:tcPr>
            <w:tcW w:w="7634" w:type="dxa"/>
            <w:tcBorders>
              <w:top w:val="single" w:sz="4" w:space="0" w:color="000000"/>
              <w:left w:val="single" w:sz="4" w:space="0" w:color="000000"/>
              <w:bottom w:val="single" w:sz="4" w:space="0" w:color="000000"/>
              <w:right w:val="single" w:sz="4" w:space="0" w:color="000000"/>
            </w:tcBorders>
            <w:shd w:val="clear" w:color="auto" w:fill="auto"/>
          </w:tcPr>
          <w:p w14:paraId="10960027" w14:textId="77777777" w:rsidR="007C525D" w:rsidRDefault="007C757A">
            <w:pPr>
              <w:widowControl w:val="0"/>
              <w:ind w:right="618"/>
              <w:rPr>
                <w:rFonts w:ascii="Calibri" w:hAnsi="Calibri"/>
                <w:szCs w:val="22"/>
              </w:rPr>
            </w:pPr>
            <w:r>
              <w:rPr>
                <w:rFonts w:ascii="Calibri" w:hAnsi="Calibri"/>
                <w:szCs w:val="22"/>
              </w:rPr>
              <w:t>Adverse events of special interest (AESIs) are predefined (serious or non -serious) adverse events of scientific and medical concern specific to the product or program, for which ongoing monitoring and rapid communication by the investigator to the sponsor can be appropriate, because such an event might warrant further investigation in order to characterize and understand it. The following AEs will be captured as AESIs throughout the study:</w:t>
            </w:r>
          </w:p>
          <w:p w14:paraId="65908798" w14:textId="77777777" w:rsidR="007C525D" w:rsidRDefault="007C757A">
            <w:pPr>
              <w:widowControl w:val="0"/>
              <w:ind w:right="618"/>
              <w:rPr>
                <w:rFonts w:ascii="Calibri" w:hAnsi="Calibri"/>
                <w:szCs w:val="22"/>
              </w:rPr>
            </w:pPr>
            <w:r>
              <w:rPr>
                <w:rFonts w:ascii="Calibri" w:hAnsi="Calibri"/>
                <w:szCs w:val="22"/>
              </w:rPr>
              <w:t xml:space="preserve">• Febrile seizures </w:t>
            </w:r>
          </w:p>
          <w:p w14:paraId="74AED198" w14:textId="77777777" w:rsidR="007C525D" w:rsidRDefault="007C757A">
            <w:pPr>
              <w:widowControl w:val="0"/>
              <w:ind w:right="618"/>
              <w:rPr>
                <w:rFonts w:ascii="Calibri" w:hAnsi="Calibri"/>
                <w:szCs w:val="22"/>
              </w:rPr>
            </w:pPr>
            <w:r>
              <w:rPr>
                <w:rFonts w:ascii="Calibri" w:hAnsi="Calibri"/>
                <w:szCs w:val="22"/>
              </w:rPr>
              <w:t>Cases of febrile seizures will be defined according to the Brighton Collaboration Working Group (BCWG) case definition (Bonhoeffer et al, 2004)</w:t>
            </w:r>
          </w:p>
          <w:p w14:paraId="71ABAC53" w14:textId="77777777" w:rsidR="007C525D" w:rsidRDefault="007C757A">
            <w:pPr>
              <w:widowControl w:val="0"/>
              <w:ind w:right="618"/>
              <w:rPr>
                <w:rFonts w:ascii="Calibri" w:hAnsi="Calibri"/>
                <w:szCs w:val="22"/>
              </w:rPr>
            </w:pPr>
            <w:r>
              <w:rPr>
                <w:rFonts w:ascii="Calibri" w:hAnsi="Calibri"/>
                <w:szCs w:val="22"/>
              </w:rPr>
              <w:t>• Arthritis</w:t>
            </w:r>
          </w:p>
          <w:p w14:paraId="61FEF2F2" w14:textId="77777777" w:rsidR="007C525D" w:rsidRDefault="007C757A">
            <w:pPr>
              <w:widowControl w:val="0"/>
              <w:ind w:right="618"/>
              <w:rPr>
                <w:rFonts w:ascii="Calibri" w:hAnsi="Calibri"/>
                <w:szCs w:val="22"/>
              </w:rPr>
            </w:pPr>
            <w:r>
              <w:rPr>
                <w:rFonts w:ascii="Calibri" w:hAnsi="Calibri"/>
                <w:szCs w:val="22"/>
              </w:rPr>
              <w:t>Cases of arthritis will be defined as:</w:t>
            </w:r>
          </w:p>
          <w:p w14:paraId="0CBB256E" w14:textId="77777777" w:rsidR="007C525D" w:rsidRDefault="007C757A">
            <w:pPr>
              <w:widowControl w:val="0"/>
              <w:ind w:right="618"/>
              <w:rPr>
                <w:rFonts w:ascii="Calibri" w:hAnsi="Calibri"/>
                <w:szCs w:val="22"/>
              </w:rPr>
            </w:pPr>
            <w:r>
              <w:rPr>
                <w:rFonts w:ascii="Calibri" w:hAnsi="Calibri"/>
                <w:szCs w:val="22"/>
              </w:rPr>
              <w:t>-Presence of a physical exam findings of swelling, redness, heat, or limitation in range of motion and/or</w:t>
            </w:r>
          </w:p>
          <w:p w14:paraId="02979593" w14:textId="77777777" w:rsidR="007C525D" w:rsidRDefault="007C757A">
            <w:pPr>
              <w:widowControl w:val="0"/>
              <w:ind w:right="618"/>
              <w:rPr>
                <w:rFonts w:ascii="Calibri" w:hAnsi="Calibri"/>
                <w:szCs w:val="22"/>
              </w:rPr>
            </w:pPr>
            <w:r>
              <w:rPr>
                <w:rFonts w:ascii="Calibri" w:hAnsi="Calibri"/>
                <w:szCs w:val="22"/>
              </w:rPr>
              <w:t>-Presence of a diagnostic imaging studies interpreted by a health care provider as demonstrating evidence of joint inflammation and/or arthrocentesis results evidencing inflammation.</w:t>
            </w:r>
          </w:p>
          <w:p w14:paraId="0C51ED1D" w14:textId="77777777" w:rsidR="007C525D" w:rsidRDefault="007C757A">
            <w:pPr>
              <w:widowControl w:val="0"/>
              <w:ind w:right="618"/>
              <w:rPr>
                <w:rFonts w:ascii="Calibri" w:hAnsi="Calibri"/>
                <w:szCs w:val="22"/>
              </w:rPr>
            </w:pPr>
            <w:r>
              <w:rPr>
                <w:rFonts w:ascii="Calibri" w:hAnsi="Calibri"/>
                <w:szCs w:val="22"/>
              </w:rPr>
              <w:t>Due to the heterogeneity of the presentation of arthritis which can be either acute or chronic, the threshold of duration of 6 weeks will be used.</w:t>
            </w:r>
          </w:p>
        </w:tc>
      </w:tr>
    </w:tbl>
    <w:p w14:paraId="76918761" w14:textId="77777777" w:rsidR="007C525D" w:rsidRDefault="007C525D">
      <w:pPr>
        <w:pStyle w:val="BodyText"/>
        <w:tabs>
          <w:tab w:val="left" w:pos="709"/>
        </w:tabs>
        <w:spacing w:after="120"/>
        <w:rPr>
          <w:rFonts w:ascii="Calibri" w:hAnsi="Calibri" w:cs="Arial"/>
          <w:i w:val="0"/>
          <w:sz w:val="22"/>
          <w:szCs w:val="22"/>
        </w:rPr>
      </w:pPr>
    </w:p>
    <w:p w14:paraId="480379EA" w14:textId="77777777" w:rsidR="007C525D" w:rsidRDefault="007C525D">
      <w:pPr>
        <w:rPr>
          <w:rFonts w:ascii="Calibri" w:hAnsi="Calibri"/>
          <w:color w:val="0000FF"/>
          <w:szCs w:val="22"/>
        </w:rPr>
      </w:pPr>
    </w:p>
    <w:p w14:paraId="4868F294" w14:textId="77777777" w:rsidR="007C525D" w:rsidRDefault="007C525D"/>
    <w:p w14:paraId="7D2EF92B" w14:textId="77777777" w:rsidR="007C525D" w:rsidRDefault="007C757A">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pPr>
      <w:r>
        <w:rPr>
          <w:rFonts w:ascii="Calibri" w:hAnsi="Calibri" w:cs="Arial"/>
          <w:b/>
          <w:bCs/>
          <w:i w:val="0"/>
          <w:sz w:val="22"/>
          <w:szCs w:val="22"/>
          <w:lang w:eastAsia="en-GB"/>
        </w:rPr>
        <w:t>9.2</w:t>
      </w:r>
      <w:r>
        <w:rPr>
          <w:rFonts w:ascii="Calibri" w:hAnsi="Calibri" w:cs="Arial"/>
          <w:b/>
          <w:bCs/>
          <w:i w:val="0"/>
          <w:sz w:val="22"/>
          <w:szCs w:val="22"/>
          <w:lang w:eastAsia="en-GB"/>
        </w:rPr>
        <w:tab/>
      </w:r>
      <w:r>
        <w:rPr>
          <w:rFonts w:ascii="Calibri" w:hAnsi="Calibri" w:cs="Arial"/>
          <w:b/>
          <w:i w:val="0"/>
          <w:sz w:val="22"/>
          <w:szCs w:val="22"/>
        </w:rPr>
        <w:t xml:space="preserve">Recording and reporting of SAEs, AESIs, SARs AND SUSARs </w:t>
      </w:r>
    </w:p>
    <w:p w14:paraId="0E19EBEC" w14:textId="77777777" w:rsidR="007C525D" w:rsidRDefault="007C757A">
      <w:pPr>
        <w:rPr>
          <w:rFonts w:ascii="Calibri" w:hAnsi="Calibri"/>
          <w:szCs w:val="22"/>
        </w:rPr>
      </w:pPr>
      <w:r>
        <w:rPr>
          <w:rFonts w:ascii="Calibri" w:hAnsi="Calibri"/>
          <w:szCs w:val="22"/>
        </w:rPr>
        <w:t xml:space="preserve">All solicited AEs which occur within 7 days of vaccination and unsolicited adverse events which occur within 28 days of vaccination will be recorded on the CRF, as will all medically </w:t>
      </w:r>
      <w:proofErr w:type="gramStart"/>
      <w:r>
        <w:rPr>
          <w:rFonts w:ascii="Calibri" w:hAnsi="Calibri"/>
          <w:szCs w:val="22"/>
        </w:rPr>
        <w:t>attended</w:t>
      </w:r>
      <w:proofErr w:type="gramEnd"/>
      <w:r>
        <w:rPr>
          <w:rFonts w:ascii="Calibri" w:hAnsi="Calibri"/>
          <w:szCs w:val="22"/>
        </w:rPr>
        <w:t xml:space="preserve"> adverse events occurring at any time during the study i.e. until an individual infant has reached the end of the study. Unsolicited adverse events should also be recorded on the AE Log.</w:t>
      </w:r>
    </w:p>
    <w:p w14:paraId="137C759C" w14:textId="77777777" w:rsidR="007C525D" w:rsidRDefault="007C757A">
      <w:pPr>
        <w:rPr>
          <w:rFonts w:ascii="Calibri" w:hAnsi="Calibri"/>
          <w:szCs w:val="22"/>
        </w:rPr>
      </w:pPr>
      <w:r>
        <w:rPr>
          <w:rFonts w:ascii="Calibri" w:hAnsi="Calibri"/>
          <w:szCs w:val="22"/>
        </w:rPr>
        <w:t xml:space="preserve">All AESIs (both serious and non-serious) should be reported to the CI and sponsor according to the SAE reporting procedure. </w:t>
      </w:r>
    </w:p>
    <w:p w14:paraId="28B88FFB" w14:textId="77777777" w:rsidR="007C525D" w:rsidRDefault="007C757A">
      <w:r>
        <w:rPr>
          <w:rFonts w:ascii="Calibri" w:hAnsi="Calibri"/>
          <w:szCs w:val="22"/>
        </w:rPr>
        <w:t xml:space="preserve">SAEs, AESIs and SARs will be recorded throughout the study and must be notified to the CI and Sponsor within 24 hours of the investigator becoming aware of the event. Ensure the completed SAE form is sent to the CI and </w:t>
      </w:r>
      <w:r>
        <w:rPr>
          <w:rFonts w:ascii="Calibri" w:hAnsi="Calibri"/>
          <w:szCs w:val="22"/>
        </w:rPr>
        <w:lastRenderedPageBreak/>
        <w:t xml:space="preserve">sponsor via email to </w:t>
      </w:r>
      <w:hyperlink r:id="rId18">
        <w:r>
          <w:t xml:space="preserve"> </w:t>
        </w:r>
      </w:hyperlink>
      <w:hyperlink r:id="rId19">
        <w:r>
          <w:rPr>
            <w:rStyle w:val="Hyperlink1"/>
            <w:rFonts w:ascii="Calibri" w:hAnsi="Calibri"/>
            <w:szCs w:val="22"/>
          </w:rPr>
          <w:t>pheath@sgul.ac.uk</w:t>
        </w:r>
      </w:hyperlink>
      <w:r>
        <w:t xml:space="preserve"> and </w:t>
      </w:r>
      <w:hyperlink r:id="rId20">
        <w:r>
          <w:rPr>
            <w:rStyle w:val="Hyperlink1"/>
            <w:rFonts w:ascii="Calibri" w:hAnsi="Calibri"/>
            <w:szCs w:val="22"/>
          </w:rPr>
          <w:t>adverseevents@sgul.ac.uk</w:t>
        </w:r>
      </w:hyperlink>
      <w:r>
        <w:t xml:space="preserve">.  </w:t>
      </w:r>
      <w:r>
        <w:rPr>
          <w:rFonts w:ascii="Calibri" w:hAnsi="Calibri"/>
          <w:szCs w:val="22"/>
        </w:rPr>
        <w:t>SAEs, AESIs, SARs and SUSARs should be recorded on the AE log.</w:t>
      </w:r>
    </w:p>
    <w:p w14:paraId="4B784D66" w14:textId="77777777" w:rsidR="007C525D" w:rsidRDefault="007C757A">
      <w:pPr>
        <w:pStyle w:val="Default"/>
        <w:spacing w:line="300" w:lineRule="exact"/>
        <w:rPr>
          <w:rFonts w:cs="Arial"/>
          <w:color w:val="auto"/>
          <w:szCs w:val="22"/>
        </w:rPr>
      </w:pPr>
      <w:r>
        <w:rPr>
          <w:rFonts w:cs="Arial"/>
          <w:color w:val="auto"/>
          <w:szCs w:val="22"/>
        </w:rPr>
        <w:t xml:space="preserve">In order to prevent a breach of patient confidentiality, SAE reports and any accompanying information should contain only anonymised or pseudo-anonymised patient data. </w:t>
      </w:r>
    </w:p>
    <w:p w14:paraId="613E2B41" w14:textId="77777777" w:rsidR="007C525D" w:rsidRDefault="007C525D">
      <w:pPr>
        <w:pStyle w:val="Default"/>
        <w:spacing w:line="300" w:lineRule="exact"/>
        <w:ind w:left="284"/>
        <w:rPr>
          <w:rFonts w:cs="Arial"/>
          <w:color w:val="auto"/>
          <w:szCs w:val="22"/>
        </w:rPr>
      </w:pPr>
    </w:p>
    <w:p w14:paraId="290E375A" w14:textId="77777777" w:rsidR="007C525D" w:rsidRDefault="007C757A">
      <w:pPr>
        <w:pStyle w:val="Default"/>
        <w:spacing w:line="300" w:lineRule="exact"/>
        <w:rPr>
          <w:rFonts w:cs="Arial"/>
          <w:color w:val="auto"/>
          <w:szCs w:val="22"/>
        </w:rPr>
      </w:pPr>
      <w:r>
        <w:rPr>
          <w:rFonts w:cs="Arial"/>
          <w:color w:val="auto"/>
          <w:szCs w:val="22"/>
        </w:rPr>
        <w:t xml:space="preserve">It is recognised that all information may not be available while the SAE report form is being completed, however the initial report must contain the following as a minimum: </w:t>
      </w:r>
    </w:p>
    <w:p w14:paraId="216E5043" w14:textId="77777777" w:rsidR="007C525D" w:rsidRDefault="007C757A">
      <w:pPr>
        <w:numPr>
          <w:ilvl w:val="0"/>
          <w:numId w:val="13"/>
        </w:numPr>
        <w:tabs>
          <w:tab w:val="left" w:pos="0"/>
        </w:tabs>
        <w:spacing w:after="5"/>
        <w:ind w:left="851"/>
        <w:rPr>
          <w:rFonts w:ascii="Calibri" w:hAnsi="Calibri"/>
          <w:szCs w:val="22"/>
        </w:rPr>
      </w:pPr>
      <w:r>
        <w:rPr>
          <w:rFonts w:ascii="Calibri" w:hAnsi="Calibri"/>
          <w:szCs w:val="22"/>
        </w:rPr>
        <w:t xml:space="preserve">Identifiable event </w:t>
      </w:r>
    </w:p>
    <w:p w14:paraId="2009E8A4" w14:textId="77777777" w:rsidR="007C525D" w:rsidRDefault="007C757A">
      <w:pPr>
        <w:numPr>
          <w:ilvl w:val="0"/>
          <w:numId w:val="13"/>
        </w:numPr>
        <w:tabs>
          <w:tab w:val="left" w:pos="0"/>
        </w:tabs>
        <w:spacing w:after="5"/>
        <w:ind w:left="851"/>
        <w:rPr>
          <w:rFonts w:ascii="Calibri" w:hAnsi="Calibri"/>
          <w:szCs w:val="22"/>
        </w:rPr>
      </w:pPr>
      <w:r>
        <w:rPr>
          <w:rFonts w:ascii="Calibri" w:hAnsi="Calibri"/>
          <w:szCs w:val="22"/>
        </w:rPr>
        <w:t xml:space="preserve">Identifiable patient </w:t>
      </w:r>
    </w:p>
    <w:p w14:paraId="372EAE4D" w14:textId="77777777" w:rsidR="007C525D" w:rsidRDefault="007C757A">
      <w:pPr>
        <w:numPr>
          <w:ilvl w:val="0"/>
          <w:numId w:val="13"/>
        </w:numPr>
        <w:tabs>
          <w:tab w:val="left" w:pos="0"/>
        </w:tabs>
        <w:spacing w:after="5"/>
        <w:ind w:left="851"/>
        <w:rPr>
          <w:rFonts w:ascii="Calibri" w:hAnsi="Calibri"/>
          <w:szCs w:val="22"/>
        </w:rPr>
      </w:pPr>
      <w:r>
        <w:rPr>
          <w:rFonts w:ascii="Calibri" w:hAnsi="Calibri"/>
          <w:szCs w:val="22"/>
        </w:rPr>
        <w:t>Identifiable IMP (i.e. by providing batch number)</w:t>
      </w:r>
    </w:p>
    <w:p w14:paraId="14E187D5" w14:textId="77777777" w:rsidR="007C525D" w:rsidRDefault="007C757A">
      <w:pPr>
        <w:numPr>
          <w:ilvl w:val="0"/>
          <w:numId w:val="13"/>
        </w:numPr>
        <w:tabs>
          <w:tab w:val="left" w:pos="0"/>
        </w:tabs>
        <w:spacing w:after="0"/>
        <w:ind w:left="851"/>
        <w:rPr>
          <w:rFonts w:ascii="Calibri" w:hAnsi="Calibri"/>
          <w:szCs w:val="22"/>
        </w:rPr>
      </w:pPr>
      <w:r>
        <w:rPr>
          <w:rFonts w:ascii="Calibri" w:hAnsi="Calibri"/>
          <w:szCs w:val="22"/>
        </w:rPr>
        <w:t xml:space="preserve">Identifiable Reporter </w:t>
      </w:r>
    </w:p>
    <w:p w14:paraId="2B24B146" w14:textId="77777777" w:rsidR="007C525D" w:rsidRDefault="007C525D">
      <w:pPr>
        <w:spacing w:after="0"/>
        <w:ind w:left="851"/>
        <w:rPr>
          <w:rFonts w:ascii="Calibri" w:hAnsi="Calibri"/>
          <w:szCs w:val="22"/>
        </w:rPr>
      </w:pPr>
    </w:p>
    <w:p w14:paraId="39B19B6E" w14:textId="77777777" w:rsidR="007C525D" w:rsidRDefault="007C757A">
      <w:pPr>
        <w:spacing w:after="0"/>
        <w:rPr>
          <w:rFonts w:ascii="Calibri" w:hAnsi="Calibri"/>
          <w:szCs w:val="22"/>
        </w:rPr>
      </w:pPr>
      <w:r>
        <w:rPr>
          <w:rFonts w:ascii="Calibri" w:hAnsi="Calibri"/>
          <w:szCs w:val="22"/>
        </w:rPr>
        <w:t>If the information available is less than the specified minimum or if the SAE Form is not available for completion and reporting to meet the 24-hours deadline, an initial report can be made verbally but must be followed within 48 hours by a detailed, written report.</w:t>
      </w:r>
    </w:p>
    <w:p w14:paraId="6DA48BFF" w14:textId="77777777" w:rsidR="007C525D" w:rsidRDefault="007C525D">
      <w:pPr>
        <w:spacing w:after="0"/>
        <w:rPr>
          <w:rFonts w:ascii="Calibri" w:hAnsi="Calibri"/>
          <w:szCs w:val="22"/>
        </w:rPr>
      </w:pPr>
    </w:p>
    <w:p w14:paraId="5C9BA8F3" w14:textId="77777777" w:rsidR="007C525D" w:rsidRDefault="007C757A">
      <w:pPr>
        <w:spacing w:after="0"/>
      </w:pPr>
      <w:r>
        <w:rPr>
          <w:rFonts w:ascii="Calibri" w:hAnsi="Calibri"/>
          <w:color w:val="000000"/>
          <w:szCs w:val="22"/>
          <w:lang w:eastAsia="en-GB"/>
        </w:rPr>
        <w:t xml:space="preserve">All </w:t>
      </w:r>
      <w:r>
        <w:rPr>
          <w:rFonts w:ascii="Calibri" w:hAnsi="Calibri"/>
          <w:color w:val="000000"/>
          <w:szCs w:val="22"/>
          <w:lang w:val="en-US"/>
        </w:rPr>
        <w:t>unforeseeable</w:t>
      </w:r>
      <w:r>
        <w:rPr>
          <w:rFonts w:ascii="Calibri" w:hAnsi="Calibri"/>
          <w:szCs w:val="22"/>
        </w:rPr>
        <w:t xml:space="preserve"> </w:t>
      </w:r>
      <w:r>
        <w:rPr>
          <w:rFonts w:ascii="Calibri" w:hAnsi="Calibri"/>
          <w:color w:val="000000"/>
          <w:szCs w:val="22"/>
          <w:lang w:eastAsia="en-GB"/>
        </w:rPr>
        <w:t>SAEs including SUSARs must be followed up by the PI/CI until satisfactory resolution and this should be recorded as a Follow Up report on the SAE form, and on the AE log.  At each stage of follow up the PI/CI should sign and date the form.</w:t>
      </w:r>
    </w:p>
    <w:p w14:paraId="5AAD6118" w14:textId="77777777" w:rsidR="007C525D" w:rsidRDefault="007C525D">
      <w:pPr>
        <w:rPr>
          <w:rFonts w:ascii="Calibri" w:hAnsi="Calibri"/>
          <w:szCs w:val="22"/>
        </w:rPr>
      </w:pPr>
    </w:p>
    <w:p w14:paraId="4872C85C" w14:textId="77777777" w:rsidR="007C525D" w:rsidRDefault="007C757A">
      <w:pPr>
        <w:rPr>
          <w:rFonts w:ascii="Calibri" w:hAnsi="Calibri"/>
          <w:szCs w:val="22"/>
        </w:rPr>
      </w:pPr>
      <w:r>
        <w:rPr>
          <w:rFonts w:ascii="Calibri" w:hAnsi="Calibri"/>
          <w:szCs w:val="22"/>
        </w:rPr>
        <w:t xml:space="preserve">The Sponsor will notify all SUSARs to the MHRA electronically and the REC utilising the </w:t>
      </w:r>
      <w:proofErr w:type="spellStart"/>
      <w:r>
        <w:rPr>
          <w:rFonts w:ascii="Calibri" w:hAnsi="Calibri"/>
          <w:szCs w:val="22"/>
        </w:rPr>
        <w:t>eSUSAR</w:t>
      </w:r>
      <w:proofErr w:type="spellEnd"/>
      <w:r>
        <w:rPr>
          <w:rFonts w:ascii="Calibri" w:hAnsi="Calibri"/>
          <w:szCs w:val="22"/>
        </w:rPr>
        <w:t xml:space="preserve"> system and within the required expedited reporting timescales: </w:t>
      </w:r>
    </w:p>
    <w:p w14:paraId="767D47D0" w14:textId="77777777" w:rsidR="007C525D" w:rsidRDefault="007C757A">
      <w:pPr>
        <w:numPr>
          <w:ilvl w:val="0"/>
          <w:numId w:val="14"/>
        </w:numPr>
        <w:spacing w:after="240" w:line="264" w:lineRule="auto"/>
        <w:rPr>
          <w:rFonts w:ascii="Calibri" w:hAnsi="Calibri"/>
          <w:szCs w:val="22"/>
        </w:rPr>
      </w:pPr>
      <w:r>
        <w:rPr>
          <w:rFonts w:ascii="Calibri" w:hAnsi="Calibri"/>
          <w:szCs w:val="22"/>
        </w:rPr>
        <w:t>The Sponsor will inform the MHRA and the REC of fatal or life threatening SUSARs as soon as possible, but no later than 7 calendar days after the receipt of the SAE report form. Any additional information will be reported within 8 days of sending the initial report.</w:t>
      </w:r>
    </w:p>
    <w:p w14:paraId="3F38E0F6" w14:textId="77777777" w:rsidR="007C525D" w:rsidRDefault="007C757A">
      <w:pPr>
        <w:numPr>
          <w:ilvl w:val="0"/>
          <w:numId w:val="14"/>
        </w:numPr>
        <w:spacing w:after="240" w:line="264" w:lineRule="auto"/>
        <w:rPr>
          <w:rFonts w:ascii="Calibri" w:hAnsi="Calibri"/>
          <w:szCs w:val="22"/>
        </w:rPr>
      </w:pPr>
      <w:r>
        <w:rPr>
          <w:rFonts w:ascii="Calibri" w:hAnsi="Calibri"/>
          <w:szCs w:val="22"/>
        </w:rPr>
        <w:t xml:space="preserve">The Sponsor must report all other SUSARs and safety issues to the MHRA and REC, as soon as possible but no later than 15 calendar days after the Sponsor has first knowledge of the minimum criteria for expedited reporting. </w:t>
      </w:r>
    </w:p>
    <w:p w14:paraId="041B1483" w14:textId="77777777" w:rsidR="007C525D" w:rsidRDefault="007C757A">
      <w:pPr>
        <w:rPr>
          <w:rFonts w:ascii="Calibri" w:hAnsi="Calibri"/>
          <w:szCs w:val="22"/>
        </w:rPr>
      </w:pPr>
      <w:r>
        <w:rPr>
          <w:rFonts w:ascii="Calibri" w:hAnsi="Calibri"/>
          <w:szCs w:val="22"/>
        </w:rPr>
        <w:t xml:space="preserve">Causality Assessment—must be made by a medically qualified doctor as these decisions require medical and scientific judgment as well as knowledge of the participant concerned. The investigator must assess the causality of all </w:t>
      </w:r>
      <w:proofErr w:type="gramStart"/>
      <w:r>
        <w:rPr>
          <w:rFonts w:ascii="Calibri" w:hAnsi="Calibri"/>
          <w:szCs w:val="22"/>
        </w:rPr>
        <w:t>SAEs,  AESIs</w:t>
      </w:r>
      <w:proofErr w:type="gramEnd"/>
      <w:r>
        <w:rPr>
          <w:rFonts w:ascii="Calibri" w:hAnsi="Calibri"/>
          <w:szCs w:val="22"/>
        </w:rPr>
        <w:t xml:space="preserve"> or SARs in relation to the IMP using the following descriptions:</w:t>
      </w:r>
    </w:p>
    <w:p w14:paraId="1DEEA295"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Definitely—there is clear evidence to suggest a causal relationship, and other possible contributing factors can be ruled out.</w:t>
      </w:r>
    </w:p>
    <w:p w14:paraId="66E0026C"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Probably—there is evidence to suggest a causal relationship, and the influence of other factors is unlikely.</w:t>
      </w:r>
    </w:p>
    <w:p w14:paraId="3AC9D056"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Possibly—there is some evidence to suggest a causal relationship (e.g. the event occurred within a reasonable time after administration of the trial medication). However, the influence of other factors may have contributed to the event (i.e. the patient’s clinical condition, other concomitant events).</w:t>
      </w:r>
    </w:p>
    <w:p w14:paraId="6B4A4AAE"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Unlikely—there is little evidence to suggest there is a causal relationship (e.g. the event did not occur within a reasonable time after administration of the trial medication). There is another reasonable explanation for the event (e.g. the participant’s clinical condition, or other concomitant treatments).</w:t>
      </w:r>
    </w:p>
    <w:p w14:paraId="1C1FF471"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lastRenderedPageBreak/>
        <w:t>Unrelated—there is no evidence of any causal relationship.</w:t>
      </w:r>
    </w:p>
    <w:p w14:paraId="10F15704"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Not Assessable – note - if this description is used the sponsor will assume the event is related to the IMP until follow up information is received from the investigator to confirm a definitive causality assessment</w:t>
      </w:r>
    </w:p>
    <w:p w14:paraId="15A3DE44" w14:textId="77777777" w:rsidR="007C525D" w:rsidRDefault="007C757A">
      <w:pPr>
        <w:rPr>
          <w:rFonts w:ascii="Calibri" w:hAnsi="Calibri"/>
          <w:szCs w:val="22"/>
        </w:rPr>
      </w:pPr>
      <w:r>
        <w:rPr>
          <w:rFonts w:ascii="Calibri" w:hAnsi="Calibri"/>
          <w:szCs w:val="22"/>
        </w:rPr>
        <w:t>Any SUSAR assessed as related to the IMP will need to be reported to the CI and Sponsor irrespective of how long after IMP administration the reaction has occurred.</w:t>
      </w:r>
    </w:p>
    <w:p w14:paraId="4A9297D1" w14:textId="77777777" w:rsidR="007C525D" w:rsidRDefault="007C757A">
      <w:pPr>
        <w:rPr>
          <w:rFonts w:ascii="Calibri" w:hAnsi="Calibri"/>
          <w:szCs w:val="22"/>
        </w:rPr>
      </w:pPr>
      <w:r>
        <w:rPr>
          <w:rFonts w:ascii="Calibri" w:hAnsi="Calibri"/>
          <w:szCs w:val="22"/>
        </w:rPr>
        <w:t>Expectedness should be based solely on the available RSI for the IMP and will be described using following categories:</w:t>
      </w:r>
    </w:p>
    <w:p w14:paraId="74D700D8"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Expected—an AE that is classed in nature as serious and which is consistent with the information about the IMP listed in the RSI or clearly defined in this protocol.</w:t>
      </w:r>
    </w:p>
    <w:p w14:paraId="77484917" w14:textId="77777777" w:rsidR="007C525D" w:rsidRDefault="007C757A">
      <w:pPr>
        <w:pStyle w:val="Bulletlist-old"/>
        <w:rPr>
          <w:rFonts w:cs="Arial"/>
          <w:color w:val="auto"/>
          <w:kern w:val="0"/>
          <w:sz w:val="22"/>
          <w:szCs w:val="22"/>
          <w:lang w:eastAsia="en-US"/>
        </w:rPr>
      </w:pPr>
      <w:r>
        <w:rPr>
          <w:rFonts w:cs="Arial"/>
          <w:color w:val="auto"/>
          <w:kern w:val="0"/>
          <w:sz w:val="22"/>
          <w:szCs w:val="22"/>
          <w:lang w:eastAsia="en-US"/>
        </w:rPr>
        <w:t>Unexpected—an AE that is classed in nature as serious and which is not consistent with the information about the IMP listed in the RSI</w:t>
      </w:r>
    </w:p>
    <w:p w14:paraId="2B28E37B" w14:textId="77777777" w:rsidR="007C525D" w:rsidRDefault="007C757A">
      <w:pPr>
        <w:rPr>
          <w:rFonts w:ascii="Calibri" w:hAnsi="Calibri"/>
          <w:szCs w:val="22"/>
        </w:rPr>
      </w:pPr>
      <w:r>
        <w:rPr>
          <w:rFonts w:ascii="Calibri" w:hAnsi="Calibri"/>
          <w:szCs w:val="22"/>
        </w:rPr>
        <w:t xml:space="preserve">The completed AE Log should be regularly reviewed and signed by the PI to detect any change in frequency or severity of reported events. The log will be sent to the CI and Sponsor for review upon request and/or every 2 months. </w:t>
      </w:r>
    </w:p>
    <w:p w14:paraId="5AAB9D5B" w14:textId="77777777" w:rsidR="007C525D" w:rsidRDefault="007C757A">
      <w:pPr>
        <w:rPr>
          <w:rFonts w:ascii="Calibri" w:hAnsi="Calibri"/>
          <w:szCs w:val="22"/>
        </w:rPr>
      </w:pPr>
      <w:r>
        <w:rPr>
          <w:rFonts w:ascii="Calibri" w:hAnsi="Calibri"/>
          <w:szCs w:val="22"/>
        </w:rPr>
        <w:t xml:space="preserve">SAEs and SUSARs will be reviewed by the CI. The project management team will return the reviewed SAE to the study team. Any queries raised by the CI/project management team/sponsor should be responded to as soon as possible.  </w:t>
      </w:r>
      <w:bookmarkStart w:id="36" w:name="move29196885"/>
      <w:r>
        <w:rPr>
          <w:rFonts w:ascii="Calibri" w:hAnsi="Calibri"/>
          <w:szCs w:val="22"/>
        </w:rPr>
        <w:t>Follow up reports must continually be completed within acceptable time-frames and sent to the CI and sponsor as detailed above until the reportable event is considered resolved.</w:t>
      </w:r>
      <w:bookmarkEnd w:id="36"/>
    </w:p>
    <w:p w14:paraId="04C08454" w14:textId="77777777" w:rsidR="007C525D" w:rsidRDefault="007C757A">
      <w:pPr>
        <w:rPr>
          <w:rFonts w:ascii="Calibri" w:hAnsi="Calibri"/>
          <w:szCs w:val="22"/>
        </w:rPr>
      </w:pPr>
      <w:bookmarkStart w:id="37" w:name="move291968851"/>
      <w:r>
        <w:rPr>
          <w:rFonts w:ascii="Calibri" w:hAnsi="Calibri"/>
          <w:szCs w:val="22"/>
        </w:rPr>
        <w:t>Follow up reports must continually be completed within acceptable time-frames and sent to the sponsor as detailed above until the reportable event is considered resolved.</w:t>
      </w:r>
      <w:bookmarkEnd w:id="37"/>
    </w:p>
    <w:p w14:paraId="68A13CF1" w14:textId="77777777" w:rsidR="007C525D" w:rsidRDefault="007C757A">
      <w:r>
        <w:rPr>
          <w:rFonts w:ascii="Calibri" w:hAnsi="Calibri"/>
          <w:szCs w:val="22"/>
        </w:rPr>
        <w:t xml:space="preserve">All SAEs, AESIs and SARs which occur at other sites will be notified to the Sponsor and to the CI within 24 hours. If there is safety information which needs to be disseminated relating to the study, the lead investigator at SGUL or a delegate will communicate with the PIs at the other sites.  All SAEs and AESIs will be communicated to GSK within 24 hours of the CI’s first awareness of the event by the project management team at SGUL.  Follow up information on safety reports will be provided for any medically relevant request. Any emerging safety issues related to </w:t>
      </w:r>
      <w:r>
        <w:rPr>
          <w:rFonts w:ascii="Calibri" w:hAnsi="Calibri"/>
          <w:szCs w:val="22"/>
          <w:lang w:eastAsia="en-GB"/>
        </w:rPr>
        <w:t>4CMenB Bexsero®</w:t>
      </w:r>
      <w:r>
        <w:rPr>
          <w:rFonts w:ascii="Calibri" w:hAnsi="Calibri"/>
          <w:szCs w:val="22"/>
        </w:rPr>
        <w:t xml:space="preserve"> and in connection with the study will be communicated to GSK within 48 hours of the CI and Sponsor becoming aware of them. </w:t>
      </w:r>
    </w:p>
    <w:p w14:paraId="0CABCCC2" w14:textId="77777777" w:rsidR="007C525D" w:rsidRDefault="007C525D">
      <w:pPr>
        <w:rPr>
          <w:rFonts w:ascii="Calibri" w:hAnsi="Calibri"/>
          <w:b/>
          <w:bCs/>
          <w:color w:val="0000FF"/>
          <w:szCs w:val="22"/>
          <w:lang w:eastAsia="en-GB"/>
        </w:rPr>
      </w:pPr>
    </w:p>
    <w:p w14:paraId="35DAF4D6" w14:textId="77777777" w:rsidR="007C525D" w:rsidRDefault="007C757A">
      <w:pPr>
        <w:rPr>
          <w:rFonts w:ascii="Calibri" w:hAnsi="Calibri"/>
          <w:b/>
          <w:bCs/>
          <w:szCs w:val="22"/>
          <w:lang w:eastAsia="en-GB"/>
        </w:rPr>
      </w:pPr>
      <w:r>
        <w:rPr>
          <w:rFonts w:ascii="Calibri" w:hAnsi="Calibri"/>
          <w:b/>
          <w:bCs/>
          <w:szCs w:val="22"/>
          <w:lang w:eastAsia="en-GB"/>
        </w:rPr>
        <w:t>9.3</w:t>
      </w:r>
      <w:r>
        <w:rPr>
          <w:rFonts w:ascii="Calibri" w:hAnsi="Calibri"/>
          <w:b/>
          <w:bCs/>
          <w:szCs w:val="22"/>
          <w:lang w:eastAsia="en-GB"/>
        </w:rPr>
        <w:tab/>
        <w:t>Responsibilities</w:t>
      </w:r>
    </w:p>
    <w:p w14:paraId="2BEF7EB9" w14:textId="77777777" w:rsidR="007C525D" w:rsidRDefault="007C757A">
      <w:pPr>
        <w:spacing w:line="276" w:lineRule="auto"/>
        <w:ind w:right="616"/>
      </w:pPr>
      <w:r>
        <w:rPr>
          <w:rFonts w:ascii="Calibri" w:hAnsi="Calibri"/>
          <w:color w:val="000000"/>
          <w:szCs w:val="22"/>
          <w:lang w:eastAsia="en-GB"/>
        </w:rPr>
        <w:t xml:space="preserve">The Chief Investigator will provide </w:t>
      </w:r>
      <w:r>
        <w:rPr>
          <w:rFonts w:ascii="Calibri" w:hAnsi="Calibri"/>
          <w:color w:val="000000"/>
        </w:rPr>
        <w:t xml:space="preserve">clinical oversight of the safety of participants in the trial, including an ongoing review of the risk / benefit. The CI will </w:t>
      </w:r>
      <w:r>
        <w:rPr>
          <w:rFonts w:ascii="Calibri" w:hAnsi="Calibri"/>
          <w:color w:val="000000"/>
          <w:szCs w:val="22"/>
          <w:lang w:eastAsia="en-GB"/>
        </w:rPr>
        <w:t xml:space="preserve">immediately review all reports of SUSARS and will review all SAE reports as these become available throughout the study. The SGUL project management team will be responsible for communicating queries to sites and communicating reported events to GSK. The sponsor will maintain overall oversight through receipt of initial and follow up SAE reports, ensuring all have been reviewed as per the protocol. The sponsor will compile the reported SAEs into a database for data consolidation. </w:t>
      </w:r>
    </w:p>
    <w:p w14:paraId="1DDD55E7" w14:textId="77777777" w:rsidR="007C525D" w:rsidRDefault="007C757A">
      <w:pPr>
        <w:spacing w:line="276" w:lineRule="auto"/>
        <w:ind w:right="616"/>
      </w:pPr>
      <w:r>
        <w:rPr>
          <w:rFonts w:ascii="Calibri" w:hAnsi="Calibri"/>
          <w:color w:val="000000"/>
          <w:szCs w:val="22"/>
        </w:rPr>
        <w:t xml:space="preserve">Principal Investigators will ensure that information is being collected at local sites about (S)AEs. They will ensure </w:t>
      </w:r>
      <w:r>
        <w:rPr>
          <w:rFonts w:ascii="Calibri" w:hAnsi="Calibri"/>
          <w:color w:val="000000"/>
        </w:rPr>
        <w:t xml:space="preserve">that all SAEs and </w:t>
      </w:r>
      <w:r>
        <w:rPr>
          <w:rFonts w:ascii="Calibri" w:hAnsi="Calibri"/>
          <w:szCs w:val="22"/>
        </w:rPr>
        <w:t xml:space="preserve">AESIs </w:t>
      </w:r>
      <w:r>
        <w:rPr>
          <w:rFonts w:ascii="Calibri" w:hAnsi="Calibri"/>
          <w:color w:val="000000"/>
        </w:rPr>
        <w:t xml:space="preserve">are recorded and reported to the CI and Sponsor within 24 hours of becoming aware of the event and provide further follow-up information as soon as available. They will </w:t>
      </w:r>
      <w:r>
        <w:rPr>
          <w:rFonts w:ascii="Calibri" w:hAnsi="Calibri"/>
          <w:color w:val="000000"/>
        </w:rPr>
        <w:lastRenderedPageBreak/>
        <w:t xml:space="preserve">ensure that SAEs </w:t>
      </w:r>
      <w:r>
        <w:rPr>
          <w:rFonts w:ascii="Calibri" w:hAnsi="Calibri"/>
          <w:szCs w:val="22"/>
        </w:rPr>
        <w:t xml:space="preserve">and AESIs </w:t>
      </w:r>
      <w:r>
        <w:rPr>
          <w:rFonts w:ascii="Calibri" w:hAnsi="Calibri"/>
          <w:color w:val="000000"/>
        </w:rPr>
        <w:t xml:space="preserve">are chased with the Sponsor if a record of receipt is not received within 2 working days of initial reporting. </w:t>
      </w:r>
    </w:p>
    <w:p w14:paraId="4F353876" w14:textId="77777777" w:rsidR="007C525D" w:rsidRDefault="007C757A">
      <w:pPr>
        <w:spacing w:line="276" w:lineRule="auto"/>
        <w:ind w:right="616"/>
      </w:pPr>
      <w:r>
        <w:rPr>
          <w:rFonts w:ascii="Calibri" w:hAnsi="Calibri"/>
          <w:color w:val="000000"/>
          <w:szCs w:val="22"/>
        </w:rPr>
        <w:t xml:space="preserve">They will ensure that AEs are recorded as specified in section 9.3 of the protocol and that the AE log is sent to the Sponsor at upon request and/or at two monthly intervals throughout the study. </w:t>
      </w:r>
    </w:p>
    <w:p w14:paraId="47C3F3E3" w14:textId="77777777" w:rsidR="007C525D" w:rsidRDefault="007C757A">
      <w:pPr>
        <w:spacing w:line="276" w:lineRule="auto"/>
        <w:ind w:right="616"/>
      </w:pPr>
      <w:r>
        <w:rPr>
          <w:rFonts w:ascii="Calibri" w:hAnsi="Calibri"/>
          <w:color w:val="000000"/>
          <w:szCs w:val="22"/>
        </w:rPr>
        <w:t xml:space="preserve">The Sponsor will ensure that central data collection and verification of AEs, ARs, </w:t>
      </w:r>
      <w:proofErr w:type="gramStart"/>
      <w:r>
        <w:rPr>
          <w:rFonts w:ascii="Calibri" w:hAnsi="Calibri"/>
          <w:color w:val="000000"/>
          <w:szCs w:val="22"/>
        </w:rPr>
        <w:t xml:space="preserve">SAEs, </w:t>
      </w:r>
      <w:r>
        <w:rPr>
          <w:rFonts w:ascii="Calibri" w:hAnsi="Calibri"/>
          <w:szCs w:val="22"/>
        </w:rPr>
        <w:t xml:space="preserve"> AESIs</w:t>
      </w:r>
      <w:proofErr w:type="gramEnd"/>
      <w:r>
        <w:rPr>
          <w:rFonts w:ascii="Calibri" w:hAnsi="Calibri"/>
          <w:color w:val="000000"/>
          <w:szCs w:val="22"/>
        </w:rPr>
        <w:t>, SARs and SUSARs is conducted according to the trial protocol onto a database, that safety information is communicated to the CI and that investigators are informed of any SUSARS which occur as part of the study.</w:t>
      </w:r>
    </w:p>
    <w:p w14:paraId="43703052" w14:textId="77777777" w:rsidR="007C525D" w:rsidRDefault="007C525D">
      <w:pPr>
        <w:ind w:right="616"/>
        <w:rPr>
          <w:rFonts w:ascii="Calibri" w:hAnsi="Calibri"/>
          <w:szCs w:val="22"/>
          <w:lang w:eastAsia="en-GB"/>
        </w:rPr>
      </w:pPr>
    </w:p>
    <w:p w14:paraId="41FA7FFF" w14:textId="77777777" w:rsidR="007C525D" w:rsidRDefault="007C757A">
      <w:bookmarkStart w:id="38" w:name="_Toc303179283"/>
      <w:r>
        <w:rPr>
          <w:rFonts w:ascii="Calibri" w:hAnsi="Calibri"/>
          <w:b/>
        </w:rPr>
        <w:t>9.4</w:t>
      </w:r>
      <w:r>
        <w:rPr>
          <w:rFonts w:ascii="Calibri" w:hAnsi="Calibri"/>
          <w:b/>
        </w:rPr>
        <w:tab/>
        <w:t>Notification of deaths</w:t>
      </w:r>
      <w:bookmarkEnd w:id="38"/>
      <w:r>
        <w:rPr>
          <w:rFonts w:ascii="Calibri" w:hAnsi="Calibri"/>
          <w:b/>
        </w:rPr>
        <w:t xml:space="preserve"> </w:t>
      </w:r>
    </w:p>
    <w:p w14:paraId="420D3B0B" w14:textId="77777777" w:rsidR="007C525D" w:rsidRDefault="007C757A">
      <w:r>
        <w:rPr>
          <w:rFonts w:ascii="Calibri" w:hAnsi="Calibri"/>
          <w:szCs w:val="22"/>
        </w:rPr>
        <w:t>All deaths will be reported to the Sponsor immediately upon</w:t>
      </w:r>
      <w:r>
        <w:rPr>
          <w:rFonts w:ascii="Calibri" w:hAnsi="Calibri"/>
          <w:szCs w:val="22"/>
          <w:vertAlign w:val="superscript"/>
        </w:rPr>
        <w:t xml:space="preserve"> </w:t>
      </w:r>
      <w:r>
        <w:rPr>
          <w:rFonts w:ascii="Calibri" w:hAnsi="Calibri"/>
          <w:szCs w:val="22"/>
        </w:rPr>
        <w:t xml:space="preserve">first knowledge irrespective of whether the death is related to disease progression, the IMP, or an unrelated event. </w:t>
      </w:r>
    </w:p>
    <w:p w14:paraId="109EF3EF" w14:textId="77777777" w:rsidR="007C525D" w:rsidRDefault="007C757A">
      <w:bookmarkStart w:id="39" w:name="_Toc303179288"/>
      <w:r>
        <w:rPr>
          <w:rFonts w:ascii="Calibri" w:hAnsi="Calibri"/>
          <w:b/>
        </w:rPr>
        <w:t>9.5</w:t>
      </w:r>
      <w:r>
        <w:rPr>
          <w:rFonts w:ascii="Calibri" w:hAnsi="Calibri"/>
          <w:b/>
        </w:rPr>
        <w:tab/>
        <w:t>Overdose</w:t>
      </w:r>
      <w:bookmarkEnd w:id="39"/>
    </w:p>
    <w:p w14:paraId="3D00D09F" w14:textId="77777777" w:rsidR="007C525D" w:rsidRDefault="007C757A">
      <w:pPr>
        <w:rPr>
          <w:rFonts w:ascii="Calibri" w:hAnsi="Calibri"/>
        </w:rPr>
      </w:pPr>
      <w:r>
        <w:rPr>
          <w:rFonts w:ascii="Calibri" w:hAnsi="Calibri"/>
        </w:rPr>
        <w:t xml:space="preserve">It is extremely unlikely that a participant will receive an overdose of trial medication. If this happens, advice should be sought from the local Principal Investigator in discussion, if necessary, with the Chief Investigator.   </w:t>
      </w:r>
    </w:p>
    <w:p w14:paraId="63503176" w14:textId="77777777" w:rsidR="007C525D" w:rsidRDefault="007C757A">
      <w:r>
        <w:rPr>
          <w:rFonts w:ascii="Calibri" w:hAnsi="Calibri"/>
          <w:b/>
        </w:rPr>
        <w:t>9.6</w:t>
      </w:r>
      <w:r>
        <w:rPr>
          <w:rFonts w:ascii="Calibri" w:hAnsi="Calibri"/>
          <w:b/>
        </w:rPr>
        <w:tab/>
        <w:t xml:space="preserve">Reporting urgent safety measures </w:t>
      </w:r>
    </w:p>
    <w:p w14:paraId="16866392" w14:textId="77777777" w:rsidR="007C525D" w:rsidRDefault="007C757A">
      <w:r>
        <w:rPr>
          <w:rFonts w:ascii="Calibri" w:hAnsi="Calibri"/>
          <w:szCs w:val="22"/>
        </w:rPr>
        <w:t>The Sponsor and Investigator may take appropriate urgent safety measures in order to protect the participants against any immediate hazard to their health or safety. If such measures are taken the Sponsor shall immediately or no later than 3 days from the date the measures are taken give written notice to the MHRA and REC of the measures taken and the circumstances given rise to such measures. The CI must notify the Sponsor immediately to facilitate compliance with the regulations.  The Sponsor will assist the CI in cascading relevant information to participating sites and relevant staff.</w:t>
      </w:r>
    </w:p>
    <w:p w14:paraId="3CA69A80" w14:textId="77777777" w:rsidR="007C525D" w:rsidRDefault="007C525D">
      <w:pPr>
        <w:rPr>
          <w:rFonts w:ascii="Calibri" w:hAnsi="Calibri"/>
          <w:szCs w:val="22"/>
        </w:rPr>
      </w:pPr>
    </w:p>
    <w:p w14:paraId="5E81FEC2" w14:textId="77777777" w:rsidR="007C525D" w:rsidRDefault="007C525D">
      <w:pPr>
        <w:rPr>
          <w:rFonts w:ascii="Calibri" w:hAnsi="Calibri"/>
          <w:iCs/>
          <w:color w:val="0000FF"/>
          <w:szCs w:val="22"/>
        </w:rPr>
      </w:pPr>
    </w:p>
    <w:p w14:paraId="3C1745A6" w14:textId="77777777" w:rsidR="007C525D" w:rsidRDefault="007C757A">
      <w:pPr>
        <w:rPr>
          <w:rFonts w:ascii="Calibri" w:hAnsi="Calibri"/>
          <w:b/>
        </w:rPr>
      </w:pPr>
      <w:bookmarkStart w:id="40" w:name="_Toc303179290"/>
      <w:r>
        <w:rPr>
          <w:rFonts w:ascii="Calibri" w:hAnsi="Calibri"/>
          <w:b/>
        </w:rPr>
        <w:t>9.7</w:t>
      </w:r>
      <w:r>
        <w:rPr>
          <w:rFonts w:ascii="Calibri" w:hAnsi="Calibri"/>
          <w:b/>
        </w:rPr>
        <w:tab/>
        <w:t>The type and duration of the follow-up of participants after adverse reactions.</w:t>
      </w:r>
      <w:bookmarkEnd w:id="40"/>
    </w:p>
    <w:p w14:paraId="63D7BDBB" w14:textId="77777777" w:rsidR="007C525D" w:rsidRDefault="007C757A">
      <w:pPr>
        <w:spacing w:after="0" w:line="276" w:lineRule="auto"/>
        <w:rPr>
          <w:rFonts w:ascii="Calibri" w:hAnsi="Calibri"/>
          <w:color w:val="000000"/>
          <w:szCs w:val="22"/>
        </w:rPr>
      </w:pPr>
      <w:r>
        <w:rPr>
          <w:rFonts w:ascii="Calibri" w:hAnsi="Calibri"/>
          <w:color w:val="000000"/>
          <w:szCs w:val="22"/>
        </w:rPr>
        <w:t xml:space="preserve">All vaccinations will be given by trained members of staff who are able to deal with an allergic reaction to the vaccine. All participants will be observed for 20 minutes following vaccine administration to ensure that they remain well. All participants will have access to contact details for the study team which they will be able to use if they have any concerns about adverse events following vaccine administration. This is a licensed vaccine so significant adverse reactions are extremely unlikely. All adverse events which occur within the 28 days after vaccine administration will be recorded on the AE log as well as all medically attended AE which occur at any time during the study. </w:t>
      </w:r>
    </w:p>
    <w:p w14:paraId="66969343" w14:textId="77777777" w:rsidR="007C525D" w:rsidRDefault="007C757A">
      <w:pPr>
        <w:spacing w:line="276" w:lineRule="auto"/>
        <w:rPr>
          <w:rFonts w:ascii="Calibri" w:hAnsi="Calibri"/>
          <w:color w:val="000000"/>
          <w:szCs w:val="22"/>
        </w:rPr>
      </w:pPr>
      <w:r>
        <w:rPr>
          <w:rFonts w:ascii="Calibri" w:hAnsi="Calibri"/>
          <w:color w:val="000000"/>
          <w:szCs w:val="22"/>
        </w:rPr>
        <w:t>Any SUSAR will need to be reported to the Sponsor irrespective of how long after vaccine administration the reaction has occurred until resolved.</w:t>
      </w:r>
    </w:p>
    <w:p w14:paraId="399C537F" w14:textId="77777777" w:rsidR="007C525D" w:rsidRDefault="007C525D">
      <w:pPr>
        <w:rPr>
          <w:rFonts w:ascii="Calibri" w:hAnsi="Calibri"/>
          <w:b/>
        </w:rPr>
      </w:pPr>
    </w:p>
    <w:p w14:paraId="3D3C0707" w14:textId="77777777" w:rsidR="007C525D" w:rsidRDefault="007C757A">
      <w:bookmarkStart w:id="41" w:name="_Toc303179285"/>
      <w:r>
        <w:rPr>
          <w:rFonts w:ascii="Calibri" w:hAnsi="Calibri"/>
          <w:b/>
        </w:rPr>
        <w:t>9.9</w:t>
      </w:r>
      <w:r>
        <w:rPr>
          <w:rFonts w:ascii="Calibri" w:hAnsi="Calibri"/>
          <w:b/>
        </w:rPr>
        <w:tab/>
        <w:t>Development safety update reports</w:t>
      </w:r>
      <w:bookmarkEnd w:id="41"/>
    </w:p>
    <w:p w14:paraId="42E673DB" w14:textId="77777777" w:rsidR="007C525D" w:rsidRDefault="007C757A">
      <w:pPr>
        <w:pStyle w:val="BodyText"/>
        <w:tabs>
          <w:tab w:val="left" w:pos="709"/>
        </w:tabs>
        <w:spacing w:after="120"/>
      </w:pPr>
      <w:r>
        <w:rPr>
          <w:rFonts w:ascii="Calibri" w:hAnsi="Calibri"/>
          <w:i w:val="0"/>
          <w:color w:val="000000"/>
          <w:szCs w:val="22"/>
        </w:rPr>
        <w:t>The Chief Investigator</w:t>
      </w:r>
      <w:r>
        <w:rPr>
          <w:rFonts w:ascii="Calibri" w:hAnsi="Calibri" w:cs="Arial"/>
          <w:i w:val="0"/>
          <w:sz w:val="22"/>
          <w:szCs w:val="22"/>
        </w:rPr>
        <w:t xml:space="preserve"> will submit annual Development Safety Update Reports (DSURs) to the Competent Authority (MHRA in the UK), Ethics Committee, HRA (where required), Host NHS Trust and Sponsor.</w:t>
      </w:r>
    </w:p>
    <w:p w14:paraId="1DF76A02" w14:textId="77777777" w:rsidR="007C525D" w:rsidRDefault="007C525D">
      <w:pPr>
        <w:pStyle w:val="BodyText"/>
        <w:tabs>
          <w:tab w:val="left" w:pos="709"/>
        </w:tabs>
        <w:spacing w:after="120"/>
        <w:rPr>
          <w:rFonts w:ascii="Calibri" w:hAnsi="Calibri" w:cs="Arial"/>
          <w:i w:val="0"/>
          <w:sz w:val="22"/>
          <w:szCs w:val="22"/>
        </w:rPr>
      </w:pPr>
    </w:p>
    <w:p w14:paraId="37AA9336" w14:textId="77777777" w:rsidR="007C525D" w:rsidRDefault="007C757A">
      <w:pPr>
        <w:pStyle w:val="Heading1"/>
      </w:pPr>
      <w:r>
        <w:rPr>
          <w:rFonts w:ascii="Calibri" w:hAnsi="Calibri"/>
          <w:color w:val="auto"/>
          <w:sz w:val="22"/>
          <w:szCs w:val="22"/>
        </w:rPr>
        <w:lastRenderedPageBreak/>
        <w:t>10</w:t>
      </w:r>
      <w:r>
        <w:rPr>
          <w:rFonts w:ascii="Calibri" w:hAnsi="Calibri"/>
          <w:color w:val="auto"/>
          <w:sz w:val="22"/>
          <w:szCs w:val="22"/>
        </w:rPr>
        <w:tab/>
        <w:t>STATISTICS AND DATA ANALYSIS</w:t>
      </w:r>
    </w:p>
    <w:p w14:paraId="25DE5935" w14:textId="77777777" w:rsidR="007C525D" w:rsidRDefault="007C525D"/>
    <w:p w14:paraId="5E1110E2" w14:textId="77777777" w:rsidR="007C525D" w:rsidRDefault="007C757A">
      <w:pPr>
        <w:spacing w:line="300" w:lineRule="exact"/>
        <w:rPr>
          <w:rFonts w:ascii="Calibri" w:hAnsi="Calibri"/>
          <w:szCs w:val="22"/>
        </w:rPr>
      </w:pPr>
      <w:r>
        <w:rPr>
          <w:rFonts w:ascii="Calibri" w:hAnsi="Calibri"/>
          <w:szCs w:val="22"/>
        </w:rPr>
        <w:t xml:space="preserve">A formal statistical plan will be produced by the Trial Statistician prior to commencement of the study. Data will be analysed using a modified intention to treat analysis whereby all infants vaccinated and with at least one post-vaccination blood sample taken will be included in the analysis. Per protocol analysis (whereby all vaccinated infants with at least one post vaccination blood sample taken and with no major protocol deviations) may also be performed if major protocol deviations are recorded. Infants with missing results (e.g. unable to obtain or insufficient blood sample) at the different time-points (e.g. post-primary immunisation, pre-booster and post-booster) will not be included in the analysis for that particular time-point. </w:t>
      </w:r>
    </w:p>
    <w:p w14:paraId="4FC184A5" w14:textId="77777777" w:rsidR="007C525D" w:rsidRDefault="007C525D">
      <w:pPr>
        <w:pStyle w:val="BodyText"/>
        <w:tabs>
          <w:tab w:val="left" w:pos="709"/>
        </w:tabs>
        <w:spacing w:after="120"/>
        <w:rPr>
          <w:rFonts w:ascii="Calibri" w:hAnsi="Calibri" w:cs="Arial"/>
          <w:i w:val="0"/>
          <w:color w:val="FF0000"/>
          <w:sz w:val="22"/>
          <w:szCs w:val="22"/>
        </w:rPr>
      </w:pPr>
    </w:p>
    <w:p w14:paraId="4E0A7FEA"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10.1</w:t>
      </w:r>
      <w:r>
        <w:rPr>
          <w:rFonts w:ascii="Calibri" w:hAnsi="Calibri" w:cs="Arial"/>
          <w:b/>
          <w:i w:val="0"/>
          <w:sz w:val="22"/>
          <w:szCs w:val="22"/>
        </w:rPr>
        <w:tab/>
        <w:t>Sample size calculation</w:t>
      </w:r>
    </w:p>
    <w:p w14:paraId="03DA02E9" w14:textId="77777777" w:rsidR="007C525D" w:rsidRDefault="007C525D">
      <w:pPr>
        <w:widowControl w:val="0"/>
        <w:tabs>
          <w:tab w:val="left" w:pos="426"/>
        </w:tabs>
        <w:rPr>
          <w:rFonts w:ascii="Calibri" w:hAnsi="Calibri"/>
          <w:szCs w:val="22"/>
        </w:rPr>
      </w:pPr>
    </w:p>
    <w:p w14:paraId="5DAE6262" w14:textId="77777777" w:rsidR="007C525D" w:rsidRDefault="007C757A">
      <w:pPr>
        <w:spacing w:after="0"/>
        <w:jc w:val="left"/>
      </w:pPr>
      <w:r>
        <w:rPr>
          <w:rFonts w:ascii="Calibri" w:eastAsia="Times New Roman" w:hAnsi="Calibri" w:cs="Calibri"/>
          <w:color w:val="000000"/>
          <w:szCs w:val="22"/>
        </w:rPr>
        <w:t>Sample size calculations are complicated because of the multiple components in 4CMenB. We will assess the immune responses to 3 antigens. We propose that a comparison of 2 schedules with respect to doses of 4CMenB will require 60 infants in each arm. Based on data from a recent study (</w:t>
      </w:r>
      <w:proofErr w:type="spellStart"/>
      <w:r>
        <w:rPr>
          <w:rFonts w:ascii="Calibri" w:eastAsia="Times New Roman" w:hAnsi="Calibri" w:cs="Calibri"/>
          <w:color w:val="000000"/>
          <w:szCs w:val="22"/>
        </w:rPr>
        <w:t>Gossger</w:t>
      </w:r>
      <w:proofErr w:type="spellEnd"/>
      <w:r>
        <w:rPr>
          <w:rFonts w:ascii="Calibri" w:eastAsia="Times New Roman" w:hAnsi="Calibri" w:cs="Calibri"/>
          <w:color w:val="000000"/>
          <w:szCs w:val="22"/>
        </w:rPr>
        <w:t xml:space="preserve"> et al. 2012) the standard deviation of the GMT responses to the 3 antigens is expected to be around 1.0 </w:t>
      </w:r>
      <w:r>
        <w:rPr>
          <w:rFonts w:ascii="Calibri" w:hAnsi="Calibri"/>
          <w:szCs w:val="22"/>
        </w:rPr>
        <w:t>log</w:t>
      </w:r>
      <w:r>
        <w:rPr>
          <w:rFonts w:ascii="Calibri" w:hAnsi="Calibri"/>
          <w:szCs w:val="22"/>
          <w:vertAlign w:val="subscript"/>
        </w:rPr>
        <w:t>e</w:t>
      </w:r>
      <w:r>
        <w:rPr>
          <w:rFonts w:ascii="Calibri" w:eastAsia="Times New Roman" w:hAnsi="Calibri" w:cs="Calibri"/>
          <w:color w:val="000000"/>
          <w:szCs w:val="22"/>
        </w:rPr>
        <w:t xml:space="preserve"> units. Therefore, a sample size of 60 per group will allow a </w:t>
      </w:r>
      <w:proofErr w:type="gramStart"/>
      <w:r>
        <w:rPr>
          <w:rFonts w:ascii="Calibri" w:eastAsia="Times New Roman" w:hAnsi="Calibri" w:cs="Calibri"/>
          <w:color w:val="000000"/>
          <w:szCs w:val="22"/>
        </w:rPr>
        <w:t>1.67 fold</w:t>
      </w:r>
      <w:proofErr w:type="gramEnd"/>
      <w:r>
        <w:rPr>
          <w:rFonts w:ascii="Calibri" w:eastAsia="Times New Roman" w:hAnsi="Calibri" w:cs="Calibri"/>
          <w:color w:val="000000"/>
          <w:szCs w:val="22"/>
        </w:rPr>
        <w:t xml:space="preserve"> difference between groups to be detectable at 80% power with 5% significance. The detectable difference would by 1.56 with a sample size of 80 infants per arm and 1.49 for a sample size of 100 infants per arm. Based on our experience from previous studies, we expect a drop-out rate of around 10% so we will aim to recruit a total of 220 infants (110 per arm) to detect a </w:t>
      </w:r>
      <w:proofErr w:type="gramStart"/>
      <w:r>
        <w:rPr>
          <w:rFonts w:ascii="Calibri" w:eastAsia="Times New Roman" w:hAnsi="Calibri" w:cs="Calibri"/>
          <w:color w:val="000000"/>
          <w:szCs w:val="22"/>
        </w:rPr>
        <w:t>1.5 fold</w:t>
      </w:r>
      <w:proofErr w:type="gramEnd"/>
      <w:r>
        <w:rPr>
          <w:rFonts w:ascii="Calibri" w:eastAsia="Times New Roman" w:hAnsi="Calibri" w:cs="Calibri"/>
          <w:color w:val="000000"/>
          <w:szCs w:val="22"/>
        </w:rPr>
        <w:t xml:space="preserve"> difference between the two groups </w:t>
      </w:r>
    </w:p>
    <w:p w14:paraId="06013D38" w14:textId="77777777" w:rsidR="007C525D" w:rsidRDefault="007C525D">
      <w:pPr>
        <w:widowControl w:val="0"/>
        <w:tabs>
          <w:tab w:val="left" w:pos="426"/>
        </w:tabs>
        <w:rPr>
          <w:rFonts w:ascii="Calibri" w:hAnsi="Calibri"/>
          <w:szCs w:val="22"/>
        </w:rPr>
      </w:pPr>
    </w:p>
    <w:p w14:paraId="78964B3B" w14:textId="77777777" w:rsidR="007C525D" w:rsidRDefault="007C525D">
      <w:pPr>
        <w:pStyle w:val="BodyText"/>
        <w:tabs>
          <w:tab w:val="left" w:pos="709"/>
        </w:tabs>
        <w:spacing w:after="120"/>
        <w:rPr>
          <w:rFonts w:ascii="Calibri" w:hAnsi="Calibri" w:cs="Arial"/>
          <w:b/>
          <w:i w:val="0"/>
          <w:color w:val="0000FF"/>
          <w:sz w:val="22"/>
          <w:szCs w:val="22"/>
        </w:rPr>
      </w:pPr>
    </w:p>
    <w:p w14:paraId="38D117FC" w14:textId="77777777" w:rsidR="007C525D" w:rsidRDefault="007C757A">
      <w:pPr>
        <w:rPr>
          <w:rFonts w:ascii="Calibri" w:hAnsi="Calibri"/>
          <w:b/>
          <w:szCs w:val="22"/>
        </w:rPr>
      </w:pPr>
      <w:r>
        <w:rPr>
          <w:rFonts w:ascii="Calibri" w:hAnsi="Calibri"/>
          <w:b/>
          <w:szCs w:val="22"/>
        </w:rPr>
        <w:t>10.2</w:t>
      </w:r>
      <w:r>
        <w:rPr>
          <w:rFonts w:ascii="Calibri" w:hAnsi="Calibri"/>
          <w:b/>
          <w:szCs w:val="22"/>
        </w:rPr>
        <w:tab/>
        <w:t>Planned recruitment rate</w:t>
      </w:r>
    </w:p>
    <w:p w14:paraId="4891FAA2" w14:textId="77777777" w:rsidR="007C525D" w:rsidRDefault="007C757A">
      <w:pPr>
        <w:rPr>
          <w:rFonts w:ascii="Calibri" w:hAnsi="Calibri"/>
          <w:szCs w:val="22"/>
        </w:rPr>
      </w:pPr>
      <w:bookmarkStart w:id="42" w:name="_Toc261532722"/>
      <w:r>
        <w:rPr>
          <w:rFonts w:ascii="Calibri" w:hAnsi="Calibri"/>
          <w:szCs w:val="22"/>
        </w:rPr>
        <w:t xml:space="preserve">It is hoped recruitment to the study will be completed in a </w:t>
      </w:r>
      <w:proofErr w:type="gramStart"/>
      <w:r>
        <w:rPr>
          <w:rFonts w:ascii="Calibri" w:hAnsi="Calibri"/>
          <w:szCs w:val="22"/>
        </w:rPr>
        <w:t>6-12 month</w:t>
      </w:r>
      <w:proofErr w:type="gramEnd"/>
      <w:r>
        <w:rPr>
          <w:rFonts w:ascii="Calibri" w:hAnsi="Calibri"/>
          <w:szCs w:val="22"/>
        </w:rPr>
        <w:t xml:space="preserve"> time frame. However, as with all paediatric studies, the recruitment rate depends on parental attitude and is largely unpredictable.</w:t>
      </w:r>
      <w:bookmarkEnd w:id="42"/>
    </w:p>
    <w:p w14:paraId="2348FBC2" w14:textId="77777777" w:rsidR="007C525D" w:rsidRDefault="007C525D">
      <w:pPr>
        <w:pStyle w:val="BodyText"/>
        <w:tabs>
          <w:tab w:val="left" w:pos="709"/>
        </w:tabs>
        <w:spacing w:after="120"/>
        <w:rPr>
          <w:rFonts w:ascii="Calibri" w:hAnsi="Calibri" w:cs="Arial"/>
          <w:i w:val="0"/>
          <w:color w:val="0000FF"/>
          <w:sz w:val="22"/>
          <w:szCs w:val="22"/>
        </w:rPr>
      </w:pPr>
    </w:p>
    <w:p w14:paraId="41EF1253" w14:textId="77777777" w:rsidR="007C525D" w:rsidRDefault="007C757A">
      <w:pPr>
        <w:rPr>
          <w:rFonts w:ascii="Calibri" w:hAnsi="Calibri"/>
          <w:b/>
          <w:szCs w:val="22"/>
        </w:rPr>
      </w:pPr>
      <w:r>
        <w:rPr>
          <w:rFonts w:ascii="Calibri" w:hAnsi="Calibri"/>
          <w:b/>
          <w:szCs w:val="22"/>
        </w:rPr>
        <w:t>10.3</w:t>
      </w:r>
      <w:r>
        <w:rPr>
          <w:rFonts w:ascii="Calibri" w:hAnsi="Calibri"/>
          <w:b/>
          <w:szCs w:val="22"/>
        </w:rPr>
        <w:tab/>
        <w:t>Statistical analysis plan</w:t>
      </w:r>
    </w:p>
    <w:p w14:paraId="0B9ED39F" w14:textId="77777777" w:rsidR="007C525D" w:rsidRDefault="007C757A">
      <w:pPr>
        <w:rPr>
          <w:rFonts w:ascii="Calibri" w:hAnsi="Calibri"/>
          <w:b/>
          <w:szCs w:val="22"/>
        </w:rPr>
      </w:pPr>
      <w:r>
        <w:rPr>
          <w:rFonts w:ascii="Calibri" w:hAnsi="Calibri"/>
          <w:b/>
          <w:szCs w:val="22"/>
        </w:rPr>
        <w:t>10.3.1</w:t>
      </w:r>
      <w:r>
        <w:rPr>
          <w:rFonts w:ascii="Calibri" w:hAnsi="Calibri"/>
          <w:b/>
          <w:szCs w:val="22"/>
        </w:rPr>
        <w:tab/>
        <w:t>Summary of baseline data and flow of patients</w:t>
      </w:r>
    </w:p>
    <w:p w14:paraId="67292997" w14:textId="77777777" w:rsidR="007C525D" w:rsidRDefault="007C757A">
      <w:pPr>
        <w:widowControl w:val="0"/>
        <w:rPr>
          <w:rFonts w:ascii="Calibri" w:hAnsi="Calibri"/>
          <w:szCs w:val="22"/>
        </w:rPr>
      </w:pPr>
      <w:r>
        <w:rPr>
          <w:rFonts w:ascii="Calibri" w:hAnsi="Calibri"/>
          <w:szCs w:val="22"/>
        </w:rPr>
        <w:t xml:space="preserve">At the end of the study, a flowchart will be used to summarise the number of infants approached, consented, recruited, assigned to the different study arms, receiving the intended vaccines, completing the study protocol and analysed for the primary outcome, as recommended by the CONSORT statement (http://www.consort-statement.org/). Baseline data comparing the two trial arms will be summarised in a table format and will compare median gestation age at birth, age at first vaccination, gender, recruiting study site, birth weight, underlying medical conditions, and relevant concomitant medications or vaccines. </w:t>
      </w:r>
    </w:p>
    <w:p w14:paraId="312D73DA" w14:textId="77777777" w:rsidR="007C525D" w:rsidRDefault="007C757A">
      <w:pPr>
        <w:rPr>
          <w:rFonts w:ascii="Calibri" w:hAnsi="Calibri"/>
          <w:szCs w:val="22"/>
        </w:rPr>
      </w:pPr>
      <w:r>
        <w:rPr>
          <w:rFonts w:ascii="Calibri" w:hAnsi="Calibri"/>
          <w:szCs w:val="22"/>
        </w:rPr>
        <w:t>Analysis will be by modified intention to treat (</w:t>
      </w:r>
      <w:proofErr w:type="spellStart"/>
      <w:r>
        <w:rPr>
          <w:rFonts w:ascii="Calibri" w:hAnsi="Calibri"/>
          <w:szCs w:val="22"/>
        </w:rPr>
        <w:t>mITT</w:t>
      </w:r>
      <w:proofErr w:type="spellEnd"/>
      <w:r>
        <w:rPr>
          <w:rFonts w:ascii="Calibri" w:hAnsi="Calibri"/>
          <w:szCs w:val="22"/>
        </w:rPr>
        <w:t xml:space="preserve">), meaning individuals are analysed according to the group they are randomised to, but only those with at least one blood taken and antibody result will be included, with missing data (e.g. from withdrawals, non-compliers) assumed missing at random. The </w:t>
      </w:r>
      <w:proofErr w:type="spellStart"/>
      <w:r>
        <w:rPr>
          <w:rFonts w:ascii="Calibri" w:hAnsi="Calibri"/>
          <w:szCs w:val="22"/>
        </w:rPr>
        <w:t>mITT</w:t>
      </w:r>
      <w:proofErr w:type="spellEnd"/>
      <w:r>
        <w:rPr>
          <w:rFonts w:ascii="Calibri" w:hAnsi="Calibri"/>
          <w:szCs w:val="22"/>
        </w:rPr>
        <w:t xml:space="preserve"> analysis will include blood samples taken outside the recommended timing. A per-protocol analysis will also be performed if there are major protocol deviations. Spurious data will be checked to source records and investigated, but included if no cause is identified.</w:t>
      </w:r>
    </w:p>
    <w:p w14:paraId="37C23E8C" w14:textId="77777777" w:rsidR="007C525D" w:rsidRDefault="007C525D">
      <w:pPr>
        <w:spacing w:line="300" w:lineRule="exact"/>
        <w:rPr>
          <w:rFonts w:ascii="Calibri" w:hAnsi="Calibri"/>
          <w:b/>
          <w:color w:val="0000FF"/>
          <w:szCs w:val="22"/>
        </w:rPr>
      </w:pPr>
    </w:p>
    <w:p w14:paraId="31E65E39" w14:textId="77777777" w:rsidR="007C525D" w:rsidRDefault="007C757A">
      <w:pPr>
        <w:ind w:left="720" w:hanging="720"/>
        <w:rPr>
          <w:rFonts w:ascii="Calibri" w:hAnsi="Calibri"/>
          <w:b/>
          <w:szCs w:val="22"/>
        </w:rPr>
      </w:pPr>
      <w:r>
        <w:rPr>
          <w:rFonts w:ascii="Calibri" w:hAnsi="Calibri"/>
          <w:b/>
          <w:szCs w:val="22"/>
        </w:rPr>
        <w:lastRenderedPageBreak/>
        <w:t>10.3.2</w:t>
      </w:r>
      <w:r>
        <w:rPr>
          <w:rFonts w:ascii="Calibri" w:hAnsi="Calibri"/>
          <w:b/>
          <w:szCs w:val="22"/>
        </w:rPr>
        <w:tab/>
        <w:t>Primary outcome analysis</w:t>
      </w:r>
    </w:p>
    <w:p w14:paraId="6DB9709E" w14:textId="77777777" w:rsidR="007C525D" w:rsidRDefault="007C757A">
      <w:r>
        <w:rPr>
          <w:rFonts w:ascii="Calibri" w:hAnsi="Calibri"/>
          <w:szCs w:val="22"/>
        </w:rPr>
        <w:t xml:space="preserve">For each schedule, geometric mean titres (GMTs) of the </w:t>
      </w:r>
      <w:proofErr w:type="spellStart"/>
      <w:r>
        <w:rPr>
          <w:rFonts w:ascii="Calibri" w:hAnsi="Calibri"/>
          <w:szCs w:val="22"/>
        </w:rPr>
        <w:t>hSBA</w:t>
      </w:r>
      <w:proofErr w:type="spellEnd"/>
      <w:r>
        <w:rPr>
          <w:rFonts w:ascii="Calibri" w:hAnsi="Calibri"/>
          <w:szCs w:val="22"/>
        </w:rPr>
        <w:t xml:space="preserve"> titres to the three antigens (</w:t>
      </w:r>
      <w:proofErr w:type="spellStart"/>
      <w:r>
        <w:rPr>
          <w:rFonts w:ascii="Calibri" w:hAnsi="Calibri"/>
          <w:szCs w:val="22"/>
        </w:rPr>
        <w:t>fHbp</w:t>
      </w:r>
      <w:proofErr w:type="spellEnd"/>
      <w:r>
        <w:rPr>
          <w:rFonts w:ascii="Calibri" w:hAnsi="Calibri"/>
          <w:szCs w:val="22"/>
        </w:rPr>
        <w:t xml:space="preserve">, </w:t>
      </w:r>
      <w:proofErr w:type="spellStart"/>
      <w:r>
        <w:rPr>
          <w:rFonts w:ascii="Calibri" w:hAnsi="Calibri"/>
          <w:szCs w:val="22"/>
        </w:rPr>
        <w:t>NadA</w:t>
      </w:r>
      <w:proofErr w:type="spellEnd"/>
      <w:r>
        <w:rPr>
          <w:rFonts w:ascii="Calibri" w:hAnsi="Calibri"/>
          <w:szCs w:val="22"/>
        </w:rPr>
        <w:t xml:space="preserve"> and </w:t>
      </w:r>
      <w:proofErr w:type="spellStart"/>
      <w:r>
        <w:rPr>
          <w:rFonts w:ascii="Calibri" w:hAnsi="Calibri"/>
          <w:szCs w:val="22"/>
        </w:rPr>
        <w:t>PorA</w:t>
      </w:r>
      <w:proofErr w:type="spellEnd"/>
      <w:r>
        <w:rPr>
          <w:rFonts w:ascii="Calibri" w:hAnsi="Calibri"/>
          <w:szCs w:val="22"/>
        </w:rPr>
        <w:t xml:space="preserve">) will be calculated with 95% confidence intervals. Schedules will be compared using unpaired t-tests on log-transformed titres or the Kruskal Wallis test if log-titres are not normally distributed. Proportions with titres </w:t>
      </w:r>
      <w:r>
        <w:rPr>
          <w:rFonts w:ascii="Calibri" w:hAnsi="Calibri"/>
          <w:szCs w:val="22"/>
          <w:lang w:eastAsia="en-GB"/>
        </w:rPr>
        <w:t>≥</w:t>
      </w:r>
      <w:r>
        <w:rPr>
          <w:rFonts w:ascii="Calibri" w:hAnsi="Calibri"/>
          <w:szCs w:val="22"/>
        </w:rPr>
        <w:t>1:4 will also be calculated with exact binomial 95% confidence intervals and compared between groups by Fisher’s exact test. Significance will be at a 5% level with no adjustment for multiple comparisons since whilst there are three antigens there are only two groups being compared.</w:t>
      </w:r>
    </w:p>
    <w:p w14:paraId="7E225B46" w14:textId="77777777" w:rsidR="007C525D" w:rsidRDefault="007C525D">
      <w:pPr>
        <w:rPr>
          <w:rFonts w:ascii="Calibri" w:hAnsi="Calibri"/>
          <w:b/>
          <w:color w:val="0000FF"/>
          <w:szCs w:val="22"/>
        </w:rPr>
      </w:pPr>
    </w:p>
    <w:p w14:paraId="071492A1" w14:textId="77777777" w:rsidR="007C525D" w:rsidRDefault="007C757A">
      <w:r>
        <w:rPr>
          <w:rFonts w:ascii="Calibri" w:hAnsi="Calibri"/>
          <w:b/>
          <w:szCs w:val="22"/>
        </w:rPr>
        <w:t>10.3.3</w:t>
      </w:r>
      <w:r>
        <w:rPr>
          <w:rFonts w:ascii="Calibri" w:hAnsi="Calibri"/>
          <w:b/>
          <w:szCs w:val="22"/>
        </w:rPr>
        <w:tab/>
        <w:t>Secondary outcome analysis</w:t>
      </w:r>
    </w:p>
    <w:p w14:paraId="3B49EA41" w14:textId="77777777" w:rsidR="007C525D" w:rsidRDefault="007C757A">
      <w:r>
        <w:rPr>
          <w:rFonts w:ascii="Calibri" w:hAnsi="Calibri"/>
        </w:rPr>
        <w:t>It</w:t>
      </w:r>
      <w:bookmarkStart w:id="43" w:name="_Toc470102516"/>
      <w:r>
        <w:rPr>
          <w:rFonts w:ascii="Calibri" w:hAnsi="Calibri"/>
        </w:rPr>
        <w:t xml:space="preserve"> will be done in the same way as the primary outcome analysis described in 10.3.2. In addition, the geometric mean fold change between time points will be calculated with 95% confidence intervals.</w:t>
      </w:r>
      <w:bookmarkStart w:id="44" w:name="_Toc261532726"/>
      <w:bookmarkStart w:id="45" w:name="_Toc250731336"/>
      <w:bookmarkEnd w:id="43"/>
      <w:bookmarkEnd w:id="44"/>
      <w:bookmarkEnd w:id="45"/>
    </w:p>
    <w:p w14:paraId="1DAC8932" w14:textId="77777777" w:rsidR="007C525D" w:rsidRDefault="007C525D">
      <w:pPr>
        <w:rPr>
          <w:rFonts w:ascii="Calibri" w:hAnsi="Calibri"/>
          <w:szCs w:val="22"/>
        </w:rPr>
      </w:pPr>
    </w:p>
    <w:p w14:paraId="7F1804DF" w14:textId="77777777" w:rsidR="007C525D" w:rsidRDefault="007C757A">
      <w:r>
        <w:rPr>
          <w:rFonts w:ascii="Calibri" w:hAnsi="Calibri"/>
          <w:b/>
          <w:szCs w:val="22"/>
        </w:rPr>
        <w:t>10.4</w:t>
      </w:r>
      <w:r>
        <w:rPr>
          <w:rFonts w:ascii="Calibri" w:hAnsi="Calibri"/>
          <w:b/>
          <w:szCs w:val="22"/>
        </w:rPr>
        <w:tab/>
        <w:t>Interim analysis and c</w:t>
      </w:r>
      <w:r>
        <w:rPr>
          <w:rFonts w:ascii="Calibri" w:hAnsi="Calibri"/>
          <w:b/>
          <w:bCs/>
          <w:szCs w:val="22"/>
          <w:lang w:eastAsia="en-GB"/>
        </w:rPr>
        <w:t>riteria for the premature termination of the trial</w:t>
      </w:r>
    </w:p>
    <w:p w14:paraId="577FEAAD" w14:textId="77777777" w:rsidR="007C525D" w:rsidRDefault="007C757A">
      <w:pPr>
        <w:spacing w:line="320" w:lineRule="exact"/>
      </w:pPr>
      <w:r>
        <w:rPr>
          <w:rFonts w:ascii="Calibri" w:hAnsi="Calibri"/>
          <w:szCs w:val="22"/>
          <w:lang w:eastAsia="en-GB"/>
        </w:rPr>
        <w:t xml:space="preserve">As all vaccines used in this clinical trial are licensed for routine use in infants, interim analysis will not be performed. All data will be analysed at the end of the study. </w:t>
      </w:r>
    </w:p>
    <w:p w14:paraId="615ADEDD" w14:textId="77777777" w:rsidR="007C525D" w:rsidRDefault="007C525D">
      <w:pPr>
        <w:spacing w:line="320" w:lineRule="exact"/>
        <w:rPr>
          <w:rFonts w:ascii="Calibri" w:hAnsi="Calibri"/>
          <w:bCs/>
          <w:color w:val="0000FF"/>
          <w:szCs w:val="22"/>
          <w:lang w:eastAsia="en-GB"/>
        </w:rPr>
      </w:pPr>
    </w:p>
    <w:p w14:paraId="7624B353" w14:textId="77777777" w:rsidR="007C525D" w:rsidRDefault="007C757A">
      <w:pPr>
        <w:spacing w:line="320" w:lineRule="exact"/>
        <w:rPr>
          <w:rFonts w:ascii="Calibri" w:hAnsi="Calibri"/>
          <w:b/>
          <w:bCs/>
          <w:szCs w:val="22"/>
          <w:lang w:eastAsia="en-GB"/>
        </w:rPr>
      </w:pPr>
      <w:r>
        <w:rPr>
          <w:rFonts w:ascii="Calibri" w:hAnsi="Calibri"/>
          <w:b/>
          <w:bCs/>
          <w:szCs w:val="22"/>
          <w:lang w:eastAsia="en-GB"/>
        </w:rPr>
        <w:t>10.5</w:t>
      </w:r>
      <w:r>
        <w:rPr>
          <w:rFonts w:ascii="Calibri" w:hAnsi="Calibri"/>
          <w:b/>
          <w:bCs/>
          <w:szCs w:val="22"/>
          <w:lang w:eastAsia="en-GB"/>
        </w:rPr>
        <w:tab/>
        <w:t xml:space="preserve">Procedure(s) to account for missing or spurious data </w:t>
      </w:r>
    </w:p>
    <w:p w14:paraId="79007EB2" w14:textId="77777777" w:rsidR="007C525D" w:rsidRDefault="007C757A">
      <w:r>
        <w:rPr>
          <w:rFonts w:ascii="Calibri" w:hAnsi="Calibri"/>
          <w:szCs w:val="22"/>
          <w:lang w:eastAsia="en-GB"/>
        </w:rPr>
        <w:t>There will be no imputation of missing data.</w:t>
      </w:r>
    </w:p>
    <w:p w14:paraId="23096322" w14:textId="77777777" w:rsidR="007C525D" w:rsidRDefault="007C757A">
      <w:pPr>
        <w:pStyle w:val="Heading1"/>
      </w:pPr>
      <w:r>
        <w:rPr>
          <w:rFonts w:ascii="Calibri" w:hAnsi="Calibri"/>
          <w:color w:val="auto"/>
          <w:sz w:val="22"/>
          <w:szCs w:val="22"/>
        </w:rPr>
        <w:t>11</w:t>
      </w:r>
      <w:r>
        <w:rPr>
          <w:rFonts w:ascii="Calibri" w:hAnsi="Calibri"/>
          <w:color w:val="auto"/>
          <w:sz w:val="22"/>
          <w:szCs w:val="22"/>
        </w:rPr>
        <w:tab/>
        <w:t>DATA MANAGEMENT</w:t>
      </w:r>
    </w:p>
    <w:p w14:paraId="3A2CDB8E" w14:textId="77777777" w:rsidR="007C525D" w:rsidRDefault="007C757A">
      <w:pPr>
        <w:spacing w:after="0"/>
      </w:pPr>
      <w:r>
        <w:rPr>
          <w:rFonts w:ascii="Calibri" w:hAnsi="Calibri"/>
          <w:b/>
        </w:rPr>
        <w:t xml:space="preserve"> </w:t>
      </w:r>
    </w:p>
    <w:p w14:paraId="65EFA602" w14:textId="77777777" w:rsidR="007C525D" w:rsidRDefault="007C757A">
      <w:pPr>
        <w:rPr>
          <w:rFonts w:ascii="Calibri" w:hAnsi="Calibri"/>
          <w:b/>
        </w:rPr>
      </w:pPr>
      <w:r>
        <w:rPr>
          <w:rFonts w:ascii="Calibri" w:hAnsi="Calibri"/>
          <w:b/>
        </w:rPr>
        <w:t>11.1</w:t>
      </w:r>
      <w:r>
        <w:rPr>
          <w:rFonts w:ascii="Calibri" w:hAnsi="Calibri"/>
          <w:b/>
        </w:rPr>
        <w:tab/>
        <w:t>Data collection tools and source document identification</w:t>
      </w:r>
    </w:p>
    <w:p w14:paraId="35C0893F" w14:textId="77777777" w:rsidR="007C525D" w:rsidRDefault="007C525D">
      <w:pPr>
        <w:rPr>
          <w:rFonts w:ascii="Calibri" w:hAnsi="Calibri"/>
          <w:szCs w:val="22"/>
        </w:rPr>
      </w:pPr>
    </w:p>
    <w:p w14:paraId="365E0CA8" w14:textId="77777777" w:rsidR="007C525D" w:rsidRDefault="007C757A">
      <w:pPr>
        <w:rPr>
          <w:rFonts w:ascii="Calibri" w:hAnsi="Calibri"/>
          <w:szCs w:val="22"/>
        </w:rPr>
      </w:pPr>
      <w:r>
        <w:rPr>
          <w:rFonts w:ascii="Calibri" w:hAnsi="Calibri"/>
          <w:szCs w:val="22"/>
        </w:rPr>
        <w:t>All data will be handled in accordance with the Data Protection Act 1998.</w:t>
      </w:r>
    </w:p>
    <w:p w14:paraId="5118498B" w14:textId="77777777" w:rsidR="007C525D" w:rsidRDefault="007C757A">
      <w:pPr>
        <w:pStyle w:val="NormalWeb"/>
        <w:spacing w:after="120"/>
      </w:pPr>
      <w:r>
        <w:rPr>
          <w:rFonts w:ascii="Calibri" w:hAnsi="Calibri" w:cs="Arial"/>
          <w:b/>
          <w:color w:val="000000"/>
          <w:sz w:val="22"/>
          <w:szCs w:val="22"/>
        </w:rPr>
        <w:t>Case report forms</w:t>
      </w:r>
    </w:p>
    <w:p w14:paraId="2BCA4266" w14:textId="77777777" w:rsidR="007C525D" w:rsidRDefault="007C757A">
      <w:pPr>
        <w:pStyle w:val="NormalWeb"/>
        <w:spacing w:after="120"/>
      </w:pPr>
      <w:r>
        <w:rPr>
          <w:rFonts w:ascii="Calibri" w:hAnsi="Calibri" w:cs="Arial"/>
          <w:color w:val="000000"/>
          <w:sz w:val="22"/>
          <w:szCs w:val="22"/>
        </w:rPr>
        <w:t xml:space="preserve">For this study an eCRF will be used. This will allow direct entry of data into the REDCap system. This data will be used to perform statistical analysis for the trial. The eCRF will be considered to be the source document. As the eCRF will be available through REDCap this will be accessible to the local site and the central site throughout the study. </w:t>
      </w:r>
    </w:p>
    <w:p w14:paraId="096201EC" w14:textId="77777777" w:rsidR="007C525D" w:rsidRDefault="007C757A">
      <w:r>
        <w:rPr>
          <w:rFonts w:ascii="Calibri" w:eastAsia="Arial Unicode MS" w:hAnsi="Calibri"/>
          <w:color w:val="000000"/>
          <w:szCs w:val="22"/>
        </w:rPr>
        <w:t xml:space="preserve">All eCRFs will be identified using the unique participant identification number. Local sites will be able to match the </w:t>
      </w:r>
      <w:proofErr w:type="spellStart"/>
      <w:r>
        <w:rPr>
          <w:rFonts w:ascii="Calibri" w:eastAsia="Arial Unicode MS" w:hAnsi="Calibri"/>
          <w:color w:val="000000"/>
          <w:szCs w:val="22"/>
        </w:rPr>
        <w:t>eCRFS</w:t>
      </w:r>
      <w:proofErr w:type="spellEnd"/>
      <w:r>
        <w:rPr>
          <w:rFonts w:ascii="Calibri" w:eastAsia="Arial Unicode MS" w:hAnsi="Calibri"/>
          <w:color w:val="000000"/>
          <w:szCs w:val="22"/>
        </w:rPr>
        <w:t xml:space="preserve"> with participating individuals using their list of participants, but this information will not be shared with the central team. </w:t>
      </w:r>
    </w:p>
    <w:p w14:paraId="0FF07D6C" w14:textId="4230129E" w:rsidR="007C525D" w:rsidRDefault="007C757A">
      <w:r>
        <w:rPr>
          <w:rFonts w:ascii="Calibri" w:eastAsia="Arial Unicode MS" w:hAnsi="Calibri"/>
          <w:color w:val="000000"/>
          <w:szCs w:val="22"/>
        </w:rPr>
        <w:t>Paper copies of CRFs will be available for use in case of technical issues</w:t>
      </w:r>
      <w:r w:rsidRPr="00A97DA8">
        <w:rPr>
          <w:rFonts w:ascii="Calibri" w:eastAsia="Arial Unicode MS" w:hAnsi="Calibri"/>
          <w:color w:val="000000"/>
          <w:szCs w:val="22"/>
        </w:rPr>
        <w:t xml:space="preserve">. </w:t>
      </w:r>
      <w:r w:rsidR="00AE14A0" w:rsidRPr="00A97DA8">
        <w:rPr>
          <w:rFonts w:ascii="Calibri" w:eastAsia="Arial Unicode MS" w:hAnsi="Calibri"/>
          <w:color w:val="000000"/>
          <w:szCs w:val="22"/>
        </w:rPr>
        <w:t>If</w:t>
      </w:r>
      <w:r w:rsidR="00DC4272" w:rsidRPr="00A97DA8">
        <w:rPr>
          <w:rFonts w:ascii="Calibri" w:eastAsia="Arial Unicode MS" w:hAnsi="Calibri"/>
          <w:color w:val="000000"/>
          <w:szCs w:val="22"/>
        </w:rPr>
        <w:t xml:space="preserve"> a portable device for direct data entry is not available for a site throughout the study, paper version of the CRF may be used as source document</w:t>
      </w:r>
      <w:r w:rsidR="00522D64" w:rsidRPr="00A97DA8">
        <w:rPr>
          <w:rFonts w:ascii="Calibri" w:eastAsia="Arial Unicode MS" w:hAnsi="Calibri"/>
          <w:color w:val="000000"/>
          <w:szCs w:val="22"/>
        </w:rPr>
        <w:t>. T</w:t>
      </w:r>
      <w:r w:rsidR="00DC4272" w:rsidRPr="00A97DA8">
        <w:rPr>
          <w:rFonts w:ascii="Calibri" w:eastAsia="Arial Unicode MS" w:hAnsi="Calibri"/>
          <w:color w:val="000000"/>
          <w:szCs w:val="22"/>
        </w:rPr>
        <w:t>his will be clearly stated on the paper CRF</w:t>
      </w:r>
      <w:r w:rsidR="00522D64" w:rsidRPr="00A97DA8">
        <w:rPr>
          <w:rFonts w:ascii="Calibri" w:eastAsia="Arial Unicode MS" w:hAnsi="Calibri"/>
          <w:color w:val="000000"/>
          <w:szCs w:val="22"/>
        </w:rPr>
        <w:t xml:space="preserve"> and the data will be added to the eCRF retrospectively.</w:t>
      </w:r>
    </w:p>
    <w:p w14:paraId="1808650A" w14:textId="77777777" w:rsidR="007C525D" w:rsidRDefault="007C757A">
      <w:r>
        <w:rPr>
          <w:rFonts w:ascii="Calibri" w:eastAsia="Arial Unicode MS" w:hAnsi="Calibri"/>
          <w:b/>
          <w:color w:val="000000"/>
          <w:szCs w:val="22"/>
        </w:rPr>
        <w:t>Other material</w:t>
      </w:r>
    </w:p>
    <w:p w14:paraId="1518EB14" w14:textId="77777777" w:rsidR="007C525D" w:rsidRDefault="007C757A">
      <w:r>
        <w:rPr>
          <w:rFonts w:ascii="Calibri" w:eastAsia="Arial Unicode MS" w:hAnsi="Calibri"/>
          <w:color w:val="000000"/>
          <w:szCs w:val="22"/>
        </w:rPr>
        <w:t>Local sites will have paper copies of the participant contact details, consent forms and a copy of the participant information sheet. These will be retained by the local site and will not be shared with the central team.</w:t>
      </w:r>
    </w:p>
    <w:p w14:paraId="77FF2BD0" w14:textId="77777777" w:rsidR="007C525D" w:rsidRDefault="007C757A">
      <w:pPr>
        <w:rPr>
          <w:rFonts w:ascii="Calibri" w:hAnsi="Calibri"/>
          <w:b/>
        </w:rPr>
      </w:pPr>
      <w:r>
        <w:rPr>
          <w:rFonts w:ascii="Calibri" w:hAnsi="Calibri"/>
          <w:b/>
        </w:rPr>
        <w:t>11.2</w:t>
      </w:r>
      <w:r>
        <w:rPr>
          <w:rFonts w:ascii="Calibri" w:hAnsi="Calibri"/>
          <w:b/>
        </w:rPr>
        <w:tab/>
        <w:t>Data handling and record keeping</w:t>
      </w:r>
    </w:p>
    <w:p w14:paraId="1340CAB1" w14:textId="77777777" w:rsidR="007C525D" w:rsidRDefault="007C757A">
      <w:pPr>
        <w:pStyle w:val="Heading2"/>
        <w:spacing w:before="0" w:after="120"/>
      </w:pPr>
      <w:r>
        <w:rPr>
          <w:rFonts w:ascii="Calibri" w:eastAsia="MS PGothic" w:hAnsi="Calibri" w:cs="Arial"/>
          <w:bCs w:val="0"/>
          <w:iCs w:val="0"/>
          <w:color w:val="000000"/>
          <w:sz w:val="22"/>
          <w:szCs w:val="22"/>
        </w:rPr>
        <w:lastRenderedPageBreak/>
        <w:t>Essential data for the study will be directly entered into the eCRF using the REDCap system. This will allow monitoring of individuals entering and changing information and will be accessible by the central team.  If paper copies of the CRF are used members of the study team will be asked to sign and initial entries.</w:t>
      </w:r>
    </w:p>
    <w:p w14:paraId="37ACB328" w14:textId="77777777" w:rsidR="007C525D" w:rsidRDefault="007C757A">
      <w:pPr>
        <w:rPr>
          <w:rFonts w:ascii="Calibri" w:hAnsi="Calibri"/>
          <w:b/>
        </w:rPr>
      </w:pPr>
      <w:bookmarkStart w:id="46" w:name="_Toc392504595"/>
      <w:r>
        <w:rPr>
          <w:rFonts w:ascii="Calibri" w:hAnsi="Calibri"/>
          <w:b/>
        </w:rPr>
        <w:t>11.3</w:t>
      </w:r>
      <w:r>
        <w:rPr>
          <w:rFonts w:ascii="Calibri" w:hAnsi="Calibri"/>
          <w:b/>
        </w:rPr>
        <w:tab/>
        <w:t>Access to Data</w:t>
      </w:r>
      <w:bookmarkEnd w:id="46"/>
    </w:p>
    <w:p w14:paraId="7761CA9D" w14:textId="77777777" w:rsidR="007C525D" w:rsidRDefault="007C757A">
      <w:pPr>
        <w:rPr>
          <w:rFonts w:ascii="Calibri" w:hAnsi="Calibri"/>
          <w:szCs w:val="22"/>
        </w:rPr>
      </w:pPr>
      <w:r>
        <w:rPr>
          <w:rFonts w:ascii="Calibri" w:hAnsi="Calibri"/>
          <w:szCs w:val="22"/>
        </w:rPr>
        <w:t>Direct access will be granted to authorised representatives from the Sponsor, host institution and the regulatory authorities to permit trial-related monitoring, audits and inspections- in line with participant consent.</w:t>
      </w:r>
    </w:p>
    <w:p w14:paraId="7DA6D501" w14:textId="77777777" w:rsidR="007C525D" w:rsidRDefault="007C525D">
      <w:pPr>
        <w:rPr>
          <w:rFonts w:ascii="Calibri" w:hAnsi="Calibri"/>
          <w:color w:val="0000FF"/>
          <w:szCs w:val="22"/>
        </w:rPr>
      </w:pPr>
    </w:p>
    <w:p w14:paraId="04467DD4" w14:textId="77777777" w:rsidR="007C525D" w:rsidRDefault="007C757A">
      <w:pPr>
        <w:pStyle w:val="Heading31"/>
        <w:suppressAutoHyphens w:val="0"/>
        <w:rPr>
          <w:rFonts w:ascii="Calibri" w:hAnsi="Calibri" w:cs="Arial"/>
          <w:bCs/>
          <w:szCs w:val="22"/>
          <w:lang w:val="en-GB"/>
        </w:rPr>
      </w:pPr>
      <w:r>
        <w:rPr>
          <w:rFonts w:ascii="Calibri" w:hAnsi="Calibri" w:cs="Arial"/>
          <w:bCs/>
          <w:szCs w:val="22"/>
          <w:lang w:val="en-GB"/>
        </w:rPr>
        <w:t>11.4</w:t>
      </w:r>
      <w:r>
        <w:rPr>
          <w:rFonts w:ascii="Calibri" w:hAnsi="Calibri" w:cs="Arial"/>
          <w:bCs/>
          <w:szCs w:val="22"/>
          <w:lang w:val="en-GB"/>
        </w:rPr>
        <w:tab/>
        <w:t>Archiving</w:t>
      </w:r>
    </w:p>
    <w:p w14:paraId="1F55E83D" w14:textId="77777777" w:rsidR="007C525D" w:rsidRDefault="007C525D">
      <w:pPr>
        <w:spacing w:line="276" w:lineRule="auto"/>
        <w:rPr>
          <w:rFonts w:ascii="Calibri" w:hAnsi="Calibri"/>
          <w:color w:val="000000"/>
          <w:szCs w:val="22"/>
        </w:rPr>
      </w:pPr>
    </w:p>
    <w:p w14:paraId="3DBB24CE" w14:textId="77777777" w:rsidR="007C525D" w:rsidRDefault="007C757A">
      <w:pPr>
        <w:spacing w:line="276" w:lineRule="auto"/>
      </w:pPr>
      <w:r>
        <w:rPr>
          <w:rFonts w:ascii="Calibri" w:hAnsi="Calibri"/>
          <w:color w:val="000000"/>
          <w:szCs w:val="22"/>
        </w:rPr>
        <w:t>Archiving will be authorised by the Sponsor following submission of the end of trial report. Each site will be responsible for their onsite level study archiving. The trial essential TMF along with any central trial database will be archived in accordance with the Sponsor SOP. All essential documents will be archived for a minimum of 15 years after completion of trial and the study database will be archived for a minimum of 5 years after completion of the trial. Destruction of essential documents will require authorisation from the Sponsor.</w:t>
      </w:r>
    </w:p>
    <w:p w14:paraId="4F7FD8F6" w14:textId="77777777" w:rsidR="007C525D" w:rsidRDefault="007C525D">
      <w:pPr>
        <w:rPr>
          <w:rFonts w:ascii="Calibri" w:hAnsi="Calibri"/>
          <w:iCs/>
          <w:color w:val="FF0000"/>
          <w:szCs w:val="22"/>
        </w:rPr>
      </w:pPr>
    </w:p>
    <w:p w14:paraId="76B3454F" w14:textId="77777777" w:rsidR="007C525D" w:rsidRDefault="007C757A">
      <w:pPr>
        <w:pStyle w:val="Heading1"/>
      </w:pPr>
      <w:r>
        <w:rPr>
          <w:rFonts w:ascii="Calibri" w:hAnsi="Calibri"/>
          <w:color w:val="auto"/>
          <w:spacing w:val="-3"/>
          <w:sz w:val="22"/>
          <w:szCs w:val="22"/>
        </w:rPr>
        <w:t>12   MONITORING, AUDIT &amp; INSPECTION</w:t>
      </w:r>
    </w:p>
    <w:p w14:paraId="5676CFC6" w14:textId="77777777" w:rsidR="007C525D" w:rsidRDefault="007C525D">
      <w:pPr>
        <w:pStyle w:val="ListParagraph"/>
        <w:ind w:left="0"/>
        <w:rPr>
          <w:rFonts w:ascii="Calibri" w:hAnsi="Calibri"/>
          <w:color w:val="000000"/>
        </w:rPr>
      </w:pPr>
    </w:p>
    <w:p w14:paraId="270DC44F" w14:textId="77777777" w:rsidR="007C525D" w:rsidRDefault="007C757A">
      <w:pPr>
        <w:pStyle w:val="ListParagraph"/>
        <w:ind w:left="0"/>
      </w:pPr>
      <w:r>
        <w:rPr>
          <w:rFonts w:ascii="Calibri" w:hAnsi="Calibri" w:cs="Calibri"/>
        </w:rPr>
        <w:t>The CI will be requested to complete the Risk Assessment Questionnaire and forward to the Sponsor to facilitate appropriate costing and Sponsorship in Principle to be issued prior to REC application.</w:t>
      </w:r>
    </w:p>
    <w:p w14:paraId="5630DB52" w14:textId="77777777" w:rsidR="007C525D" w:rsidRDefault="007C757A">
      <w:pPr>
        <w:spacing w:after="0"/>
        <w:jc w:val="left"/>
        <w:rPr>
          <w:rFonts w:ascii="Calibri" w:hAnsi="Calibri" w:cs="Calibri"/>
          <w:szCs w:val="22"/>
        </w:rPr>
      </w:pPr>
      <w:r>
        <w:rPr>
          <w:rFonts w:ascii="Calibri" w:hAnsi="Calibri" w:cs="Calibri"/>
          <w:szCs w:val="22"/>
        </w:rPr>
        <w:t xml:space="preserve">The trial will be monitored according to the risk-based monitoring plan agreed by the Sponsor. It is the responsibility of the CI to ensure that the Sponsor’s self-monitoring template is completed and submitted as instructed (refer to the Study Monitoring Plan for detail). </w:t>
      </w:r>
    </w:p>
    <w:p w14:paraId="2B5AC3B7" w14:textId="77777777" w:rsidR="007C525D" w:rsidRDefault="007C525D">
      <w:pPr>
        <w:spacing w:after="0"/>
        <w:jc w:val="left"/>
        <w:rPr>
          <w:rFonts w:ascii="Calibri" w:hAnsi="Calibri" w:cs="Calibri"/>
          <w:szCs w:val="22"/>
        </w:rPr>
      </w:pPr>
    </w:p>
    <w:p w14:paraId="5412FEAC" w14:textId="77777777" w:rsidR="007C525D" w:rsidRDefault="007C757A">
      <w:pPr>
        <w:spacing w:after="0"/>
        <w:jc w:val="left"/>
        <w:rPr>
          <w:rFonts w:ascii="Calibri" w:hAnsi="Calibri" w:cs="Calibri"/>
          <w:szCs w:val="22"/>
        </w:rPr>
      </w:pPr>
      <w:r>
        <w:rPr>
          <w:rFonts w:ascii="Calibri" w:hAnsi="Calibri" w:cs="Calibri"/>
          <w:szCs w:val="22"/>
        </w:rPr>
        <w:t xml:space="preserve">The JRES governance team will determine the initial project risk assessment and justify any changes as the study progresses. The JRES team will prepare a monitoring plan based on the determined risk of the study. Monitoring will consist of on-site visits (scheduled and triggered) alongside central monitoring. </w:t>
      </w:r>
    </w:p>
    <w:p w14:paraId="77C0F95A" w14:textId="77777777" w:rsidR="007C525D" w:rsidRDefault="007C525D">
      <w:pPr>
        <w:spacing w:after="0"/>
        <w:jc w:val="left"/>
        <w:rPr>
          <w:rFonts w:ascii="Calibri" w:hAnsi="Calibri" w:cs="Calibri"/>
          <w:szCs w:val="22"/>
        </w:rPr>
      </w:pPr>
    </w:p>
    <w:p w14:paraId="412AEEFA" w14:textId="77777777" w:rsidR="007C525D" w:rsidRDefault="007C757A">
      <w:pPr>
        <w:spacing w:after="0"/>
        <w:jc w:val="left"/>
        <w:rPr>
          <w:rFonts w:ascii="Calibri" w:hAnsi="Calibri" w:cs="Calibri"/>
          <w:szCs w:val="22"/>
        </w:rPr>
      </w:pPr>
      <w:r>
        <w:rPr>
          <w:rFonts w:ascii="Calibri" w:hAnsi="Calibri" w:cs="Calibri"/>
          <w:szCs w:val="22"/>
        </w:rPr>
        <w:t xml:space="preserve">The PI at each collaborating site in addition to permitting and facilitating site monitoring visits may also be required to complete self-monitoring form(s) and must return the form to the Sponsor for review and action. Failure for any PI to comply with reasonable requests on behalf of the Sponsor may be escalated in accordance with the sponsor’s Escalation Procedure; the site may also be selected for a GCP audit. </w:t>
      </w:r>
    </w:p>
    <w:p w14:paraId="271EBB46" w14:textId="77777777" w:rsidR="007C525D" w:rsidRDefault="007C525D">
      <w:pPr>
        <w:spacing w:after="0"/>
        <w:jc w:val="left"/>
        <w:rPr>
          <w:rFonts w:ascii="Calibri" w:hAnsi="Calibri" w:cs="Calibri"/>
          <w:szCs w:val="22"/>
        </w:rPr>
      </w:pPr>
    </w:p>
    <w:p w14:paraId="610326B9" w14:textId="77777777" w:rsidR="007C525D" w:rsidRDefault="007C757A">
      <w:pPr>
        <w:spacing w:after="0"/>
        <w:jc w:val="left"/>
        <w:rPr>
          <w:rFonts w:ascii="Calibri" w:hAnsi="Calibri" w:cs="Calibri"/>
          <w:szCs w:val="22"/>
        </w:rPr>
      </w:pPr>
      <w:r>
        <w:rPr>
          <w:rFonts w:ascii="Calibri" w:hAnsi="Calibri" w:cs="Calibri"/>
          <w:szCs w:val="22"/>
        </w:rPr>
        <w:t xml:space="preserve">It is the Sponsor’s responsibility to ensure that any findings identified in any monitoring report are actioned appropriately and in a timely manner and that any violations of GCP or the protocol are reported to the CI &amp; Sponsor representative. Any serious breach will be handled according to the sponsor’s Serious Breach Reporting SOP. </w:t>
      </w:r>
    </w:p>
    <w:p w14:paraId="50F16D2F" w14:textId="77777777" w:rsidR="007C525D" w:rsidRDefault="007C525D">
      <w:pPr>
        <w:spacing w:after="0"/>
        <w:jc w:val="left"/>
        <w:rPr>
          <w:rFonts w:ascii="Calibri" w:hAnsi="Calibri" w:cs="Calibri"/>
          <w:szCs w:val="22"/>
        </w:rPr>
      </w:pPr>
    </w:p>
    <w:p w14:paraId="58F68614" w14:textId="77777777" w:rsidR="007C525D" w:rsidRDefault="007C757A">
      <w:pPr>
        <w:spacing w:after="0"/>
        <w:jc w:val="left"/>
        <w:rPr>
          <w:rFonts w:ascii="Calibri" w:hAnsi="Calibri" w:cs="Calibri"/>
          <w:szCs w:val="22"/>
        </w:rPr>
      </w:pPr>
      <w:r>
        <w:rPr>
          <w:rFonts w:ascii="Calibri" w:hAnsi="Calibri" w:cs="Calibri"/>
          <w:szCs w:val="22"/>
        </w:rPr>
        <w:t xml:space="preserve">Any urgent safety measures at either the CI or a PI site must be reported by that site Investigator within 3 days, as per UK Regulations. </w:t>
      </w:r>
    </w:p>
    <w:p w14:paraId="04829D96" w14:textId="77777777" w:rsidR="007C525D" w:rsidRDefault="007C525D">
      <w:pPr>
        <w:pStyle w:val="ListParagraph"/>
        <w:ind w:left="0"/>
        <w:rPr>
          <w:rFonts w:ascii="Calibri" w:eastAsia="MS PGothic" w:hAnsi="Calibri" w:cs="Calibri"/>
        </w:rPr>
      </w:pPr>
    </w:p>
    <w:p w14:paraId="21E441AF" w14:textId="77777777" w:rsidR="007C525D" w:rsidRDefault="007C757A">
      <w:pPr>
        <w:pStyle w:val="ListParagraph"/>
        <w:ind w:left="0"/>
      </w:pPr>
      <w:r>
        <w:rPr>
          <w:rFonts w:ascii="Calibri" w:eastAsia="MS PGothic" w:hAnsi="Calibri" w:cs="Calibri"/>
        </w:rPr>
        <w:t>The CI will be provided with a copy of the study monitoring plan during the Trial Initiation monitoring visit.</w:t>
      </w:r>
    </w:p>
    <w:p w14:paraId="4CB8A746" w14:textId="77777777" w:rsidR="007C525D" w:rsidRDefault="007C525D">
      <w:pPr>
        <w:rPr>
          <w:rFonts w:ascii="Calibri" w:hAnsi="Calibri"/>
          <w:szCs w:val="22"/>
        </w:rPr>
      </w:pPr>
    </w:p>
    <w:p w14:paraId="62F5F3F5" w14:textId="77777777" w:rsidR="007C525D" w:rsidRDefault="007C757A">
      <w:pPr>
        <w:pStyle w:val="Heading1"/>
        <w:spacing w:before="0" w:after="120"/>
      </w:pPr>
      <w:r>
        <w:rPr>
          <w:rFonts w:ascii="Calibri" w:hAnsi="Calibri"/>
          <w:color w:val="auto"/>
          <w:sz w:val="22"/>
          <w:szCs w:val="22"/>
        </w:rPr>
        <w:t>13 ETHICAL AND REGULATORY CONSIDERATIONS</w:t>
      </w:r>
    </w:p>
    <w:p w14:paraId="109CDB71" w14:textId="77777777" w:rsidR="007C525D" w:rsidRDefault="007C757A">
      <w:pPr>
        <w:pStyle w:val="BodyText"/>
        <w:tabs>
          <w:tab w:val="left" w:pos="709"/>
        </w:tabs>
        <w:spacing w:after="120"/>
        <w:rPr>
          <w:rFonts w:ascii="Calibri" w:hAnsi="Calibri" w:cs="Arial"/>
          <w:b/>
          <w:i w:val="0"/>
          <w:sz w:val="22"/>
          <w:szCs w:val="22"/>
        </w:rPr>
      </w:pPr>
      <w:r>
        <w:rPr>
          <w:rFonts w:ascii="Calibri" w:hAnsi="Calibri" w:cs="Arial"/>
          <w:b/>
          <w:i w:val="0"/>
          <w:sz w:val="22"/>
          <w:szCs w:val="22"/>
        </w:rPr>
        <w:t xml:space="preserve">13.1 </w:t>
      </w:r>
      <w:r>
        <w:rPr>
          <w:rFonts w:ascii="Calibri" w:hAnsi="Calibri" w:cs="Arial"/>
          <w:b/>
          <w:i w:val="0"/>
          <w:sz w:val="22"/>
          <w:szCs w:val="22"/>
        </w:rPr>
        <w:tab/>
        <w:t>Research Ethics Committee (REC) review &amp; reports</w:t>
      </w:r>
    </w:p>
    <w:p w14:paraId="6C9B44EE" w14:textId="77777777" w:rsidR="007C525D" w:rsidRDefault="007C525D">
      <w:pPr>
        <w:pStyle w:val="BodyText"/>
        <w:tabs>
          <w:tab w:val="left" w:pos="709"/>
        </w:tabs>
        <w:spacing w:after="120"/>
        <w:rPr>
          <w:rFonts w:ascii="Calibri" w:hAnsi="Calibri" w:cs="Arial"/>
          <w:b/>
          <w:i w:val="0"/>
          <w:sz w:val="22"/>
          <w:szCs w:val="22"/>
        </w:rPr>
      </w:pPr>
    </w:p>
    <w:p w14:paraId="1BB05839" w14:textId="77777777" w:rsidR="007C525D" w:rsidRDefault="007C757A">
      <w:pPr>
        <w:numPr>
          <w:ilvl w:val="0"/>
          <w:numId w:val="15"/>
        </w:numPr>
      </w:pPr>
      <w:r>
        <w:rPr>
          <w:rFonts w:ascii="Calibri" w:hAnsi="Calibri"/>
          <w:color w:val="000000"/>
          <w:szCs w:val="22"/>
          <w:lang w:eastAsia="en-GB"/>
        </w:rPr>
        <w:t xml:space="preserve">before the start of the trial, approval will be sought from a REC for the trial protocol, informed consent </w:t>
      </w:r>
      <w:r>
        <w:rPr>
          <w:rFonts w:ascii="Calibri" w:hAnsi="Calibri"/>
          <w:color w:val="000000"/>
          <w:szCs w:val="22"/>
        </w:rPr>
        <w:t>forms and other relevant documents e.g. advertisements and GP information letters</w:t>
      </w:r>
    </w:p>
    <w:p w14:paraId="57353CA0" w14:textId="77777777" w:rsidR="007C525D" w:rsidRDefault="007C757A">
      <w:pPr>
        <w:numPr>
          <w:ilvl w:val="0"/>
          <w:numId w:val="15"/>
        </w:numPr>
        <w:rPr>
          <w:rFonts w:ascii="Calibri" w:hAnsi="Calibri"/>
          <w:color w:val="000000"/>
          <w:szCs w:val="22"/>
        </w:rPr>
      </w:pPr>
      <w:r>
        <w:rPr>
          <w:rFonts w:ascii="Calibri" w:hAnsi="Calibri"/>
          <w:color w:val="000000"/>
          <w:szCs w:val="22"/>
        </w:rPr>
        <w:t>substantial amendments that require review by REC will not be implemented until the REC grants a favourable opinion for the trial (note that amendments may also need to be reviewed and accepted by the MHRA and/or NHS R&amp;D departments before they can be implemented in practice at sites)</w:t>
      </w:r>
    </w:p>
    <w:p w14:paraId="3063AFA0" w14:textId="77777777" w:rsidR="007C525D" w:rsidRDefault="007C757A">
      <w:pPr>
        <w:numPr>
          <w:ilvl w:val="0"/>
          <w:numId w:val="15"/>
        </w:numPr>
        <w:rPr>
          <w:rFonts w:ascii="Calibri" w:hAnsi="Calibri"/>
          <w:color w:val="000000"/>
          <w:szCs w:val="22"/>
        </w:rPr>
      </w:pPr>
      <w:r>
        <w:rPr>
          <w:rFonts w:ascii="Calibri" w:hAnsi="Calibri"/>
          <w:color w:val="000000"/>
          <w:szCs w:val="22"/>
        </w:rPr>
        <w:t xml:space="preserve">all correspondence with the REC will be retained in the Trial Master File/Investigator Site File </w:t>
      </w:r>
    </w:p>
    <w:p w14:paraId="7B555D5F" w14:textId="77777777" w:rsidR="007C525D" w:rsidRDefault="007C757A">
      <w:pPr>
        <w:numPr>
          <w:ilvl w:val="0"/>
          <w:numId w:val="15"/>
        </w:numPr>
        <w:rPr>
          <w:rFonts w:ascii="Calibri" w:hAnsi="Calibri"/>
          <w:color w:val="000000"/>
          <w:szCs w:val="22"/>
        </w:rPr>
      </w:pPr>
      <w:r>
        <w:rPr>
          <w:rFonts w:ascii="Calibri" w:hAnsi="Calibri"/>
          <w:color w:val="000000"/>
          <w:szCs w:val="22"/>
        </w:rPr>
        <w:t>an annual progress report (APR) will be submitted to the REC within 30 days of the anniversary date on which the favourable opinion was given, and annually until the trial is declared ended</w:t>
      </w:r>
    </w:p>
    <w:p w14:paraId="14EBF3F6" w14:textId="77777777" w:rsidR="007C525D" w:rsidRDefault="007C757A">
      <w:pPr>
        <w:numPr>
          <w:ilvl w:val="0"/>
          <w:numId w:val="15"/>
        </w:numPr>
        <w:rPr>
          <w:rFonts w:ascii="Calibri" w:hAnsi="Calibri"/>
          <w:color w:val="000000"/>
          <w:szCs w:val="22"/>
        </w:rPr>
      </w:pPr>
      <w:r>
        <w:rPr>
          <w:rFonts w:ascii="Calibri" w:hAnsi="Calibri"/>
          <w:color w:val="000000"/>
          <w:szCs w:val="22"/>
        </w:rPr>
        <w:t>it is the Chief Investigator’s responsibility to produce the annual reports as required.</w:t>
      </w:r>
    </w:p>
    <w:p w14:paraId="3AFACDF4" w14:textId="77777777" w:rsidR="007C525D" w:rsidRDefault="007C757A">
      <w:pPr>
        <w:numPr>
          <w:ilvl w:val="0"/>
          <w:numId w:val="15"/>
        </w:numPr>
        <w:rPr>
          <w:rFonts w:ascii="Calibri" w:hAnsi="Calibri"/>
          <w:color w:val="000000"/>
          <w:szCs w:val="22"/>
        </w:rPr>
      </w:pPr>
      <w:r>
        <w:rPr>
          <w:rFonts w:ascii="Calibri" w:hAnsi="Calibri"/>
          <w:color w:val="000000"/>
          <w:szCs w:val="22"/>
        </w:rPr>
        <w:t>the Chief Investigator will notify the REC of the end of the trial</w:t>
      </w:r>
    </w:p>
    <w:p w14:paraId="42BBDC36" w14:textId="77777777" w:rsidR="007C525D" w:rsidRDefault="007C757A">
      <w:pPr>
        <w:numPr>
          <w:ilvl w:val="0"/>
          <w:numId w:val="15"/>
        </w:numPr>
        <w:rPr>
          <w:rFonts w:ascii="Calibri" w:hAnsi="Calibri"/>
          <w:color w:val="000000"/>
          <w:szCs w:val="22"/>
        </w:rPr>
      </w:pPr>
      <w:r>
        <w:rPr>
          <w:rFonts w:ascii="Calibri" w:hAnsi="Calibri"/>
          <w:color w:val="000000"/>
          <w:szCs w:val="22"/>
        </w:rPr>
        <w:t>if the trial is ended prematurely, the Chief Investigator will notify the REC, including the reasons for the premature termination</w:t>
      </w:r>
    </w:p>
    <w:p w14:paraId="3BFBE3E7" w14:textId="77777777" w:rsidR="007C525D" w:rsidRDefault="007C757A">
      <w:pPr>
        <w:numPr>
          <w:ilvl w:val="0"/>
          <w:numId w:val="15"/>
        </w:numPr>
      </w:pPr>
      <w:r>
        <w:rPr>
          <w:rFonts w:ascii="Calibri" w:hAnsi="Calibri"/>
          <w:color w:val="000000"/>
          <w:szCs w:val="22"/>
        </w:rPr>
        <w:t>within one year after the end of the trial, the Chief Investigator will submit a final report with the results, including any publications/abstracts, to the REC</w:t>
      </w:r>
    </w:p>
    <w:p w14:paraId="4962D80E" w14:textId="77777777" w:rsidR="007C525D" w:rsidRDefault="007C525D">
      <w:pPr>
        <w:pStyle w:val="BodyText"/>
        <w:tabs>
          <w:tab w:val="left" w:pos="709"/>
        </w:tabs>
        <w:spacing w:after="120"/>
        <w:rPr>
          <w:rFonts w:ascii="Calibri" w:hAnsi="Calibri" w:cs="Arial"/>
          <w:b/>
          <w:i w:val="0"/>
          <w:sz w:val="22"/>
          <w:szCs w:val="22"/>
        </w:rPr>
      </w:pPr>
    </w:p>
    <w:p w14:paraId="70076155" w14:textId="01F6F94E" w:rsidR="007C525D" w:rsidRDefault="007C757A">
      <w:pPr>
        <w:pStyle w:val="BodyText"/>
        <w:spacing w:after="120"/>
        <w:ind w:left="720" w:hanging="720"/>
        <w:rPr>
          <w:rFonts w:ascii="Calibri" w:hAnsi="Calibri" w:cs="Arial"/>
          <w:b/>
          <w:i w:val="0"/>
          <w:sz w:val="22"/>
          <w:szCs w:val="22"/>
        </w:rPr>
      </w:pPr>
      <w:r>
        <w:rPr>
          <w:rFonts w:ascii="Calibri" w:hAnsi="Calibri" w:cs="Arial"/>
          <w:b/>
          <w:i w:val="0"/>
          <w:sz w:val="22"/>
          <w:szCs w:val="22"/>
        </w:rPr>
        <w:t xml:space="preserve">13.2 </w:t>
      </w:r>
      <w:r>
        <w:rPr>
          <w:rFonts w:ascii="Calibri" w:hAnsi="Calibri" w:cs="Arial"/>
          <w:b/>
          <w:i w:val="0"/>
          <w:sz w:val="22"/>
          <w:szCs w:val="22"/>
        </w:rPr>
        <w:tab/>
        <w:t>Public and Patient Involvement</w:t>
      </w:r>
    </w:p>
    <w:p w14:paraId="7AC6D549" w14:textId="77777777" w:rsidR="00ED2FB1" w:rsidRDefault="00ED2FB1">
      <w:pPr>
        <w:pStyle w:val="BodyText"/>
        <w:spacing w:after="120"/>
        <w:ind w:left="720" w:hanging="720"/>
        <w:rPr>
          <w:rFonts w:ascii="Calibri" w:hAnsi="Calibri" w:cs="Arial"/>
          <w:b/>
          <w:i w:val="0"/>
          <w:sz w:val="22"/>
          <w:szCs w:val="22"/>
        </w:rPr>
      </w:pPr>
    </w:p>
    <w:p w14:paraId="69351167" w14:textId="6A71B3DA" w:rsidR="00ED2FB1" w:rsidRPr="00752596" w:rsidRDefault="00ED2FB1">
      <w:pPr>
        <w:pStyle w:val="BodyText"/>
        <w:spacing w:after="120"/>
        <w:rPr>
          <w:rFonts w:asciiTheme="minorHAnsi" w:hAnsiTheme="minorHAnsi" w:cstheme="minorHAnsi"/>
          <w:i w:val="0"/>
          <w:sz w:val="20"/>
          <w:szCs w:val="22"/>
        </w:rPr>
      </w:pPr>
      <w:r w:rsidRPr="00752596">
        <w:rPr>
          <w:rFonts w:asciiTheme="minorHAnsi" w:hAnsiTheme="minorHAnsi" w:cstheme="minorHAnsi"/>
          <w:bCs/>
          <w:i w:val="0"/>
          <w:color w:val="000000"/>
          <w:sz w:val="22"/>
          <w:szCs w:val="22"/>
          <w:bdr w:val="none" w:sz="0" w:space="0" w:color="auto" w:frame="1"/>
        </w:rPr>
        <w:t xml:space="preserve">Patient and Public Involvement (PPI) groups and meningitis charities will be </w:t>
      </w:r>
      <w:r w:rsidR="002D0019">
        <w:rPr>
          <w:rFonts w:asciiTheme="minorHAnsi" w:hAnsiTheme="minorHAnsi" w:cstheme="minorHAnsi"/>
          <w:bCs/>
          <w:i w:val="0"/>
          <w:color w:val="000000"/>
          <w:sz w:val="22"/>
          <w:szCs w:val="22"/>
          <w:bdr w:val="none" w:sz="0" w:space="0" w:color="auto" w:frame="1"/>
        </w:rPr>
        <w:t xml:space="preserve">have </w:t>
      </w:r>
      <w:proofErr w:type="spellStart"/>
      <w:r w:rsidR="002D0019">
        <w:rPr>
          <w:rFonts w:asciiTheme="minorHAnsi" w:hAnsiTheme="minorHAnsi" w:cstheme="minorHAnsi"/>
          <w:bCs/>
          <w:i w:val="0"/>
          <w:color w:val="000000"/>
          <w:sz w:val="22"/>
          <w:szCs w:val="22"/>
          <w:bdr w:val="none" w:sz="0" w:space="0" w:color="auto" w:frame="1"/>
        </w:rPr>
        <w:t>been</w:t>
      </w:r>
      <w:r w:rsidR="004B130B" w:rsidRPr="00752596">
        <w:rPr>
          <w:rFonts w:asciiTheme="minorHAnsi" w:hAnsiTheme="minorHAnsi" w:cstheme="minorHAnsi"/>
          <w:bCs/>
          <w:i w:val="0"/>
          <w:color w:val="000000"/>
          <w:sz w:val="22"/>
          <w:szCs w:val="22"/>
          <w:bdr w:val="none" w:sz="0" w:space="0" w:color="auto" w:frame="1"/>
        </w:rPr>
        <w:t>involved</w:t>
      </w:r>
      <w:proofErr w:type="spellEnd"/>
      <w:r w:rsidR="004B130B" w:rsidRPr="00752596">
        <w:rPr>
          <w:rFonts w:asciiTheme="minorHAnsi" w:hAnsiTheme="minorHAnsi" w:cstheme="minorHAnsi"/>
          <w:bCs/>
          <w:i w:val="0"/>
          <w:color w:val="000000"/>
          <w:sz w:val="22"/>
          <w:szCs w:val="22"/>
          <w:bdr w:val="none" w:sz="0" w:space="0" w:color="auto" w:frame="1"/>
        </w:rPr>
        <w:t xml:space="preserve"> </w:t>
      </w:r>
      <w:r w:rsidR="002D0019">
        <w:rPr>
          <w:rFonts w:asciiTheme="minorHAnsi" w:hAnsiTheme="minorHAnsi" w:cstheme="minorHAnsi"/>
          <w:bCs/>
          <w:i w:val="0"/>
          <w:color w:val="000000"/>
          <w:sz w:val="22"/>
          <w:szCs w:val="22"/>
          <w:bdr w:val="none" w:sz="0" w:space="0" w:color="auto" w:frame="1"/>
        </w:rPr>
        <w:t>in</w:t>
      </w:r>
      <w:r w:rsidR="002D0019" w:rsidRPr="00752596">
        <w:rPr>
          <w:rFonts w:asciiTheme="minorHAnsi" w:hAnsiTheme="minorHAnsi" w:cstheme="minorHAnsi"/>
          <w:bCs/>
          <w:i w:val="0"/>
          <w:color w:val="000000"/>
          <w:sz w:val="22"/>
          <w:szCs w:val="22"/>
          <w:bdr w:val="none" w:sz="0" w:space="0" w:color="auto" w:frame="1"/>
        </w:rPr>
        <w:t xml:space="preserve"> </w:t>
      </w:r>
      <w:proofErr w:type="spellStart"/>
      <w:r w:rsidRPr="00752596">
        <w:rPr>
          <w:rFonts w:asciiTheme="minorHAnsi" w:hAnsiTheme="minorHAnsi" w:cstheme="minorHAnsi"/>
          <w:bCs/>
          <w:i w:val="0"/>
          <w:color w:val="000000"/>
          <w:sz w:val="22"/>
          <w:szCs w:val="22"/>
          <w:bdr w:val="none" w:sz="0" w:space="0" w:color="auto" w:frame="1"/>
        </w:rPr>
        <w:t>discuss</w:t>
      </w:r>
      <w:r w:rsidR="002D0019">
        <w:rPr>
          <w:rFonts w:asciiTheme="minorHAnsi" w:hAnsiTheme="minorHAnsi" w:cstheme="minorHAnsi"/>
          <w:bCs/>
          <w:i w:val="0"/>
          <w:color w:val="000000"/>
          <w:sz w:val="22"/>
          <w:szCs w:val="22"/>
          <w:bdr w:val="none" w:sz="0" w:space="0" w:color="auto" w:frame="1"/>
        </w:rPr>
        <w:t>sions</w:t>
      </w:r>
      <w:proofErr w:type="spellEnd"/>
      <w:r w:rsidR="002D0019">
        <w:rPr>
          <w:rFonts w:asciiTheme="minorHAnsi" w:hAnsiTheme="minorHAnsi" w:cstheme="minorHAnsi"/>
          <w:bCs/>
          <w:i w:val="0"/>
          <w:color w:val="000000"/>
          <w:sz w:val="22"/>
          <w:szCs w:val="22"/>
          <w:bdr w:val="none" w:sz="0" w:space="0" w:color="auto" w:frame="1"/>
        </w:rPr>
        <w:t xml:space="preserve"> about</w:t>
      </w:r>
      <w:r w:rsidRPr="00752596">
        <w:rPr>
          <w:rFonts w:asciiTheme="minorHAnsi" w:hAnsiTheme="minorHAnsi" w:cstheme="minorHAnsi"/>
          <w:bCs/>
          <w:i w:val="0"/>
          <w:color w:val="000000"/>
          <w:sz w:val="22"/>
          <w:szCs w:val="22"/>
          <w:bdr w:val="none" w:sz="0" w:space="0" w:color="auto" w:frame="1"/>
        </w:rPr>
        <w:t xml:space="preserve"> the conduct of the study and </w:t>
      </w:r>
      <w:r w:rsidR="002D0019">
        <w:rPr>
          <w:rFonts w:asciiTheme="minorHAnsi" w:hAnsiTheme="minorHAnsi" w:cstheme="minorHAnsi"/>
          <w:bCs/>
          <w:i w:val="0"/>
          <w:color w:val="000000"/>
          <w:sz w:val="22"/>
          <w:szCs w:val="22"/>
          <w:bdr w:val="none" w:sz="0" w:space="0" w:color="auto" w:frame="1"/>
        </w:rPr>
        <w:t xml:space="preserve">will assist in </w:t>
      </w:r>
      <w:r w:rsidRPr="00752596">
        <w:rPr>
          <w:rFonts w:asciiTheme="minorHAnsi" w:hAnsiTheme="minorHAnsi" w:cstheme="minorHAnsi"/>
          <w:bCs/>
          <w:i w:val="0"/>
          <w:color w:val="000000"/>
          <w:sz w:val="22"/>
          <w:szCs w:val="22"/>
          <w:bdr w:val="none" w:sz="0" w:space="0" w:color="auto" w:frame="1"/>
        </w:rPr>
        <w:t>the dissemination of results</w:t>
      </w:r>
      <w:r w:rsidRPr="00752596">
        <w:rPr>
          <w:rFonts w:asciiTheme="minorHAnsi" w:hAnsiTheme="minorHAnsi" w:cstheme="minorHAnsi"/>
          <w:bCs/>
          <w:color w:val="000000"/>
          <w:sz w:val="22"/>
          <w:szCs w:val="22"/>
          <w:bdr w:val="none" w:sz="0" w:space="0" w:color="auto" w:frame="1"/>
        </w:rPr>
        <w:t>.</w:t>
      </w:r>
    </w:p>
    <w:p w14:paraId="0A36881B" w14:textId="77777777" w:rsidR="007C525D" w:rsidRPr="000B2E61" w:rsidRDefault="007C525D">
      <w:pPr>
        <w:rPr>
          <w:rFonts w:asciiTheme="minorHAnsi" w:hAnsiTheme="minorHAnsi"/>
          <w:bCs/>
          <w:szCs w:val="22"/>
          <w:lang w:eastAsia="en-GB"/>
        </w:rPr>
      </w:pPr>
    </w:p>
    <w:p w14:paraId="69102004" w14:textId="77777777" w:rsidR="007C525D" w:rsidRDefault="007C757A">
      <w:pPr>
        <w:rPr>
          <w:rFonts w:ascii="Calibri" w:hAnsi="Calibri"/>
          <w:b/>
          <w:bCs/>
          <w:szCs w:val="22"/>
          <w:lang w:eastAsia="en-GB"/>
        </w:rPr>
      </w:pPr>
      <w:r>
        <w:rPr>
          <w:rFonts w:ascii="Calibri" w:hAnsi="Calibri"/>
          <w:b/>
          <w:bCs/>
          <w:szCs w:val="22"/>
          <w:lang w:eastAsia="en-GB"/>
        </w:rPr>
        <w:t xml:space="preserve">13.3 </w:t>
      </w:r>
      <w:r>
        <w:rPr>
          <w:rFonts w:ascii="Calibri" w:hAnsi="Calibri"/>
          <w:b/>
          <w:bCs/>
          <w:szCs w:val="22"/>
          <w:lang w:eastAsia="en-GB"/>
        </w:rPr>
        <w:tab/>
        <w:t>Regulatory Compliance</w:t>
      </w:r>
    </w:p>
    <w:p w14:paraId="2AA919BD" w14:textId="77777777" w:rsidR="007C525D" w:rsidRDefault="007C757A">
      <w:pPr>
        <w:spacing w:line="276" w:lineRule="auto"/>
        <w:rPr>
          <w:rFonts w:ascii="Calibri" w:hAnsi="Calibri"/>
          <w:color w:val="000000"/>
          <w:szCs w:val="22"/>
          <w:lang w:eastAsia="en-GB"/>
        </w:rPr>
      </w:pPr>
      <w:r>
        <w:rPr>
          <w:rFonts w:ascii="Calibri" w:hAnsi="Calibri"/>
          <w:color w:val="000000"/>
          <w:szCs w:val="22"/>
          <w:lang w:eastAsia="en-GB"/>
        </w:rPr>
        <w:t xml:space="preserve">The trial will not commence until Favourable REC opinion has been obtained. </w:t>
      </w:r>
    </w:p>
    <w:p w14:paraId="344D2ACC" w14:textId="77777777" w:rsidR="007C525D" w:rsidRDefault="007C757A">
      <w:pPr>
        <w:spacing w:line="276" w:lineRule="auto"/>
        <w:rPr>
          <w:rFonts w:ascii="Calibri" w:hAnsi="Calibri"/>
          <w:color w:val="000000"/>
          <w:szCs w:val="22"/>
          <w:lang w:eastAsia="en-GB"/>
        </w:rPr>
      </w:pPr>
      <w:r>
        <w:rPr>
          <w:rFonts w:ascii="Calibri" w:hAnsi="Calibri"/>
          <w:color w:val="000000"/>
          <w:szCs w:val="22"/>
          <w:lang w:eastAsia="en-GB"/>
        </w:rPr>
        <w:t xml:space="preserve">Before any site can enrol patients into the trial, the Principal Investigator must ensure written permission to proceed has been granted by that Trust Research &amp; Development (R&amp;D) office. The site must conduct the trial in compliance with the protocol as agreed by the Sponsor and, by the regulatory authorities as appropriate and which was given favourable opinion by the Research Ethics Committee (REC). </w:t>
      </w:r>
    </w:p>
    <w:p w14:paraId="0F6FA45C" w14:textId="77777777" w:rsidR="007C525D" w:rsidRDefault="007C757A">
      <w:pPr>
        <w:spacing w:line="276" w:lineRule="auto"/>
      </w:pPr>
      <w:r>
        <w:rPr>
          <w:rFonts w:ascii="Calibri" w:hAnsi="Calibri"/>
          <w:color w:val="000000"/>
          <w:szCs w:val="22"/>
          <w:lang w:eastAsia="en-GB"/>
        </w:rPr>
        <w:t xml:space="preserve">For any amendment to the study, the Chief Investigator or designee, in agreement with the Sponsor will submit information to the appropriate body in order for them to issue approval for the amendment. The Chief Investigator or designee will work with sites (R&amp;D departments at NHS sites as well as the study delivery team) so they can put the necessary arrangements in place to implement the amendment to confirm their support for the study as </w:t>
      </w:r>
      <w:hyperlink r:id="rId21">
        <w:r>
          <w:t>amended</w:t>
        </w:r>
      </w:hyperlink>
      <w:r>
        <w:rPr>
          <w:rFonts w:ascii="Calibri" w:hAnsi="Calibri"/>
          <w:color w:val="000000"/>
          <w:szCs w:val="22"/>
          <w:lang w:eastAsia="en-GB"/>
        </w:rPr>
        <w:t>.</w:t>
      </w:r>
      <w:r>
        <w:rPr>
          <w:rFonts w:ascii="Calibri" w:hAnsi="Calibri"/>
          <w:b/>
          <w:bCs/>
          <w:szCs w:val="22"/>
          <w:lang w:eastAsia="en-GB"/>
        </w:rPr>
        <w:t xml:space="preserve"> </w:t>
      </w:r>
    </w:p>
    <w:p w14:paraId="49012581" w14:textId="77777777" w:rsidR="007C525D" w:rsidRDefault="007C525D">
      <w:pPr>
        <w:ind w:left="955"/>
        <w:rPr>
          <w:rFonts w:ascii="Calibri" w:hAnsi="Calibri"/>
          <w:color w:val="0000FF"/>
          <w:szCs w:val="22"/>
        </w:rPr>
      </w:pPr>
    </w:p>
    <w:p w14:paraId="4C0895A9" w14:textId="77777777" w:rsidR="007C525D" w:rsidRDefault="007C757A">
      <w:pPr>
        <w:rPr>
          <w:rFonts w:ascii="Calibri" w:hAnsi="Calibri"/>
          <w:b/>
          <w:bCs/>
          <w:szCs w:val="22"/>
          <w:lang w:eastAsia="en-GB"/>
        </w:rPr>
      </w:pPr>
      <w:r>
        <w:rPr>
          <w:rFonts w:ascii="Calibri" w:hAnsi="Calibri"/>
          <w:b/>
          <w:bCs/>
          <w:szCs w:val="22"/>
          <w:lang w:eastAsia="en-GB"/>
        </w:rPr>
        <w:t xml:space="preserve">13.4 </w:t>
      </w:r>
      <w:r>
        <w:rPr>
          <w:rFonts w:ascii="Calibri" w:hAnsi="Calibri"/>
          <w:b/>
          <w:bCs/>
          <w:szCs w:val="22"/>
          <w:lang w:eastAsia="en-GB"/>
        </w:rPr>
        <w:tab/>
        <w:t xml:space="preserve">Protocol compliance </w:t>
      </w:r>
    </w:p>
    <w:p w14:paraId="00625F65" w14:textId="77777777" w:rsidR="007C525D" w:rsidRDefault="007C757A">
      <w:pPr>
        <w:rPr>
          <w:rFonts w:ascii="Calibri" w:hAnsi="Calibri"/>
          <w:color w:val="000000"/>
          <w:szCs w:val="22"/>
          <w:lang w:eastAsia="en-GB"/>
        </w:rPr>
      </w:pPr>
      <w:r>
        <w:rPr>
          <w:rFonts w:ascii="Calibri" w:hAnsi="Calibri"/>
          <w:color w:val="000000"/>
          <w:szCs w:val="22"/>
          <w:lang w:eastAsia="en-GB"/>
        </w:rPr>
        <w:lastRenderedPageBreak/>
        <w:t>Protocol non-compliances are departures from the approved protocol.</w:t>
      </w:r>
    </w:p>
    <w:p w14:paraId="58F267DA" w14:textId="77777777" w:rsidR="007C525D" w:rsidRDefault="007C757A">
      <w:pPr>
        <w:numPr>
          <w:ilvl w:val="0"/>
          <w:numId w:val="16"/>
        </w:numPr>
        <w:rPr>
          <w:rFonts w:ascii="Calibri" w:hAnsi="Calibri"/>
          <w:color w:val="000000"/>
          <w:szCs w:val="22"/>
          <w:lang w:eastAsia="en-GB"/>
        </w:rPr>
      </w:pPr>
      <w:r>
        <w:rPr>
          <w:rFonts w:ascii="Calibri" w:hAnsi="Calibri"/>
          <w:color w:val="000000"/>
          <w:szCs w:val="22"/>
          <w:lang w:eastAsia="en-GB"/>
        </w:rPr>
        <w:t>prospective, planned deviations or waivers to the protocol are not allowed under the UK regulations on Clinical Trials and must not be used e.g. it is not acceptable to enrol a participant if they do not meet the eligibility criteria or restrictions specified in the trial protocol</w:t>
      </w:r>
    </w:p>
    <w:p w14:paraId="6686FEF2" w14:textId="77777777" w:rsidR="007C525D" w:rsidRDefault="007C757A">
      <w:pPr>
        <w:numPr>
          <w:ilvl w:val="0"/>
          <w:numId w:val="16"/>
        </w:numPr>
        <w:rPr>
          <w:rFonts w:ascii="Calibri" w:hAnsi="Calibri"/>
          <w:color w:val="000000"/>
          <w:szCs w:val="22"/>
          <w:lang w:eastAsia="en-GB"/>
        </w:rPr>
      </w:pPr>
      <w:r>
        <w:rPr>
          <w:rFonts w:ascii="Calibri" w:hAnsi="Calibri"/>
          <w:color w:val="000000"/>
          <w:szCs w:val="22"/>
          <w:lang w:eastAsia="en-GB"/>
        </w:rPr>
        <w:t xml:space="preserve">accidental protocol deviations can happen at any time. They must be adequately documented on the relevant forms and reported to the Chief Investigator and Sponsor immediately. </w:t>
      </w:r>
    </w:p>
    <w:p w14:paraId="63EF6F97" w14:textId="77777777" w:rsidR="007C525D" w:rsidRDefault="007C757A">
      <w:pPr>
        <w:numPr>
          <w:ilvl w:val="0"/>
          <w:numId w:val="16"/>
        </w:numPr>
        <w:rPr>
          <w:rFonts w:ascii="Calibri" w:hAnsi="Calibri"/>
          <w:color w:val="000000"/>
          <w:szCs w:val="22"/>
          <w:lang w:eastAsia="en-GB"/>
        </w:rPr>
      </w:pPr>
      <w:r>
        <w:rPr>
          <w:rFonts w:ascii="Calibri" w:hAnsi="Calibri"/>
          <w:color w:val="000000"/>
          <w:szCs w:val="22"/>
          <w:lang w:eastAsia="en-GB"/>
        </w:rPr>
        <w:t>deviations from the protocol which are found to frequently recur are not acceptable, will require immediate action and could potentially be classified as a serious breach.</w:t>
      </w:r>
    </w:p>
    <w:p w14:paraId="7398E059" w14:textId="77777777" w:rsidR="007C525D" w:rsidRDefault="007C757A">
      <w:pPr>
        <w:numPr>
          <w:ilvl w:val="0"/>
          <w:numId w:val="16"/>
        </w:numPr>
      </w:pPr>
      <w:r>
        <w:rPr>
          <w:rFonts w:ascii="Calibri" w:hAnsi="Calibri"/>
          <w:bCs/>
          <w:color w:val="000000"/>
          <w:szCs w:val="22"/>
        </w:rPr>
        <w:t xml:space="preserve">All protocol deviations (critical, major </w:t>
      </w:r>
      <w:r>
        <w:rPr>
          <w:rFonts w:ascii="Calibri" w:hAnsi="Calibri"/>
          <w:bCs/>
          <w:color w:val="000000"/>
          <w:szCs w:val="22"/>
          <w:u w:val="single"/>
        </w:rPr>
        <w:t>and</w:t>
      </w:r>
      <w:r>
        <w:rPr>
          <w:rFonts w:ascii="Calibri" w:hAnsi="Calibri"/>
          <w:bCs/>
          <w:color w:val="000000"/>
          <w:szCs w:val="22"/>
        </w:rPr>
        <w:t xml:space="preserve"> minor/other) should be reported to the Chief Investigator and Sponsor immediately. The sponsor will review the deviation and return the form to the site team. </w:t>
      </w:r>
    </w:p>
    <w:p w14:paraId="4AE3B722" w14:textId="77777777" w:rsidR="007C525D" w:rsidRDefault="007C525D">
      <w:pPr>
        <w:ind w:left="895"/>
      </w:pPr>
    </w:p>
    <w:p w14:paraId="1CF5767C" w14:textId="77777777" w:rsidR="007C525D" w:rsidRDefault="007C757A">
      <w:bookmarkStart w:id="47" w:name="_Toc303179291"/>
      <w:r>
        <w:rPr>
          <w:rFonts w:ascii="Calibri" w:hAnsi="Calibri"/>
          <w:b/>
        </w:rPr>
        <w:t xml:space="preserve">13.5 </w:t>
      </w:r>
      <w:r>
        <w:rPr>
          <w:rFonts w:ascii="Calibri" w:hAnsi="Calibri"/>
          <w:b/>
        </w:rPr>
        <w:tab/>
        <w:t xml:space="preserve">Notification of Serious Breaches to GCP and/or the protocol </w:t>
      </w:r>
      <w:bookmarkEnd w:id="47"/>
    </w:p>
    <w:p w14:paraId="0FCF3271" w14:textId="77777777" w:rsidR="007C525D" w:rsidRDefault="007C757A">
      <w:pPr>
        <w:rPr>
          <w:rFonts w:ascii="Calibri" w:hAnsi="Calibri"/>
          <w:color w:val="000000"/>
          <w:szCs w:val="22"/>
        </w:rPr>
      </w:pPr>
      <w:r>
        <w:rPr>
          <w:rFonts w:ascii="Calibri" w:hAnsi="Calibri"/>
          <w:color w:val="000000"/>
          <w:szCs w:val="22"/>
        </w:rPr>
        <w:t>A “serious breach” is a breach which is likely to effect to a significant degree –</w:t>
      </w:r>
    </w:p>
    <w:p w14:paraId="1ACEBFCB" w14:textId="77777777" w:rsidR="007C525D" w:rsidRDefault="007C757A">
      <w:pPr>
        <w:pStyle w:val="ListParagraph"/>
        <w:numPr>
          <w:ilvl w:val="1"/>
          <w:numId w:val="17"/>
        </w:numPr>
        <w:spacing w:line="240" w:lineRule="auto"/>
        <w:rPr>
          <w:rFonts w:ascii="Calibri" w:hAnsi="Calibri"/>
          <w:color w:val="000000"/>
        </w:rPr>
      </w:pPr>
      <w:r>
        <w:rPr>
          <w:rFonts w:ascii="Calibri" w:hAnsi="Calibri"/>
          <w:color w:val="000000"/>
        </w:rPr>
        <w:t>the safety or physical or mental integrity of the participants of the trial; or</w:t>
      </w:r>
    </w:p>
    <w:p w14:paraId="08A07EB4" w14:textId="77777777" w:rsidR="007C525D" w:rsidRDefault="007C757A">
      <w:pPr>
        <w:pStyle w:val="ListParagraph"/>
        <w:numPr>
          <w:ilvl w:val="1"/>
          <w:numId w:val="17"/>
        </w:numPr>
        <w:spacing w:line="240" w:lineRule="auto"/>
        <w:rPr>
          <w:rFonts w:ascii="Calibri" w:hAnsi="Calibri"/>
          <w:color w:val="000000"/>
        </w:rPr>
      </w:pPr>
      <w:r>
        <w:rPr>
          <w:rFonts w:ascii="Calibri" w:hAnsi="Calibri"/>
          <w:color w:val="000000"/>
        </w:rPr>
        <w:t>the scientific value of the trial</w:t>
      </w:r>
    </w:p>
    <w:p w14:paraId="10297C76" w14:textId="77777777" w:rsidR="007C525D" w:rsidRDefault="007C757A">
      <w:pPr>
        <w:numPr>
          <w:ilvl w:val="0"/>
          <w:numId w:val="16"/>
        </w:numPr>
        <w:rPr>
          <w:rFonts w:ascii="Calibri" w:hAnsi="Calibri"/>
          <w:color w:val="000000"/>
          <w:szCs w:val="22"/>
          <w:lang w:eastAsia="en-GB"/>
        </w:rPr>
      </w:pPr>
      <w:r>
        <w:rPr>
          <w:rFonts w:ascii="Calibri" w:hAnsi="Calibri"/>
          <w:color w:val="000000"/>
          <w:szCs w:val="22"/>
          <w:lang w:eastAsia="en-GB"/>
        </w:rPr>
        <w:t>the sponsor will be notified immediately of any case where the above definition applies during the trial conduct phase</w:t>
      </w:r>
    </w:p>
    <w:p w14:paraId="22986FC5" w14:textId="77777777" w:rsidR="007C525D" w:rsidRDefault="007C757A">
      <w:pPr>
        <w:numPr>
          <w:ilvl w:val="0"/>
          <w:numId w:val="16"/>
        </w:numPr>
      </w:pPr>
      <w:r>
        <w:rPr>
          <w:rFonts w:ascii="Calibri" w:hAnsi="Calibri"/>
          <w:color w:val="000000"/>
          <w:szCs w:val="22"/>
          <w:lang w:eastAsia="en-GB"/>
        </w:rPr>
        <w:t>the</w:t>
      </w:r>
      <w:r>
        <w:rPr>
          <w:rFonts w:ascii="Calibri" w:hAnsi="Calibri"/>
          <w:color w:val="000000"/>
          <w:szCs w:val="22"/>
        </w:rPr>
        <w:t xml:space="preserve"> sponsor of a clinical trial will notify the licensing authority in writing of any serious breach of</w:t>
      </w:r>
    </w:p>
    <w:p w14:paraId="4D04952F" w14:textId="77777777" w:rsidR="007C525D" w:rsidRDefault="007C757A">
      <w:pPr>
        <w:pStyle w:val="ListParagraph"/>
        <w:numPr>
          <w:ilvl w:val="1"/>
          <w:numId w:val="18"/>
        </w:numPr>
        <w:spacing w:line="240" w:lineRule="auto"/>
        <w:rPr>
          <w:rFonts w:ascii="Calibri" w:hAnsi="Calibri"/>
          <w:color w:val="000000"/>
        </w:rPr>
      </w:pPr>
      <w:r>
        <w:rPr>
          <w:rFonts w:ascii="Calibri" w:hAnsi="Calibri"/>
          <w:color w:val="000000"/>
        </w:rPr>
        <w:t xml:space="preserve">the conditions and principles of GCP in connection with that trial; or </w:t>
      </w:r>
    </w:p>
    <w:p w14:paraId="43DC03E4" w14:textId="77777777" w:rsidR="007C525D" w:rsidRDefault="007C757A">
      <w:pPr>
        <w:pStyle w:val="ListParagraph"/>
        <w:numPr>
          <w:ilvl w:val="1"/>
          <w:numId w:val="18"/>
        </w:numPr>
        <w:spacing w:line="240" w:lineRule="auto"/>
        <w:rPr>
          <w:rFonts w:ascii="Calibri" w:hAnsi="Calibri"/>
          <w:color w:val="000000"/>
        </w:rPr>
      </w:pPr>
      <w:r>
        <w:rPr>
          <w:rFonts w:ascii="Calibri" w:hAnsi="Calibri"/>
          <w:color w:val="000000"/>
        </w:rPr>
        <w:t>the protocol relating to that trial, as amended from time to time, within 7 days of becoming aware of that breach</w:t>
      </w:r>
    </w:p>
    <w:p w14:paraId="6A8E172B" w14:textId="77777777" w:rsidR="007C525D" w:rsidRDefault="007C525D">
      <w:pPr>
        <w:pStyle w:val="ListParagraph"/>
        <w:spacing w:line="240" w:lineRule="auto"/>
        <w:ind w:left="1440"/>
        <w:rPr>
          <w:rFonts w:ascii="Calibri" w:hAnsi="Calibri"/>
          <w:color w:val="000000"/>
        </w:rPr>
      </w:pPr>
    </w:p>
    <w:p w14:paraId="681BC88D" w14:textId="77777777" w:rsidR="007C525D" w:rsidRDefault="007C757A">
      <w:pPr>
        <w:rPr>
          <w:rFonts w:ascii="Calibri" w:hAnsi="Calibri"/>
          <w:color w:val="000000"/>
          <w:szCs w:val="22"/>
        </w:rPr>
      </w:pPr>
      <w:r>
        <w:rPr>
          <w:rFonts w:ascii="Calibri" w:hAnsi="Calibri"/>
          <w:color w:val="000000"/>
          <w:szCs w:val="22"/>
        </w:rPr>
        <w:t xml:space="preserve">The Sponsor should be notified within 24 hours of becoming aware of a serious breach. </w:t>
      </w:r>
    </w:p>
    <w:p w14:paraId="0CE9B3B3" w14:textId="77777777" w:rsidR="007C525D" w:rsidRDefault="007C525D">
      <w:pPr>
        <w:pStyle w:val="ListParagraph"/>
        <w:spacing w:line="240" w:lineRule="auto"/>
        <w:ind w:left="1440"/>
        <w:rPr>
          <w:rFonts w:ascii="Calibri" w:hAnsi="Calibri"/>
          <w:color w:val="FF0000"/>
        </w:rPr>
      </w:pPr>
    </w:p>
    <w:p w14:paraId="7C9F91C5" w14:textId="77777777" w:rsidR="007C525D" w:rsidRDefault="007C757A">
      <w:pPr>
        <w:rPr>
          <w:rFonts w:ascii="Calibri" w:hAnsi="Calibri"/>
          <w:b/>
          <w:bCs/>
          <w:szCs w:val="22"/>
          <w:lang w:eastAsia="en-GB"/>
        </w:rPr>
      </w:pPr>
      <w:r>
        <w:rPr>
          <w:rFonts w:ascii="Calibri" w:hAnsi="Calibri"/>
          <w:b/>
          <w:bCs/>
          <w:szCs w:val="22"/>
          <w:lang w:eastAsia="en-GB"/>
        </w:rPr>
        <w:t xml:space="preserve">13.6 </w:t>
      </w:r>
      <w:r>
        <w:rPr>
          <w:rFonts w:ascii="Calibri" w:hAnsi="Calibri"/>
          <w:b/>
          <w:bCs/>
          <w:szCs w:val="22"/>
          <w:lang w:eastAsia="en-GB"/>
        </w:rPr>
        <w:tab/>
        <w:t xml:space="preserve">Data protection and patient confidentiality </w:t>
      </w:r>
    </w:p>
    <w:p w14:paraId="10A8382B" w14:textId="77777777" w:rsidR="007C525D" w:rsidRDefault="007C757A">
      <w:pPr>
        <w:rPr>
          <w:rFonts w:ascii="Calibri" w:hAnsi="Calibri"/>
          <w:color w:val="000000"/>
          <w:szCs w:val="22"/>
        </w:rPr>
      </w:pPr>
      <w:r>
        <w:rPr>
          <w:rFonts w:ascii="Calibri" w:hAnsi="Calibri"/>
          <w:color w:val="000000"/>
          <w:szCs w:val="22"/>
        </w:rPr>
        <w:t xml:space="preserve">All investigators and trial site staff must comply with the requirements of the Data Protection Act 2918 with regards to the collection, storage, processing and disclosure of personal information and will uphold the Act’s core principles. </w:t>
      </w:r>
    </w:p>
    <w:p w14:paraId="207F7801" w14:textId="77777777" w:rsidR="007C525D" w:rsidRDefault="007C757A">
      <w:pPr>
        <w:numPr>
          <w:ilvl w:val="0"/>
          <w:numId w:val="16"/>
        </w:numPr>
      </w:pPr>
      <w:r>
        <w:rPr>
          <w:rFonts w:ascii="Calibri" w:hAnsi="Calibri"/>
          <w:b/>
          <w:color w:val="000000"/>
          <w:szCs w:val="22"/>
          <w:u w:val="single"/>
        </w:rPr>
        <w:t>Nature of the processing</w:t>
      </w:r>
    </w:p>
    <w:p w14:paraId="552B828C" w14:textId="77777777" w:rsidR="007C525D" w:rsidRDefault="007C757A">
      <w:pPr>
        <w:spacing w:line="276" w:lineRule="auto"/>
        <w:ind w:left="895"/>
      </w:pPr>
      <w:r>
        <w:rPr>
          <w:rFonts w:ascii="Calibri" w:hAnsi="Calibri"/>
          <w:color w:val="000000"/>
          <w:szCs w:val="22"/>
        </w:rPr>
        <w:t xml:space="preserve">Local sites will collect contact details from participants and will retain consent forms which contain identifiable information. The paper copies of this information will be stored in a secure location in a private office, the digital records of this information will be stored on password protected files on secure university or hospital computers. This information will be used by the local team only and no identifiable information will be shared with the central team. Data for the study will be directly entered into the eCRF using the REDCap system and participants will be identified using a unique participant identification number. </w:t>
      </w:r>
    </w:p>
    <w:p w14:paraId="013C19F1" w14:textId="77777777" w:rsidR="007C525D" w:rsidRDefault="007C757A">
      <w:pPr>
        <w:numPr>
          <w:ilvl w:val="0"/>
          <w:numId w:val="16"/>
        </w:numPr>
      </w:pPr>
      <w:r>
        <w:rPr>
          <w:rFonts w:ascii="Calibri" w:hAnsi="Calibri"/>
          <w:b/>
          <w:color w:val="000000"/>
          <w:szCs w:val="22"/>
          <w:u w:val="single"/>
        </w:rPr>
        <w:t>Scope of the processing</w:t>
      </w:r>
    </w:p>
    <w:p w14:paraId="79BBE74C" w14:textId="77777777" w:rsidR="007C525D" w:rsidRDefault="007C757A">
      <w:pPr>
        <w:spacing w:line="276" w:lineRule="auto"/>
        <w:ind w:left="895"/>
        <w:rPr>
          <w:rFonts w:ascii="Calibri" w:hAnsi="Calibri"/>
          <w:color w:val="000000"/>
          <w:szCs w:val="22"/>
        </w:rPr>
      </w:pPr>
      <w:r>
        <w:rPr>
          <w:rFonts w:ascii="Calibri" w:hAnsi="Calibri"/>
          <w:color w:val="000000"/>
          <w:szCs w:val="22"/>
        </w:rPr>
        <w:lastRenderedPageBreak/>
        <w:t xml:space="preserve">We will be collecting information about the participants’ demographics- including ethnicity and age- past medical history, obstetric history, details of their current pregnancy and a detailed vaccination history. At each visit we will collect information about whether any adverse events have been experienced. None of this information will be stored alongside any identifiable information. This information will be retained in the study database for five years after the end of the study. </w:t>
      </w:r>
    </w:p>
    <w:p w14:paraId="38A54A05" w14:textId="77777777" w:rsidR="007C525D" w:rsidRDefault="007C757A">
      <w:pPr>
        <w:pStyle w:val="ListParagraph"/>
        <w:numPr>
          <w:ilvl w:val="0"/>
          <w:numId w:val="19"/>
        </w:numPr>
        <w:tabs>
          <w:tab w:val="left" w:pos="0"/>
        </w:tabs>
        <w:spacing w:line="240" w:lineRule="auto"/>
        <w:ind w:left="900"/>
      </w:pPr>
      <w:r>
        <w:rPr>
          <w:rFonts w:ascii="Calibri" w:hAnsi="Calibri"/>
          <w:b/>
          <w:color w:val="000000"/>
          <w:u w:val="single"/>
        </w:rPr>
        <w:t>Movement of data:</w:t>
      </w:r>
      <w:r>
        <w:rPr>
          <w:rFonts w:ascii="Calibri" w:hAnsi="Calibri"/>
          <w:color w:val="000000"/>
        </w:rPr>
        <w:t xml:space="preserve"> </w:t>
      </w:r>
    </w:p>
    <w:p w14:paraId="38156720" w14:textId="77777777" w:rsidR="007C525D" w:rsidRDefault="007C525D">
      <w:pPr>
        <w:pStyle w:val="ListParagraph"/>
        <w:spacing w:line="240" w:lineRule="auto"/>
        <w:ind w:left="900"/>
        <w:rPr>
          <w:color w:val="000000"/>
        </w:rPr>
      </w:pPr>
    </w:p>
    <w:p w14:paraId="28221124" w14:textId="77777777" w:rsidR="007C525D" w:rsidRDefault="007C757A">
      <w:pPr>
        <w:pStyle w:val="ListParagraph"/>
        <w:ind w:left="900"/>
        <w:rPr>
          <w:rFonts w:ascii="Calibri" w:hAnsi="Calibri"/>
          <w:color w:val="000000"/>
        </w:rPr>
      </w:pPr>
      <w:r>
        <w:rPr>
          <w:rFonts w:ascii="Calibri" w:hAnsi="Calibri"/>
          <w:color w:val="000000"/>
        </w:rPr>
        <w:t xml:space="preserve">Data will be entered directly into the REDCap system and will be available to the central team through this system. No data will leave the UK. </w:t>
      </w:r>
    </w:p>
    <w:p w14:paraId="3DF855BD" w14:textId="77777777" w:rsidR="007C525D" w:rsidRDefault="007C525D">
      <w:pPr>
        <w:rPr>
          <w:rFonts w:ascii="Calibri" w:hAnsi="Calibri"/>
          <w:color w:val="0000FF"/>
          <w:szCs w:val="22"/>
        </w:rPr>
      </w:pPr>
    </w:p>
    <w:p w14:paraId="7AFE0E52" w14:textId="77777777" w:rsidR="007C525D" w:rsidRDefault="007C757A">
      <w:pPr>
        <w:pStyle w:val="Heading31"/>
        <w:suppressAutoHyphens w:val="0"/>
        <w:rPr>
          <w:rFonts w:ascii="Calibri" w:hAnsi="Calibri" w:cs="Arial"/>
          <w:bCs/>
          <w:szCs w:val="22"/>
          <w:lang w:val="en-GB"/>
        </w:rPr>
      </w:pPr>
      <w:r>
        <w:rPr>
          <w:rFonts w:ascii="Calibri" w:hAnsi="Calibri" w:cs="Arial"/>
          <w:bCs/>
          <w:szCs w:val="22"/>
          <w:lang w:val="en-GB"/>
        </w:rPr>
        <w:t xml:space="preserve">13.7 </w:t>
      </w:r>
      <w:r>
        <w:rPr>
          <w:rFonts w:ascii="Calibri" w:hAnsi="Calibri" w:cs="Arial"/>
          <w:bCs/>
          <w:szCs w:val="22"/>
          <w:lang w:val="en-GB"/>
        </w:rPr>
        <w:tab/>
        <w:t xml:space="preserve">Financial and other competing interests for the chief investigator, PIs at each site and committee members for the overall trial management </w:t>
      </w:r>
    </w:p>
    <w:p w14:paraId="7F7857BF" w14:textId="77777777" w:rsidR="007C525D" w:rsidRDefault="007C757A">
      <w:pPr>
        <w:pStyle w:val="Heading31"/>
        <w:rPr>
          <w:rFonts w:ascii="Calibri" w:hAnsi="Calibri" w:cs="Arial"/>
          <w:b w:val="0"/>
          <w:color w:val="000000"/>
          <w:spacing w:val="-3"/>
          <w:szCs w:val="22"/>
          <w:lang w:val="en-GB"/>
        </w:rPr>
      </w:pPr>
      <w:r>
        <w:rPr>
          <w:rFonts w:ascii="Calibri" w:hAnsi="Calibri" w:cs="Arial"/>
          <w:b w:val="0"/>
          <w:color w:val="000000"/>
          <w:spacing w:val="-3"/>
          <w:szCs w:val="22"/>
          <w:lang w:val="en-GB"/>
        </w:rPr>
        <w:t>The Chief Investigator, Principal Investigators and all members of the trial management group will be asked to declare any competing interests. This disclosure will reflect:</w:t>
      </w:r>
    </w:p>
    <w:p w14:paraId="46CB333F" w14:textId="77777777" w:rsidR="007C525D" w:rsidRDefault="007C757A">
      <w:pPr>
        <w:numPr>
          <w:ilvl w:val="0"/>
          <w:numId w:val="16"/>
        </w:numPr>
        <w:rPr>
          <w:rFonts w:ascii="Calibri" w:eastAsia="Times New Roman" w:hAnsi="Calibri"/>
          <w:color w:val="000000"/>
          <w:spacing w:val="-3"/>
          <w:szCs w:val="22"/>
        </w:rPr>
      </w:pPr>
      <w:r>
        <w:rPr>
          <w:rFonts w:ascii="Calibri" w:eastAsia="Times New Roman" w:hAnsi="Calibri"/>
          <w:color w:val="000000"/>
          <w:spacing w:val="-3"/>
          <w:szCs w:val="22"/>
        </w:rPr>
        <w:t>ownership interests that may be related to products, services, or interventions considered for use in the trial or that may be significantly affected by the trial</w:t>
      </w:r>
    </w:p>
    <w:p w14:paraId="7C79D146" w14:textId="77777777" w:rsidR="007C525D" w:rsidRDefault="007C757A">
      <w:pPr>
        <w:numPr>
          <w:ilvl w:val="0"/>
          <w:numId w:val="16"/>
        </w:numPr>
        <w:rPr>
          <w:rFonts w:ascii="Calibri" w:eastAsia="Times New Roman" w:hAnsi="Calibri"/>
          <w:color w:val="000000"/>
          <w:spacing w:val="-3"/>
          <w:szCs w:val="22"/>
        </w:rPr>
      </w:pPr>
      <w:r>
        <w:rPr>
          <w:rFonts w:ascii="Calibri" w:eastAsia="Times New Roman" w:hAnsi="Calibri"/>
          <w:color w:val="000000"/>
          <w:spacing w:val="-3"/>
          <w:szCs w:val="22"/>
        </w:rPr>
        <w:t>commercial ties requiring disclosure include, but are not restricted to, any pharmaceutical, behaviour modification, and/or technology company</w:t>
      </w:r>
    </w:p>
    <w:p w14:paraId="685E5F04" w14:textId="77777777" w:rsidR="007C525D" w:rsidRDefault="007C757A">
      <w:pPr>
        <w:numPr>
          <w:ilvl w:val="0"/>
          <w:numId w:val="16"/>
        </w:numPr>
        <w:rPr>
          <w:rFonts w:ascii="Calibri" w:eastAsia="Times New Roman" w:hAnsi="Calibri"/>
          <w:color w:val="000000"/>
          <w:spacing w:val="-3"/>
          <w:szCs w:val="22"/>
        </w:rPr>
      </w:pPr>
      <w:r>
        <w:rPr>
          <w:rFonts w:ascii="Calibri" w:eastAsia="Times New Roman" w:hAnsi="Calibri"/>
          <w:color w:val="000000"/>
          <w:spacing w:val="-3"/>
          <w:szCs w:val="22"/>
        </w:rPr>
        <w:t>any non-commercial potential conflicts e.g. professional collaborations that may impact on academic promotion.</w:t>
      </w:r>
    </w:p>
    <w:p w14:paraId="07700E93" w14:textId="77777777" w:rsidR="007C525D" w:rsidRDefault="007C757A">
      <w:pPr>
        <w:pStyle w:val="BodyText"/>
        <w:tabs>
          <w:tab w:val="left" w:pos="0"/>
        </w:tabs>
        <w:spacing w:after="120"/>
      </w:pPr>
      <w:r>
        <w:rPr>
          <w:rFonts w:ascii="Calibri" w:hAnsi="Calibri" w:cs="Arial"/>
          <w:color w:val="000000"/>
          <w:sz w:val="22"/>
          <w:szCs w:val="22"/>
        </w:rPr>
        <w:t>A record of this disclosure of competing interests will be kept locally in the ISFs and in the TMF</w:t>
      </w:r>
    </w:p>
    <w:p w14:paraId="70EBC304" w14:textId="77777777" w:rsidR="007C525D" w:rsidRDefault="007C757A">
      <w:pPr>
        <w:pStyle w:val="Heading31"/>
        <w:suppressAutoHyphens w:val="0"/>
        <w:rPr>
          <w:rFonts w:ascii="Calibri" w:hAnsi="Calibri" w:cs="Arial"/>
          <w:bCs/>
          <w:szCs w:val="22"/>
          <w:lang w:val="en-GB"/>
        </w:rPr>
      </w:pPr>
      <w:r>
        <w:rPr>
          <w:rFonts w:ascii="Calibri" w:hAnsi="Calibri" w:cs="Arial"/>
          <w:bCs/>
          <w:szCs w:val="22"/>
          <w:lang w:val="en-GB"/>
        </w:rPr>
        <w:t xml:space="preserve">13.8 </w:t>
      </w:r>
      <w:r>
        <w:rPr>
          <w:rFonts w:ascii="Calibri" w:hAnsi="Calibri" w:cs="Arial"/>
          <w:bCs/>
          <w:szCs w:val="22"/>
          <w:lang w:val="en-GB"/>
        </w:rPr>
        <w:tab/>
        <w:t>Indemnity</w:t>
      </w:r>
    </w:p>
    <w:p w14:paraId="1FA55156" w14:textId="77777777" w:rsidR="007C525D" w:rsidRDefault="007C757A">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Calibri" w:eastAsia="Times New Roman" w:hAnsi="Calibri"/>
          <w:b/>
          <w:color w:val="000000"/>
          <w:spacing w:val="-3"/>
          <w:szCs w:val="22"/>
        </w:rPr>
      </w:pPr>
      <w:r>
        <w:rPr>
          <w:rFonts w:ascii="Calibri" w:eastAsia="Times New Roman" w:hAnsi="Calibri"/>
          <w:b/>
          <w:color w:val="000000"/>
          <w:spacing w:val="-3"/>
          <w:szCs w:val="22"/>
        </w:rPr>
        <w:t>St George’s University of London sponsored research:</w:t>
      </w:r>
    </w:p>
    <w:p w14:paraId="242E24D7" w14:textId="77777777" w:rsidR="007C525D" w:rsidRDefault="007C757A">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eastAsia="Times New Roman" w:hAnsi="Calibri"/>
          <w:color w:val="000000"/>
          <w:spacing w:val="-3"/>
          <w:szCs w:val="22"/>
        </w:rPr>
      </w:pPr>
      <w:r>
        <w:rPr>
          <w:rFonts w:ascii="Calibri" w:eastAsia="Times New Roman" w:hAnsi="Calibri"/>
          <w:color w:val="000000"/>
          <w:spacing w:val="-3"/>
          <w:szCs w:val="22"/>
        </w:rPr>
        <w:t xml:space="preserve">St George’s University of London holds insurance to cover participants for injury caused by their participation in the clinical trial. Participants may be able to claim compensation if they can prove that St George’s has been negligent. This includes negligence in the writing of the protocol, or selection of trial resources. </w:t>
      </w:r>
    </w:p>
    <w:p w14:paraId="1948025B" w14:textId="4FB43324" w:rsidR="007C525D" w:rsidRDefault="007C757A">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eastAsia="Times New Roman" w:hAnsi="Calibri"/>
          <w:color w:val="000000"/>
          <w:spacing w:val="-3"/>
          <w:szCs w:val="22"/>
        </w:rPr>
      </w:pPr>
      <w:r>
        <w:rPr>
          <w:rFonts w:ascii="Calibri" w:eastAsia="Times New Roman" w:hAnsi="Calibri"/>
          <w:color w:val="000000"/>
          <w:spacing w:val="-3"/>
          <w:szCs w:val="22"/>
        </w:rPr>
        <w:t xml:space="preserve">Where the Trial is conducted in a hospital, the hospital has a duty of care to participants. St George’s University of London will not accept liability for any breach in the hospital’s duty of care, or any negligence on the part of hospital employees.  </w:t>
      </w:r>
    </w:p>
    <w:p w14:paraId="7A8F2403" w14:textId="77777777" w:rsidR="007C525D" w:rsidRDefault="007C757A">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eastAsia="Times New Roman" w:hAnsi="Calibri"/>
          <w:color w:val="000000"/>
          <w:spacing w:val="-3"/>
          <w:szCs w:val="22"/>
        </w:rPr>
      </w:pPr>
      <w:r>
        <w:rPr>
          <w:rFonts w:ascii="Calibri" w:eastAsia="Times New Roman" w:hAnsi="Calibri"/>
          <w:color w:val="000000"/>
          <w:spacing w:val="-3"/>
          <w:szCs w:val="22"/>
        </w:rPr>
        <w:t xml:space="preserve">If a participant indicates that they wish to make a claim for compensation, this needs to be brought to the attention of St George’s University of London immediately.  </w:t>
      </w:r>
    </w:p>
    <w:p w14:paraId="606587D1" w14:textId="77777777" w:rsidR="007C525D" w:rsidRDefault="007C757A">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eastAsia="Times New Roman" w:hAnsi="Calibri"/>
          <w:color w:val="000000"/>
          <w:spacing w:val="-3"/>
          <w:szCs w:val="22"/>
        </w:rPr>
      </w:pPr>
      <w:r>
        <w:rPr>
          <w:rFonts w:ascii="Calibri" w:eastAsia="Times New Roman" w:hAnsi="Calibri"/>
          <w:color w:val="000000"/>
          <w:spacing w:val="-3"/>
          <w:szCs w:val="22"/>
        </w:rPr>
        <w:t xml:space="preserve">Failure to alert St George’s University of London without delay and to comply with requests for information by the sponsor or any designated Agents may lead to a lack of insurance cover for the incident.  </w:t>
      </w:r>
    </w:p>
    <w:p w14:paraId="3218392A" w14:textId="77777777" w:rsidR="007C525D" w:rsidRDefault="007C525D">
      <w:pPr>
        <w:pStyle w:val="Heading31"/>
        <w:suppressAutoHyphens w:val="0"/>
        <w:rPr>
          <w:rFonts w:ascii="Calibri" w:hAnsi="Calibri" w:cs="Arial"/>
          <w:bCs/>
          <w:szCs w:val="22"/>
          <w:lang w:val="en-GB"/>
        </w:rPr>
      </w:pPr>
    </w:p>
    <w:p w14:paraId="6655CABC" w14:textId="77777777" w:rsidR="007C525D" w:rsidRDefault="007C757A">
      <w:pPr>
        <w:pStyle w:val="Heading31"/>
        <w:suppressAutoHyphens w:val="0"/>
        <w:rPr>
          <w:rFonts w:ascii="Calibri" w:hAnsi="Calibri" w:cs="Arial"/>
          <w:bCs/>
          <w:szCs w:val="22"/>
          <w:lang w:val="en-GB"/>
        </w:rPr>
      </w:pPr>
      <w:r>
        <w:rPr>
          <w:rFonts w:ascii="Calibri" w:hAnsi="Calibri" w:cs="Arial"/>
          <w:bCs/>
          <w:szCs w:val="22"/>
          <w:lang w:val="en-GB"/>
        </w:rPr>
        <w:t xml:space="preserve">13.9 </w:t>
      </w:r>
      <w:r>
        <w:rPr>
          <w:rFonts w:ascii="Calibri" w:hAnsi="Calibri" w:cs="Arial"/>
          <w:bCs/>
          <w:szCs w:val="22"/>
          <w:lang w:val="en-GB"/>
        </w:rPr>
        <w:tab/>
        <w:t xml:space="preserve">Amendments </w:t>
      </w:r>
    </w:p>
    <w:p w14:paraId="044F7D45" w14:textId="77777777" w:rsidR="007C525D" w:rsidRDefault="007C757A">
      <w:pPr>
        <w:pStyle w:val="Heading31"/>
        <w:suppressAutoHyphens w:val="0"/>
        <w:spacing w:line="276" w:lineRule="auto"/>
        <w:rPr>
          <w:rFonts w:ascii="Calibri" w:hAnsi="Calibri" w:cs="Arial"/>
          <w:b w:val="0"/>
          <w:color w:val="000000"/>
          <w:spacing w:val="-3"/>
          <w:szCs w:val="22"/>
          <w:lang w:val="en-GB"/>
        </w:rPr>
      </w:pPr>
      <w:r>
        <w:rPr>
          <w:rFonts w:ascii="Calibri" w:hAnsi="Calibri" w:cs="Arial"/>
          <w:b w:val="0"/>
          <w:color w:val="000000"/>
          <w:spacing w:val="-3"/>
          <w:szCs w:val="22"/>
          <w:lang w:val="en-GB"/>
        </w:rPr>
        <w:t xml:space="preserve">Amendments can be made whilst the study is ongoing. The decision about the need for an amendment would be made by the Chief Investigator, informed by discussions with the trial management group and the JRES. The decision about whether the amendment is substantial or non-substantial will be made by the Chief Investigator in discussion with the JRES. The amendment will be prepared by a member of the central study team and the JRES and will be submitted to the REC through the IRAS system. Substantive changes will be communicated to all sites by a member </w:t>
      </w:r>
      <w:r>
        <w:rPr>
          <w:rFonts w:ascii="Calibri" w:hAnsi="Calibri" w:cs="Arial"/>
          <w:b w:val="0"/>
          <w:color w:val="000000"/>
          <w:spacing w:val="-3"/>
          <w:szCs w:val="22"/>
          <w:lang w:val="en-GB"/>
        </w:rPr>
        <w:lastRenderedPageBreak/>
        <w:t xml:space="preserve">of the central study team or a representative of the JRES and details of the amendment history will be stored in ISFs at sites and in the TMF.  </w:t>
      </w:r>
    </w:p>
    <w:p w14:paraId="788573EA" w14:textId="77777777" w:rsidR="007C525D" w:rsidRDefault="007C525D">
      <w:pPr>
        <w:rPr>
          <w:rFonts w:ascii="Calibri" w:hAnsi="Calibri"/>
          <w:b/>
          <w:iCs/>
          <w:color w:val="0000FF"/>
          <w:szCs w:val="22"/>
        </w:rPr>
      </w:pPr>
    </w:p>
    <w:p w14:paraId="32BCCC86" w14:textId="77777777" w:rsidR="007C525D" w:rsidRDefault="007C757A">
      <w:pPr>
        <w:spacing w:after="0"/>
        <w:rPr>
          <w:rFonts w:ascii="Calibri" w:hAnsi="Calibri"/>
          <w:b/>
          <w:szCs w:val="22"/>
        </w:rPr>
      </w:pPr>
      <w:r>
        <w:rPr>
          <w:rFonts w:ascii="Calibri" w:hAnsi="Calibri"/>
          <w:b/>
          <w:szCs w:val="22"/>
        </w:rPr>
        <w:t xml:space="preserve">13.10 </w:t>
      </w:r>
      <w:r>
        <w:rPr>
          <w:rFonts w:ascii="Calibri" w:hAnsi="Calibri"/>
          <w:b/>
          <w:szCs w:val="22"/>
        </w:rPr>
        <w:tab/>
        <w:t>Post trial care</w:t>
      </w:r>
    </w:p>
    <w:p w14:paraId="0FFEF58B" w14:textId="77777777" w:rsidR="007C525D" w:rsidRDefault="007C757A">
      <w:pPr>
        <w:pStyle w:val="Heading31"/>
        <w:suppressAutoHyphens w:val="0"/>
        <w:spacing w:line="276" w:lineRule="auto"/>
        <w:rPr>
          <w:rFonts w:ascii="Calibri" w:hAnsi="Calibri" w:cs="Arial"/>
          <w:b w:val="0"/>
          <w:color w:val="000000"/>
          <w:spacing w:val="-3"/>
          <w:szCs w:val="22"/>
          <w:lang w:val="en-GB"/>
        </w:rPr>
      </w:pPr>
      <w:r>
        <w:rPr>
          <w:rFonts w:ascii="Calibri" w:hAnsi="Calibri" w:cs="Arial"/>
          <w:b w:val="0"/>
          <w:color w:val="000000"/>
          <w:spacing w:val="-3"/>
          <w:szCs w:val="22"/>
          <w:lang w:val="en-GB"/>
        </w:rPr>
        <w:t xml:space="preserve">Infants will receive a vaccine which is part of the national immunisation schedule in the UK. There is no need for any post trial care to be arranged. </w:t>
      </w:r>
    </w:p>
    <w:p w14:paraId="431E8633" w14:textId="77777777" w:rsidR="007C525D" w:rsidRDefault="007C525D">
      <w:pPr>
        <w:pStyle w:val="Heading31"/>
        <w:suppressAutoHyphens w:val="0"/>
        <w:rPr>
          <w:rFonts w:ascii="Calibri" w:hAnsi="Calibri" w:cs="Arial"/>
          <w:bCs/>
          <w:color w:val="0000FF"/>
          <w:szCs w:val="22"/>
          <w:lang w:val="en-GB"/>
        </w:rPr>
      </w:pPr>
    </w:p>
    <w:p w14:paraId="050F2EEB" w14:textId="77777777" w:rsidR="007C525D" w:rsidRDefault="007C757A">
      <w:pPr>
        <w:rPr>
          <w:rFonts w:ascii="Calibri" w:hAnsi="Calibri"/>
          <w:b/>
          <w:szCs w:val="22"/>
        </w:rPr>
      </w:pPr>
      <w:r>
        <w:rPr>
          <w:rFonts w:ascii="Calibri" w:hAnsi="Calibri"/>
          <w:b/>
          <w:szCs w:val="22"/>
        </w:rPr>
        <w:t xml:space="preserve">13.11 </w:t>
      </w:r>
      <w:r>
        <w:rPr>
          <w:rFonts w:ascii="Calibri" w:hAnsi="Calibri"/>
          <w:b/>
          <w:szCs w:val="22"/>
        </w:rPr>
        <w:tab/>
        <w:t>Access to the final trial dataset</w:t>
      </w:r>
    </w:p>
    <w:p w14:paraId="32879F6D" w14:textId="77777777" w:rsidR="007C525D" w:rsidRDefault="007C757A">
      <w:pPr>
        <w:spacing w:line="276" w:lineRule="auto"/>
        <w:rPr>
          <w:rFonts w:ascii="Calibri" w:eastAsia="Times New Roman" w:hAnsi="Calibri"/>
          <w:color w:val="000000"/>
          <w:spacing w:val="-3"/>
          <w:szCs w:val="22"/>
        </w:rPr>
      </w:pPr>
      <w:r>
        <w:rPr>
          <w:rFonts w:ascii="Calibri" w:eastAsia="Times New Roman" w:hAnsi="Calibri"/>
          <w:color w:val="000000"/>
          <w:spacing w:val="-3"/>
          <w:szCs w:val="22"/>
        </w:rPr>
        <w:t xml:space="preserve">All members of the trial management group will have access to the full dataset on request. This will include the principal investigators at all sites. </w:t>
      </w:r>
    </w:p>
    <w:p w14:paraId="17FBD8F7" w14:textId="77777777" w:rsidR="007C525D" w:rsidRDefault="007C525D">
      <w:pPr>
        <w:ind w:left="895"/>
        <w:rPr>
          <w:rFonts w:ascii="Calibri" w:hAnsi="Calibri"/>
          <w:color w:val="0000FF"/>
          <w:szCs w:val="22"/>
        </w:rPr>
      </w:pPr>
    </w:p>
    <w:p w14:paraId="33BF3055" w14:textId="77777777" w:rsidR="007C525D" w:rsidRDefault="007C757A">
      <w:pPr>
        <w:pStyle w:val="Heading1"/>
      </w:pPr>
      <w:r>
        <w:rPr>
          <w:rFonts w:ascii="Calibri" w:hAnsi="Calibri"/>
          <w:color w:val="auto"/>
          <w:spacing w:val="-3"/>
          <w:sz w:val="22"/>
          <w:szCs w:val="22"/>
        </w:rPr>
        <w:t xml:space="preserve">14 </w:t>
      </w:r>
      <w:r>
        <w:rPr>
          <w:rFonts w:ascii="Calibri" w:hAnsi="Calibri"/>
          <w:color w:val="auto"/>
          <w:spacing w:val="-3"/>
          <w:sz w:val="22"/>
          <w:szCs w:val="22"/>
        </w:rPr>
        <w:tab/>
        <w:t>DISSEMINIATION POLICY</w:t>
      </w:r>
    </w:p>
    <w:p w14:paraId="48ADF3FC" w14:textId="77777777" w:rsidR="007C525D" w:rsidRDefault="007C525D"/>
    <w:p w14:paraId="5475F2D9" w14:textId="77777777" w:rsidR="007C525D" w:rsidRDefault="007C757A">
      <w:pPr>
        <w:rPr>
          <w:rFonts w:ascii="Calibri" w:eastAsia="Times New Roman" w:hAnsi="Calibri"/>
          <w:color w:val="000000"/>
          <w:spacing w:val="-3"/>
          <w:szCs w:val="22"/>
        </w:rPr>
      </w:pPr>
      <w:r>
        <w:rPr>
          <w:rFonts w:ascii="Calibri" w:eastAsia="Times New Roman" w:hAnsi="Calibri"/>
          <w:color w:val="000000"/>
          <w:spacing w:val="-3"/>
          <w:szCs w:val="22"/>
        </w:rPr>
        <w:t xml:space="preserve">All scientific contributors to the Trial have a responsibility to ensure that results of scientific interest arising from Trial are appropriately published and disseminated. The Sponsor has a firm commitment to publish the results of the Trial in a transparent and unbiased manner without consideration for commercial objectives. </w:t>
      </w:r>
    </w:p>
    <w:p w14:paraId="4BF242AD" w14:textId="77777777" w:rsidR="007C525D" w:rsidRDefault="007C757A">
      <w:pPr>
        <w:rPr>
          <w:rFonts w:ascii="Calibri" w:eastAsia="Times New Roman" w:hAnsi="Calibri"/>
          <w:color w:val="000000"/>
          <w:spacing w:val="-3"/>
          <w:szCs w:val="22"/>
        </w:rPr>
      </w:pPr>
      <w:r>
        <w:rPr>
          <w:rFonts w:ascii="Calibri" w:eastAsia="Times New Roman" w:hAnsi="Calibri"/>
          <w:color w:val="000000"/>
          <w:spacing w:val="-3"/>
          <w:szCs w:val="22"/>
        </w:rPr>
        <w:t xml:space="preserve">To maximise the impact and scientific validity of the Trial, data shall be consolidated over the duration of the trial, reviewed internally among all investigators and not be submitted for publication prematurely. Lead in any publications arising from the Trial shall lie with the Sponsor in the first instance. </w:t>
      </w:r>
    </w:p>
    <w:p w14:paraId="27F4CA81" w14:textId="77777777" w:rsidR="007C525D" w:rsidRDefault="007C757A">
      <w:pPr>
        <w:rPr>
          <w:rFonts w:ascii="Calibri" w:eastAsia="Times New Roman" w:hAnsi="Calibri"/>
          <w:b/>
          <w:color w:val="000000"/>
          <w:spacing w:val="-3"/>
          <w:szCs w:val="22"/>
        </w:rPr>
      </w:pPr>
      <w:bookmarkStart w:id="48" w:name="_Toc392780499"/>
      <w:bookmarkStart w:id="49" w:name="_Toc395002684"/>
      <w:r>
        <w:rPr>
          <w:rFonts w:ascii="Calibri" w:eastAsia="Times New Roman" w:hAnsi="Calibri"/>
          <w:b/>
          <w:color w:val="000000"/>
          <w:spacing w:val="-3"/>
          <w:szCs w:val="22"/>
        </w:rPr>
        <w:t>Before the official completion of the Trial,</w:t>
      </w:r>
      <w:bookmarkEnd w:id="48"/>
      <w:bookmarkEnd w:id="49"/>
      <w:r>
        <w:rPr>
          <w:rFonts w:ascii="Calibri" w:eastAsia="Times New Roman" w:hAnsi="Calibri"/>
          <w:b/>
          <w:color w:val="000000"/>
          <w:spacing w:val="-3"/>
          <w:szCs w:val="22"/>
        </w:rPr>
        <w:t xml:space="preserve"> </w:t>
      </w:r>
    </w:p>
    <w:p w14:paraId="750980AA" w14:textId="77777777" w:rsidR="007C525D" w:rsidRDefault="007C757A">
      <w:r>
        <w:rPr>
          <w:rFonts w:ascii="Calibri" w:eastAsia="Times New Roman" w:hAnsi="Calibri"/>
          <w:color w:val="000000"/>
          <w:spacing w:val="-3"/>
          <w:szCs w:val="22"/>
        </w:rPr>
        <w:t xml:space="preserve">All publications during this period are subject to permission by the Sponsor. If an investigator wishes to publish a sub-set of data without permission by the Sponsor during this period, the </w:t>
      </w:r>
      <w:r>
        <w:rPr>
          <w:rFonts w:ascii="Calibri" w:eastAsia="Times New Roman" w:hAnsi="Calibri"/>
          <w:b/>
          <w:color w:val="000000"/>
          <w:spacing w:val="-3"/>
          <w:szCs w:val="22"/>
          <w:u w:val="single"/>
        </w:rPr>
        <w:t>Steering Committee/the Funder</w:t>
      </w:r>
      <w:r>
        <w:rPr>
          <w:rFonts w:ascii="Calibri" w:eastAsia="Times New Roman" w:hAnsi="Calibri"/>
          <w:color w:val="000000"/>
          <w:spacing w:val="-3"/>
          <w:szCs w:val="22"/>
        </w:rPr>
        <w:t xml:space="preserve"> shall have the final say. </w:t>
      </w:r>
    </w:p>
    <w:p w14:paraId="0899F6BE" w14:textId="77777777" w:rsidR="007C525D" w:rsidRDefault="007C757A">
      <w:pPr>
        <w:rPr>
          <w:rFonts w:ascii="Calibri" w:eastAsia="Times New Roman" w:hAnsi="Calibri"/>
          <w:color w:val="000000"/>
          <w:spacing w:val="-3"/>
          <w:szCs w:val="22"/>
        </w:rPr>
      </w:pPr>
      <w:r>
        <w:rPr>
          <w:rFonts w:ascii="Calibri" w:eastAsia="Times New Roman" w:hAnsi="Calibri"/>
          <w:color w:val="000000"/>
          <w:spacing w:val="-3"/>
          <w:szCs w:val="22"/>
        </w:rPr>
        <w:t xml:space="preserve">Exempt from this requirement are student theses that can be submitted for confidential evaluation but are subject to embargo for a period not shorter than the anticipated remaining duration of the trial.     </w:t>
      </w:r>
    </w:p>
    <w:p w14:paraId="159B899A" w14:textId="77777777" w:rsidR="007C525D" w:rsidRDefault="007C757A">
      <w:pPr>
        <w:rPr>
          <w:rFonts w:ascii="Calibri" w:eastAsia="Times New Roman" w:hAnsi="Calibri"/>
          <w:b/>
          <w:color w:val="000000"/>
          <w:spacing w:val="-3"/>
          <w:szCs w:val="22"/>
        </w:rPr>
      </w:pPr>
      <w:bookmarkStart w:id="50" w:name="_Toc395002685"/>
      <w:bookmarkStart w:id="51" w:name="_Toc392780500"/>
      <w:r>
        <w:rPr>
          <w:rFonts w:ascii="Calibri" w:eastAsia="Times New Roman" w:hAnsi="Calibri"/>
          <w:b/>
          <w:color w:val="000000"/>
          <w:spacing w:val="-3"/>
          <w:szCs w:val="22"/>
        </w:rPr>
        <w:t>Up to 180 days after the official completion of the Trial</w:t>
      </w:r>
      <w:bookmarkEnd w:id="50"/>
      <w:bookmarkEnd w:id="51"/>
      <w:r>
        <w:rPr>
          <w:rFonts w:ascii="Calibri" w:eastAsia="Times New Roman" w:hAnsi="Calibri"/>
          <w:b/>
          <w:color w:val="000000"/>
          <w:spacing w:val="-3"/>
          <w:szCs w:val="22"/>
        </w:rPr>
        <w:t xml:space="preserve"> </w:t>
      </w:r>
    </w:p>
    <w:p w14:paraId="0AFAA3BA" w14:textId="77777777" w:rsidR="007C525D" w:rsidRDefault="007C757A">
      <w:pPr>
        <w:rPr>
          <w:rFonts w:ascii="Calibri" w:eastAsia="Times New Roman" w:hAnsi="Calibri"/>
          <w:color w:val="000000"/>
          <w:spacing w:val="-3"/>
          <w:szCs w:val="22"/>
        </w:rPr>
      </w:pPr>
      <w:r>
        <w:rPr>
          <w:rFonts w:ascii="Calibri" w:eastAsia="Times New Roman" w:hAnsi="Calibri"/>
          <w:color w:val="000000"/>
          <w:spacing w:val="-3"/>
          <w:szCs w:val="22"/>
        </w:rPr>
        <w:t xml:space="preserve">During this period the Chief Investigator shall liaise with all investigators and strive to consolidate data and results and submit a manuscript for peer-review with a view to publication in a reputable academic journal or similar outlet as the Main Publication. </w:t>
      </w:r>
    </w:p>
    <w:p w14:paraId="4C67D4AF" w14:textId="77777777" w:rsidR="007C525D" w:rsidRDefault="007C757A">
      <w:pPr>
        <w:numPr>
          <w:ilvl w:val="0"/>
          <w:numId w:val="20"/>
        </w:numPr>
        <w:tabs>
          <w:tab w:val="left" w:pos="0"/>
        </w:tabs>
        <w:ind w:left="1080"/>
        <w:rPr>
          <w:rFonts w:ascii="Calibri" w:eastAsia="Times New Roman" w:hAnsi="Calibri"/>
          <w:color w:val="000000"/>
          <w:spacing w:val="-3"/>
          <w:szCs w:val="22"/>
        </w:rPr>
      </w:pPr>
      <w:r>
        <w:rPr>
          <w:rFonts w:ascii="Calibri" w:eastAsia="Times New Roman" w:hAnsi="Calibri"/>
          <w:color w:val="000000"/>
          <w:spacing w:val="-3"/>
          <w:szCs w:val="22"/>
        </w:rPr>
        <w:t xml:space="preserve">The Chief Investigator shall be senior and corresponding author of the Main Publication. </w:t>
      </w:r>
    </w:p>
    <w:p w14:paraId="46572DAB" w14:textId="77777777" w:rsidR="007C525D" w:rsidRDefault="007C757A">
      <w:pPr>
        <w:numPr>
          <w:ilvl w:val="0"/>
          <w:numId w:val="20"/>
        </w:numPr>
        <w:tabs>
          <w:tab w:val="left" w:pos="0"/>
        </w:tabs>
        <w:ind w:left="1080"/>
        <w:rPr>
          <w:rFonts w:ascii="Calibri" w:eastAsia="Times New Roman" w:hAnsi="Calibri"/>
          <w:color w:val="000000"/>
          <w:spacing w:val="-3"/>
          <w:szCs w:val="22"/>
        </w:rPr>
      </w:pPr>
      <w:r>
        <w:rPr>
          <w:rFonts w:ascii="Calibri" w:eastAsia="Times New Roman" w:hAnsi="Calibri"/>
          <w:color w:val="000000"/>
          <w:spacing w:val="-3"/>
          <w:szCs w:val="22"/>
        </w:rPr>
        <w:t xml:space="preserve">Insofar as compatible with the policies of the publication outlet and good academic practice, the other Investigators shall be listed in alphabetic order. </w:t>
      </w:r>
    </w:p>
    <w:p w14:paraId="197FC8C6" w14:textId="77777777" w:rsidR="007C525D" w:rsidRDefault="007C757A">
      <w:pPr>
        <w:numPr>
          <w:ilvl w:val="0"/>
          <w:numId w:val="20"/>
        </w:numPr>
        <w:tabs>
          <w:tab w:val="left" w:pos="0"/>
        </w:tabs>
        <w:ind w:left="1080"/>
        <w:rPr>
          <w:rFonts w:ascii="Calibri" w:eastAsia="Times New Roman" w:hAnsi="Calibri"/>
          <w:color w:val="000000"/>
          <w:spacing w:val="-3"/>
          <w:szCs w:val="22"/>
        </w:rPr>
      </w:pPr>
      <w:r>
        <w:rPr>
          <w:rFonts w:ascii="Calibri" w:eastAsia="Times New Roman" w:hAnsi="Calibri"/>
          <w:color w:val="000000"/>
          <w:spacing w:val="-3"/>
          <w:szCs w:val="22"/>
        </w:rPr>
        <w:t xml:space="preserve">Providers of analytical or technical services shall be acknowledged, but will only be listed as co-authors if their services were provided in a non-routine manner as part of a scientific collaboration. </w:t>
      </w:r>
    </w:p>
    <w:p w14:paraId="56460AA0" w14:textId="77777777" w:rsidR="007C525D" w:rsidRDefault="007C757A">
      <w:pPr>
        <w:numPr>
          <w:ilvl w:val="0"/>
          <w:numId w:val="20"/>
        </w:numPr>
        <w:tabs>
          <w:tab w:val="left" w:pos="0"/>
        </w:tabs>
        <w:ind w:left="1080"/>
        <w:rPr>
          <w:rFonts w:ascii="Calibri" w:eastAsia="Times New Roman" w:hAnsi="Calibri"/>
          <w:color w:val="000000"/>
          <w:spacing w:val="-3"/>
          <w:szCs w:val="22"/>
        </w:rPr>
      </w:pPr>
      <w:r>
        <w:rPr>
          <w:rFonts w:ascii="Calibri" w:eastAsia="Times New Roman" w:hAnsi="Calibri"/>
          <w:color w:val="000000"/>
          <w:spacing w:val="-3"/>
          <w:szCs w:val="22"/>
        </w:rPr>
        <w:t xml:space="preserve">Members of the Steering Group shall only be acknowledged as co-authors if they contributed in other capacities as well.  </w:t>
      </w:r>
    </w:p>
    <w:p w14:paraId="58128CE4" w14:textId="77777777" w:rsidR="007C525D" w:rsidRDefault="007C757A">
      <w:pPr>
        <w:numPr>
          <w:ilvl w:val="0"/>
          <w:numId w:val="20"/>
        </w:numPr>
        <w:tabs>
          <w:tab w:val="left" w:pos="0"/>
        </w:tabs>
        <w:ind w:left="1080"/>
        <w:rPr>
          <w:rFonts w:ascii="Calibri" w:eastAsia="Times New Roman" w:hAnsi="Calibri"/>
          <w:color w:val="000000"/>
          <w:spacing w:val="-3"/>
          <w:szCs w:val="22"/>
        </w:rPr>
      </w:pPr>
      <w:r>
        <w:rPr>
          <w:rFonts w:ascii="Calibri" w:eastAsia="Times New Roman" w:hAnsi="Calibri"/>
          <w:color w:val="000000"/>
          <w:spacing w:val="-3"/>
          <w:szCs w:val="22"/>
        </w:rPr>
        <w:t xml:space="preserve">If there are disagreements about the substance, content, style, conclusions, or author list of the Main Publication, the Chief Investigator shall ask the Steering Group to arbitrate.    </w:t>
      </w:r>
    </w:p>
    <w:p w14:paraId="5AB3EED4" w14:textId="77777777" w:rsidR="007C525D" w:rsidRDefault="007C757A">
      <w:pPr>
        <w:rPr>
          <w:rFonts w:ascii="Calibri" w:eastAsia="Times New Roman" w:hAnsi="Calibri"/>
          <w:b/>
          <w:color w:val="000000"/>
          <w:spacing w:val="-3"/>
          <w:szCs w:val="22"/>
        </w:rPr>
      </w:pPr>
      <w:bookmarkStart w:id="52" w:name="_Toc392780501"/>
      <w:bookmarkStart w:id="53" w:name="_Toc395002686"/>
      <w:r>
        <w:rPr>
          <w:rFonts w:ascii="Calibri" w:eastAsia="Times New Roman" w:hAnsi="Calibri"/>
          <w:b/>
          <w:color w:val="000000"/>
          <w:spacing w:val="-3"/>
          <w:szCs w:val="22"/>
        </w:rPr>
        <w:t>Beyond 180 days after the official completion of the Trial</w:t>
      </w:r>
      <w:bookmarkEnd w:id="52"/>
      <w:bookmarkEnd w:id="53"/>
      <w:r>
        <w:rPr>
          <w:rFonts w:ascii="Calibri" w:eastAsia="Times New Roman" w:hAnsi="Calibri"/>
          <w:b/>
          <w:color w:val="000000"/>
          <w:spacing w:val="-3"/>
          <w:szCs w:val="22"/>
        </w:rPr>
        <w:t xml:space="preserve"> </w:t>
      </w:r>
    </w:p>
    <w:p w14:paraId="43DE195A" w14:textId="77777777" w:rsidR="007C525D" w:rsidRDefault="007C757A">
      <w:r>
        <w:rPr>
          <w:rFonts w:ascii="Calibri" w:eastAsia="Times New Roman" w:hAnsi="Calibri"/>
          <w:color w:val="000000"/>
          <w:spacing w:val="-3"/>
          <w:szCs w:val="22"/>
        </w:rPr>
        <w:lastRenderedPageBreak/>
        <w:t xml:space="preserve">After the Main Publication or after 180 days from Trial end date any Investigator or group of investigators may prepare further publications.  In order to ensure that the Sponsor will be able to make comments and suggestions where pertinent, material for public dissemination will be submitted to the Sponsor for review at least sixty (60) days prior to submission for publication, public dissemination, or review by a publication committee. Sponsor’s reasonable comments shall be reflected. All publications related to the Trial shall credit the Chief and Co-Investigators as co-authors where this would be in accordance with normal academic practice and shall acknowledge the Sponsor and the Funders.   </w:t>
      </w:r>
      <w:r>
        <w:br w:type="page"/>
      </w:r>
    </w:p>
    <w:p w14:paraId="3A7F5F79" w14:textId="77777777" w:rsidR="007C525D" w:rsidRDefault="007C757A">
      <w:pPr>
        <w:pStyle w:val="Heading1"/>
        <w:rPr>
          <w:rFonts w:ascii="Calibri" w:hAnsi="Calibri"/>
          <w:color w:val="auto"/>
          <w:spacing w:val="-3"/>
          <w:sz w:val="22"/>
          <w:szCs w:val="22"/>
        </w:rPr>
      </w:pPr>
      <w:r>
        <w:rPr>
          <w:rFonts w:ascii="Calibri" w:hAnsi="Calibri"/>
          <w:color w:val="auto"/>
          <w:spacing w:val="-3"/>
          <w:sz w:val="22"/>
          <w:szCs w:val="22"/>
        </w:rPr>
        <w:lastRenderedPageBreak/>
        <w:t>15</w:t>
      </w:r>
      <w:r>
        <w:rPr>
          <w:rFonts w:ascii="Calibri" w:hAnsi="Calibri"/>
          <w:color w:val="auto"/>
          <w:spacing w:val="-3"/>
          <w:sz w:val="22"/>
          <w:szCs w:val="22"/>
        </w:rPr>
        <w:tab/>
        <w:t>REFERENCES</w:t>
      </w:r>
    </w:p>
    <w:p w14:paraId="437E6D43" w14:textId="77777777" w:rsidR="007C525D" w:rsidRDefault="007C525D"/>
    <w:p w14:paraId="6432880B" w14:textId="77777777" w:rsidR="007C525D" w:rsidRDefault="007C757A">
      <w:pPr>
        <w:rPr>
          <w:rFonts w:ascii="Calibri" w:hAnsi="Calibri"/>
          <w:szCs w:val="22"/>
        </w:rPr>
      </w:pPr>
      <w:r>
        <w:rPr>
          <w:rFonts w:ascii="Calibri" w:hAnsi="Calibri"/>
          <w:szCs w:val="22"/>
        </w:rPr>
        <w:t>Bonhoeffer J, Menkes J, Gold MS, et al. Generalized convulsive seizure as an adverse event following immunization: case definition and guidelines for data collection, analysis, and presentation. Vaccine. 2004 Jan 26;22(5-6):557-62.</w:t>
      </w:r>
    </w:p>
    <w:p w14:paraId="0199ECA2" w14:textId="77777777" w:rsidR="007C525D" w:rsidRDefault="007C757A">
      <w:pPr>
        <w:rPr>
          <w:rFonts w:ascii="Calibri" w:hAnsi="Calibri"/>
          <w:szCs w:val="22"/>
        </w:rPr>
      </w:pPr>
      <w:r>
        <w:rPr>
          <w:rFonts w:ascii="Calibri" w:hAnsi="Calibri"/>
          <w:szCs w:val="22"/>
        </w:rPr>
        <w:t xml:space="preserve">Campbell H, Amirthalingam G, Andrews N et al. Accelerating control of pertussis in England and Wales. </w:t>
      </w:r>
      <w:proofErr w:type="spellStart"/>
      <w:r>
        <w:rPr>
          <w:rFonts w:ascii="Calibri" w:hAnsi="Calibri"/>
          <w:szCs w:val="22"/>
        </w:rPr>
        <w:t>Emerg</w:t>
      </w:r>
      <w:proofErr w:type="spellEnd"/>
      <w:r>
        <w:rPr>
          <w:rFonts w:ascii="Calibri" w:hAnsi="Calibri"/>
          <w:szCs w:val="22"/>
        </w:rPr>
        <w:t xml:space="preserve"> Infect Dis 2012; 18: 38-47.  </w:t>
      </w:r>
    </w:p>
    <w:p w14:paraId="0917C624" w14:textId="77777777" w:rsidR="007C525D" w:rsidRDefault="007C757A">
      <w:pPr>
        <w:rPr>
          <w:rFonts w:ascii="Calibri" w:hAnsi="Calibri"/>
          <w:szCs w:val="22"/>
        </w:rPr>
      </w:pPr>
      <w:r>
        <w:rPr>
          <w:rFonts w:ascii="Calibri" w:hAnsi="Calibri"/>
          <w:szCs w:val="22"/>
        </w:rPr>
        <w:t>Goldblatt D, Southern J, Andrews NJ, et al. Pneumococcal conjugate vaccine 13 delivered as one primary and one booster dose (1 + 1) compared with two primary doses and a booster (2 + 1) in UK infants: a multicentre, parallel group randomised controlled trial. Lancet Infect Dis 2018;18: 171–79.</w:t>
      </w:r>
    </w:p>
    <w:p w14:paraId="70190AE6" w14:textId="77777777" w:rsidR="007C525D" w:rsidRDefault="007C757A">
      <w:pPr>
        <w:rPr>
          <w:rFonts w:ascii="Calibri" w:hAnsi="Calibri"/>
          <w:szCs w:val="22"/>
        </w:rPr>
      </w:pPr>
      <w:proofErr w:type="spellStart"/>
      <w:r>
        <w:rPr>
          <w:rFonts w:ascii="Calibri" w:hAnsi="Calibri"/>
          <w:szCs w:val="22"/>
        </w:rPr>
        <w:t>Gossger</w:t>
      </w:r>
      <w:proofErr w:type="spellEnd"/>
      <w:r>
        <w:rPr>
          <w:rFonts w:ascii="Calibri" w:hAnsi="Calibri"/>
          <w:szCs w:val="22"/>
        </w:rPr>
        <w:t xml:space="preserve"> N, Snape MD, Yu LM, et al. Immunogenicity and tolerability of recombinant serogroup B meningococcal vaccine administered with or without routine infant vaccinations according to different immunization schedules: a randomized controlled trial. JAMA. 2012 Feb 8;307(6):573-82.</w:t>
      </w:r>
    </w:p>
    <w:p w14:paraId="0BC40B43" w14:textId="77777777" w:rsidR="007C525D" w:rsidRDefault="007C757A">
      <w:pPr>
        <w:rPr>
          <w:rFonts w:ascii="Calibri" w:hAnsi="Calibri"/>
          <w:szCs w:val="22"/>
        </w:rPr>
      </w:pPr>
      <w:r>
        <w:rPr>
          <w:rFonts w:ascii="Calibri" w:hAnsi="Calibri"/>
          <w:szCs w:val="22"/>
        </w:rPr>
        <w:t xml:space="preserve">Heath PT, </w:t>
      </w:r>
      <w:proofErr w:type="spellStart"/>
      <w:r>
        <w:rPr>
          <w:rFonts w:ascii="Calibri" w:hAnsi="Calibri"/>
          <w:szCs w:val="22"/>
        </w:rPr>
        <w:t>Booy</w:t>
      </w:r>
      <w:proofErr w:type="spellEnd"/>
      <w:r>
        <w:rPr>
          <w:rFonts w:ascii="Calibri" w:hAnsi="Calibri"/>
          <w:szCs w:val="22"/>
        </w:rPr>
        <w:t xml:space="preserve"> R, </w:t>
      </w:r>
      <w:proofErr w:type="spellStart"/>
      <w:r>
        <w:rPr>
          <w:rFonts w:ascii="Calibri" w:hAnsi="Calibri"/>
          <w:szCs w:val="22"/>
        </w:rPr>
        <w:t>McVernon</w:t>
      </w:r>
      <w:proofErr w:type="spellEnd"/>
      <w:r>
        <w:rPr>
          <w:rFonts w:ascii="Calibri" w:hAnsi="Calibri"/>
          <w:szCs w:val="22"/>
        </w:rPr>
        <w:t xml:space="preserve"> J, et al. Hib vaccination in infants born prematurely. Arch Dis Child. 2003; 88:206-10</w:t>
      </w:r>
    </w:p>
    <w:p w14:paraId="7AF0C235" w14:textId="77777777" w:rsidR="007C525D" w:rsidRDefault="007C757A">
      <w:pPr>
        <w:tabs>
          <w:tab w:val="left" w:pos="0"/>
        </w:tabs>
      </w:pPr>
      <w:r>
        <w:rPr>
          <w:rFonts w:ascii="Calibri" w:hAnsi="Calibri"/>
          <w:szCs w:val="22"/>
        </w:rPr>
        <w:t xml:space="preserve">Immunisation against infectious disease [The Green Book] 2013. UK Department of Health, published by HMSO. Available at: </w:t>
      </w:r>
      <w:hyperlink r:id="rId22">
        <w:r>
          <w:rPr>
            <w:rStyle w:val="Hyperlink1"/>
            <w:rFonts w:ascii="Calibri" w:hAnsi="Calibri"/>
            <w:szCs w:val="22"/>
          </w:rPr>
          <w:t>https://www.gov.uk/government/collections/immunisation-against-infectious-disease-the-green-book</w:t>
        </w:r>
      </w:hyperlink>
      <w:r>
        <w:rPr>
          <w:rFonts w:ascii="Calibri" w:hAnsi="Calibri"/>
          <w:szCs w:val="22"/>
        </w:rPr>
        <w:t xml:space="preserve">. </w:t>
      </w:r>
    </w:p>
    <w:p w14:paraId="0157664A" w14:textId="77777777" w:rsidR="007C525D" w:rsidRDefault="007C757A">
      <w:pPr>
        <w:rPr>
          <w:rFonts w:ascii="Calibri" w:hAnsi="Calibri"/>
          <w:szCs w:val="22"/>
        </w:rPr>
      </w:pPr>
      <w:r>
        <w:rPr>
          <w:rFonts w:ascii="Calibri" w:hAnsi="Calibri"/>
          <w:szCs w:val="22"/>
        </w:rPr>
        <w:t xml:space="preserve">Kent A, Ladhani SN, Andrews NJ, et al. Schedules for Pneumococcal Vaccination of Preterm Infants: An RCT. </w:t>
      </w:r>
      <w:proofErr w:type="spellStart"/>
      <w:r>
        <w:rPr>
          <w:rFonts w:ascii="Calibri" w:hAnsi="Calibri"/>
          <w:szCs w:val="22"/>
        </w:rPr>
        <w:t>Pediatrics</w:t>
      </w:r>
      <w:proofErr w:type="spellEnd"/>
      <w:r>
        <w:rPr>
          <w:rFonts w:ascii="Calibri" w:hAnsi="Calibri"/>
          <w:szCs w:val="22"/>
        </w:rPr>
        <w:t xml:space="preserve"> 2016; 138: e20153945</w:t>
      </w:r>
    </w:p>
    <w:p w14:paraId="10FBE241" w14:textId="77777777" w:rsidR="007C525D" w:rsidRDefault="007C757A">
      <w:pPr>
        <w:rPr>
          <w:rFonts w:ascii="Calibri" w:hAnsi="Calibri"/>
          <w:szCs w:val="22"/>
        </w:rPr>
      </w:pPr>
      <w:r>
        <w:rPr>
          <w:rFonts w:ascii="Calibri" w:hAnsi="Calibri"/>
          <w:szCs w:val="22"/>
        </w:rPr>
        <w:t>Ladhani SN, Flood JS, Ramsay ME, et al. Invasive meningococcal disease in England and Wales: implications for the introduction of new vaccines. Vaccine. 2012 May 21;30(24):3710-6.</w:t>
      </w:r>
    </w:p>
    <w:p w14:paraId="2A238207" w14:textId="77777777" w:rsidR="007C525D" w:rsidRDefault="007C757A">
      <w:pPr>
        <w:tabs>
          <w:tab w:val="left" w:pos="0"/>
        </w:tabs>
      </w:pPr>
      <w:proofErr w:type="spellStart"/>
      <w:r>
        <w:rPr>
          <w:rFonts w:ascii="Calibri" w:hAnsi="Calibri"/>
          <w:bCs/>
          <w:szCs w:val="22"/>
        </w:rPr>
        <w:t>Losonsky</w:t>
      </w:r>
      <w:proofErr w:type="spellEnd"/>
      <w:r>
        <w:rPr>
          <w:rFonts w:ascii="Calibri" w:hAnsi="Calibri"/>
          <w:bCs/>
          <w:szCs w:val="22"/>
        </w:rPr>
        <w:t xml:space="preserve"> GA,</w:t>
      </w:r>
      <w:r>
        <w:rPr>
          <w:rFonts w:ascii="Calibri" w:hAnsi="Calibri"/>
          <w:szCs w:val="22"/>
        </w:rPr>
        <w:t xml:space="preserve"> </w:t>
      </w:r>
      <w:r>
        <w:rPr>
          <w:rFonts w:ascii="Calibri" w:hAnsi="Calibri"/>
          <w:bCs/>
          <w:szCs w:val="22"/>
        </w:rPr>
        <w:t>Wasserman SS,</w:t>
      </w:r>
      <w:r>
        <w:rPr>
          <w:rFonts w:ascii="Calibri" w:hAnsi="Calibri"/>
          <w:szCs w:val="22"/>
        </w:rPr>
        <w:t xml:space="preserve"> </w:t>
      </w:r>
      <w:r>
        <w:rPr>
          <w:rFonts w:ascii="Calibri" w:hAnsi="Calibri"/>
          <w:bCs/>
          <w:szCs w:val="22"/>
        </w:rPr>
        <w:t xml:space="preserve">Stephens I, et al. </w:t>
      </w:r>
      <w:r>
        <w:rPr>
          <w:rFonts w:ascii="Calibri" w:hAnsi="Calibri"/>
          <w:szCs w:val="22"/>
        </w:rPr>
        <w:t xml:space="preserve">Hepatitis B Vaccination of Premature Infants: A Reassessment of Current Recommendations for Delayed Immunization. </w:t>
      </w:r>
      <w:proofErr w:type="spellStart"/>
      <w:r>
        <w:rPr>
          <w:rFonts w:ascii="Calibri" w:hAnsi="Calibri"/>
          <w:szCs w:val="22"/>
        </w:rPr>
        <w:t>Pediatrics</w:t>
      </w:r>
      <w:proofErr w:type="spellEnd"/>
      <w:r>
        <w:rPr>
          <w:rFonts w:ascii="Calibri" w:hAnsi="Calibri"/>
          <w:szCs w:val="22"/>
        </w:rPr>
        <w:t xml:space="preserve"> 1999; </w:t>
      </w:r>
      <w:proofErr w:type="gramStart"/>
      <w:r>
        <w:rPr>
          <w:rFonts w:ascii="Calibri" w:hAnsi="Calibri"/>
          <w:szCs w:val="22"/>
        </w:rPr>
        <w:t>103:e</w:t>
      </w:r>
      <w:proofErr w:type="gramEnd"/>
      <w:r>
        <w:rPr>
          <w:rFonts w:ascii="Calibri" w:hAnsi="Calibri"/>
          <w:szCs w:val="22"/>
        </w:rPr>
        <w:t>14</w:t>
      </w:r>
    </w:p>
    <w:p w14:paraId="2F3FFE2E" w14:textId="77777777" w:rsidR="007C525D" w:rsidRDefault="007C757A">
      <w:pPr>
        <w:pStyle w:val="CommentText"/>
      </w:pPr>
      <w:r>
        <w:rPr>
          <w:rFonts w:ascii="Calibri" w:hAnsi="Calibri"/>
          <w:sz w:val="22"/>
          <w:szCs w:val="22"/>
        </w:rPr>
        <w:t xml:space="preserve">Medical Research Council/Department of Health/Medicines for Healthcare Regulatory Agency. Joint Project on Risk-adapted Approaches to the Management of Clinical Trials of IMPs. (October 2011). Available at:  </w:t>
      </w:r>
      <w:hyperlink r:id="rId23">
        <w:r>
          <w:t>http://webarchive.nationalarchives.gov.uk/20141205150130/http://www.mhra.gov.uk/home/groups/l-ctu/documents/websiteresources/con111784.pdf</w:t>
        </w:r>
      </w:hyperlink>
      <w:r>
        <w:rPr>
          <w:rFonts w:ascii="Calibri" w:hAnsi="Calibri"/>
          <w:sz w:val="22"/>
          <w:szCs w:val="22"/>
        </w:rPr>
        <w:t xml:space="preserve"> (Accessed 12th February 2017)</w:t>
      </w:r>
    </w:p>
    <w:p w14:paraId="4506EC50" w14:textId="77777777" w:rsidR="007C525D" w:rsidRDefault="007C757A">
      <w:pPr>
        <w:tabs>
          <w:tab w:val="left" w:pos="0"/>
        </w:tabs>
        <w:rPr>
          <w:rFonts w:ascii="Calibri" w:hAnsi="Calibri"/>
          <w:szCs w:val="22"/>
        </w:rPr>
      </w:pPr>
      <w:r>
        <w:rPr>
          <w:rFonts w:ascii="Calibri" w:hAnsi="Calibri"/>
          <w:szCs w:val="22"/>
        </w:rPr>
        <w:t xml:space="preserve">Parikh SR, Andrews NJ, </w:t>
      </w:r>
      <w:proofErr w:type="spellStart"/>
      <w:r>
        <w:rPr>
          <w:rFonts w:ascii="Calibri" w:hAnsi="Calibri"/>
          <w:szCs w:val="22"/>
        </w:rPr>
        <w:t>Beebeejaun</w:t>
      </w:r>
      <w:proofErr w:type="spellEnd"/>
      <w:r>
        <w:rPr>
          <w:rFonts w:ascii="Calibri" w:hAnsi="Calibri"/>
          <w:szCs w:val="22"/>
        </w:rPr>
        <w:t xml:space="preserve"> K, et al. Effectiveness and impact of a reduced infant schedule of 4CMenB vaccine against group B meningococcal disease in England: a national observational cohort study. Lancet 2016; 388: 2775-2782</w:t>
      </w:r>
    </w:p>
    <w:p w14:paraId="35A480BB" w14:textId="77777777" w:rsidR="007C525D" w:rsidRDefault="007C757A">
      <w:pPr>
        <w:tabs>
          <w:tab w:val="left" w:pos="0"/>
        </w:tabs>
        <w:rPr>
          <w:rFonts w:ascii="Calibri" w:hAnsi="Calibri"/>
          <w:bCs/>
          <w:szCs w:val="22"/>
        </w:rPr>
      </w:pPr>
      <w:r>
        <w:rPr>
          <w:rFonts w:ascii="Calibri" w:hAnsi="Calibri"/>
          <w:bCs/>
          <w:szCs w:val="22"/>
        </w:rPr>
        <w:t xml:space="preserve">Robinson MJ, Heal C, Gardener E, et al. Antibody response to diphtheria-tetanus-pertussis immunization in preterm infants who receive dexamethasone for chronic lung disease. </w:t>
      </w:r>
      <w:proofErr w:type="spellStart"/>
      <w:r>
        <w:rPr>
          <w:rFonts w:ascii="Calibri" w:hAnsi="Calibri"/>
          <w:bCs/>
          <w:szCs w:val="22"/>
        </w:rPr>
        <w:t>Pediatrics</w:t>
      </w:r>
      <w:proofErr w:type="spellEnd"/>
      <w:r>
        <w:rPr>
          <w:rFonts w:ascii="Calibri" w:hAnsi="Calibri"/>
          <w:bCs/>
          <w:szCs w:val="22"/>
        </w:rPr>
        <w:t xml:space="preserve"> 2004; 113: 733–7</w:t>
      </w:r>
    </w:p>
    <w:p w14:paraId="02EB68FE" w14:textId="77777777" w:rsidR="007C525D" w:rsidRDefault="007C757A">
      <w:pPr>
        <w:tabs>
          <w:tab w:val="left" w:pos="0"/>
        </w:tabs>
      </w:pPr>
      <w:proofErr w:type="spellStart"/>
      <w:r>
        <w:rPr>
          <w:rFonts w:ascii="Calibri" w:hAnsi="Calibri"/>
          <w:szCs w:val="22"/>
        </w:rPr>
        <w:t>Rüggeberg</w:t>
      </w:r>
      <w:proofErr w:type="spellEnd"/>
      <w:r>
        <w:rPr>
          <w:rFonts w:ascii="Calibri" w:hAnsi="Calibri"/>
          <w:szCs w:val="22"/>
        </w:rPr>
        <w:t xml:space="preserve"> JU, Collins C, Clarke P, et al. Immunogenicity and induction of immunological memory of the heptavalent pneumococcal conjugate vaccine in preterm UK infants. ESPID 2005 (55)</w:t>
      </w:r>
      <w:r>
        <w:br w:type="page"/>
      </w:r>
    </w:p>
    <w:p w14:paraId="1C2790B2" w14:textId="77777777" w:rsidR="007C525D" w:rsidRDefault="007C757A">
      <w:pPr>
        <w:pStyle w:val="Heading1"/>
      </w:pPr>
      <w:r>
        <w:rPr>
          <w:rFonts w:ascii="Calibri" w:hAnsi="Calibri"/>
          <w:color w:val="auto"/>
          <w:spacing w:val="-3"/>
          <w:sz w:val="22"/>
          <w:szCs w:val="22"/>
        </w:rPr>
        <w:lastRenderedPageBreak/>
        <w:t xml:space="preserve">16. </w:t>
      </w:r>
      <w:r>
        <w:rPr>
          <w:rFonts w:ascii="Calibri" w:hAnsi="Calibri"/>
          <w:color w:val="auto"/>
          <w:spacing w:val="-3"/>
          <w:sz w:val="22"/>
          <w:szCs w:val="22"/>
        </w:rPr>
        <w:tab/>
        <w:t>APPENDICIES</w:t>
      </w:r>
    </w:p>
    <w:p w14:paraId="34E6CDE4" w14:textId="77777777" w:rsidR="007C525D" w:rsidRDefault="007C757A">
      <w:pPr>
        <w:rPr>
          <w:rFonts w:ascii="Calibri" w:hAnsi="Calibri"/>
          <w:b/>
          <w:szCs w:val="22"/>
        </w:rPr>
      </w:pPr>
      <w:r>
        <w:rPr>
          <w:rFonts w:ascii="Calibri" w:hAnsi="Calibri"/>
          <w:b/>
          <w:szCs w:val="22"/>
        </w:rPr>
        <w:t xml:space="preserve">16.1 </w:t>
      </w:r>
      <w:r>
        <w:rPr>
          <w:rFonts w:ascii="Calibri" w:hAnsi="Calibri"/>
          <w:b/>
          <w:szCs w:val="22"/>
        </w:rPr>
        <w:tab/>
        <w:t>Appendix 1-Risk</w:t>
      </w:r>
    </w:p>
    <w:tbl>
      <w:tblPr>
        <w:tblW w:w="5000" w:type="pct"/>
        <w:tblLayout w:type="fixed"/>
        <w:tblLook w:val="04A0" w:firstRow="1" w:lastRow="0" w:firstColumn="1" w:lastColumn="0" w:noHBand="0" w:noVBand="1"/>
      </w:tblPr>
      <w:tblGrid>
        <w:gridCol w:w="9968"/>
      </w:tblGrid>
      <w:tr w:rsidR="007C525D" w14:paraId="38695640" w14:textId="77777777">
        <w:trPr>
          <w:trHeight w:val="1610"/>
        </w:trPr>
        <w:tc>
          <w:tcPr>
            <w:tcW w:w="9978" w:type="dxa"/>
            <w:tcBorders>
              <w:top w:val="single" w:sz="4" w:space="0" w:color="000000"/>
              <w:left w:val="single" w:sz="4" w:space="0" w:color="000000"/>
              <w:bottom w:val="dotted" w:sz="4" w:space="0" w:color="000000"/>
              <w:right w:val="dotted" w:sz="4" w:space="0" w:color="000000"/>
            </w:tcBorders>
            <w:shd w:val="clear" w:color="auto" w:fill="auto"/>
            <w:vAlign w:val="center"/>
          </w:tcPr>
          <w:p w14:paraId="15756A6A" w14:textId="77777777" w:rsidR="007C525D" w:rsidRDefault="007C757A">
            <w:pPr>
              <w:widowControl w:val="0"/>
              <w:rPr>
                <w:rFonts w:ascii="Calibri" w:hAnsi="Calibri"/>
                <w:szCs w:val="22"/>
              </w:rPr>
            </w:pPr>
            <w:r>
              <w:rPr>
                <w:rFonts w:ascii="Calibri" w:hAnsi="Calibri"/>
                <w:szCs w:val="22"/>
              </w:rPr>
              <w:t>Risks associated with trial interventions</w:t>
            </w:r>
          </w:p>
          <w:p w14:paraId="54801C07" w14:textId="77777777" w:rsidR="007C525D" w:rsidRDefault="007C757A">
            <w:pPr>
              <w:widowControl w:val="0"/>
            </w:pPr>
            <w:bookmarkStart w:id="54" w:name="__Fieldmark__3537_482002918"/>
            <w:bookmarkStart w:id="55" w:name="__Fieldmark__2851_4162984041"/>
            <w:bookmarkStart w:id="56" w:name="__Fieldmark__10034_496682140"/>
            <w:bookmarkStart w:id="57" w:name="__Fieldmark__3168_3210014105"/>
            <w:bookmarkStart w:id="58" w:name="__Fieldmark__25623_160195650"/>
            <w:bookmarkStart w:id="59" w:name="__Fieldmark__3346_496682140"/>
            <w:bookmarkStart w:id="60" w:name="__Fieldmark__12255_559242180"/>
            <w:bookmarkStart w:id="61" w:name="__Fieldmark__2855_3092091714"/>
            <w:bookmarkStart w:id="62" w:name="__Fieldmark__2980_1024769765"/>
            <w:bookmarkStart w:id="63" w:name="__Fieldmark__3180_2916706298"/>
            <w:bookmarkStart w:id="64" w:name="Check1"/>
            <w:bookmarkStart w:id="65" w:name="__Fieldmark__3978_1884762698"/>
            <w:bookmarkEnd w:id="54"/>
            <w:bookmarkEnd w:id="55"/>
            <w:bookmarkEnd w:id="56"/>
            <w:bookmarkEnd w:id="57"/>
            <w:bookmarkEnd w:id="58"/>
            <w:bookmarkEnd w:id="59"/>
            <w:bookmarkEnd w:id="60"/>
            <w:bookmarkEnd w:id="61"/>
            <w:bookmarkEnd w:id="62"/>
            <w:bookmarkEnd w:id="63"/>
            <w:bookmarkEnd w:id="64"/>
            <w:bookmarkEnd w:id="65"/>
            <w:r>
              <w:rPr>
                <w:rFonts w:ascii="Calibri" w:hAnsi="Calibri"/>
                <w:szCs w:val="22"/>
              </w:rPr>
              <w:t xml:space="preserve"> A ≡ Comparable to the risk of standard medical care</w:t>
            </w:r>
          </w:p>
          <w:p w14:paraId="51C0293C" w14:textId="77777777" w:rsidR="007C525D" w:rsidRDefault="007C757A">
            <w:pPr>
              <w:widowControl w:val="0"/>
            </w:pPr>
            <w:bookmarkStart w:id="66" w:name="__Fieldmark__3566_482002918"/>
            <w:bookmarkStart w:id="67" w:name="__Fieldmark__25645_160195650"/>
            <w:bookmarkStart w:id="68" w:name="__Fieldmark__2868_3092091714"/>
            <w:bookmarkStart w:id="69" w:name="__Fieldmark__3196_3210014105"/>
            <w:bookmarkStart w:id="70" w:name="__Fieldmark__10044_496682140"/>
            <w:bookmarkStart w:id="71" w:name="__Fieldmark__3355_496682140"/>
            <w:bookmarkStart w:id="72" w:name="__Fieldmark__2867_4162984041"/>
            <w:bookmarkStart w:id="73" w:name="__Fieldmark__2999_1024769765"/>
            <w:bookmarkStart w:id="74" w:name="__Fieldmark__12278_559242180"/>
            <w:bookmarkStart w:id="75" w:name="__Fieldmark__3214_2916706298"/>
            <w:bookmarkStart w:id="76" w:name="__Fieldmark__4015_1884762698"/>
            <w:bookmarkEnd w:id="66"/>
            <w:bookmarkEnd w:id="67"/>
            <w:bookmarkEnd w:id="68"/>
            <w:bookmarkEnd w:id="69"/>
            <w:bookmarkEnd w:id="70"/>
            <w:bookmarkEnd w:id="71"/>
            <w:bookmarkEnd w:id="72"/>
            <w:bookmarkEnd w:id="73"/>
            <w:bookmarkEnd w:id="74"/>
            <w:bookmarkEnd w:id="75"/>
            <w:bookmarkEnd w:id="76"/>
            <w:r>
              <w:rPr>
                <w:rFonts w:ascii="Calibri" w:hAnsi="Calibri"/>
                <w:szCs w:val="22"/>
              </w:rPr>
              <w:t xml:space="preserve"> B ≡ Somewhat higher than the risk of standard medical care</w:t>
            </w:r>
          </w:p>
          <w:p w14:paraId="53FAC3D4" w14:textId="77777777" w:rsidR="007C525D" w:rsidRDefault="007C757A">
            <w:pPr>
              <w:widowControl w:val="0"/>
            </w:pPr>
            <w:bookmarkStart w:id="77" w:name="__Fieldmark__3594_482002918"/>
            <w:bookmarkStart w:id="78" w:name="__Fieldmark__3223_3210014105"/>
            <w:bookmarkStart w:id="79" w:name="__Fieldmark__25666_160195650"/>
            <w:bookmarkStart w:id="80" w:name="__Fieldmark__2882_4162984041"/>
            <w:bookmarkStart w:id="81" w:name="__Fieldmark__10053_496682140"/>
            <w:bookmarkStart w:id="82" w:name="__Fieldmark__3363_496682140"/>
            <w:bookmarkStart w:id="83" w:name="__Fieldmark__2880_3092091714"/>
            <w:bookmarkStart w:id="84" w:name="__Fieldmark__3017_1024769765"/>
            <w:bookmarkStart w:id="85" w:name="__Fieldmark__12300_559242180"/>
            <w:bookmarkStart w:id="86" w:name="__Fieldmark__3247_2916706298"/>
            <w:bookmarkStart w:id="87" w:name="__Fieldmark__4049_1884762698"/>
            <w:bookmarkEnd w:id="77"/>
            <w:bookmarkEnd w:id="78"/>
            <w:bookmarkEnd w:id="79"/>
            <w:bookmarkEnd w:id="80"/>
            <w:bookmarkEnd w:id="81"/>
            <w:bookmarkEnd w:id="82"/>
            <w:bookmarkEnd w:id="83"/>
            <w:bookmarkEnd w:id="84"/>
            <w:bookmarkEnd w:id="85"/>
            <w:bookmarkEnd w:id="86"/>
            <w:bookmarkEnd w:id="87"/>
            <w:r>
              <w:rPr>
                <w:rFonts w:ascii="Calibri" w:hAnsi="Calibri"/>
                <w:szCs w:val="22"/>
              </w:rPr>
              <w:t xml:space="preserve"> C ≡ Markedly higher than the risk of standard medical care</w:t>
            </w:r>
          </w:p>
          <w:p w14:paraId="56377E78" w14:textId="77777777" w:rsidR="007C525D" w:rsidRDefault="007C525D">
            <w:pPr>
              <w:widowControl w:val="0"/>
              <w:rPr>
                <w:rFonts w:ascii="Calibri" w:hAnsi="Calibri"/>
                <w:szCs w:val="22"/>
              </w:rPr>
            </w:pPr>
          </w:p>
          <w:p w14:paraId="29FBB55C" w14:textId="77777777" w:rsidR="007C525D" w:rsidRDefault="007C525D">
            <w:pPr>
              <w:widowControl w:val="0"/>
              <w:rPr>
                <w:rFonts w:ascii="Calibri" w:hAnsi="Calibri"/>
                <w:szCs w:val="22"/>
              </w:rPr>
            </w:pPr>
          </w:p>
        </w:tc>
      </w:tr>
      <w:tr w:rsidR="007C525D" w14:paraId="4268FB66" w14:textId="77777777">
        <w:trPr>
          <w:trHeight w:val="1180"/>
        </w:trPr>
        <w:tc>
          <w:tcPr>
            <w:tcW w:w="9978" w:type="dxa"/>
            <w:tcBorders>
              <w:top w:val="dotted" w:sz="4" w:space="0" w:color="000000"/>
              <w:left w:val="single" w:sz="4" w:space="0" w:color="000000"/>
              <w:bottom w:val="single" w:sz="4" w:space="0" w:color="000000"/>
              <w:right w:val="dotted" w:sz="4" w:space="0" w:color="000000"/>
            </w:tcBorders>
            <w:shd w:val="clear" w:color="auto" w:fill="auto"/>
            <w:vAlign w:val="center"/>
          </w:tcPr>
          <w:p w14:paraId="3C1EA832" w14:textId="77777777" w:rsidR="007C525D" w:rsidRDefault="007C757A">
            <w:pPr>
              <w:widowControl w:val="0"/>
              <w:rPr>
                <w:rFonts w:ascii="Calibri" w:hAnsi="Calibri"/>
                <w:szCs w:val="22"/>
              </w:rPr>
            </w:pPr>
            <w:r>
              <w:rPr>
                <w:rFonts w:ascii="Calibri" w:hAnsi="Calibri"/>
                <w:szCs w:val="22"/>
              </w:rPr>
              <w:t xml:space="preserve">Justification:  Briefly justify the risk category selected and your conclusions </w:t>
            </w:r>
            <w:proofErr w:type="gramStart"/>
            <w:r>
              <w:rPr>
                <w:rFonts w:ascii="Calibri" w:hAnsi="Calibri"/>
                <w:szCs w:val="22"/>
              </w:rPr>
              <w:t>below  (</w:t>
            </w:r>
            <w:proofErr w:type="gramEnd"/>
            <w:r>
              <w:rPr>
                <w:rFonts w:ascii="Calibri" w:hAnsi="Calibri"/>
                <w:szCs w:val="22"/>
              </w:rPr>
              <w:t>where the table is completed in detail the detail need not be repeated, however a summary should be given):</w:t>
            </w:r>
          </w:p>
          <w:p w14:paraId="7F2762EC" w14:textId="77777777" w:rsidR="007C525D" w:rsidRDefault="007C757A">
            <w:pPr>
              <w:widowControl w:val="0"/>
              <w:rPr>
                <w:rFonts w:ascii="Calibri" w:hAnsi="Calibri"/>
                <w:lang w:eastAsia="en-GB"/>
              </w:rPr>
            </w:pPr>
            <w:r>
              <w:rPr>
                <w:rFonts w:ascii="Calibri" w:hAnsi="Calibri"/>
                <w:lang w:eastAsia="en-GB"/>
              </w:rPr>
              <w:t>The clinical trial will only use vaccines that have been licensed for routine childhood immunisation in the UK. One group will receive vaccinations according to the UK schedule and the other will receive vaccinations the routine vaccinations with a shorter interval for 4CMenB, at 2-3 months instead of 2-4 months. Because the infants enrolled in the study will receive the same vaccines as part of their routine immunisation, this study is unlikely to be associated with any added risk of adverse events.</w:t>
            </w:r>
          </w:p>
          <w:p w14:paraId="250AF2FE" w14:textId="77777777" w:rsidR="007C525D" w:rsidRDefault="007C757A">
            <w:pPr>
              <w:widowControl w:val="0"/>
            </w:pPr>
            <w:r>
              <w:rPr>
                <w:rFonts w:ascii="Calibri" w:eastAsia="Times New Roman" w:hAnsi="Calibri"/>
                <w:szCs w:val="22"/>
                <w:lang w:eastAsia="en-GB"/>
              </w:rPr>
              <w:t xml:space="preserve">According to the MRC/DH/MHRA Joint Project on Risk-adapted Approaches to the Management of Clinical Trials of IMPs (October 2011), this trial is categorised as Type A (Risk no higher than that of standard medical care).  </w:t>
            </w:r>
          </w:p>
          <w:p w14:paraId="3018CC79" w14:textId="77777777" w:rsidR="007C525D" w:rsidRDefault="007C525D">
            <w:pPr>
              <w:widowControl w:val="0"/>
              <w:rPr>
                <w:rFonts w:ascii="Calibri" w:hAnsi="Calibri"/>
                <w:szCs w:val="22"/>
              </w:rPr>
            </w:pPr>
          </w:p>
        </w:tc>
      </w:tr>
    </w:tbl>
    <w:p w14:paraId="50814FCC" w14:textId="77777777" w:rsidR="007C525D" w:rsidRDefault="007C525D">
      <w:pPr>
        <w:rPr>
          <w:rFonts w:ascii="Calibri" w:hAnsi="Calibri"/>
          <w:b/>
          <w:bCs/>
          <w:color w:val="0000FF"/>
          <w:szCs w:val="22"/>
          <w:lang w:eastAsia="en-GB"/>
        </w:rPr>
      </w:pPr>
    </w:p>
    <w:p w14:paraId="0BDF137D" w14:textId="77777777" w:rsidR="007C525D" w:rsidRDefault="007C525D">
      <w:pPr>
        <w:spacing w:after="0"/>
        <w:rPr>
          <w:rFonts w:ascii="Calibri" w:hAnsi="Calibri"/>
          <w:b/>
          <w:bCs/>
          <w:szCs w:val="22"/>
          <w:lang w:eastAsia="en-GB"/>
        </w:rPr>
      </w:pPr>
    </w:p>
    <w:p w14:paraId="07FB55BD" w14:textId="77777777" w:rsidR="007C525D" w:rsidRDefault="007C757A">
      <w:pPr>
        <w:spacing w:line="276" w:lineRule="auto"/>
      </w:pPr>
      <w:r>
        <w:rPr>
          <w:rFonts w:ascii="Calibri" w:hAnsi="Calibri" w:cs="Tahoma"/>
          <w:szCs w:val="22"/>
        </w:rPr>
        <w:t xml:space="preserve"> </w:t>
      </w:r>
    </w:p>
    <w:p w14:paraId="5014F765" w14:textId="77777777" w:rsidR="007C525D" w:rsidRDefault="007C525D">
      <w:pPr>
        <w:rPr>
          <w:rFonts w:ascii="Calibri" w:hAnsi="Calibri"/>
          <w:b/>
          <w:bCs/>
          <w:color w:val="0000FF"/>
          <w:szCs w:val="22"/>
          <w:lang w:eastAsia="en-GB"/>
        </w:rPr>
      </w:pPr>
    </w:p>
    <w:p w14:paraId="4F63BF53" w14:textId="77777777" w:rsidR="007C525D" w:rsidRDefault="007C525D">
      <w:pPr>
        <w:pStyle w:val="BodyText"/>
        <w:tabs>
          <w:tab w:val="left" w:pos="0"/>
        </w:tabs>
        <w:spacing w:after="120"/>
        <w:rPr>
          <w:rFonts w:ascii="Calibri" w:hAnsi="Calibri" w:cs="Arial"/>
          <w:b/>
          <w:szCs w:val="22"/>
          <w:lang w:eastAsia="en-GB"/>
        </w:rPr>
      </w:pPr>
    </w:p>
    <w:p w14:paraId="40AFA0A1" w14:textId="77777777" w:rsidR="007C525D" w:rsidRDefault="007C525D">
      <w:pPr>
        <w:rPr>
          <w:rFonts w:ascii="Calibri" w:hAnsi="Calibri"/>
          <w:color w:val="0000FF"/>
          <w:szCs w:val="22"/>
        </w:rPr>
      </w:pPr>
    </w:p>
    <w:p w14:paraId="2CB21349" w14:textId="77777777" w:rsidR="007C525D" w:rsidRDefault="007C525D">
      <w:pPr>
        <w:rPr>
          <w:rFonts w:ascii="Calibri" w:hAnsi="Calibri"/>
          <w:b/>
          <w:szCs w:val="22"/>
          <w:lang w:eastAsia="en-GB"/>
        </w:rPr>
      </w:pPr>
    </w:p>
    <w:p w14:paraId="469AA658" w14:textId="77777777" w:rsidR="007C525D" w:rsidRDefault="007C757A">
      <w:pPr>
        <w:rPr>
          <w:rFonts w:ascii="Calibri" w:hAnsi="Calibri"/>
          <w:b/>
          <w:szCs w:val="22"/>
          <w:lang w:eastAsia="en-GB"/>
        </w:rPr>
      </w:pPr>
      <w:r>
        <w:br w:type="page"/>
      </w:r>
    </w:p>
    <w:p w14:paraId="35EC5B1B" w14:textId="77777777" w:rsidR="007C525D" w:rsidRDefault="007C525D"/>
    <w:p w14:paraId="476FEC2E" w14:textId="77777777" w:rsidR="007C525D" w:rsidRDefault="007C757A">
      <w:r>
        <w:rPr>
          <w:rFonts w:ascii="Calibri" w:hAnsi="Calibri"/>
          <w:b/>
          <w:szCs w:val="22"/>
          <w:lang w:eastAsia="en-GB"/>
        </w:rPr>
        <w:t>16.2</w:t>
      </w:r>
      <w:r>
        <w:rPr>
          <w:rFonts w:ascii="Calibri" w:hAnsi="Calibri"/>
          <w:szCs w:val="22"/>
          <w:lang w:eastAsia="en-GB"/>
        </w:rPr>
        <w:tab/>
      </w:r>
      <w:r>
        <w:rPr>
          <w:rFonts w:ascii="Calibri" w:hAnsi="Calibri"/>
          <w:b/>
          <w:bCs/>
          <w:szCs w:val="22"/>
          <w:lang w:eastAsia="en-GB"/>
        </w:rPr>
        <w:t>Appendix 2. Summary chart of protocol amendments</w:t>
      </w:r>
      <w:r>
        <w:rPr>
          <w:rFonts w:ascii="Calibri" w:hAnsi="Calibri"/>
          <w:szCs w:val="22"/>
        </w:rPr>
        <w:t xml:space="preserve">. </w:t>
      </w:r>
    </w:p>
    <w:p w14:paraId="2BC48498" w14:textId="77777777" w:rsidR="007C525D" w:rsidRDefault="007C525D">
      <w:pPr>
        <w:rPr>
          <w:rFonts w:ascii="Calibri" w:hAnsi="Calibri"/>
          <w:b/>
          <w:bCs/>
          <w:szCs w:val="22"/>
          <w:lang w:eastAsia="en-GB"/>
        </w:rPr>
      </w:pPr>
    </w:p>
    <w:tbl>
      <w:tblPr>
        <w:tblW w:w="10173" w:type="dxa"/>
        <w:tblLayout w:type="fixed"/>
        <w:tblLook w:val="04A0" w:firstRow="1" w:lastRow="0" w:firstColumn="1" w:lastColumn="0" w:noHBand="0" w:noVBand="1"/>
      </w:tblPr>
      <w:tblGrid>
        <w:gridCol w:w="1512"/>
        <w:gridCol w:w="1516"/>
        <w:gridCol w:w="1516"/>
        <w:gridCol w:w="1516"/>
        <w:gridCol w:w="4113"/>
      </w:tblGrid>
      <w:tr w:rsidR="007C525D" w14:paraId="2AA14BEE" w14:textId="77777777">
        <w:trPr>
          <w:trHeight w:val="383"/>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00B050"/>
          </w:tcPr>
          <w:p w14:paraId="2D1F7391" w14:textId="77777777" w:rsidR="007C525D" w:rsidRDefault="007C757A">
            <w:pPr>
              <w:widowControl w:val="0"/>
            </w:pPr>
            <w:r>
              <w:rPr>
                <w:rFonts w:ascii="Calibri" w:hAnsi="Calibri"/>
                <w:b/>
                <w:bCs/>
                <w:color w:val="FFFFFF"/>
                <w:szCs w:val="22"/>
                <w:lang w:eastAsia="en-GB"/>
              </w:rPr>
              <w:t>Amendment History</w:t>
            </w:r>
          </w:p>
        </w:tc>
      </w:tr>
      <w:tr w:rsidR="007C525D" w14:paraId="2AA81803" w14:textId="77777777">
        <w:trPr>
          <w:trHeight w:val="821"/>
        </w:trPr>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8EAC387" w14:textId="77777777" w:rsidR="007C525D" w:rsidRDefault="007C757A">
            <w:pPr>
              <w:widowControl w:val="0"/>
              <w:rPr>
                <w:rFonts w:ascii="Calibri" w:hAnsi="Calibri"/>
                <w:b/>
                <w:color w:val="000000"/>
                <w:szCs w:val="22"/>
              </w:rPr>
            </w:pPr>
            <w:r>
              <w:rPr>
                <w:rFonts w:ascii="Calibri" w:hAnsi="Calibri"/>
                <w:b/>
                <w:color w:val="000000"/>
                <w:szCs w:val="22"/>
              </w:rPr>
              <w:t>Amendment No.</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15BD242" w14:textId="77777777" w:rsidR="007C525D" w:rsidRDefault="007C757A">
            <w:pPr>
              <w:widowControl w:val="0"/>
              <w:rPr>
                <w:rFonts w:ascii="Calibri" w:hAnsi="Calibri"/>
                <w:b/>
                <w:color w:val="000000"/>
                <w:szCs w:val="22"/>
              </w:rPr>
            </w:pPr>
            <w:r>
              <w:rPr>
                <w:rFonts w:ascii="Calibri" w:hAnsi="Calibri"/>
                <w:b/>
                <w:color w:val="000000"/>
                <w:szCs w:val="22"/>
              </w:rPr>
              <w:t>Protocol version no.</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A9DFB01" w14:textId="77777777" w:rsidR="007C525D" w:rsidRDefault="007C757A">
            <w:pPr>
              <w:widowControl w:val="0"/>
              <w:rPr>
                <w:rFonts w:ascii="Calibri" w:hAnsi="Calibri"/>
                <w:b/>
                <w:color w:val="000000"/>
                <w:szCs w:val="22"/>
              </w:rPr>
            </w:pPr>
            <w:r>
              <w:rPr>
                <w:rFonts w:ascii="Calibri" w:hAnsi="Calibri"/>
                <w:b/>
                <w:color w:val="000000"/>
                <w:szCs w:val="22"/>
              </w:rPr>
              <w:t>Date issued</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9B324B7" w14:textId="77777777" w:rsidR="007C525D" w:rsidRDefault="007C757A">
            <w:pPr>
              <w:widowControl w:val="0"/>
              <w:rPr>
                <w:rFonts w:ascii="Calibri" w:hAnsi="Calibri"/>
                <w:b/>
                <w:color w:val="000000"/>
                <w:szCs w:val="22"/>
              </w:rPr>
            </w:pPr>
            <w:r>
              <w:rPr>
                <w:rFonts w:ascii="Calibri" w:hAnsi="Calibri"/>
                <w:b/>
                <w:color w:val="000000"/>
                <w:szCs w:val="22"/>
              </w:rPr>
              <w:t>Author(s) of changes</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389441AB" w14:textId="77777777" w:rsidR="007C525D" w:rsidRDefault="007C757A">
            <w:pPr>
              <w:widowControl w:val="0"/>
              <w:rPr>
                <w:rFonts w:ascii="Calibri" w:hAnsi="Calibri"/>
                <w:b/>
                <w:color w:val="000000"/>
                <w:szCs w:val="22"/>
              </w:rPr>
            </w:pPr>
            <w:r>
              <w:rPr>
                <w:rFonts w:ascii="Calibri" w:hAnsi="Calibri"/>
                <w:b/>
                <w:color w:val="000000"/>
                <w:szCs w:val="22"/>
              </w:rPr>
              <w:t>Details of changes made</w:t>
            </w:r>
          </w:p>
        </w:tc>
      </w:tr>
      <w:tr w:rsidR="007C525D" w14:paraId="19D5A86F" w14:textId="77777777">
        <w:trPr>
          <w:trHeight w:val="290"/>
        </w:trPr>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DADEB3B" w14:textId="77777777" w:rsidR="007C525D" w:rsidRDefault="007C525D">
            <w:pPr>
              <w:widowControl w:val="0"/>
              <w:rPr>
                <w:rFonts w:ascii="Calibri" w:hAnsi="Calibri"/>
                <w:color w:val="0000FF"/>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6425FC7D" w14:textId="77777777" w:rsidR="007C525D" w:rsidRDefault="007C525D">
            <w:pPr>
              <w:widowControl w:val="0"/>
              <w:rPr>
                <w:rFonts w:ascii="Calibri" w:hAnsi="Calibri"/>
                <w:color w:val="0000FF"/>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054413F" w14:textId="77777777" w:rsidR="007C525D" w:rsidRDefault="007C525D">
            <w:pPr>
              <w:widowControl w:val="0"/>
              <w:rPr>
                <w:rFonts w:ascii="Calibri" w:hAnsi="Calibri"/>
                <w:color w:val="0000FF"/>
                <w:szCs w:val="22"/>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B57CEB3" w14:textId="77777777" w:rsidR="007C525D" w:rsidRDefault="007C525D">
            <w:pPr>
              <w:widowControl w:val="0"/>
              <w:rPr>
                <w:rFonts w:ascii="Calibri" w:hAnsi="Calibri"/>
                <w:color w:val="0000FF"/>
                <w:szCs w:val="22"/>
              </w:rPr>
            </w:pP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2A18770" w14:textId="77777777" w:rsidR="007C525D" w:rsidRDefault="007C525D">
            <w:pPr>
              <w:widowControl w:val="0"/>
              <w:rPr>
                <w:rFonts w:ascii="Calibri" w:hAnsi="Calibri"/>
                <w:color w:val="0000FF"/>
                <w:szCs w:val="22"/>
              </w:rPr>
            </w:pPr>
          </w:p>
        </w:tc>
      </w:tr>
    </w:tbl>
    <w:p w14:paraId="34AB6E83" w14:textId="77777777" w:rsidR="007C525D" w:rsidRDefault="007C525D">
      <w:pPr>
        <w:rPr>
          <w:rFonts w:ascii="Calibri" w:hAnsi="Calibri"/>
          <w:color w:val="0000FF"/>
          <w:szCs w:val="22"/>
          <w:shd w:val="clear" w:color="auto" w:fill="FFFF00"/>
        </w:rPr>
      </w:pPr>
    </w:p>
    <w:p w14:paraId="2FBB564E" w14:textId="77777777" w:rsidR="007C525D" w:rsidRDefault="007C525D">
      <w:pPr>
        <w:rPr>
          <w:rFonts w:ascii="Calibri" w:hAnsi="Calibri"/>
          <w:color w:val="FF0000"/>
          <w:szCs w:val="22"/>
        </w:rPr>
      </w:pPr>
    </w:p>
    <w:p w14:paraId="40EAC973" w14:textId="77777777" w:rsidR="007C525D" w:rsidRDefault="007C525D">
      <w:pPr>
        <w:rPr>
          <w:rFonts w:ascii="Calibri" w:hAnsi="Calibri"/>
          <w:color w:val="FF0000"/>
          <w:szCs w:val="22"/>
        </w:rPr>
      </w:pPr>
    </w:p>
    <w:p w14:paraId="0A3F15D3" w14:textId="77777777" w:rsidR="007C525D" w:rsidRDefault="007C525D">
      <w:pPr>
        <w:rPr>
          <w:rFonts w:ascii="Calibri" w:hAnsi="Calibri"/>
          <w:szCs w:val="22"/>
          <w:lang w:eastAsia="en-GB"/>
        </w:rPr>
      </w:pPr>
    </w:p>
    <w:p w14:paraId="3134F959" w14:textId="77777777" w:rsidR="007C525D" w:rsidRDefault="007C525D">
      <w:pPr>
        <w:rPr>
          <w:rFonts w:ascii="Calibri" w:hAnsi="Calibri"/>
          <w:szCs w:val="22"/>
        </w:rPr>
      </w:pPr>
    </w:p>
    <w:p w14:paraId="584E9FED" w14:textId="77777777" w:rsidR="007C525D" w:rsidRDefault="007C525D">
      <w:pPr>
        <w:spacing w:after="0"/>
        <w:rPr>
          <w:rFonts w:ascii="Calibri" w:hAnsi="Calibri"/>
          <w:b/>
          <w:szCs w:val="22"/>
          <w:lang w:eastAsia="en-GB"/>
        </w:rPr>
      </w:pPr>
    </w:p>
    <w:p w14:paraId="5B5A23B5" w14:textId="77777777" w:rsidR="007C525D" w:rsidRDefault="007C525D">
      <w:pPr>
        <w:rPr>
          <w:rFonts w:ascii="Calibri" w:hAnsi="Calibri"/>
          <w:szCs w:val="22"/>
          <w:lang w:eastAsia="en-GB"/>
        </w:rPr>
      </w:pPr>
    </w:p>
    <w:p w14:paraId="2C18C413" w14:textId="77777777" w:rsidR="007C525D" w:rsidRDefault="007C525D"/>
    <w:sectPr w:rsidR="007C525D" w:rsidSect="00791EEB">
      <w:headerReference w:type="default" r:id="rId24"/>
      <w:footerReference w:type="default" r:id="rId25"/>
      <w:footerReference w:type="first" r:id="rId26"/>
      <w:pgSz w:w="11906" w:h="16838"/>
      <w:pgMar w:top="567" w:right="964" w:bottom="1134" w:left="964" w:header="454" w:footer="3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FACE" w14:textId="77777777" w:rsidR="00720EA2" w:rsidRDefault="00720EA2">
      <w:pPr>
        <w:spacing w:after="0"/>
      </w:pPr>
      <w:r>
        <w:separator/>
      </w:r>
    </w:p>
  </w:endnote>
  <w:endnote w:type="continuationSeparator" w:id="0">
    <w:p w14:paraId="20A0399C" w14:textId="77777777" w:rsidR="00720EA2" w:rsidRDefault="00720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1"/>
    <w:family w:val="swiss"/>
    <w:pitch w:val="default"/>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1"/>
    <w:family w:val="swiss"/>
    <w:pitch w:val="default"/>
  </w:font>
  <w:font w:name="Lohit Devanagari">
    <w:altName w:val="Cambria"/>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CG Times">
    <w:altName w:val="Times New Roman"/>
    <w:charset w:val="01"/>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buntu">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AD4D" w14:textId="10AA5533" w:rsidR="009A4D69" w:rsidRPr="00A37962" w:rsidRDefault="009A4D69" w:rsidP="009A4D69">
    <w:pPr>
      <w:pStyle w:val="Footer"/>
      <w:jc w:val="center"/>
      <w:rPr>
        <w:sz w:val="20"/>
        <w:szCs w:val="20"/>
      </w:rPr>
    </w:pPr>
    <w:r>
      <w:rPr>
        <w:sz w:val="20"/>
        <w:szCs w:val="20"/>
      </w:rPr>
      <w:t xml:space="preserve">LION Men B Protocol </w:t>
    </w:r>
    <w:r>
      <w:rPr>
        <w:sz w:val="20"/>
        <w:szCs w:val="20"/>
      </w:rPr>
      <w:br/>
      <w:t>Version 2.0</w:t>
    </w:r>
    <w:r>
      <w:t xml:space="preserve"> </w:t>
    </w:r>
    <w:r>
      <w:rPr>
        <w:sz w:val="20"/>
        <w:szCs w:val="20"/>
      </w:rPr>
      <w:t>02.06.2021</w:t>
    </w:r>
    <w:r>
      <w:rPr>
        <w:sz w:val="20"/>
        <w:szCs w:val="20"/>
      </w:rPr>
      <w:br/>
    </w:r>
    <w:r w:rsidRPr="00791EEB">
      <w:rPr>
        <w:sz w:val="20"/>
      </w:rPr>
      <w:t>REC reference</w:t>
    </w:r>
    <w:r w:rsidR="00791EEB" w:rsidRPr="00791EEB">
      <w:rPr>
        <w:sz w:val="20"/>
      </w:rPr>
      <w:t>: 21/NE/0093,</w:t>
    </w:r>
    <w:r w:rsidRPr="00791EEB">
      <w:rPr>
        <w:sz w:val="20"/>
      </w:rPr>
      <w:t xml:space="preserve"> IRAS</w:t>
    </w:r>
    <w:r w:rsidRPr="00DD422E">
      <w:rPr>
        <w:sz w:val="20"/>
      </w:rPr>
      <w:t xml:space="preserve"> reference</w:t>
    </w:r>
    <w:r>
      <w:rPr>
        <w:sz w:val="20"/>
      </w:rPr>
      <w:t xml:space="preserve">: </w:t>
    </w:r>
    <w:r w:rsidRPr="00DD422E">
      <w:rPr>
        <w:sz w:val="20"/>
      </w:rPr>
      <w:t>265199</w:t>
    </w:r>
  </w:p>
  <w:p w14:paraId="09116B2D" w14:textId="5A7F6E98" w:rsidR="000452B0" w:rsidRDefault="000452B0" w:rsidP="009A4D69">
    <w:pPr>
      <w:pStyle w:val="Footer"/>
      <w:tabs>
        <w:tab w:val="clear" w:pos="4320"/>
        <w:tab w:val="clear" w:pos="8640"/>
        <w:tab w:val="center" w:pos="4989"/>
      </w:tabs>
    </w:pPr>
  </w:p>
  <w:p w14:paraId="7C495205" w14:textId="77777777" w:rsidR="000452B0" w:rsidRDefault="000452B0">
    <w:pPr>
      <w:pStyle w:val="Footer"/>
      <w:ind w:right="360"/>
    </w:pPr>
  </w:p>
  <w:p w14:paraId="23DC7E42" w14:textId="77777777" w:rsidR="000452B0" w:rsidRDefault="0004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2AD1" w14:textId="219CB39B" w:rsidR="009A4D69" w:rsidRPr="00A37962" w:rsidRDefault="009A4D69" w:rsidP="009A4D69">
    <w:pPr>
      <w:pStyle w:val="Footer"/>
      <w:jc w:val="center"/>
      <w:rPr>
        <w:sz w:val="20"/>
        <w:szCs w:val="20"/>
      </w:rPr>
    </w:pPr>
    <w:r>
      <w:rPr>
        <w:sz w:val="20"/>
        <w:szCs w:val="20"/>
      </w:rPr>
      <w:t xml:space="preserve">LION Men B Protocol </w:t>
    </w:r>
    <w:r>
      <w:rPr>
        <w:sz w:val="20"/>
        <w:szCs w:val="20"/>
      </w:rPr>
      <w:br/>
      <w:t>Version 2.0</w:t>
    </w:r>
    <w:r>
      <w:t xml:space="preserve"> </w:t>
    </w:r>
    <w:r>
      <w:rPr>
        <w:sz w:val="20"/>
        <w:szCs w:val="20"/>
      </w:rPr>
      <w:t>02.06.2021</w:t>
    </w:r>
    <w:r>
      <w:rPr>
        <w:sz w:val="20"/>
        <w:szCs w:val="20"/>
      </w:rPr>
      <w:br/>
    </w:r>
    <w:bookmarkStart w:id="88" w:name="_Hlk67486758"/>
    <w:r w:rsidRPr="00791EEB">
      <w:rPr>
        <w:sz w:val="20"/>
      </w:rPr>
      <w:t>REC reference</w:t>
    </w:r>
    <w:r w:rsidR="00791EEB" w:rsidRPr="00791EEB">
      <w:rPr>
        <w:sz w:val="20"/>
      </w:rPr>
      <w:t xml:space="preserve">: 21/NE/003, </w:t>
    </w:r>
    <w:r w:rsidRPr="00791EEB">
      <w:rPr>
        <w:sz w:val="20"/>
      </w:rPr>
      <w:t>IRAS</w:t>
    </w:r>
    <w:r w:rsidRPr="00DD422E">
      <w:rPr>
        <w:sz w:val="20"/>
      </w:rPr>
      <w:t xml:space="preserve"> reference</w:t>
    </w:r>
    <w:r>
      <w:rPr>
        <w:sz w:val="20"/>
      </w:rPr>
      <w:t xml:space="preserve">: </w:t>
    </w:r>
    <w:r w:rsidRPr="00DD422E">
      <w:rPr>
        <w:sz w:val="20"/>
      </w:rPr>
      <w:t>265199</w:t>
    </w:r>
    <w:bookmarkEnd w:id="88"/>
  </w:p>
  <w:p w14:paraId="6C260E66" w14:textId="37E03215" w:rsidR="009A4D69" w:rsidRDefault="009A4D69">
    <w:pPr>
      <w:pStyle w:val="Footer"/>
    </w:pPr>
  </w:p>
  <w:p w14:paraId="2A2E79A5" w14:textId="77777777" w:rsidR="000452B0" w:rsidRDefault="000452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ED3E" w14:textId="77777777" w:rsidR="00720EA2" w:rsidRDefault="00720EA2">
      <w:pPr>
        <w:spacing w:after="0"/>
      </w:pPr>
      <w:r>
        <w:separator/>
      </w:r>
    </w:p>
  </w:footnote>
  <w:footnote w:type="continuationSeparator" w:id="0">
    <w:p w14:paraId="5A47D07A" w14:textId="77777777" w:rsidR="00720EA2" w:rsidRDefault="00720E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C154" w14:textId="77777777" w:rsidR="000452B0" w:rsidRDefault="000452B0">
    <w:pPr>
      <w:pStyle w:val="Header"/>
    </w:pPr>
  </w:p>
  <w:tbl>
    <w:tblPr>
      <w:tblW w:w="9600" w:type="dxa"/>
      <w:tblLayout w:type="fixed"/>
      <w:tblLook w:val="04A0" w:firstRow="1" w:lastRow="0" w:firstColumn="1" w:lastColumn="0" w:noHBand="0" w:noVBand="1"/>
    </w:tblPr>
    <w:tblGrid>
      <w:gridCol w:w="9600"/>
    </w:tblGrid>
    <w:tr w:rsidR="000452B0" w14:paraId="5AFA1453" w14:textId="77777777">
      <w:tc>
        <w:tcPr>
          <w:tcW w:w="9600" w:type="dxa"/>
          <w:shd w:val="clear" w:color="auto" w:fill="auto"/>
          <w:vAlign w:val="center"/>
        </w:tcPr>
        <w:p w14:paraId="61858988" w14:textId="77777777" w:rsidR="000452B0" w:rsidRDefault="000452B0">
          <w:pPr>
            <w:widowControl w:val="0"/>
            <w:tabs>
              <w:tab w:val="center" w:pos="4692"/>
            </w:tabs>
          </w:pPr>
          <w:r>
            <w:rPr>
              <w:b/>
              <w:sz w:val="16"/>
              <w:szCs w:val="16"/>
            </w:rPr>
            <w:t xml:space="preserve">SHORT TITLE/ACRONYM LION </w:t>
          </w:r>
          <w:proofErr w:type="spellStart"/>
          <w:r>
            <w:rPr>
              <w:b/>
              <w:sz w:val="16"/>
              <w:szCs w:val="16"/>
            </w:rPr>
            <w:t>MenB</w:t>
          </w:r>
          <w:proofErr w:type="spellEnd"/>
          <w:r>
            <w:rPr>
              <w:sz w:val="16"/>
              <w:szCs w:val="16"/>
            </w:rPr>
            <w:t xml:space="preserve">                                                             </w:t>
          </w:r>
          <w:r>
            <w:rPr>
              <w:b/>
              <w:color w:val="000000"/>
              <w:spacing w:val="-3"/>
              <w:sz w:val="16"/>
              <w:szCs w:val="16"/>
            </w:rPr>
            <w:t>IRAS Number: 265199</w:t>
          </w:r>
        </w:p>
      </w:tc>
    </w:tr>
  </w:tbl>
  <w:p w14:paraId="46EA9FE6" w14:textId="77777777" w:rsidR="000452B0" w:rsidRDefault="00045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2536"/>
    <w:multiLevelType w:val="multilevel"/>
    <w:tmpl w:val="80605D1E"/>
    <w:lvl w:ilvl="0">
      <w:numFmt w:val="bullet"/>
      <w:lvlText w:val=""/>
      <w:lvlJc w:val="left"/>
      <w:pPr>
        <w:tabs>
          <w:tab w:val="num" w:pos="0"/>
        </w:tabs>
        <w:ind w:left="895"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4635B3"/>
    <w:multiLevelType w:val="multilevel"/>
    <w:tmpl w:val="BB10D686"/>
    <w:lvl w:ilvl="0">
      <w:numFmt w:val="bullet"/>
      <w:lvlText w:val=""/>
      <w:lvlJc w:val="left"/>
      <w:pPr>
        <w:tabs>
          <w:tab w:val="num" w:pos="0"/>
        </w:tabs>
        <w:ind w:left="862" w:hanging="360"/>
      </w:pPr>
      <w:rPr>
        <w:rFonts w:ascii="Symbol" w:hAnsi="Symbol" w:cs="Symbol" w:hint="default"/>
      </w:rPr>
    </w:lvl>
    <w:lvl w:ilvl="1">
      <w:start w:val="1"/>
      <w:numFmt w:val="decimal"/>
      <w:lvlText w:val="%1.%2"/>
      <w:lvlJc w:val="left"/>
      <w:pPr>
        <w:tabs>
          <w:tab w:val="num" w:pos="0"/>
        </w:tabs>
        <w:ind w:left="1019" w:hanging="375"/>
      </w:pPr>
    </w:lvl>
    <w:lvl w:ilvl="2">
      <w:start w:val="1"/>
      <w:numFmt w:val="decimal"/>
      <w:lvlText w:val="%1.%2.%3"/>
      <w:lvlJc w:val="left"/>
      <w:pPr>
        <w:tabs>
          <w:tab w:val="num" w:pos="0"/>
        </w:tabs>
        <w:ind w:left="1506" w:hanging="720"/>
      </w:pPr>
    </w:lvl>
    <w:lvl w:ilvl="3">
      <w:start w:val="1"/>
      <w:numFmt w:val="decimal"/>
      <w:lvlText w:val="%1.%2.%3.%4"/>
      <w:lvlJc w:val="left"/>
      <w:pPr>
        <w:tabs>
          <w:tab w:val="num" w:pos="0"/>
        </w:tabs>
        <w:ind w:left="2008" w:hanging="1080"/>
      </w:pPr>
    </w:lvl>
    <w:lvl w:ilvl="4">
      <w:start w:val="1"/>
      <w:numFmt w:val="decimal"/>
      <w:lvlText w:val="%1.%2.%3.%4.%5"/>
      <w:lvlJc w:val="left"/>
      <w:pPr>
        <w:tabs>
          <w:tab w:val="num" w:pos="0"/>
        </w:tabs>
        <w:ind w:left="2150" w:hanging="1080"/>
      </w:pPr>
    </w:lvl>
    <w:lvl w:ilvl="5">
      <w:start w:val="1"/>
      <w:numFmt w:val="decimal"/>
      <w:lvlText w:val="%1.%2.%3.%4.%5.%6"/>
      <w:lvlJc w:val="left"/>
      <w:pPr>
        <w:tabs>
          <w:tab w:val="num" w:pos="0"/>
        </w:tabs>
        <w:ind w:left="2652" w:hanging="1440"/>
      </w:pPr>
    </w:lvl>
    <w:lvl w:ilvl="6">
      <w:start w:val="1"/>
      <w:numFmt w:val="decimal"/>
      <w:lvlText w:val="%1.%2.%3.%4.%5.%6.%7"/>
      <w:lvlJc w:val="left"/>
      <w:pPr>
        <w:tabs>
          <w:tab w:val="num" w:pos="0"/>
        </w:tabs>
        <w:ind w:left="2794" w:hanging="1440"/>
      </w:pPr>
    </w:lvl>
    <w:lvl w:ilvl="7">
      <w:start w:val="1"/>
      <w:numFmt w:val="decimal"/>
      <w:lvlText w:val="%1.%2.%3.%4.%5.%6.%7.%8"/>
      <w:lvlJc w:val="left"/>
      <w:pPr>
        <w:tabs>
          <w:tab w:val="num" w:pos="0"/>
        </w:tabs>
        <w:ind w:left="3296" w:hanging="1800"/>
      </w:pPr>
    </w:lvl>
    <w:lvl w:ilvl="8">
      <w:start w:val="1"/>
      <w:numFmt w:val="decimal"/>
      <w:lvlText w:val="%1.%2.%3.%4.%5.%6.%7.%8.%9"/>
      <w:lvlJc w:val="left"/>
      <w:pPr>
        <w:tabs>
          <w:tab w:val="num" w:pos="0"/>
        </w:tabs>
        <w:ind w:left="3438" w:hanging="1800"/>
      </w:pPr>
    </w:lvl>
  </w:abstractNum>
  <w:abstractNum w:abstractNumId="2" w15:restartNumberingAfterBreak="0">
    <w:nsid w:val="21B30DAA"/>
    <w:multiLevelType w:val="multilevel"/>
    <w:tmpl w:val="A7F054C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501DDC"/>
    <w:multiLevelType w:val="multilevel"/>
    <w:tmpl w:val="75AEF76A"/>
    <w:lvl w:ilvl="0">
      <w:numFmt w:val="bullet"/>
      <w:lvlText w:val=""/>
      <w:lvlJc w:val="left"/>
      <w:pPr>
        <w:tabs>
          <w:tab w:val="num" w:pos="0"/>
        </w:tabs>
        <w:ind w:left="955"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4" w15:restartNumberingAfterBreak="0">
    <w:nsid w:val="32883E5C"/>
    <w:multiLevelType w:val="multilevel"/>
    <w:tmpl w:val="2962EEFC"/>
    <w:lvl w:ilvl="0">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B33994"/>
    <w:multiLevelType w:val="multilevel"/>
    <w:tmpl w:val="4A2E1F86"/>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6" w15:restartNumberingAfterBreak="0">
    <w:nsid w:val="392868B5"/>
    <w:multiLevelType w:val="multilevel"/>
    <w:tmpl w:val="744E50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ABE3BC7"/>
    <w:multiLevelType w:val="multilevel"/>
    <w:tmpl w:val="2360A30C"/>
    <w:lvl w:ilvl="0">
      <w:numFmt w:val="bullet"/>
      <w:lvlText w:val=""/>
      <w:lvlJc w:val="left"/>
      <w:pPr>
        <w:tabs>
          <w:tab w:val="num" w:pos="0"/>
        </w:tabs>
        <w:ind w:left="1975" w:hanging="360"/>
      </w:pPr>
      <w:rPr>
        <w:rFonts w:ascii="Symbol" w:hAnsi="Symbol" w:cs="Symbol" w:hint="default"/>
      </w:rPr>
    </w:lvl>
    <w:lvl w:ilvl="1">
      <w:numFmt w:val="bullet"/>
      <w:lvlText w:val="o"/>
      <w:lvlJc w:val="left"/>
      <w:pPr>
        <w:tabs>
          <w:tab w:val="num" w:pos="0"/>
        </w:tabs>
        <w:ind w:left="2695" w:hanging="360"/>
      </w:pPr>
      <w:rPr>
        <w:rFonts w:ascii="Courier New" w:hAnsi="Courier New" w:cs="Courier New" w:hint="default"/>
      </w:rPr>
    </w:lvl>
    <w:lvl w:ilvl="2">
      <w:numFmt w:val="bullet"/>
      <w:lvlText w:val=""/>
      <w:lvlJc w:val="left"/>
      <w:pPr>
        <w:tabs>
          <w:tab w:val="num" w:pos="0"/>
        </w:tabs>
        <w:ind w:left="3415" w:hanging="360"/>
      </w:pPr>
      <w:rPr>
        <w:rFonts w:ascii="Wingdings" w:hAnsi="Wingdings" w:cs="Wingdings" w:hint="default"/>
      </w:rPr>
    </w:lvl>
    <w:lvl w:ilvl="3">
      <w:numFmt w:val="bullet"/>
      <w:lvlText w:val=""/>
      <w:lvlJc w:val="left"/>
      <w:pPr>
        <w:tabs>
          <w:tab w:val="num" w:pos="0"/>
        </w:tabs>
        <w:ind w:left="4135" w:hanging="360"/>
      </w:pPr>
      <w:rPr>
        <w:rFonts w:ascii="Symbol" w:hAnsi="Symbol" w:cs="Symbol" w:hint="default"/>
      </w:rPr>
    </w:lvl>
    <w:lvl w:ilvl="4">
      <w:numFmt w:val="bullet"/>
      <w:lvlText w:val="o"/>
      <w:lvlJc w:val="left"/>
      <w:pPr>
        <w:tabs>
          <w:tab w:val="num" w:pos="0"/>
        </w:tabs>
        <w:ind w:left="4855" w:hanging="360"/>
      </w:pPr>
      <w:rPr>
        <w:rFonts w:ascii="Courier New" w:hAnsi="Courier New" w:cs="Courier New" w:hint="default"/>
      </w:rPr>
    </w:lvl>
    <w:lvl w:ilvl="5">
      <w:numFmt w:val="bullet"/>
      <w:lvlText w:val=""/>
      <w:lvlJc w:val="left"/>
      <w:pPr>
        <w:tabs>
          <w:tab w:val="num" w:pos="0"/>
        </w:tabs>
        <w:ind w:left="5575" w:hanging="360"/>
      </w:pPr>
      <w:rPr>
        <w:rFonts w:ascii="Wingdings" w:hAnsi="Wingdings" w:cs="Wingdings" w:hint="default"/>
      </w:rPr>
    </w:lvl>
    <w:lvl w:ilvl="6">
      <w:numFmt w:val="bullet"/>
      <w:lvlText w:val=""/>
      <w:lvlJc w:val="left"/>
      <w:pPr>
        <w:tabs>
          <w:tab w:val="num" w:pos="0"/>
        </w:tabs>
        <w:ind w:left="6295" w:hanging="360"/>
      </w:pPr>
      <w:rPr>
        <w:rFonts w:ascii="Symbol" w:hAnsi="Symbol" w:cs="Symbol" w:hint="default"/>
      </w:rPr>
    </w:lvl>
    <w:lvl w:ilvl="7">
      <w:numFmt w:val="bullet"/>
      <w:lvlText w:val="o"/>
      <w:lvlJc w:val="left"/>
      <w:pPr>
        <w:tabs>
          <w:tab w:val="num" w:pos="0"/>
        </w:tabs>
        <w:ind w:left="7015" w:hanging="360"/>
      </w:pPr>
      <w:rPr>
        <w:rFonts w:ascii="Courier New" w:hAnsi="Courier New" w:cs="Courier New" w:hint="default"/>
      </w:rPr>
    </w:lvl>
    <w:lvl w:ilvl="8">
      <w:numFmt w:val="bullet"/>
      <w:lvlText w:val=""/>
      <w:lvlJc w:val="left"/>
      <w:pPr>
        <w:tabs>
          <w:tab w:val="num" w:pos="0"/>
        </w:tabs>
        <w:ind w:left="7735" w:hanging="360"/>
      </w:pPr>
      <w:rPr>
        <w:rFonts w:ascii="Wingdings" w:hAnsi="Wingdings" w:cs="Wingdings" w:hint="default"/>
      </w:rPr>
    </w:lvl>
  </w:abstractNum>
  <w:abstractNum w:abstractNumId="8" w15:restartNumberingAfterBreak="0">
    <w:nsid w:val="462C585F"/>
    <w:multiLevelType w:val="multilevel"/>
    <w:tmpl w:val="14BCB154"/>
    <w:lvl w:ilvl="0">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6EE6A40"/>
    <w:multiLevelType w:val="multilevel"/>
    <w:tmpl w:val="F4B8F9F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0D3687F"/>
    <w:multiLevelType w:val="multilevel"/>
    <w:tmpl w:val="4566D0EA"/>
    <w:lvl w:ilvl="0">
      <w:start w:val="1"/>
      <w:numFmt w:val="lowerLetter"/>
      <w:lvlText w:val="%1."/>
      <w:lvlJc w:val="left"/>
      <w:pPr>
        <w:tabs>
          <w:tab w:val="num" w:pos="0"/>
        </w:tabs>
        <w:ind w:left="720" w:hanging="360"/>
      </w:pPr>
    </w:lvl>
    <w:lvl w:ilvl="1">
      <w:start w:val="1"/>
      <w:numFmt w:val="lowerLetter"/>
      <w:lvlText w:val="%2."/>
      <w:lvlJc w:val="left"/>
      <w:pPr>
        <w:tabs>
          <w:tab w:val="num" w:pos="-655"/>
        </w:tabs>
        <w:ind w:left="78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2665DF8"/>
    <w:multiLevelType w:val="multilevel"/>
    <w:tmpl w:val="6D024F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A5A0353"/>
    <w:multiLevelType w:val="multilevel"/>
    <w:tmpl w:val="6916D6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CEF7479"/>
    <w:multiLevelType w:val="multilevel"/>
    <w:tmpl w:val="22EC3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24F4436"/>
    <w:multiLevelType w:val="multilevel"/>
    <w:tmpl w:val="2C2622B6"/>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700DD6"/>
    <w:multiLevelType w:val="multilevel"/>
    <w:tmpl w:val="F6360E3C"/>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ADA7B5B"/>
    <w:multiLevelType w:val="multilevel"/>
    <w:tmpl w:val="323201A8"/>
    <w:lvl w:ilvl="0">
      <w:numFmt w:val="bullet"/>
      <w:lvlText w:val=""/>
      <w:lvlJc w:val="left"/>
      <w:pPr>
        <w:tabs>
          <w:tab w:val="num" w:pos="0"/>
        </w:tabs>
        <w:ind w:left="1004" w:hanging="360"/>
      </w:pPr>
      <w:rPr>
        <w:rFonts w:ascii="Symbol" w:hAnsi="Symbol" w:cs="Symbol" w:hint="default"/>
      </w:rPr>
    </w:lvl>
    <w:lvl w:ilvl="1">
      <w:numFmt w:val="bullet"/>
      <w:lvlText w:val="o"/>
      <w:lvlJc w:val="left"/>
      <w:pPr>
        <w:tabs>
          <w:tab w:val="num" w:pos="0"/>
        </w:tabs>
        <w:ind w:left="1724" w:hanging="360"/>
      </w:pPr>
      <w:rPr>
        <w:rFonts w:ascii="Courier New" w:hAnsi="Courier New" w:cs="Courier New" w:hint="default"/>
      </w:rPr>
    </w:lvl>
    <w:lvl w:ilvl="2">
      <w:numFmt w:val="bullet"/>
      <w:lvlText w:val=""/>
      <w:lvlJc w:val="left"/>
      <w:pPr>
        <w:tabs>
          <w:tab w:val="num" w:pos="0"/>
        </w:tabs>
        <w:ind w:left="2444" w:hanging="360"/>
      </w:pPr>
      <w:rPr>
        <w:rFonts w:ascii="Wingdings" w:hAnsi="Wingdings" w:cs="Wingdings" w:hint="default"/>
      </w:rPr>
    </w:lvl>
    <w:lvl w:ilvl="3">
      <w:numFmt w:val="bullet"/>
      <w:lvlText w:val=""/>
      <w:lvlJc w:val="left"/>
      <w:pPr>
        <w:tabs>
          <w:tab w:val="num" w:pos="0"/>
        </w:tabs>
        <w:ind w:left="3164" w:hanging="360"/>
      </w:pPr>
      <w:rPr>
        <w:rFonts w:ascii="Symbol" w:hAnsi="Symbol" w:cs="Symbol" w:hint="default"/>
      </w:rPr>
    </w:lvl>
    <w:lvl w:ilvl="4">
      <w:numFmt w:val="bullet"/>
      <w:lvlText w:val="o"/>
      <w:lvlJc w:val="left"/>
      <w:pPr>
        <w:tabs>
          <w:tab w:val="num" w:pos="0"/>
        </w:tabs>
        <w:ind w:left="3884" w:hanging="360"/>
      </w:pPr>
      <w:rPr>
        <w:rFonts w:ascii="Courier New" w:hAnsi="Courier New" w:cs="Courier New" w:hint="default"/>
      </w:rPr>
    </w:lvl>
    <w:lvl w:ilvl="5">
      <w:numFmt w:val="bullet"/>
      <w:lvlText w:val=""/>
      <w:lvlJc w:val="left"/>
      <w:pPr>
        <w:tabs>
          <w:tab w:val="num" w:pos="0"/>
        </w:tabs>
        <w:ind w:left="4604" w:hanging="360"/>
      </w:pPr>
      <w:rPr>
        <w:rFonts w:ascii="Wingdings" w:hAnsi="Wingdings" w:cs="Wingdings" w:hint="default"/>
      </w:rPr>
    </w:lvl>
    <w:lvl w:ilvl="6">
      <w:numFmt w:val="bullet"/>
      <w:lvlText w:val=""/>
      <w:lvlJc w:val="left"/>
      <w:pPr>
        <w:tabs>
          <w:tab w:val="num" w:pos="0"/>
        </w:tabs>
        <w:ind w:left="5324" w:hanging="360"/>
      </w:pPr>
      <w:rPr>
        <w:rFonts w:ascii="Symbol" w:hAnsi="Symbol" w:cs="Symbol" w:hint="default"/>
      </w:rPr>
    </w:lvl>
    <w:lvl w:ilvl="7">
      <w:numFmt w:val="bullet"/>
      <w:lvlText w:val="o"/>
      <w:lvlJc w:val="left"/>
      <w:pPr>
        <w:tabs>
          <w:tab w:val="num" w:pos="0"/>
        </w:tabs>
        <w:ind w:left="6044" w:hanging="360"/>
      </w:pPr>
      <w:rPr>
        <w:rFonts w:ascii="Courier New" w:hAnsi="Courier New" w:cs="Courier New" w:hint="default"/>
      </w:rPr>
    </w:lvl>
    <w:lvl w:ilvl="8">
      <w:numFmt w:val="bullet"/>
      <w:lvlText w:val=""/>
      <w:lvlJc w:val="left"/>
      <w:pPr>
        <w:tabs>
          <w:tab w:val="num" w:pos="0"/>
        </w:tabs>
        <w:ind w:left="6764" w:hanging="360"/>
      </w:pPr>
      <w:rPr>
        <w:rFonts w:ascii="Wingdings" w:hAnsi="Wingdings" w:cs="Wingdings" w:hint="default"/>
      </w:rPr>
    </w:lvl>
  </w:abstractNum>
  <w:abstractNum w:abstractNumId="17" w15:restartNumberingAfterBreak="0">
    <w:nsid w:val="6D911912"/>
    <w:multiLevelType w:val="multilevel"/>
    <w:tmpl w:val="1E423EFC"/>
    <w:lvl w:ilvl="0">
      <w:start w:val="1"/>
      <w:numFmt w:val="decimal"/>
      <w:lvlText w:val="%1."/>
      <w:lvlJc w:val="left"/>
      <w:pPr>
        <w:tabs>
          <w:tab w:val="num" w:pos="0"/>
        </w:tabs>
        <w:ind w:left="720" w:hanging="360"/>
      </w:pPr>
      <w:rPr>
        <w:color w:val="auto"/>
        <w:sz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0F2447F"/>
    <w:multiLevelType w:val="multilevel"/>
    <w:tmpl w:val="F92EFA7A"/>
    <w:lvl w:ilvl="0">
      <w:start w:val="1"/>
      <w:numFmt w:val="decimal"/>
      <w:lvlText w:val="%1."/>
      <w:lvlJc w:val="left"/>
      <w:pPr>
        <w:tabs>
          <w:tab w:val="num" w:pos="0"/>
        </w:tabs>
        <w:ind w:left="360" w:hanging="360"/>
      </w:pPr>
      <w:rPr>
        <w:rFonts w:ascii="Calibri" w:hAnsi="Calibri"/>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785F2980"/>
    <w:multiLevelType w:val="multilevel"/>
    <w:tmpl w:val="BC186C0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E782849"/>
    <w:multiLevelType w:val="multilevel"/>
    <w:tmpl w:val="7F789DC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F1632CE"/>
    <w:multiLevelType w:val="multilevel"/>
    <w:tmpl w:val="844A835E"/>
    <w:lvl w:ilvl="0">
      <w:numFmt w:val="bullet"/>
      <w:lvlText w:val=""/>
      <w:lvlJc w:val="left"/>
      <w:pPr>
        <w:tabs>
          <w:tab w:val="num" w:pos="0"/>
        </w:tabs>
        <w:ind w:left="862" w:hanging="360"/>
      </w:pPr>
      <w:rPr>
        <w:rFonts w:ascii="Symbol" w:hAnsi="Symbol" w:cs="Symbol" w:hint="default"/>
      </w:rPr>
    </w:lvl>
    <w:lvl w:ilvl="1">
      <w:start w:val="1"/>
      <w:numFmt w:val="decimal"/>
      <w:lvlText w:val="%1.%2"/>
      <w:lvlJc w:val="left"/>
      <w:pPr>
        <w:tabs>
          <w:tab w:val="num" w:pos="0"/>
        </w:tabs>
        <w:ind w:left="1019" w:hanging="375"/>
      </w:pPr>
    </w:lvl>
    <w:lvl w:ilvl="2">
      <w:start w:val="1"/>
      <w:numFmt w:val="decimal"/>
      <w:lvlText w:val="%1.%2.%3"/>
      <w:lvlJc w:val="left"/>
      <w:pPr>
        <w:tabs>
          <w:tab w:val="num" w:pos="0"/>
        </w:tabs>
        <w:ind w:left="1506" w:hanging="720"/>
      </w:pPr>
    </w:lvl>
    <w:lvl w:ilvl="3">
      <w:start w:val="1"/>
      <w:numFmt w:val="decimal"/>
      <w:lvlText w:val="%1.%2.%3.%4"/>
      <w:lvlJc w:val="left"/>
      <w:pPr>
        <w:tabs>
          <w:tab w:val="num" w:pos="0"/>
        </w:tabs>
        <w:ind w:left="2008" w:hanging="1080"/>
      </w:pPr>
    </w:lvl>
    <w:lvl w:ilvl="4">
      <w:start w:val="1"/>
      <w:numFmt w:val="decimal"/>
      <w:lvlText w:val="%1.%2.%3.%4.%5"/>
      <w:lvlJc w:val="left"/>
      <w:pPr>
        <w:tabs>
          <w:tab w:val="num" w:pos="0"/>
        </w:tabs>
        <w:ind w:left="2150" w:hanging="1080"/>
      </w:pPr>
    </w:lvl>
    <w:lvl w:ilvl="5">
      <w:start w:val="1"/>
      <w:numFmt w:val="decimal"/>
      <w:lvlText w:val="%1.%2.%3.%4.%5.%6"/>
      <w:lvlJc w:val="left"/>
      <w:pPr>
        <w:tabs>
          <w:tab w:val="num" w:pos="0"/>
        </w:tabs>
        <w:ind w:left="2652" w:hanging="1440"/>
      </w:pPr>
    </w:lvl>
    <w:lvl w:ilvl="6">
      <w:start w:val="1"/>
      <w:numFmt w:val="decimal"/>
      <w:lvlText w:val="%1.%2.%3.%4.%5.%6.%7"/>
      <w:lvlJc w:val="left"/>
      <w:pPr>
        <w:tabs>
          <w:tab w:val="num" w:pos="0"/>
        </w:tabs>
        <w:ind w:left="2794" w:hanging="1440"/>
      </w:pPr>
    </w:lvl>
    <w:lvl w:ilvl="7">
      <w:start w:val="1"/>
      <w:numFmt w:val="decimal"/>
      <w:lvlText w:val="%1.%2.%3.%4.%5.%6.%7.%8"/>
      <w:lvlJc w:val="left"/>
      <w:pPr>
        <w:tabs>
          <w:tab w:val="num" w:pos="0"/>
        </w:tabs>
        <w:ind w:left="3296" w:hanging="1800"/>
      </w:pPr>
    </w:lvl>
    <w:lvl w:ilvl="8">
      <w:start w:val="1"/>
      <w:numFmt w:val="decimal"/>
      <w:lvlText w:val="%1.%2.%3.%4.%5.%6.%7.%8.%9"/>
      <w:lvlJc w:val="left"/>
      <w:pPr>
        <w:tabs>
          <w:tab w:val="num" w:pos="0"/>
        </w:tabs>
        <w:ind w:left="3438" w:hanging="1800"/>
      </w:pPr>
    </w:lvl>
  </w:abstractNum>
  <w:num w:numId="1">
    <w:abstractNumId w:val="20"/>
  </w:num>
  <w:num w:numId="2">
    <w:abstractNumId w:val="15"/>
  </w:num>
  <w:num w:numId="3">
    <w:abstractNumId w:val="8"/>
  </w:num>
  <w:num w:numId="4">
    <w:abstractNumId w:val="4"/>
  </w:num>
  <w:num w:numId="5">
    <w:abstractNumId w:val="18"/>
  </w:num>
  <w:num w:numId="6">
    <w:abstractNumId w:val="17"/>
  </w:num>
  <w:num w:numId="7">
    <w:abstractNumId w:val="14"/>
  </w:num>
  <w:num w:numId="8">
    <w:abstractNumId w:val="21"/>
  </w:num>
  <w:num w:numId="9">
    <w:abstractNumId w:val="1"/>
  </w:num>
  <w:num w:numId="10">
    <w:abstractNumId w:val="6"/>
  </w:num>
  <w:num w:numId="11">
    <w:abstractNumId w:val="10"/>
  </w:num>
  <w:num w:numId="12">
    <w:abstractNumId w:val="2"/>
  </w:num>
  <w:num w:numId="13">
    <w:abstractNumId w:val="16"/>
  </w:num>
  <w:num w:numId="14">
    <w:abstractNumId w:val="19"/>
  </w:num>
  <w:num w:numId="15">
    <w:abstractNumId w:val="3"/>
  </w:num>
  <w:num w:numId="16">
    <w:abstractNumId w:val="0"/>
  </w:num>
  <w:num w:numId="17">
    <w:abstractNumId w:val="12"/>
  </w:num>
  <w:num w:numId="18">
    <w:abstractNumId w:val="13"/>
  </w:num>
  <w:num w:numId="19">
    <w:abstractNumId w:val="9"/>
  </w:num>
  <w:num w:numId="20">
    <w:abstractNumId w:val="7"/>
  </w:num>
  <w:num w:numId="21">
    <w:abstractNumId w:val="5"/>
  </w:num>
  <w:num w:numId="22">
    <w:abstractNumId w:val="11"/>
  </w:num>
  <w:num w:numId="2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MTA1MjW3NDU2MLJQ0lEKTi0uzszPAykwqgUA8w/eMywAAAA="/>
  </w:docVars>
  <w:rsids>
    <w:rsidRoot w:val="007C525D"/>
    <w:rsid w:val="00021543"/>
    <w:rsid w:val="00027F22"/>
    <w:rsid w:val="000425EA"/>
    <w:rsid w:val="000452B0"/>
    <w:rsid w:val="000B2E61"/>
    <w:rsid w:val="00107301"/>
    <w:rsid w:val="001508CE"/>
    <w:rsid w:val="00167584"/>
    <w:rsid w:val="00176BB6"/>
    <w:rsid w:val="001A57AF"/>
    <w:rsid w:val="001A7879"/>
    <w:rsid w:val="001B5E5B"/>
    <w:rsid w:val="001B6D27"/>
    <w:rsid w:val="00201E22"/>
    <w:rsid w:val="00296F58"/>
    <w:rsid w:val="002D0019"/>
    <w:rsid w:val="002F031E"/>
    <w:rsid w:val="0035208E"/>
    <w:rsid w:val="003B0F79"/>
    <w:rsid w:val="003C4671"/>
    <w:rsid w:val="00485AD8"/>
    <w:rsid w:val="004A2E06"/>
    <w:rsid w:val="004A41D2"/>
    <w:rsid w:val="004B130B"/>
    <w:rsid w:val="004D2558"/>
    <w:rsid w:val="00522D64"/>
    <w:rsid w:val="006C507D"/>
    <w:rsid w:val="006E0FAB"/>
    <w:rsid w:val="00720EA2"/>
    <w:rsid w:val="007465A2"/>
    <w:rsid w:val="00752596"/>
    <w:rsid w:val="00791EEB"/>
    <w:rsid w:val="007C525D"/>
    <w:rsid w:val="007C757A"/>
    <w:rsid w:val="00855793"/>
    <w:rsid w:val="00886D5B"/>
    <w:rsid w:val="008B3520"/>
    <w:rsid w:val="008E140E"/>
    <w:rsid w:val="009611C7"/>
    <w:rsid w:val="009A4D69"/>
    <w:rsid w:val="00A671F6"/>
    <w:rsid w:val="00A97DA8"/>
    <w:rsid w:val="00AA3EC6"/>
    <w:rsid w:val="00AE14A0"/>
    <w:rsid w:val="00D0741B"/>
    <w:rsid w:val="00D72140"/>
    <w:rsid w:val="00D97445"/>
    <w:rsid w:val="00DC4272"/>
    <w:rsid w:val="00DD3031"/>
    <w:rsid w:val="00E04265"/>
    <w:rsid w:val="00E046BF"/>
    <w:rsid w:val="00E07DFE"/>
    <w:rsid w:val="00E30994"/>
    <w:rsid w:val="00EA47AB"/>
    <w:rsid w:val="00EC1E7B"/>
    <w:rsid w:val="00ED2FB1"/>
    <w:rsid w:val="00EF4168"/>
    <w:rsid w:val="00F26AAB"/>
    <w:rsid w:val="00FF635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B7E33"/>
  <w15:docId w15:val="{544EB22A-A78E-427B-921F-81D1EFFE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Arial"/>
        <w:szCs w:val="24"/>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jc w:val="both"/>
      <w:textAlignment w:val="baseline"/>
    </w:pPr>
    <w:rPr>
      <w:sz w:val="22"/>
      <w:lang w:val="en-GB"/>
    </w:rPr>
  </w:style>
  <w:style w:type="paragraph" w:styleId="Heading1">
    <w:name w:val="heading 1"/>
    <w:basedOn w:val="Normal"/>
    <w:next w:val="Normal"/>
    <w:uiPriority w:val="9"/>
    <w:qFormat/>
    <w:pPr>
      <w:keepNext/>
      <w:keepLines/>
      <w:spacing w:before="480" w:after="0"/>
      <w:outlineLvl w:val="0"/>
    </w:pPr>
    <w:rPr>
      <w:b/>
      <w:bCs/>
      <w:color w:val="3B0083"/>
      <w:sz w:val="32"/>
      <w:szCs w:val="32"/>
    </w:rPr>
  </w:style>
  <w:style w:type="paragraph" w:styleId="Heading2">
    <w:name w:val="heading 2"/>
    <w:basedOn w:val="Normal"/>
    <w:next w:val="Normal"/>
    <w:uiPriority w:val="9"/>
    <w:unhideWhenUsed/>
    <w:qFormat/>
    <w:pPr>
      <w:keepNext/>
      <w:spacing w:before="240" w:after="0"/>
      <w:outlineLvl w:val="1"/>
    </w:pPr>
    <w:rPr>
      <w:rFonts w:eastAsia="MS Gothic" w:cs="Times New Roman"/>
      <w:bCs/>
      <w:iCs/>
      <w:color w:val="331188"/>
      <w:sz w:val="24"/>
      <w:szCs w:val="28"/>
    </w:rPr>
  </w:style>
  <w:style w:type="paragraph" w:styleId="Heading3">
    <w:name w:val="heading 3"/>
    <w:basedOn w:val="Normal"/>
    <w:next w:val="Normal"/>
    <w:uiPriority w:val="9"/>
    <w:semiHidden/>
    <w:unhideWhenUsed/>
    <w:qFormat/>
    <w:pPr>
      <w:keepNext/>
      <w:keepLines/>
      <w:spacing w:before="200" w:after="0"/>
      <w:outlineLvl w:val="2"/>
    </w:pPr>
    <w:rPr>
      <w:b/>
      <w:bCs/>
      <w:color w:val="332A86"/>
    </w:rPr>
  </w:style>
  <w:style w:type="paragraph" w:styleId="Heading4">
    <w:name w:val="heading 4"/>
    <w:basedOn w:val="Normal"/>
    <w:next w:val="Normal"/>
    <w:uiPriority w:val="9"/>
    <w:semiHidden/>
    <w:unhideWhenUsed/>
    <w:qFormat/>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uiPriority w:val="9"/>
    <w:semiHidden/>
    <w:unhideWhenUsed/>
    <w:qFormat/>
    <w:pPr>
      <w:keepNext/>
      <w:tabs>
        <w:tab w:val="center" w:pos="4692"/>
      </w:tabs>
      <w:spacing w:after="0"/>
      <w:outlineLvl w:val="4"/>
    </w:pPr>
    <w:rPr>
      <w:rFonts w:eastAsia="Times New Roman" w:cs="Times New Roman"/>
      <w:b/>
      <w:spacing w:val="-3"/>
      <w:sz w:val="28"/>
      <w:szCs w:val="20"/>
    </w:rPr>
  </w:style>
  <w:style w:type="paragraph" w:styleId="Heading6">
    <w:name w:val="heading 6"/>
    <w:basedOn w:val="Normal"/>
    <w:next w:val="Normal"/>
    <w:uiPriority w:val="9"/>
    <w:semiHidden/>
    <w:unhideWhenUsed/>
    <w:qFormat/>
    <w:pPr>
      <w:keepNext/>
      <w:tabs>
        <w:tab w:val="center" w:pos="4692"/>
      </w:tabs>
      <w:spacing w:after="0"/>
      <w:jc w:val="right"/>
      <w:outlineLvl w:val="5"/>
    </w:pPr>
    <w:rPr>
      <w:rFonts w:eastAsia="Times New Roman" w:cs="Times New Roman"/>
      <w:b/>
      <w:spacing w:val="-3"/>
      <w:sz w:val="28"/>
      <w:szCs w:val="20"/>
    </w:rPr>
  </w:style>
  <w:style w:type="paragraph" w:styleId="Heading7">
    <w:name w:val="heading 7"/>
    <w:basedOn w:val="Normal"/>
    <w:next w:val="Normal"/>
    <w:qFormat/>
    <w:pPr>
      <w:keepNext/>
      <w:shd w:val="clear" w:color="auto" w:fill="FFFFFF"/>
      <w:spacing w:after="0"/>
      <w:outlineLvl w:val="6"/>
    </w:pPr>
    <w:rPr>
      <w:rFonts w:ascii="Times Roman" w:eastAsia="Times New Roman" w:hAnsi="Times Roman" w:cs="Times New Roman"/>
      <w:b/>
      <w:sz w:val="24"/>
      <w:szCs w:val="20"/>
    </w:rPr>
  </w:style>
  <w:style w:type="paragraph" w:styleId="Heading8">
    <w:name w:val="heading 8"/>
    <w:basedOn w:val="Normal"/>
    <w:next w:val="Normal"/>
    <w:qFormat/>
    <w:pPr>
      <w:keepNext/>
      <w:tabs>
        <w:tab w:val="center" w:pos="4693"/>
      </w:tabs>
      <w:spacing w:after="0"/>
      <w:jc w:val="center"/>
      <w:outlineLvl w:val="7"/>
    </w:pPr>
    <w:rPr>
      <w:rFonts w:ascii="Times New Roman" w:eastAsia="Times New Roman" w:hAnsi="Times New Roman" w:cs="Times New Roman"/>
      <w:b/>
      <w:sz w:val="40"/>
      <w:szCs w:val="20"/>
    </w:rPr>
  </w:style>
  <w:style w:type="paragraph" w:styleId="Heading9">
    <w:name w:val="heading 9"/>
    <w:basedOn w:val="Normal"/>
    <w:next w:val="Normal"/>
    <w:qFormat/>
    <w:pPr>
      <w:keepNext/>
      <w:keepLines/>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Arial" w:eastAsia="MS PGothic" w:hAnsi="Arial" w:cs="Arial"/>
      <w:b/>
      <w:bCs/>
      <w:color w:val="3B0083"/>
      <w:sz w:val="32"/>
      <w:szCs w:val="32"/>
      <w:lang w:val="en-GB"/>
    </w:rPr>
  </w:style>
  <w:style w:type="character" w:customStyle="1" w:styleId="Heading2Char">
    <w:name w:val="Heading 2 Char"/>
    <w:basedOn w:val="DefaultParagraphFont"/>
    <w:qFormat/>
    <w:rPr>
      <w:rFonts w:ascii="Arial" w:eastAsia="MS Gothic" w:hAnsi="Arial" w:cs="Times New Roman"/>
      <w:bCs/>
      <w:iCs/>
      <w:color w:val="331188"/>
      <w:szCs w:val="28"/>
      <w:lang w:val="en-GB"/>
    </w:rPr>
  </w:style>
  <w:style w:type="character" w:customStyle="1" w:styleId="Heading3Char">
    <w:name w:val="Heading 3 Char"/>
    <w:basedOn w:val="DefaultParagraphFont"/>
    <w:qFormat/>
    <w:rPr>
      <w:rFonts w:ascii="Arial" w:eastAsia="MS PGothic" w:hAnsi="Arial" w:cs="Arial"/>
      <w:b/>
      <w:bCs/>
      <w:color w:val="332A86"/>
      <w:sz w:val="22"/>
      <w:lang w:val="en-GB"/>
    </w:rPr>
  </w:style>
  <w:style w:type="character" w:customStyle="1" w:styleId="Heading4Char">
    <w:name w:val="Heading 4 Char"/>
    <w:basedOn w:val="DefaultParagraphFont"/>
    <w:qFormat/>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qFormat/>
    <w:rPr>
      <w:rFonts w:ascii="Arial" w:eastAsia="Times New Roman" w:hAnsi="Arial" w:cs="Times New Roman"/>
      <w:b/>
      <w:spacing w:val="-3"/>
      <w:sz w:val="28"/>
      <w:szCs w:val="20"/>
      <w:lang w:val="en-GB"/>
    </w:rPr>
  </w:style>
  <w:style w:type="character" w:customStyle="1" w:styleId="Heading6Char">
    <w:name w:val="Heading 6 Char"/>
    <w:basedOn w:val="DefaultParagraphFont"/>
    <w:qFormat/>
    <w:rPr>
      <w:rFonts w:ascii="Arial" w:eastAsia="Times New Roman" w:hAnsi="Arial" w:cs="Times New Roman"/>
      <w:b/>
      <w:spacing w:val="-3"/>
      <w:sz w:val="28"/>
      <w:szCs w:val="20"/>
      <w:lang w:val="en-GB"/>
    </w:rPr>
  </w:style>
  <w:style w:type="character" w:customStyle="1" w:styleId="Heading7Char">
    <w:name w:val="Heading 7 Char"/>
    <w:basedOn w:val="DefaultParagraphFont"/>
    <w:qFormat/>
    <w:rPr>
      <w:rFonts w:ascii="Times Roman" w:eastAsia="Times New Roman" w:hAnsi="Times Roman" w:cs="Times New Roman"/>
      <w:szCs w:val="20"/>
      <w:shd w:val="clear" w:color="auto" w:fill="E5E5E5"/>
      <w:lang w:val="en-GB"/>
    </w:rPr>
  </w:style>
  <w:style w:type="character" w:customStyle="1" w:styleId="Heading8Char">
    <w:name w:val="Heading 8 Char"/>
    <w:basedOn w:val="DefaultParagraphFont"/>
    <w:qFormat/>
    <w:rPr>
      <w:rFonts w:ascii="Times New Roman" w:eastAsia="Times New Roman" w:hAnsi="Times New Roman" w:cs="Times New Roman"/>
      <w:b/>
      <w:sz w:val="40"/>
      <w:szCs w:val="20"/>
      <w:lang w:val="en-GB"/>
    </w:rPr>
  </w:style>
  <w:style w:type="character" w:customStyle="1" w:styleId="Heading9Char">
    <w:name w:val="Heading 9 Char"/>
    <w:basedOn w:val="DefaultParagraphFont"/>
    <w:qFormat/>
    <w:rPr>
      <w:rFonts w:ascii="Arial" w:eastAsia="MS PGothic" w:hAnsi="Arial" w:cs="Arial"/>
      <w:i/>
      <w:iCs/>
      <w:color w:val="404040"/>
      <w:sz w:val="20"/>
      <w:szCs w:val="20"/>
      <w:lang w:val="en-GB"/>
    </w:rPr>
  </w:style>
  <w:style w:type="character" w:customStyle="1" w:styleId="HeaderChar">
    <w:name w:val="Header Char"/>
    <w:basedOn w:val="DefaultParagraphFont"/>
    <w:qFormat/>
    <w:rPr>
      <w:lang w:val="en-GB"/>
    </w:rPr>
  </w:style>
  <w:style w:type="character" w:customStyle="1" w:styleId="FooterChar">
    <w:name w:val="Footer Char"/>
    <w:basedOn w:val="DefaultParagraphFont"/>
    <w:uiPriority w:val="99"/>
    <w:qFormat/>
    <w:rPr>
      <w:lang w:val="en-GB"/>
    </w:rPr>
  </w:style>
  <w:style w:type="character" w:customStyle="1" w:styleId="BalloonTextChar">
    <w:name w:val="Balloon Text Char"/>
    <w:basedOn w:val="DefaultParagraphFont"/>
    <w:qFormat/>
    <w:rPr>
      <w:rFonts w:ascii="Lucida Grande" w:hAnsi="Lucida Grande"/>
      <w:sz w:val="18"/>
      <w:szCs w:val="18"/>
      <w:lang w:val="en-GB"/>
    </w:rPr>
  </w:style>
  <w:style w:type="character" w:customStyle="1" w:styleId="Hyperlink1">
    <w:name w:val="Hyperlink1"/>
    <w:basedOn w:val="DefaultParagraphFont"/>
    <w:qFormat/>
    <w:rPr>
      <w:color w:val="0000FF"/>
      <w:u w:val="single"/>
    </w:rPr>
  </w:style>
  <w:style w:type="character" w:styleId="Strong">
    <w:name w:val="Strong"/>
    <w:basedOn w:val="DefaultParagraphFont"/>
    <w:qFormat/>
    <w:rPr>
      <w:b/>
      <w:bCs/>
    </w:rPr>
  </w:style>
  <w:style w:type="character" w:customStyle="1" w:styleId="SignatureChar">
    <w:name w:val="Signature Char"/>
    <w:basedOn w:val="DefaultParagraphFont"/>
    <w:qFormat/>
    <w:rPr>
      <w:sz w:val="22"/>
      <w:lang w:val="en-GB"/>
    </w:rPr>
  </w:style>
  <w:style w:type="character" w:customStyle="1" w:styleId="SalutationChar">
    <w:name w:val="Salutation Char"/>
    <w:basedOn w:val="DefaultParagraphFont"/>
    <w:qFormat/>
    <w:rPr>
      <w:sz w:val="22"/>
      <w:lang w:val="en-GB"/>
    </w:rPr>
  </w:style>
  <w:style w:type="character" w:customStyle="1" w:styleId="DateChar">
    <w:name w:val="Date Char"/>
    <w:basedOn w:val="DefaultParagraphFont"/>
    <w:qFormat/>
    <w:rPr>
      <w:sz w:val="22"/>
      <w:lang w:val="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eastAsia="Arial"/>
      <w:sz w:val="20"/>
      <w:szCs w:val="20"/>
      <w:lang w:val="en-GB"/>
    </w:rPr>
  </w:style>
  <w:style w:type="character" w:customStyle="1" w:styleId="EndnoteTextChar">
    <w:name w:val="Endnote Text Char"/>
    <w:basedOn w:val="DefaultParagraphFont"/>
    <w:qFormat/>
    <w:rPr>
      <w:rFonts w:ascii="Times Roman" w:eastAsia="Times New Roman" w:hAnsi="Times Roman" w:cs="Times New Roman"/>
      <w:szCs w:val="20"/>
      <w:lang w:val="en-GB"/>
    </w:rPr>
  </w:style>
  <w:style w:type="character" w:customStyle="1" w:styleId="FootnoteTextChar">
    <w:name w:val="Footnote Text Char"/>
    <w:basedOn w:val="DefaultParagraphFont"/>
    <w:qFormat/>
    <w:rPr>
      <w:rFonts w:ascii="Times Roman" w:eastAsia="Times New Roman" w:hAnsi="Times Roman" w:cs="Times New Roman"/>
      <w:szCs w:val="20"/>
      <w:lang w:val="en-GB"/>
    </w:rPr>
  </w:style>
  <w:style w:type="character" w:customStyle="1" w:styleId="Heading11">
    <w:name w:val="Heading 11"/>
    <w:qFormat/>
    <w:rPr>
      <w:rFonts w:ascii="Times Roman" w:hAnsi="Times Roman"/>
      <w:sz w:val="24"/>
      <w:lang w:val="en-US"/>
    </w:rPr>
  </w:style>
  <w:style w:type="character" w:customStyle="1" w:styleId="Document8">
    <w:name w:val="Document 8"/>
    <w:basedOn w:val="DefaultParagraphFont"/>
    <w:qFormat/>
  </w:style>
  <w:style w:type="character" w:customStyle="1" w:styleId="Document4">
    <w:name w:val="Document 4"/>
    <w:qFormat/>
    <w:rPr>
      <w:b/>
      <w:i/>
      <w:sz w:val="24"/>
    </w:rPr>
  </w:style>
  <w:style w:type="character" w:customStyle="1" w:styleId="Document6">
    <w:name w:val="Document 6"/>
    <w:basedOn w:val="DefaultParagraphFont"/>
    <w:qFormat/>
  </w:style>
  <w:style w:type="character" w:customStyle="1" w:styleId="Document5">
    <w:name w:val="Document 5"/>
    <w:basedOn w:val="DefaultParagraphFont"/>
    <w:qFormat/>
  </w:style>
  <w:style w:type="character" w:customStyle="1" w:styleId="Document2">
    <w:name w:val="Document 2"/>
    <w:qFormat/>
    <w:rPr>
      <w:rFonts w:ascii="Times Roman" w:hAnsi="Times Roman"/>
      <w:sz w:val="24"/>
      <w:lang w:val="en-US"/>
    </w:rPr>
  </w:style>
  <w:style w:type="character" w:customStyle="1" w:styleId="Document7">
    <w:name w:val="Document 7"/>
    <w:basedOn w:val="DefaultParagraphFont"/>
    <w:qFormat/>
  </w:style>
  <w:style w:type="character" w:customStyle="1" w:styleId="Bibliogrphy">
    <w:name w:val="Bibliogrphy"/>
    <w:basedOn w:val="DefaultParagraphFont"/>
    <w:qFormat/>
  </w:style>
  <w:style w:type="character" w:customStyle="1" w:styleId="Document3">
    <w:name w:val="Document 3"/>
    <w:qFormat/>
    <w:rPr>
      <w:rFonts w:ascii="Times Roman" w:hAnsi="Times Roman"/>
      <w:sz w:val="24"/>
      <w:lang w:val="en-US"/>
    </w:rPr>
  </w:style>
  <w:style w:type="character" w:customStyle="1" w:styleId="TechInit">
    <w:name w:val="Tech Init"/>
    <w:qFormat/>
    <w:rPr>
      <w:rFonts w:ascii="Times Roman" w:hAnsi="Times Roman"/>
      <w:sz w:val="24"/>
      <w:lang w:val="en-US"/>
    </w:rPr>
  </w:style>
  <w:style w:type="character" w:customStyle="1" w:styleId="Technical2">
    <w:name w:val="Technical 2"/>
    <w:qFormat/>
    <w:rPr>
      <w:rFonts w:ascii="Times Roman" w:hAnsi="Times Roman"/>
      <w:sz w:val="24"/>
      <w:lang w:val="en-US"/>
    </w:rPr>
  </w:style>
  <w:style w:type="character" w:customStyle="1" w:styleId="Technical3">
    <w:name w:val="Technical 3"/>
    <w:qFormat/>
    <w:rPr>
      <w:rFonts w:ascii="Times Roman" w:hAnsi="Times Roman"/>
      <w:sz w:val="24"/>
      <w:lang w:val="en-US"/>
    </w:rPr>
  </w:style>
  <w:style w:type="character" w:customStyle="1" w:styleId="Technical1">
    <w:name w:val="Technical 1"/>
    <w:qFormat/>
    <w:rPr>
      <w:rFonts w:ascii="Times Roman" w:hAnsi="Times Roman"/>
      <w:sz w:val="24"/>
      <w:lang w:val="en-US"/>
    </w:rPr>
  </w:style>
  <w:style w:type="character" w:customStyle="1" w:styleId="DocInit">
    <w:name w:val="Doc Init"/>
    <w:basedOn w:val="DefaultParagraphFont"/>
    <w:qFormat/>
  </w:style>
  <w:style w:type="character" w:customStyle="1" w:styleId="EquationCaption">
    <w:name w:val="_Equation Caption"/>
    <w:qFormat/>
  </w:style>
  <w:style w:type="character" w:customStyle="1" w:styleId="BodyTextChar">
    <w:name w:val="Body Text Char"/>
    <w:basedOn w:val="DefaultParagraphFont"/>
    <w:qFormat/>
    <w:rPr>
      <w:rFonts w:ascii="Times Roman" w:eastAsia="Times New Roman" w:hAnsi="Times Roman" w:cs="Times New Roman"/>
      <w:i/>
      <w:spacing w:val="-3"/>
      <w:szCs w:val="20"/>
      <w:lang w:val="en-GB"/>
    </w:rPr>
  </w:style>
  <w:style w:type="character" w:customStyle="1" w:styleId="BodyText2Char">
    <w:name w:val="Body Text 2 Char"/>
    <w:basedOn w:val="DefaultParagraphFont"/>
    <w:qFormat/>
    <w:rPr>
      <w:rFonts w:ascii="Times Roman" w:eastAsia="Times New Roman" w:hAnsi="Times Roman" w:cs="Times New Roman"/>
      <w:spacing w:val="-3"/>
      <w:sz w:val="20"/>
      <w:szCs w:val="20"/>
      <w:lang w:val="en-GB"/>
    </w:rPr>
  </w:style>
  <w:style w:type="character" w:customStyle="1" w:styleId="BodyText3Char">
    <w:name w:val="Body Text 3 Char"/>
    <w:basedOn w:val="DefaultParagraphFont"/>
    <w:qFormat/>
    <w:rPr>
      <w:rFonts w:ascii="Times New Roman" w:eastAsia="Times New Roman" w:hAnsi="Times New Roman" w:cs="Times New Roman"/>
      <w:color w:val="FF0000"/>
      <w:spacing w:val="-3"/>
      <w:szCs w:val="20"/>
      <w:lang w:val="en-GB"/>
    </w:rPr>
  </w:style>
  <w:style w:type="character" w:customStyle="1" w:styleId="BodyTextIndent3Char">
    <w:name w:val="Body Text Indent 3 Char"/>
    <w:basedOn w:val="DefaultParagraphFont"/>
    <w:qFormat/>
    <w:rPr>
      <w:rFonts w:ascii="Times New Roman" w:eastAsia="Times New Roman" w:hAnsi="Times New Roman" w:cs="Times New Roman"/>
      <w:spacing w:val="-3"/>
      <w:szCs w:val="20"/>
      <w:lang w:val="en-GB"/>
    </w:rPr>
  </w:style>
  <w:style w:type="character" w:customStyle="1" w:styleId="BodyTextIndentChar">
    <w:name w:val="Body Text Indent Char"/>
    <w:basedOn w:val="DefaultParagraphFont"/>
    <w:qFormat/>
    <w:rPr>
      <w:rFonts w:ascii="Times New Roman" w:eastAsia="Times New Roman" w:hAnsi="Times New Roman" w:cs="Times New Roman"/>
      <w:spacing w:val="-3"/>
      <w:szCs w:val="20"/>
      <w:lang w:val="en-GB"/>
    </w:rPr>
  </w:style>
  <w:style w:type="character" w:customStyle="1" w:styleId="BodyTextIndent2Char">
    <w:name w:val="Body Text Indent 2 Char"/>
    <w:basedOn w:val="DefaultParagraphFont"/>
    <w:qFormat/>
    <w:rPr>
      <w:rFonts w:ascii="Times Roman" w:eastAsia="Times New Roman" w:hAnsi="Times Roman" w:cs="Times New Roman"/>
      <w:szCs w:val="20"/>
      <w:lang w:val="en-GB"/>
    </w:rPr>
  </w:style>
  <w:style w:type="character" w:customStyle="1" w:styleId="highlightedbluebodytext">
    <w:name w:val="highlightedbluebodytext"/>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PageNumber">
    <w:name w:val="page number"/>
    <w:basedOn w:val="DefaultParagraphFont"/>
    <w:qFormat/>
  </w:style>
  <w:style w:type="character" w:customStyle="1" w:styleId="Listlevel1Char">
    <w:name w:val="List level 1 Char"/>
    <w:qFormat/>
    <w:rPr>
      <w:rFonts w:ascii="Times New Roman" w:eastAsia="Times New Roman" w:hAnsi="Times New Roman" w:cs="Times New Roman"/>
      <w:szCs w:val="20"/>
    </w:rPr>
  </w:style>
  <w:style w:type="character" w:customStyle="1" w:styleId="TextChar1">
    <w:name w:val="Text Char1"/>
    <w:qFormat/>
    <w:rPr>
      <w:rFonts w:ascii="Times New Roman" w:eastAsia="MS Mincho" w:hAnsi="Times New Roman" w:cs="Times New Roman"/>
      <w:szCs w:val="20"/>
    </w:rPr>
  </w:style>
  <w:style w:type="character" w:customStyle="1" w:styleId="CommentSubjectChar">
    <w:name w:val="Comment Subject Char"/>
    <w:basedOn w:val="CommentTextChar"/>
    <w:qFormat/>
    <w:rPr>
      <w:rFonts w:ascii="Times Roman" w:eastAsia="Times New Roman" w:hAnsi="Times Roman" w:cs="Times New Roman"/>
      <w:b/>
      <w:bCs/>
      <w:sz w:val="20"/>
      <w:szCs w:val="20"/>
      <w:lang w:val="en-GB"/>
    </w:rPr>
  </w:style>
  <w:style w:type="character" w:customStyle="1" w:styleId="NoSpacingChar">
    <w:name w:val="No Spacing Char"/>
    <w:qFormat/>
    <w:rPr>
      <w:rFonts w:ascii="Calibri" w:eastAsia="Times New Roman" w:hAnsi="Calibri" w:cs="Calibri"/>
      <w:sz w:val="22"/>
      <w:szCs w:val="22"/>
      <w:lang w:val="en-GB"/>
    </w:rPr>
  </w:style>
  <w:style w:type="character" w:styleId="HTMLCite">
    <w:name w:val="HTML Cite"/>
    <w:basedOn w:val="DefaultParagraphFont"/>
    <w:qFormat/>
    <w:rPr>
      <w:i w:val="0"/>
      <w:iCs w:val="0"/>
      <w:color w:val="009030"/>
    </w:rPr>
  </w:style>
  <w:style w:type="character" w:customStyle="1" w:styleId="UnresolvedMention1">
    <w:name w:val="Unresolved Mention1"/>
    <w:basedOn w:val="DefaultParagraphFont"/>
    <w:qFormat/>
    <w:rPr>
      <w:color w:val="605E5C"/>
      <w:shd w:val="clear" w:color="auto" w:fill="E1DFDD"/>
    </w:rPr>
  </w:style>
  <w:style w:type="character" w:customStyle="1" w:styleId="ListofabbreviationsChar">
    <w:name w:val="List of abbreviations Char"/>
    <w:basedOn w:val="DefaultParagraphFont"/>
    <w:qFormat/>
    <w:rPr>
      <w:rFonts w:ascii="Calibri" w:eastAsia="Times New Roman" w:hAnsi="Calibri" w:cs="Times New Roman"/>
      <w:sz w:val="22"/>
      <w:szCs w:val="22"/>
      <w:lang w:val="en-GB"/>
    </w:rPr>
  </w:style>
  <w:style w:type="character" w:customStyle="1" w:styleId="Normal-nospacingChar">
    <w:name w:val="Normal - no spacing Char"/>
    <w:qFormat/>
    <w:rPr>
      <w:rFonts w:ascii="Calibri" w:eastAsia="Times New Roman" w:hAnsi="Calibri" w:cs="Times New Roman"/>
      <w:sz w:val="23"/>
      <w:szCs w:val="23"/>
      <w:lang w:val="en-GB"/>
    </w:rPr>
  </w:style>
  <w:style w:type="character" w:customStyle="1" w:styleId="Bulletlist-oldChar">
    <w:name w:val="Bullet list - old Char"/>
    <w:qFormat/>
    <w:rPr>
      <w:rFonts w:ascii="Calibri" w:eastAsia="Times New Roman" w:hAnsi="Calibri" w:cs="Times New Roman"/>
      <w:color w:val="000000"/>
      <w:kern w:val="2"/>
      <w:sz w:val="23"/>
      <w:szCs w:val="23"/>
      <w:lang w:val="en-GB" w:eastAsia="en-GB"/>
    </w:rPr>
  </w:style>
  <w:style w:type="character" w:customStyle="1" w:styleId="MediumGrid2-Accent1Char">
    <w:name w:val="Medium Grid 2 - Accent 1 Char"/>
    <w:qFormat/>
    <w:rPr>
      <w:rFonts w:ascii="Calibri" w:eastAsia="Times New Roman" w:hAnsi="Calibri" w:cs="Times New Roman"/>
      <w:sz w:val="23"/>
      <w:lang w:val="en-GB"/>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pple-converted-space">
    <w:name w:val="apple-converted-space"/>
    <w:basedOn w:val="DefaultParagraphFont"/>
    <w:qFormat/>
  </w:style>
  <w:style w:type="character" w:styleId="UnresolvedMention">
    <w:name w:val="Unresolved Mention"/>
    <w:basedOn w:val="DefaultParagraphFont"/>
    <w:qFormat/>
    <w:rPr>
      <w:color w:val="605E5C"/>
      <w:shd w:val="clear" w:color="auto" w:fill="E1DFDD"/>
    </w:rPr>
  </w:style>
  <w:style w:type="character" w:styleId="Hyperlink">
    <w:name w:val="Hyperlink"/>
    <w:basedOn w:val="DefaultParagraphFont"/>
    <w:uiPriority w:val="99"/>
    <w:unhideWhenUsed/>
    <w:rsid w:val="008B166C"/>
    <w:rPr>
      <w:color w:val="0563C1"/>
      <w:u w:val="single"/>
    </w:rPr>
  </w:style>
  <w:style w:type="paragraph" w:customStyle="1" w:styleId="Heading">
    <w:name w:val="Heading"/>
    <w:basedOn w:val="Normal"/>
    <w:next w:val="BodyText"/>
    <w:qFormat/>
    <w:pPr>
      <w:tabs>
        <w:tab w:val="center" w:pos="4680"/>
      </w:tabs>
      <w:ind w:firstLine="4680"/>
    </w:pPr>
    <w:rPr>
      <w:rFonts w:ascii="Times Roman" w:eastAsia="Times New Roman" w:hAnsi="Times Roman" w:cs="Times New Roman"/>
      <w:b/>
      <w:sz w:val="29"/>
      <w:szCs w:val="20"/>
    </w:rPr>
  </w:style>
  <w:style w:type="paragraph" w:styleId="BodyText">
    <w:name w:val="Body Text"/>
    <w:basedOn w:val="Normal"/>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Pr>
      <w:rFonts w:ascii="Times Roman" w:eastAsia="Times New Roman" w:hAnsi="Times Roman" w:cs="Times New Roman"/>
      <w:i/>
      <w:spacing w:val="-3"/>
      <w:sz w:val="24"/>
      <w:szCs w:val="20"/>
    </w:rPr>
  </w:style>
  <w:style w:type="paragraph" w:styleId="List">
    <w:name w:val="List"/>
    <w:basedOn w:val="BodyText"/>
    <w:rPr>
      <w:rFonts w:ascii="Arial" w:hAnsi="Arial" w:cs="Lohit Devanagari"/>
    </w:rPr>
  </w:style>
  <w:style w:type="paragraph" w:styleId="Caption">
    <w:name w:val="caption"/>
    <w:basedOn w:val="Normal"/>
    <w:next w:val="Normal"/>
    <w:qFormat/>
    <w:pPr>
      <w:spacing w:after="0"/>
    </w:pPr>
    <w:rPr>
      <w:rFonts w:ascii="Times Roman" w:eastAsia="Times New Roman" w:hAnsi="Times Roman" w:cs="Times New Roman"/>
      <w:sz w:val="24"/>
      <w:szCs w:val="2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alloonText">
    <w:name w:val="Balloon Text"/>
    <w:basedOn w:val="Normal"/>
    <w:qFormat/>
    <w:rPr>
      <w:rFonts w:ascii="Lucida Grande" w:hAnsi="Lucida Grande"/>
      <w:sz w:val="18"/>
      <w:szCs w:val="18"/>
    </w:rPr>
  </w:style>
  <w:style w:type="paragraph" w:customStyle="1" w:styleId="ContactAddress">
    <w:name w:val="ContactAddress"/>
    <w:basedOn w:val="Normal"/>
    <w:qFormat/>
    <w:pPr>
      <w:spacing w:after="0" w:line="240" w:lineRule="exact"/>
      <w:jc w:val="right"/>
    </w:pPr>
    <w:rPr>
      <w:szCs w:val="18"/>
    </w:rPr>
  </w:style>
  <w:style w:type="paragraph" w:customStyle="1" w:styleId="EnvelopeAddress1">
    <w:name w:val="Envelope Address1"/>
    <w:basedOn w:val="Normal"/>
    <w:qFormat/>
    <w:pPr>
      <w:spacing w:line="260" w:lineRule="exact"/>
    </w:pPr>
    <w:rPr>
      <w:szCs w:val="22"/>
    </w:rPr>
  </w:style>
  <w:style w:type="paragraph" w:customStyle="1" w:styleId="Subject">
    <w:name w:val="Subject"/>
    <w:basedOn w:val="Normal"/>
    <w:qFormat/>
    <w:pPr>
      <w:spacing w:before="120"/>
    </w:pPr>
    <w:rPr>
      <w:b/>
    </w:rPr>
  </w:style>
  <w:style w:type="paragraph" w:styleId="Signature">
    <w:name w:val="Signature"/>
    <w:basedOn w:val="Normal"/>
  </w:style>
  <w:style w:type="paragraph" w:styleId="Salutation">
    <w:name w:val="Salutation"/>
    <w:basedOn w:val="Normal"/>
    <w:next w:val="Normal"/>
    <w:pPr>
      <w:spacing w:before="240"/>
    </w:pPr>
  </w:style>
  <w:style w:type="paragraph" w:styleId="Date">
    <w:name w:val="Date"/>
    <w:basedOn w:val="Normal"/>
    <w:next w:val="Normal"/>
    <w:qFormat/>
    <w:pPr>
      <w:spacing w:before="120"/>
    </w:pPr>
  </w:style>
  <w:style w:type="paragraph" w:styleId="ListParagraph">
    <w:name w:val="List Paragraph"/>
    <w:basedOn w:val="Normal"/>
    <w:qFormat/>
    <w:pPr>
      <w:spacing w:after="200" w:line="276" w:lineRule="auto"/>
      <w:ind w:left="720"/>
    </w:pPr>
    <w:rPr>
      <w:rFonts w:eastAsia="Arial"/>
      <w:szCs w:val="22"/>
    </w:rPr>
  </w:style>
  <w:style w:type="paragraph" w:customStyle="1" w:styleId="Default">
    <w:name w:val="Default"/>
    <w:qFormat/>
    <w:pPr>
      <w:jc w:val="both"/>
      <w:textAlignment w:val="baseline"/>
    </w:pPr>
    <w:rPr>
      <w:rFonts w:ascii="Calibri" w:eastAsia="Arial" w:hAnsi="Calibri" w:cs="Calibri"/>
      <w:color w:val="000000"/>
      <w:sz w:val="22"/>
      <w:lang w:val="en-GB"/>
    </w:rPr>
  </w:style>
  <w:style w:type="paragraph" w:styleId="CommentText">
    <w:name w:val="annotation text"/>
    <w:basedOn w:val="Normal"/>
    <w:qFormat/>
    <w:pPr>
      <w:spacing w:after="200"/>
    </w:pPr>
    <w:rPr>
      <w:rFonts w:eastAsia="Arial"/>
      <w:sz w:val="20"/>
      <w:szCs w:val="20"/>
    </w:rPr>
  </w:style>
  <w:style w:type="paragraph" w:styleId="EndnoteText">
    <w:name w:val="endnote text"/>
    <w:basedOn w:val="Normal"/>
    <w:pPr>
      <w:spacing w:after="0"/>
    </w:pPr>
    <w:rPr>
      <w:rFonts w:ascii="Times Roman" w:eastAsia="Times New Roman" w:hAnsi="Times Roman" w:cs="Times New Roman"/>
      <w:sz w:val="24"/>
      <w:szCs w:val="20"/>
    </w:rPr>
  </w:style>
  <w:style w:type="paragraph" w:styleId="FootnoteText">
    <w:name w:val="footnote text"/>
    <w:basedOn w:val="Normal"/>
    <w:pPr>
      <w:spacing w:after="0"/>
    </w:pPr>
    <w:rPr>
      <w:rFonts w:ascii="Times Roman" w:eastAsia="Times New Roman" w:hAnsi="Times Roman" w:cs="Times New Roman"/>
      <w:sz w:val="24"/>
      <w:szCs w:val="20"/>
    </w:rPr>
  </w:style>
  <w:style w:type="paragraph" w:customStyle="1" w:styleId="Footer1">
    <w:name w:val="Footer1"/>
    <w:qFormat/>
    <w:pPr>
      <w:tabs>
        <w:tab w:val="center" w:pos="4680"/>
        <w:tab w:val="right" w:pos="9000"/>
        <w:tab w:val="left" w:pos="9360"/>
      </w:tabs>
      <w:jc w:val="both"/>
      <w:textAlignment w:val="baseline"/>
    </w:pPr>
    <w:rPr>
      <w:rFonts w:ascii="Courier" w:eastAsia="Times New Roman" w:hAnsi="Courier" w:cs="Times New Roman"/>
      <w:sz w:val="22"/>
      <w:szCs w:val="20"/>
    </w:rPr>
  </w:style>
  <w:style w:type="paragraph" w:customStyle="1" w:styleId="Header1">
    <w:name w:val="Header1"/>
    <w:qFormat/>
    <w:pPr>
      <w:tabs>
        <w:tab w:val="center" w:pos="4680"/>
        <w:tab w:val="right" w:pos="9000"/>
        <w:tab w:val="left" w:pos="9360"/>
      </w:tabs>
      <w:jc w:val="both"/>
      <w:textAlignment w:val="baseline"/>
    </w:pPr>
    <w:rPr>
      <w:rFonts w:ascii="Courier" w:eastAsia="Times New Roman" w:hAnsi="Courier" w:cs="Times New Roman"/>
      <w:sz w:val="22"/>
      <w:szCs w:val="20"/>
    </w:rPr>
  </w:style>
  <w:style w:type="paragraph" w:customStyle="1" w:styleId="FootnoteReference1">
    <w:name w:val="Footnote Reference1"/>
    <w:qFormat/>
    <w:pPr>
      <w:tabs>
        <w:tab w:val="left" w:pos="-720"/>
        <w:tab w:val="left" w:pos="720"/>
      </w:tabs>
      <w:jc w:val="both"/>
      <w:textAlignment w:val="baseline"/>
    </w:pPr>
    <w:rPr>
      <w:rFonts w:ascii="Courier" w:eastAsia="Times New Roman" w:hAnsi="Courier" w:cs="Times New Roman"/>
      <w:sz w:val="16"/>
      <w:szCs w:val="20"/>
      <w:vertAlign w:val="superscript"/>
    </w:rPr>
  </w:style>
  <w:style w:type="paragraph" w:customStyle="1" w:styleId="FootnoteText1">
    <w:name w:val="Footnote Text1"/>
    <w:qFormat/>
    <w:pPr>
      <w:tabs>
        <w:tab w:val="left" w:pos="-720"/>
        <w:tab w:val="left" w:pos="720"/>
      </w:tabs>
      <w:jc w:val="both"/>
      <w:textAlignment w:val="baseline"/>
    </w:pPr>
    <w:rPr>
      <w:rFonts w:ascii="Courier" w:eastAsia="Times New Roman" w:hAnsi="Courier" w:cs="Times New Roman"/>
      <w:sz w:val="22"/>
      <w:szCs w:val="20"/>
    </w:rPr>
  </w:style>
  <w:style w:type="paragraph" w:customStyle="1" w:styleId="Heading91">
    <w:name w:val="Heading 91"/>
    <w:qFormat/>
    <w:pPr>
      <w:tabs>
        <w:tab w:val="left" w:pos="720"/>
        <w:tab w:val="left" w:pos="1080"/>
        <w:tab w:val="left" w:pos="1440"/>
      </w:tabs>
      <w:jc w:val="both"/>
      <w:textAlignment w:val="baseline"/>
    </w:pPr>
    <w:rPr>
      <w:rFonts w:ascii="Courier" w:eastAsia="Times New Roman" w:hAnsi="Courier" w:cs="Times New Roman"/>
      <w:i/>
      <w:sz w:val="22"/>
      <w:szCs w:val="20"/>
    </w:rPr>
  </w:style>
  <w:style w:type="paragraph" w:customStyle="1" w:styleId="Heading81">
    <w:name w:val="Heading 81"/>
    <w:qFormat/>
    <w:pPr>
      <w:tabs>
        <w:tab w:val="left" w:pos="720"/>
        <w:tab w:val="left" w:pos="1080"/>
        <w:tab w:val="left" w:pos="1440"/>
      </w:tabs>
      <w:jc w:val="both"/>
      <w:textAlignment w:val="baseline"/>
    </w:pPr>
    <w:rPr>
      <w:rFonts w:ascii="Courier" w:eastAsia="Times New Roman" w:hAnsi="Courier" w:cs="Times New Roman"/>
      <w:i/>
      <w:sz w:val="22"/>
      <w:szCs w:val="20"/>
    </w:rPr>
  </w:style>
  <w:style w:type="paragraph" w:customStyle="1" w:styleId="Heading71">
    <w:name w:val="Heading 71"/>
    <w:qFormat/>
    <w:pPr>
      <w:tabs>
        <w:tab w:val="left" w:pos="720"/>
        <w:tab w:val="left" w:pos="1080"/>
        <w:tab w:val="left" w:pos="1440"/>
      </w:tabs>
      <w:jc w:val="both"/>
      <w:textAlignment w:val="baseline"/>
    </w:pPr>
    <w:rPr>
      <w:rFonts w:ascii="Courier" w:eastAsia="Times New Roman" w:hAnsi="Courier" w:cs="Times New Roman"/>
      <w:i/>
      <w:sz w:val="22"/>
      <w:szCs w:val="20"/>
    </w:rPr>
  </w:style>
  <w:style w:type="paragraph" w:customStyle="1" w:styleId="Heading61">
    <w:name w:val="Heading 61"/>
    <w:qFormat/>
    <w:pPr>
      <w:tabs>
        <w:tab w:val="left" w:pos="720"/>
        <w:tab w:val="left" w:pos="1080"/>
        <w:tab w:val="left" w:pos="1440"/>
      </w:tabs>
      <w:jc w:val="both"/>
      <w:textAlignment w:val="baseline"/>
    </w:pPr>
    <w:rPr>
      <w:rFonts w:ascii="Courier" w:eastAsia="Times New Roman" w:hAnsi="Courier" w:cs="Times New Roman"/>
      <w:sz w:val="22"/>
      <w:szCs w:val="20"/>
      <w:u w:val="single"/>
    </w:rPr>
  </w:style>
  <w:style w:type="paragraph" w:customStyle="1" w:styleId="Heading51">
    <w:name w:val="Heading 51"/>
    <w:qFormat/>
    <w:pPr>
      <w:tabs>
        <w:tab w:val="left" w:pos="720"/>
        <w:tab w:val="left" w:pos="1080"/>
        <w:tab w:val="left" w:pos="1440"/>
      </w:tabs>
      <w:jc w:val="both"/>
      <w:textAlignment w:val="baseline"/>
    </w:pPr>
    <w:rPr>
      <w:rFonts w:ascii="Courier" w:eastAsia="Times New Roman" w:hAnsi="Courier" w:cs="Times New Roman"/>
      <w:b/>
      <w:sz w:val="22"/>
      <w:szCs w:val="20"/>
    </w:rPr>
  </w:style>
  <w:style w:type="paragraph" w:customStyle="1" w:styleId="Heading41">
    <w:name w:val="Heading 41"/>
    <w:qFormat/>
    <w:pPr>
      <w:jc w:val="both"/>
      <w:textAlignment w:val="baseline"/>
    </w:pPr>
    <w:rPr>
      <w:rFonts w:ascii="Courier" w:eastAsia="Times New Roman" w:hAnsi="Courier" w:cs="Times New Roman"/>
      <w:sz w:val="22"/>
      <w:szCs w:val="20"/>
      <w:u w:val="single"/>
    </w:rPr>
  </w:style>
  <w:style w:type="paragraph" w:customStyle="1" w:styleId="Heading31">
    <w:name w:val="Heading 31"/>
    <w:qFormat/>
    <w:pPr>
      <w:jc w:val="both"/>
      <w:textAlignment w:val="baseline"/>
    </w:pPr>
    <w:rPr>
      <w:rFonts w:ascii="Courier" w:eastAsia="Times New Roman" w:hAnsi="Courier" w:cs="Times New Roman"/>
      <w:b/>
      <w:sz w:val="22"/>
      <w:szCs w:val="20"/>
    </w:rPr>
  </w:style>
  <w:style w:type="paragraph" w:customStyle="1" w:styleId="Heading21">
    <w:name w:val="Heading 21"/>
    <w:qFormat/>
    <w:pPr>
      <w:tabs>
        <w:tab w:val="left" w:pos="-720"/>
        <w:tab w:val="left" w:pos="720"/>
      </w:tabs>
      <w:jc w:val="both"/>
      <w:textAlignment w:val="baseline"/>
    </w:pPr>
    <w:rPr>
      <w:rFonts w:ascii="CG Times" w:eastAsia="Times New Roman" w:hAnsi="CG Times" w:cs="Times New Roman"/>
      <w:b/>
      <w:sz w:val="22"/>
      <w:szCs w:val="20"/>
    </w:rPr>
  </w:style>
  <w:style w:type="paragraph" w:customStyle="1" w:styleId="NormalIndent1">
    <w:name w:val="Normal Indent1"/>
    <w:qFormat/>
    <w:pPr>
      <w:tabs>
        <w:tab w:val="left" w:pos="720"/>
        <w:tab w:val="left" w:pos="1080"/>
        <w:tab w:val="left" w:pos="1440"/>
      </w:tabs>
      <w:jc w:val="both"/>
      <w:textAlignment w:val="baseline"/>
    </w:pPr>
    <w:rPr>
      <w:rFonts w:ascii="Courier" w:eastAsia="Times New Roman" w:hAnsi="Courier" w:cs="Times New Roman"/>
      <w:sz w:val="22"/>
      <w:szCs w:val="20"/>
    </w:rPr>
  </w:style>
  <w:style w:type="paragraph" w:customStyle="1" w:styleId="RightPar1">
    <w:name w:val="Right Par 1"/>
    <w:qFormat/>
    <w:pPr>
      <w:tabs>
        <w:tab w:val="left" w:pos="-720"/>
        <w:tab w:val="left" w:pos="0"/>
        <w:tab w:val="decimal" w:pos="720"/>
      </w:tabs>
      <w:ind w:left="720"/>
      <w:jc w:val="both"/>
      <w:textAlignment w:val="baseline"/>
    </w:pPr>
    <w:rPr>
      <w:rFonts w:ascii="Times Roman" w:eastAsia="Times New Roman" w:hAnsi="Times Roman" w:cs="Times New Roman"/>
      <w:sz w:val="22"/>
      <w:szCs w:val="20"/>
    </w:rPr>
  </w:style>
  <w:style w:type="paragraph" w:customStyle="1" w:styleId="RightPar2">
    <w:name w:val="Right Par 2"/>
    <w:qFormat/>
    <w:pPr>
      <w:tabs>
        <w:tab w:val="left" w:pos="-720"/>
        <w:tab w:val="left" w:pos="0"/>
        <w:tab w:val="left" w:pos="720"/>
        <w:tab w:val="decimal" w:pos="1440"/>
      </w:tabs>
      <w:ind w:left="1440"/>
      <w:jc w:val="both"/>
      <w:textAlignment w:val="baseline"/>
    </w:pPr>
    <w:rPr>
      <w:rFonts w:ascii="Times Roman" w:eastAsia="Times New Roman" w:hAnsi="Times Roman" w:cs="Times New Roman"/>
      <w:sz w:val="22"/>
      <w:szCs w:val="20"/>
    </w:rPr>
  </w:style>
  <w:style w:type="paragraph" w:customStyle="1" w:styleId="RightPar3">
    <w:name w:val="Right Par 3"/>
    <w:qFormat/>
    <w:pPr>
      <w:tabs>
        <w:tab w:val="left" w:pos="-720"/>
        <w:tab w:val="left" w:pos="0"/>
        <w:tab w:val="left" w:pos="720"/>
        <w:tab w:val="left" w:pos="1440"/>
        <w:tab w:val="decimal" w:pos="2160"/>
      </w:tabs>
      <w:ind w:left="2160"/>
      <w:jc w:val="both"/>
      <w:textAlignment w:val="baseline"/>
    </w:pPr>
    <w:rPr>
      <w:rFonts w:ascii="Times Roman" w:eastAsia="Times New Roman" w:hAnsi="Times Roman" w:cs="Times New Roman"/>
      <w:sz w:val="22"/>
      <w:szCs w:val="20"/>
    </w:rPr>
  </w:style>
  <w:style w:type="paragraph" w:customStyle="1" w:styleId="RightPar4">
    <w:name w:val="Right Par 4"/>
    <w:qFormat/>
    <w:pPr>
      <w:tabs>
        <w:tab w:val="left" w:pos="-720"/>
        <w:tab w:val="left" w:pos="0"/>
        <w:tab w:val="left" w:pos="720"/>
        <w:tab w:val="left" w:pos="1440"/>
        <w:tab w:val="left" w:pos="2160"/>
        <w:tab w:val="decimal" w:pos="2880"/>
      </w:tabs>
      <w:ind w:left="2880"/>
      <w:jc w:val="both"/>
      <w:textAlignment w:val="baseline"/>
    </w:pPr>
    <w:rPr>
      <w:rFonts w:ascii="Times Roman" w:eastAsia="Times New Roman" w:hAnsi="Times Roman" w:cs="Times New Roman"/>
      <w:sz w:val="22"/>
      <w:szCs w:val="20"/>
    </w:rPr>
  </w:style>
  <w:style w:type="paragraph" w:customStyle="1" w:styleId="RightPar5">
    <w:name w:val="Right Par 5"/>
    <w:qFormat/>
    <w:pPr>
      <w:tabs>
        <w:tab w:val="left" w:pos="-720"/>
        <w:tab w:val="left" w:pos="0"/>
        <w:tab w:val="left" w:pos="720"/>
        <w:tab w:val="left" w:pos="1440"/>
        <w:tab w:val="left" w:pos="2160"/>
        <w:tab w:val="left" w:pos="2880"/>
        <w:tab w:val="decimal" w:pos="3600"/>
      </w:tabs>
      <w:ind w:left="3600"/>
      <w:jc w:val="both"/>
      <w:textAlignment w:val="baseline"/>
    </w:pPr>
    <w:rPr>
      <w:rFonts w:ascii="Times Roman" w:eastAsia="Times New Roman" w:hAnsi="Times Roman" w:cs="Times New Roman"/>
      <w:sz w:val="22"/>
      <w:szCs w:val="20"/>
    </w:rPr>
  </w:style>
  <w:style w:type="paragraph" w:customStyle="1" w:styleId="RightPar6">
    <w:name w:val="Right Par 6"/>
    <w:qFormat/>
    <w:pPr>
      <w:tabs>
        <w:tab w:val="left" w:pos="-720"/>
        <w:tab w:val="left" w:pos="0"/>
        <w:tab w:val="left" w:pos="720"/>
        <w:tab w:val="left" w:pos="1440"/>
        <w:tab w:val="left" w:pos="2160"/>
        <w:tab w:val="left" w:pos="2880"/>
        <w:tab w:val="left" w:pos="3600"/>
        <w:tab w:val="decimal" w:pos="4320"/>
      </w:tabs>
      <w:ind w:left="4320"/>
      <w:jc w:val="both"/>
      <w:textAlignment w:val="baseline"/>
    </w:pPr>
    <w:rPr>
      <w:rFonts w:ascii="Times Roman" w:eastAsia="Times New Roman" w:hAnsi="Times Roman" w:cs="Times New Roman"/>
      <w:sz w:val="22"/>
      <w:szCs w:val="20"/>
    </w:rPr>
  </w:style>
  <w:style w:type="paragraph" w:customStyle="1" w:styleId="RightPar7">
    <w:name w:val="Right Par 7"/>
    <w:qFormat/>
    <w:pPr>
      <w:tabs>
        <w:tab w:val="left" w:pos="-720"/>
        <w:tab w:val="left" w:pos="0"/>
        <w:tab w:val="left" w:pos="720"/>
        <w:tab w:val="left" w:pos="1440"/>
        <w:tab w:val="left" w:pos="2160"/>
        <w:tab w:val="left" w:pos="2880"/>
        <w:tab w:val="left" w:pos="3600"/>
        <w:tab w:val="left" w:pos="4320"/>
        <w:tab w:val="decimal" w:pos="5040"/>
      </w:tabs>
      <w:ind w:left="5040"/>
      <w:jc w:val="both"/>
      <w:textAlignment w:val="baseline"/>
    </w:pPr>
    <w:rPr>
      <w:rFonts w:ascii="Times Roman" w:eastAsia="Times New Roman" w:hAnsi="Times Roman" w:cs="Times New Roman"/>
      <w:sz w:val="22"/>
      <w:szCs w:val="20"/>
    </w:rPr>
  </w:style>
  <w:style w:type="paragraph" w:customStyle="1" w:styleId="RightPar8">
    <w:name w:val="Right Par 8"/>
    <w:qFormat/>
    <w:pPr>
      <w:tabs>
        <w:tab w:val="left" w:pos="-720"/>
        <w:tab w:val="left" w:pos="0"/>
        <w:tab w:val="left" w:pos="720"/>
        <w:tab w:val="left" w:pos="1440"/>
        <w:tab w:val="left" w:pos="2160"/>
        <w:tab w:val="left" w:pos="2880"/>
        <w:tab w:val="left" w:pos="3600"/>
        <w:tab w:val="left" w:pos="4320"/>
        <w:tab w:val="left" w:pos="5040"/>
        <w:tab w:val="decimal" w:pos="5760"/>
      </w:tabs>
      <w:ind w:left="5760"/>
      <w:jc w:val="both"/>
      <w:textAlignment w:val="baseline"/>
    </w:pPr>
    <w:rPr>
      <w:rFonts w:ascii="Times Roman" w:eastAsia="Times New Roman" w:hAnsi="Times Roman" w:cs="Times New Roman"/>
      <w:sz w:val="22"/>
      <w:szCs w:val="20"/>
    </w:rPr>
  </w:style>
  <w:style w:type="paragraph" w:customStyle="1" w:styleId="Document1">
    <w:name w:val="Document 1"/>
    <w:qFormat/>
    <w:pPr>
      <w:keepNext/>
      <w:keepLines/>
      <w:tabs>
        <w:tab w:val="left" w:pos="-720"/>
      </w:tabs>
      <w:jc w:val="both"/>
      <w:textAlignment w:val="baseline"/>
    </w:pPr>
    <w:rPr>
      <w:rFonts w:ascii="Times Roman" w:eastAsia="Times New Roman" w:hAnsi="Times Roman" w:cs="Times New Roman"/>
      <w:sz w:val="22"/>
      <w:szCs w:val="20"/>
    </w:rPr>
  </w:style>
  <w:style w:type="paragraph" w:customStyle="1" w:styleId="Technical5">
    <w:name w:val="Technical 5"/>
    <w:qFormat/>
    <w:pPr>
      <w:tabs>
        <w:tab w:val="left" w:pos="-720"/>
      </w:tabs>
      <w:ind w:firstLine="720"/>
      <w:jc w:val="both"/>
      <w:textAlignment w:val="baseline"/>
    </w:pPr>
    <w:rPr>
      <w:rFonts w:ascii="Times Roman" w:eastAsia="Times New Roman" w:hAnsi="Times Roman" w:cs="Times New Roman"/>
      <w:b/>
      <w:sz w:val="22"/>
      <w:szCs w:val="20"/>
    </w:rPr>
  </w:style>
  <w:style w:type="paragraph" w:customStyle="1" w:styleId="Technical6">
    <w:name w:val="Technical 6"/>
    <w:qFormat/>
    <w:pPr>
      <w:tabs>
        <w:tab w:val="left" w:pos="-720"/>
      </w:tabs>
      <w:ind w:firstLine="720"/>
      <w:jc w:val="both"/>
      <w:textAlignment w:val="baseline"/>
    </w:pPr>
    <w:rPr>
      <w:rFonts w:ascii="Times Roman" w:eastAsia="Times New Roman" w:hAnsi="Times Roman" w:cs="Times New Roman"/>
      <w:b/>
      <w:sz w:val="22"/>
      <w:szCs w:val="20"/>
    </w:rPr>
  </w:style>
  <w:style w:type="paragraph" w:customStyle="1" w:styleId="Technical4">
    <w:name w:val="Technical 4"/>
    <w:qFormat/>
    <w:pPr>
      <w:tabs>
        <w:tab w:val="left" w:pos="-720"/>
      </w:tabs>
      <w:jc w:val="both"/>
      <w:textAlignment w:val="baseline"/>
    </w:pPr>
    <w:rPr>
      <w:rFonts w:ascii="Times Roman" w:eastAsia="Times New Roman" w:hAnsi="Times Roman" w:cs="Times New Roman"/>
      <w:b/>
      <w:sz w:val="22"/>
      <w:szCs w:val="20"/>
    </w:rPr>
  </w:style>
  <w:style w:type="paragraph" w:customStyle="1" w:styleId="Technical7">
    <w:name w:val="Technical 7"/>
    <w:qFormat/>
    <w:pPr>
      <w:tabs>
        <w:tab w:val="left" w:pos="-720"/>
      </w:tabs>
      <w:ind w:firstLine="720"/>
      <w:jc w:val="both"/>
      <w:textAlignment w:val="baseline"/>
    </w:pPr>
    <w:rPr>
      <w:rFonts w:ascii="Times Roman" w:eastAsia="Times New Roman" w:hAnsi="Times Roman" w:cs="Times New Roman"/>
      <w:b/>
      <w:sz w:val="22"/>
      <w:szCs w:val="20"/>
    </w:rPr>
  </w:style>
  <w:style w:type="paragraph" w:customStyle="1" w:styleId="Technical8">
    <w:name w:val="Technical 8"/>
    <w:qFormat/>
    <w:pPr>
      <w:tabs>
        <w:tab w:val="left" w:pos="-720"/>
      </w:tabs>
      <w:ind w:firstLine="720"/>
      <w:jc w:val="both"/>
      <w:textAlignment w:val="baseline"/>
    </w:pPr>
    <w:rPr>
      <w:rFonts w:ascii="Times Roman" w:eastAsia="Times New Roman" w:hAnsi="Times Roman" w:cs="Times New Roman"/>
      <w:b/>
      <w:sz w:val="22"/>
      <w:szCs w:val="20"/>
    </w:rPr>
  </w:style>
  <w:style w:type="paragraph" w:customStyle="1" w:styleId="RightPar">
    <w:name w:val="Right Par"/>
    <w:qFormat/>
    <w:pPr>
      <w:tabs>
        <w:tab w:val="left" w:pos="-720"/>
        <w:tab w:val="left" w:pos="0"/>
        <w:tab w:val="decimal" w:pos="720"/>
      </w:tabs>
      <w:ind w:left="720"/>
      <w:jc w:val="both"/>
      <w:textAlignment w:val="baseline"/>
    </w:pPr>
    <w:rPr>
      <w:rFonts w:ascii="Times Roman" w:eastAsia="Times New Roman" w:hAnsi="Times Roman" w:cs="Times New Roman"/>
      <w:sz w:val="22"/>
      <w:szCs w:val="20"/>
    </w:rPr>
  </w:style>
  <w:style w:type="paragraph" w:customStyle="1" w:styleId="Subheading">
    <w:name w:val="Subheading"/>
    <w:qFormat/>
    <w:pPr>
      <w:tabs>
        <w:tab w:val="left" w:pos="-720"/>
      </w:tabs>
      <w:jc w:val="both"/>
      <w:textAlignment w:val="baseline"/>
    </w:pPr>
    <w:rPr>
      <w:rFonts w:ascii="Times Roman" w:eastAsia="Times New Roman" w:hAnsi="Times Roman" w:cs="Times New Roman"/>
      <w:b/>
      <w:sz w:val="22"/>
      <w:szCs w:val="20"/>
    </w:rPr>
  </w:style>
  <w:style w:type="paragraph" w:styleId="TOC1">
    <w:name w:val="toc 1"/>
    <w:basedOn w:val="Normal"/>
    <w:next w:val="Normal"/>
    <w:autoRedefine/>
    <w:pPr>
      <w:tabs>
        <w:tab w:val="right" w:leader="dot" w:pos="9360"/>
      </w:tabs>
      <w:spacing w:before="480" w:after="0"/>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qFormat/>
    <w:pPr>
      <w:tabs>
        <w:tab w:val="right" w:leader="dot" w:pos="9360"/>
      </w:tabs>
      <w:spacing w:after="0"/>
      <w:ind w:left="720" w:hanging="720"/>
    </w:pPr>
    <w:rPr>
      <w:rFonts w:ascii="Times Roman" w:eastAsia="Times New Roman" w:hAnsi="Times Roman" w:cs="Times New Roman"/>
      <w:sz w:val="24"/>
      <w:szCs w:val="20"/>
      <w:lang w:val="en-US"/>
    </w:rPr>
  </w:style>
  <w:style w:type="paragraph" w:styleId="BodyText2">
    <w:name w:val="Body Text 2"/>
    <w:basedOn w:val="Normal"/>
    <w:qFormat/>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pPr>
    <w:rPr>
      <w:rFonts w:ascii="Times Roman" w:eastAsia="Times New Roman" w:hAnsi="Times Roman" w:cs="Times New Roman"/>
      <w:spacing w:val="-3"/>
      <w:sz w:val="20"/>
      <w:szCs w:val="20"/>
    </w:rPr>
  </w:style>
  <w:style w:type="paragraph" w:styleId="BodyText3">
    <w:name w:val="Body Text 3"/>
    <w:basedOn w:val="Normal"/>
    <w:qFormat/>
    <w:pPr>
      <w:tabs>
        <w:tab w:val="left" w:pos="817"/>
        <w:tab w:val="left" w:pos="9601"/>
      </w:tabs>
      <w:spacing w:after="0"/>
    </w:pPr>
    <w:rPr>
      <w:rFonts w:ascii="Times New Roman" w:eastAsia="Times New Roman" w:hAnsi="Times New Roman" w:cs="Times New Roman"/>
      <w:color w:val="FF0000"/>
      <w:spacing w:val="-3"/>
      <w:sz w:val="24"/>
      <w:szCs w:val="20"/>
    </w:rPr>
  </w:style>
  <w:style w:type="paragraph" w:customStyle="1" w:styleId="DefaultText">
    <w:name w:val="Default Text"/>
    <w:qFormat/>
    <w:pPr>
      <w:widowControl w:val="0"/>
      <w:jc w:val="both"/>
      <w:textAlignment w:val="baseline"/>
    </w:pPr>
    <w:rPr>
      <w:rFonts w:ascii="Times New Roman" w:eastAsia="Times New Roman" w:hAnsi="Times New Roman" w:cs="Times New Roman"/>
      <w:color w:val="000000"/>
      <w:sz w:val="22"/>
      <w:szCs w:val="20"/>
    </w:rPr>
  </w:style>
  <w:style w:type="paragraph" w:styleId="BodyTextIndent3">
    <w:name w:val="Body Text Indent 3"/>
    <w:basedOn w:val="Normal"/>
    <w:qFormat/>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108"/>
    </w:pPr>
    <w:rPr>
      <w:rFonts w:ascii="Times New Roman" w:eastAsia="Times New Roman" w:hAnsi="Times New Roman" w:cs="Times New Roman"/>
      <w:spacing w:val="-3"/>
      <w:sz w:val="24"/>
      <w:szCs w:val="20"/>
    </w:rPr>
  </w:style>
  <w:style w:type="paragraph" w:styleId="BodyTextIndent">
    <w:name w:val="Body Text Indent"/>
    <w:basedOn w:val="Normal"/>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90"/>
    </w:pPr>
    <w:rPr>
      <w:rFonts w:ascii="Times New Roman" w:eastAsia="Times New Roman" w:hAnsi="Times New Roman" w:cs="Times New Roman"/>
      <w:spacing w:val="-3"/>
      <w:sz w:val="24"/>
      <w:szCs w:val="20"/>
    </w:rPr>
  </w:style>
  <w:style w:type="paragraph" w:styleId="BodyTextIndent2">
    <w:name w:val="Body Text Indent 2"/>
    <w:basedOn w:val="Normal"/>
    <w:qFormat/>
    <w:pPr>
      <w:spacing w:line="480" w:lineRule="auto"/>
      <w:ind w:left="283"/>
    </w:pPr>
    <w:rPr>
      <w:rFonts w:ascii="Times Roman" w:eastAsia="Times New Roman" w:hAnsi="Times Roman" w:cs="Times New Roman"/>
      <w:sz w:val="24"/>
      <w:szCs w:val="20"/>
    </w:rPr>
  </w:style>
  <w:style w:type="paragraph" w:styleId="NormalWeb">
    <w:name w:val="Normal (Web)"/>
    <w:basedOn w:val="Normal"/>
    <w:qFormat/>
    <w:pPr>
      <w:spacing w:after="0"/>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qFormat/>
    <w:pPr>
      <w:keepLines w:val="0"/>
      <w:spacing w:before="0" w:line="360" w:lineRule="auto"/>
    </w:pPr>
    <w:rPr>
      <w:rFonts w:ascii="Times New Roman" w:eastAsia="Times New Roman" w:hAnsi="Times New Roman" w:cs="Times New Roman"/>
      <w:color w:val="auto"/>
      <w:sz w:val="28"/>
      <w:szCs w:val="20"/>
    </w:rPr>
  </w:style>
  <w:style w:type="paragraph" w:customStyle="1" w:styleId="StyleHeading2JustifiedLinespacing15lines">
    <w:name w:val="Style Heading 2 + Justified Line spacing:  1.5 lines"/>
    <w:basedOn w:val="Heading2"/>
    <w:qFormat/>
    <w:pPr>
      <w:spacing w:before="0" w:line="360" w:lineRule="auto"/>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style>
  <w:style w:type="paragraph" w:customStyle="1" w:styleId="root">
    <w:name w:val="root"/>
    <w:basedOn w:val="Normal"/>
    <w:qFormat/>
    <w:rPr>
      <w:rFonts w:ascii="Arial Unicode MS" w:eastAsia="Arial Unicode MS" w:hAnsi="Arial Unicode MS" w:cs="Arial Unicode MS"/>
      <w:sz w:val="24"/>
    </w:rPr>
  </w:style>
  <w:style w:type="paragraph" w:customStyle="1" w:styleId="top">
    <w:name w:val="top"/>
    <w:basedOn w:val="Normal"/>
    <w:qFormat/>
    <w:pPr>
      <w:spacing w:before="60" w:after="240"/>
      <w:jc w:val="right"/>
    </w:pPr>
    <w:rPr>
      <w:rFonts w:ascii="Arial Unicode MS" w:eastAsia="Arial Unicode MS" w:hAnsi="Arial Unicode MS" w:cs="Arial Unicode MS"/>
      <w:b/>
      <w:bCs/>
      <w:sz w:val="24"/>
    </w:rPr>
  </w:style>
  <w:style w:type="paragraph" w:customStyle="1" w:styleId="xl24">
    <w:name w:val="xl24"/>
    <w:basedOn w:val="Normal"/>
    <w:qFormat/>
    <w:pPr>
      <w:pBdr>
        <w:top w:val="single" w:sz="4" w:space="0" w:color="000000"/>
        <w:left w:val="single" w:sz="4" w:space="0" w:color="000000"/>
        <w:bottom w:val="single" w:sz="4" w:space="0" w:color="000000"/>
        <w:right w:val="single" w:sz="4" w:space="0" w:color="000000"/>
      </w:pBdr>
      <w:textAlignment w:val="top"/>
    </w:pPr>
    <w:rPr>
      <w:rFonts w:ascii="Arial Unicode MS" w:eastAsia="Arial Unicode MS" w:hAnsi="Arial Unicode MS" w:cs="Arial Unicode MS"/>
      <w:sz w:val="24"/>
    </w:rPr>
  </w:style>
  <w:style w:type="paragraph" w:customStyle="1" w:styleId="xl25">
    <w:name w:val="xl25"/>
    <w:basedOn w:val="Normal"/>
    <w:qFormat/>
    <w:pPr>
      <w:pBdr>
        <w:top w:val="single" w:sz="4" w:space="0" w:color="000000"/>
        <w:left w:val="single" w:sz="4" w:space="0" w:color="000000"/>
        <w:bottom w:val="single" w:sz="4" w:space="0" w:color="000000"/>
        <w:right w:val="single" w:sz="4" w:space="0" w:color="000000"/>
      </w:pBdr>
      <w:textAlignment w:val="top"/>
    </w:pPr>
    <w:rPr>
      <w:rFonts w:eastAsia="Arial Unicode MS"/>
      <w:b/>
      <w:bCs/>
      <w:sz w:val="24"/>
    </w:rPr>
  </w:style>
  <w:style w:type="paragraph" w:customStyle="1" w:styleId="xl26">
    <w:name w:val="xl26"/>
    <w:basedOn w:val="Normal"/>
    <w:qFormat/>
    <w:pPr>
      <w:textAlignment w:val="top"/>
    </w:pPr>
    <w:rPr>
      <w:rFonts w:eastAsia="Arial Unicode MS"/>
      <w:b/>
      <w:bCs/>
      <w:sz w:val="24"/>
    </w:rPr>
  </w:style>
  <w:style w:type="paragraph" w:customStyle="1" w:styleId="xl27">
    <w:name w:val="xl27"/>
    <w:basedOn w:val="Normal"/>
    <w:qFormat/>
    <w:pPr>
      <w:textAlignment w:val="top"/>
    </w:pPr>
    <w:rPr>
      <w:rFonts w:ascii="Arial Unicode MS" w:eastAsia="Arial Unicode MS" w:hAnsi="Arial Unicode MS" w:cs="Arial Unicode MS"/>
      <w:sz w:val="24"/>
    </w:rPr>
  </w:style>
  <w:style w:type="paragraph" w:customStyle="1" w:styleId="xl28">
    <w:name w:val="xl28"/>
    <w:basedOn w:val="Normal"/>
    <w:qFormat/>
    <w:pPr>
      <w:pBdr>
        <w:top w:val="single" w:sz="4" w:space="0" w:color="000000"/>
        <w:left w:val="single" w:sz="4" w:space="0" w:color="000000"/>
        <w:bottom w:val="single" w:sz="4" w:space="0" w:color="000000"/>
        <w:right w:val="single" w:sz="4" w:space="0" w:color="000000"/>
      </w:pBdr>
      <w:textAlignment w:val="top"/>
    </w:pPr>
    <w:rPr>
      <w:rFonts w:eastAsia="Arial Unicode MS"/>
      <w:sz w:val="24"/>
    </w:rPr>
  </w:style>
  <w:style w:type="paragraph" w:customStyle="1" w:styleId="xl29">
    <w:name w:val="xl29"/>
    <w:basedOn w:val="Normal"/>
    <w:qFormat/>
    <w:pPr>
      <w:pBdr>
        <w:top w:val="single" w:sz="4" w:space="0" w:color="000000"/>
        <w:left w:val="single" w:sz="4" w:space="0" w:color="000000"/>
        <w:bottom w:val="single" w:sz="4" w:space="0" w:color="000000"/>
        <w:right w:val="single" w:sz="4" w:space="0" w:color="000000"/>
      </w:pBdr>
      <w:textAlignment w:val="top"/>
    </w:pPr>
    <w:rPr>
      <w:rFonts w:ascii="Arial Unicode MS" w:eastAsia="Arial Unicode MS" w:hAnsi="Arial Unicode MS" w:cs="Arial Unicode MS"/>
      <w:sz w:val="24"/>
    </w:rPr>
  </w:style>
  <w:style w:type="paragraph" w:customStyle="1" w:styleId="xl30">
    <w:name w:val="xl30"/>
    <w:basedOn w:val="Normal"/>
    <w:qFormat/>
    <w:pPr>
      <w:pBdr>
        <w:top w:val="single" w:sz="4" w:space="0" w:color="000000"/>
        <w:left w:val="single" w:sz="4" w:space="0" w:color="000000"/>
        <w:bottom w:val="single" w:sz="4" w:space="0" w:color="000000"/>
        <w:right w:val="single" w:sz="4" w:space="0" w:color="000000"/>
      </w:pBdr>
    </w:pPr>
    <w:rPr>
      <w:rFonts w:ascii="Arial Unicode MS" w:eastAsia="Arial Unicode MS" w:hAnsi="Arial Unicode MS" w:cs="Arial Unicode MS"/>
      <w:sz w:val="24"/>
    </w:rPr>
  </w:style>
  <w:style w:type="paragraph" w:customStyle="1" w:styleId="xl31">
    <w:name w:val="xl31"/>
    <w:basedOn w:val="Normal"/>
    <w:qFormat/>
    <w:pPr>
      <w:pBdr>
        <w:top w:val="single" w:sz="4" w:space="0" w:color="000000"/>
        <w:left w:val="single" w:sz="4" w:space="0" w:color="000000"/>
        <w:bottom w:val="single" w:sz="4" w:space="0" w:color="000000"/>
        <w:right w:val="single" w:sz="4" w:space="0" w:color="000000"/>
      </w:pBdr>
    </w:pPr>
    <w:rPr>
      <w:rFonts w:ascii="Arial Unicode MS" w:eastAsia="Arial Unicode MS" w:hAnsi="Arial Unicode MS" w:cs="Arial Unicode MS"/>
      <w:sz w:val="24"/>
    </w:rPr>
  </w:style>
  <w:style w:type="paragraph" w:customStyle="1" w:styleId="xl32">
    <w:name w:val="xl32"/>
    <w:basedOn w:val="Normal"/>
    <w:qFormat/>
    <w:pPr>
      <w:textAlignment w:val="top"/>
    </w:pPr>
    <w:rPr>
      <w:rFonts w:eastAsia="Arial Unicode MS"/>
      <w:b/>
      <w:bCs/>
      <w:sz w:val="24"/>
    </w:rPr>
  </w:style>
  <w:style w:type="paragraph" w:customStyle="1" w:styleId="xl33">
    <w:name w:val="xl33"/>
    <w:basedOn w:val="Normal"/>
    <w:qFormat/>
    <w:pPr>
      <w:textAlignment w:val="top"/>
    </w:pPr>
    <w:rPr>
      <w:rFonts w:eastAsia="Arial Unicode MS"/>
      <w:b/>
      <w:bCs/>
      <w:sz w:val="24"/>
    </w:rPr>
  </w:style>
  <w:style w:type="paragraph" w:customStyle="1" w:styleId="xl34">
    <w:name w:val="xl34"/>
    <w:basedOn w:val="Normal"/>
    <w:qFormat/>
    <w:pPr>
      <w:textAlignment w:val="top"/>
    </w:pPr>
    <w:rPr>
      <w:rFonts w:eastAsia="Arial Unicode MS"/>
      <w:b/>
      <w:bCs/>
      <w:sz w:val="24"/>
    </w:rPr>
  </w:style>
  <w:style w:type="paragraph" w:customStyle="1" w:styleId="xl35">
    <w:name w:val="xl35"/>
    <w:basedOn w:val="Normal"/>
    <w:qFormat/>
    <w:pPr>
      <w:pBdr>
        <w:top w:val="single" w:sz="8" w:space="0" w:color="000000"/>
        <w:left w:val="single" w:sz="8" w:space="0" w:color="000000"/>
        <w:bottom w:val="single" w:sz="8" w:space="0" w:color="000000"/>
        <w:right w:val="single" w:sz="8" w:space="0" w:color="000000"/>
      </w:pBdr>
      <w:jc w:val="center"/>
    </w:pPr>
    <w:rPr>
      <w:rFonts w:eastAsia="Arial Unicode MS"/>
      <w:b/>
      <w:bCs/>
      <w:sz w:val="24"/>
    </w:rPr>
  </w:style>
  <w:style w:type="paragraph" w:customStyle="1" w:styleId="xl36">
    <w:name w:val="xl36"/>
    <w:basedOn w:val="Normal"/>
    <w:qFormat/>
    <w:pPr>
      <w:pBdr>
        <w:top w:val="single" w:sz="8" w:space="0" w:color="000000"/>
        <w:left w:val="single" w:sz="8" w:space="0" w:color="000000"/>
        <w:bottom w:val="single" w:sz="8" w:space="0" w:color="000000"/>
        <w:right w:val="single" w:sz="8" w:space="0" w:color="000000"/>
      </w:pBdr>
      <w:jc w:val="center"/>
    </w:pPr>
    <w:rPr>
      <w:rFonts w:eastAsia="Arial Unicode MS"/>
      <w:b/>
      <w:bCs/>
      <w:sz w:val="24"/>
    </w:rPr>
  </w:style>
  <w:style w:type="paragraph" w:customStyle="1" w:styleId="xl37">
    <w:name w:val="xl37"/>
    <w:basedOn w:val="Normal"/>
    <w:qFormat/>
    <w:pPr>
      <w:pBdr>
        <w:top w:val="single" w:sz="8" w:space="0" w:color="000000"/>
        <w:left w:val="single" w:sz="8" w:space="0" w:color="000000"/>
        <w:bottom w:val="single" w:sz="8" w:space="0" w:color="000000"/>
        <w:right w:val="single" w:sz="8" w:space="0" w:color="000000"/>
      </w:pBdr>
      <w:jc w:val="center"/>
    </w:pPr>
    <w:rPr>
      <w:rFonts w:eastAsia="Arial Unicode MS"/>
      <w:b/>
      <w:bCs/>
      <w:sz w:val="24"/>
    </w:rPr>
  </w:style>
  <w:style w:type="paragraph" w:customStyle="1" w:styleId="italic10">
    <w:name w:val="italic+10"/>
    <w:basedOn w:val="Normal"/>
    <w:qFormat/>
    <w:pPr>
      <w:spacing w:before="200" w:after="0"/>
    </w:pPr>
    <w:rPr>
      <w:rFonts w:eastAsia="Times New Roman" w:cs="Times New Roman"/>
      <w:i/>
      <w:sz w:val="20"/>
      <w:szCs w:val="20"/>
    </w:rPr>
  </w:style>
  <w:style w:type="paragraph" w:customStyle="1" w:styleId="normal10">
    <w:name w:val="normal+10"/>
    <w:basedOn w:val="Normal"/>
    <w:qFormat/>
    <w:pPr>
      <w:spacing w:before="200" w:after="0"/>
    </w:pPr>
    <w:rPr>
      <w:rFonts w:eastAsia="Times New Roman" w:cs="Times New Roman"/>
      <w:sz w:val="20"/>
      <w:szCs w:val="20"/>
    </w:rPr>
  </w:style>
  <w:style w:type="paragraph" w:customStyle="1" w:styleId="indent">
    <w:name w:val="indent"/>
    <w:basedOn w:val="Normal"/>
    <w:qFormat/>
    <w:pPr>
      <w:spacing w:after="0"/>
      <w:ind w:left="851"/>
    </w:pPr>
    <w:rPr>
      <w:rFonts w:eastAsia="Times New Roman" w:cs="Times New Roman"/>
      <w:sz w:val="20"/>
      <w:szCs w:val="20"/>
    </w:rPr>
  </w:style>
  <w:style w:type="paragraph" w:customStyle="1" w:styleId="indent10">
    <w:name w:val="indent+10"/>
    <w:basedOn w:val="indent"/>
    <w:qFormat/>
    <w:pPr>
      <w:spacing w:before="200"/>
    </w:pPr>
  </w:style>
  <w:style w:type="paragraph" w:customStyle="1" w:styleId="Listlevel1">
    <w:name w:val="List level 1"/>
    <w:basedOn w:val="Normal"/>
    <w:qFormat/>
    <w:pPr>
      <w:spacing w:before="40" w:after="20"/>
      <w:ind w:left="425" w:hanging="425"/>
    </w:pPr>
    <w:rPr>
      <w:rFonts w:ascii="Times New Roman" w:eastAsia="Times New Roman" w:hAnsi="Times New Roman" w:cs="Times New Roman"/>
      <w:sz w:val="24"/>
      <w:szCs w:val="20"/>
      <w:lang w:val="en-US"/>
    </w:rPr>
  </w:style>
  <w:style w:type="paragraph" w:customStyle="1" w:styleId="Text">
    <w:name w:val="Text"/>
    <w:basedOn w:val="Normal"/>
    <w:qFormat/>
    <w:pPr>
      <w:spacing w:before="120" w:after="0"/>
    </w:pPr>
    <w:rPr>
      <w:rFonts w:ascii="Times New Roman" w:eastAsia="MS Mincho" w:hAnsi="Times New Roman" w:cs="Times New Roman"/>
      <w:sz w:val="24"/>
      <w:szCs w:val="20"/>
      <w:lang w:val="en-US"/>
    </w:rPr>
  </w:style>
  <w:style w:type="paragraph" w:styleId="CommentSubject">
    <w:name w:val="annotation subject"/>
    <w:basedOn w:val="CommentText"/>
    <w:qFormat/>
    <w:pPr>
      <w:spacing w:after="0"/>
    </w:pPr>
    <w:rPr>
      <w:rFonts w:ascii="Times Roman" w:eastAsia="Times New Roman" w:hAnsi="Times Roman" w:cs="Times New Roman"/>
      <w:b/>
      <w:bCs/>
    </w:rPr>
  </w:style>
  <w:style w:type="paragraph" w:styleId="NoSpacing">
    <w:name w:val="No Spacing"/>
    <w:qFormat/>
    <w:pPr>
      <w:jc w:val="both"/>
      <w:textAlignment w:val="baseline"/>
    </w:pPr>
    <w:rPr>
      <w:rFonts w:ascii="Calibri" w:eastAsia="Times New Roman" w:hAnsi="Calibri" w:cs="Calibri"/>
      <w:sz w:val="22"/>
      <w:szCs w:val="22"/>
      <w:lang w:val="en-GB"/>
    </w:rPr>
  </w:style>
  <w:style w:type="paragraph" w:customStyle="1" w:styleId="Listofabbreviations">
    <w:name w:val="List of abbreviations"/>
    <w:basedOn w:val="Normal"/>
    <w:qFormat/>
    <w:pPr>
      <w:tabs>
        <w:tab w:val="left" w:pos="3402"/>
      </w:tabs>
      <w:spacing w:after="0" w:line="264" w:lineRule="auto"/>
      <w:ind w:left="3402" w:hanging="2835"/>
    </w:pPr>
    <w:rPr>
      <w:rFonts w:ascii="Calibri" w:eastAsia="Times New Roman" w:hAnsi="Calibri" w:cs="Times New Roman"/>
      <w:szCs w:val="22"/>
    </w:rPr>
  </w:style>
  <w:style w:type="paragraph" w:customStyle="1" w:styleId="Normal-nospacing">
    <w:name w:val="Normal - no spacing"/>
    <w:basedOn w:val="Normal"/>
    <w:qFormat/>
    <w:pPr>
      <w:spacing w:after="0" w:line="264" w:lineRule="auto"/>
    </w:pPr>
    <w:rPr>
      <w:rFonts w:ascii="Calibri" w:eastAsia="Times New Roman" w:hAnsi="Calibri" w:cs="Times New Roman"/>
      <w:sz w:val="23"/>
      <w:szCs w:val="23"/>
    </w:rPr>
  </w:style>
  <w:style w:type="paragraph" w:customStyle="1" w:styleId="LightGrid-Accent31">
    <w:name w:val="Light Grid - Accent 31"/>
    <w:basedOn w:val="Normal"/>
    <w:qFormat/>
    <w:pPr>
      <w:spacing w:after="240" w:line="264" w:lineRule="auto"/>
      <w:ind w:left="720"/>
    </w:pPr>
    <w:rPr>
      <w:rFonts w:ascii="Calibri" w:eastAsia="Times New Roman" w:hAnsi="Calibri" w:cs="Times New Roman"/>
      <w:sz w:val="23"/>
    </w:rPr>
  </w:style>
  <w:style w:type="paragraph" w:customStyle="1" w:styleId="Bulletlist-old">
    <w:name w:val="Bullet list - old"/>
    <w:basedOn w:val="Normal-nospacing"/>
    <w:qFormat/>
    <w:pPr>
      <w:spacing w:after="240"/>
      <w:ind w:left="426" w:hanging="221"/>
    </w:pPr>
    <w:rPr>
      <w:color w:val="000000"/>
      <w:kern w:val="2"/>
      <w:lang w:eastAsia="en-GB"/>
    </w:rPr>
  </w:style>
  <w:style w:type="paragraph" w:customStyle="1" w:styleId="NewBullet1">
    <w:name w:val="NewBullet1"/>
    <w:basedOn w:val="Normal"/>
    <w:qFormat/>
    <w:pPr>
      <w:spacing w:after="0"/>
    </w:pPr>
    <w:rPr>
      <w:rFonts w:eastAsia="Times New Roman" w:cs="Times New Roman"/>
      <w:szCs w:val="20"/>
    </w:rPr>
  </w:style>
  <w:style w:type="paragraph" w:customStyle="1" w:styleId="MediumGrid2-Accent11">
    <w:name w:val="Medium Grid 2 - Accent 11"/>
    <w:basedOn w:val="Normal"/>
    <w:qFormat/>
    <w:pPr>
      <w:spacing w:after="240" w:line="264" w:lineRule="auto"/>
    </w:pPr>
    <w:rPr>
      <w:rFonts w:ascii="Calibri" w:eastAsia="Times New Roman" w:hAnsi="Calibri" w:cs="Times New Roman"/>
      <w:sz w:val="23"/>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paragraph" w:styleId="Revision">
    <w:name w:val="Revision"/>
    <w:hidden/>
    <w:uiPriority w:val="99"/>
    <w:semiHidden/>
    <w:rsid w:val="00D72140"/>
    <w:pPr>
      <w:suppressAutoHyphens w:val="0"/>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bullock@sgul.ac.uk" TargetMode="External"/><Relationship Id="rId18" Type="http://schemas.openxmlformats.org/officeDocument/2006/relationships/hyperlink" Target="mailto:adverseevents@sgul.ac.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hra.nhs.uk/resources/after-you-apply/amendments/" TargetMode="External"/><Relationship Id="rId7" Type="http://schemas.openxmlformats.org/officeDocument/2006/relationships/image" Target="media/image1.png"/><Relationship Id="rId12" Type="http://schemas.openxmlformats.org/officeDocument/2006/relationships/hyperlink" Target="mailto:researchgovernance@sgul.ac.uk"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ladhani@sgul.ac.uk" TargetMode="External"/><Relationship Id="rId20" Type="http://schemas.openxmlformats.org/officeDocument/2006/relationships/hyperlink" Target="mailto:adverseevents@sgu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zkhan@sgul.ac.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kkarampa@sgul.ac.uk" TargetMode="External"/><Relationship Id="rId23" Type="http://schemas.openxmlformats.org/officeDocument/2006/relationships/hyperlink" Target="http://webarchive.nationalarchives.gov.uk/20141205150130/http:/www.mhra.gov.uk/home/groups/l-ctu/documents/websiteresources/con111784.pdf" TargetMode="External"/><Relationship Id="rId28" Type="http://schemas.openxmlformats.org/officeDocument/2006/relationships/theme" Target="theme/theme1.xml"/><Relationship Id="rId10" Type="http://schemas.openxmlformats.org/officeDocument/2006/relationships/hyperlink" Target="mailto:zdanos@sgul.ac.uk" TargetMode="External"/><Relationship Id="rId19" Type="http://schemas.openxmlformats.org/officeDocument/2006/relationships/hyperlink" Target="mailto:pheath@sgul.ac.uk"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pheath@sgul.ac.uk" TargetMode="External"/><Relationship Id="rId22" Type="http://schemas.openxmlformats.org/officeDocument/2006/relationships/hyperlink" Target="https://www.gov.uk/government/collections/immunisation-against-infectious-disease-the-green-boo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14376</Words>
  <Characters>81944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96128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Rivers-Moore</dc:creator>
  <dc:description/>
  <cp:lastModifiedBy>Polly Fox</cp:lastModifiedBy>
  <cp:revision>5</cp:revision>
  <cp:lastPrinted>2021-03-24T12:49:00Z</cp:lastPrinted>
  <dcterms:created xsi:type="dcterms:W3CDTF">2021-06-07T14:14:00Z</dcterms:created>
  <dcterms:modified xsi:type="dcterms:W3CDTF">2021-07-13T08:29:00Z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e-fishency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