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1F" w:rsidRPr="0075321F" w:rsidRDefault="0075321F" w:rsidP="0075321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Participant Flow</w:t>
      </w:r>
    </w:p>
    <w:p w:rsidR="0075321F" w:rsidRDefault="00CB6D7A" w:rsidP="0075321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participant unit was blood pressure monitor, rather than the patient.</w:t>
      </w:r>
    </w:p>
    <w:p w:rsidR="0075321F" w:rsidRDefault="00F8271C" w:rsidP="0075321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attempted to test 411 monitors.</w:t>
      </w:r>
      <w:r w:rsidR="00F207B1">
        <w:rPr>
          <w:rFonts w:ascii="Arial" w:hAnsi="Arial" w:cs="Arial"/>
          <w:sz w:val="24"/>
          <w:szCs w:val="24"/>
        </w:rPr>
        <w:t xml:space="preserve"> 79 monitors </w:t>
      </w:r>
      <w:r w:rsidR="007F0BEB">
        <w:rPr>
          <w:rFonts w:ascii="Arial" w:hAnsi="Arial" w:cs="Arial"/>
          <w:sz w:val="24"/>
          <w:szCs w:val="24"/>
        </w:rPr>
        <w:t xml:space="preserve">(19%) </w:t>
      </w:r>
      <w:r w:rsidR="00F207B1">
        <w:rPr>
          <w:rFonts w:ascii="Arial" w:hAnsi="Arial" w:cs="Arial"/>
          <w:sz w:val="24"/>
          <w:szCs w:val="24"/>
        </w:rPr>
        <w:t>were untestable</w:t>
      </w:r>
      <w:r w:rsidR="00D25494">
        <w:rPr>
          <w:rFonts w:ascii="Arial" w:hAnsi="Arial" w:cs="Arial"/>
          <w:sz w:val="24"/>
          <w:szCs w:val="24"/>
        </w:rPr>
        <w:t xml:space="preserve"> using our equipment/ methodology</w:t>
      </w:r>
      <w:r w:rsidR="00F207B1">
        <w:rPr>
          <w:rFonts w:ascii="Arial" w:hAnsi="Arial" w:cs="Arial"/>
          <w:sz w:val="24"/>
          <w:szCs w:val="24"/>
        </w:rPr>
        <w:t>, and therefore excluded.</w:t>
      </w:r>
    </w:p>
    <w:p w:rsidR="009F4E85" w:rsidRDefault="0075321F" w:rsidP="0075321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332 monitors were test</w:t>
      </w:r>
      <w:r w:rsidR="00F8271C">
        <w:rPr>
          <w:rFonts w:ascii="Arial" w:hAnsi="Arial" w:cs="Arial"/>
          <w:sz w:val="24"/>
          <w:szCs w:val="24"/>
        </w:rPr>
        <w:t>able</w:t>
      </w:r>
      <w:r w:rsidR="00F207B1">
        <w:rPr>
          <w:rFonts w:ascii="Arial" w:hAnsi="Arial" w:cs="Arial"/>
          <w:sz w:val="24"/>
          <w:szCs w:val="24"/>
        </w:rPr>
        <w:t>, and included in the data analysis</w:t>
      </w:r>
      <w:r w:rsidR="00F8271C">
        <w:rPr>
          <w:rFonts w:ascii="Arial" w:hAnsi="Arial" w:cs="Arial"/>
          <w:sz w:val="24"/>
          <w:szCs w:val="24"/>
        </w:rPr>
        <w:t>.</w:t>
      </w:r>
    </w:p>
    <w:p w:rsidR="00F8271C" w:rsidRDefault="00F8271C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9028F4" w:rsidRDefault="009028F4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Pr="00F25CE7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75321F" w:rsidRPr="0075321F" w:rsidRDefault="0075321F" w:rsidP="0075321F">
      <w:pPr>
        <w:pStyle w:val="NoSpacing"/>
        <w:rPr>
          <w:rFonts w:ascii="Arial" w:hAnsi="Arial" w:cs="Arial"/>
          <w:sz w:val="24"/>
          <w:szCs w:val="24"/>
          <w:lang w:eastAsia="ja-JP"/>
        </w:rPr>
      </w:pPr>
      <w:r w:rsidRPr="0075321F">
        <w:rPr>
          <w:rFonts w:ascii="Arial" w:hAnsi="Arial" w:cs="Arial"/>
          <w:b/>
          <w:bCs/>
          <w:sz w:val="24"/>
          <w:szCs w:val="24"/>
        </w:rPr>
        <w:lastRenderedPageBreak/>
        <w:t>Baseline Characteristics</w:t>
      </w:r>
    </w:p>
    <w:p w:rsidR="0075321F" w:rsidRDefault="00F207B1" w:rsidP="0075321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the participant unit was monitor, not patient</w:t>
      </w:r>
      <w:r w:rsidR="00A434B9">
        <w:rPr>
          <w:rFonts w:ascii="Arial" w:hAnsi="Arial" w:cs="Arial"/>
          <w:bCs/>
          <w:sz w:val="24"/>
          <w:szCs w:val="24"/>
        </w:rPr>
        <w:t>, we did not collect data on the demographic characteristics of patients.</w:t>
      </w:r>
    </w:p>
    <w:p w:rsidR="00F207B1" w:rsidRDefault="00F207B1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9028F4" w:rsidRDefault="009028F4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B76093" w:rsidRPr="00F8271C" w:rsidRDefault="00B76093" w:rsidP="0075321F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75321F" w:rsidRDefault="005D4D4A" w:rsidP="005D4D4A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Outcome Measures</w:t>
      </w:r>
    </w:p>
    <w:p w:rsidR="006742BD" w:rsidRDefault="007F0BEB" w:rsidP="00F25CE7">
      <w:pPr>
        <w:rPr>
          <w:rFonts w:ascii="Arial" w:hAnsi="Arial" w:cs="Arial"/>
          <w:bCs/>
          <w:sz w:val="24"/>
          <w:szCs w:val="24"/>
        </w:rPr>
      </w:pPr>
      <w:r w:rsidRPr="007F0BEB">
        <w:rPr>
          <w:rFonts w:ascii="Arial" w:hAnsi="Arial" w:cs="Arial"/>
          <w:sz w:val="24"/>
          <w:szCs w:val="24"/>
        </w:rPr>
        <w:t>Of the 332 testable devices,</w:t>
      </w:r>
      <w:r w:rsidRPr="007F0BEB">
        <w:rPr>
          <w:sz w:val="24"/>
          <w:szCs w:val="24"/>
        </w:rPr>
        <w:t xml:space="preserve"> </w:t>
      </w:r>
      <w:r w:rsidR="006742BD" w:rsidRPr="006742BD">
        <w:rPr>
          <w:rFonts w:ascii="Arial" w:hAnsi="Arial" w:cs="Arial"/>
          <w:bCs/>
          <w:sz w:val="24"/>
          <w:szCs w:val="24"/>
        </w:rPr>
        <w:t>252 passed all tests (76%)</w:t>
      </w:r>
      <w:r w:rsidR="005D4D4A">
        <w:rPr>
          <w:rFonts w:ascii="Arial" w:hAnsi="Arial" w:cs="Arial"/>
          <w:bCs/>
          <w:sz w:val="24"/>
          <w:szCs w:val="24"/>
        </w:rPr>
        <w:t xml:space="preserve">, </w:t>
      </w:r>
      <w:r w:rsidR="00CB6542">
        <w:rPr>
          <w:rFonts w:ascii="Arial" w:hAnsi="Arial" w:cs="Arial"/>
          <w:bCs/>
          <w:sz w:val="24"/>
          <w:szCs w:val="24"/>
        </w:rPr>
        <w:t xml:space="preserve">including tests of cuff performance and </w:t>
      </w:r>
      <w:r w:rsidR="00661B18">
        <w:rPr>
          <w:rFonts w:ascii="Arial" w:hAnsi="Arial" w:cs="Arial"/>
          <w:bCs/>
          <w:sz w:val="24"/>
          <w:szCs w:val="24"/>
        </w:rPr>
        <w:t>air leakage checks</w:t>
      </w:r>
      <w:r w:rsidR="00CB6542">
        <w:rPr>
          <w:rFonts w:ascii="Arial" w:hAnsi="Arial" w:cs="Arial"/>
          <w:bCs/>
          <w:sz w:val="24"/>
          <w:szCs w:val="24"/>
        </w:rPr>
        <w:t xml:space="preserve"> </w:t>
      </w:r>
      <w:r w:rsidR="005D4D4A">
        <w:rPr>
          <w:rFonts w:ascii="Arial" w:hAnsi="Arial" w:cs="Arial"/>
          <w:bCs/>
          <w:sz w:val="24"/>
          <w:szCs w:val="24"/>
        </w:rPr>
        <w:t>as well as the</w:t>
      </w:r>
      <w:r w:rsidR="00CB6542">
        <w:rPr>
          <w:rFonts w:ascii="Arial" w:hAnsi="Arial" w:cs="Arial"/>
          <w:bCs/>
          <w:sz w:val="24"/>
          <w:szCs w:val="24"/>
        </w:rPr>
        <w:t xml:space="preserve"> </w:t>
      </w:r>
      <w:r w:rsidR="00661B18">
        <w:rPr>
          <w:rFonts w:ascii="Arial" w:hAnsi="Arial" w:cs="Arial"/>
          <w:bCs/>
          <w:sz w:val="24"/>
          <w:szCs w:val="24"/>
        </w:rPr>
        <w:t xml:space="preserve">main </w:t>
      </w:r>
      <w:r w:rsidR="00CB6542">
        <w:rPr>
          <w:rFonts w:ascii="Arial" w:hAnsi="Arial" w:cs="Arial"/>
          <w:bCs/>
          <w:sz w:val="24"/>
          <w:szCs w:val="24"/>
        </w:rPr>
        <w:t>accuracy</w:t>
      </w:r>
      <w:r w:rsidR="005D4D4A">
        <w:rPr>
          <w:rFonts w:ascii="Arial" w:hAnsi="Arial" w:cs="Arial"/>
          <w:bCs/>
          <w:sz w:val="24"/>
          <w:szCs w:val="24"/>
        </w:rPr>
        <w:t xml:space="preserve"> check</w:t>
      </w:r>
      <w:r w:rsidR="008834EC">
        <w:rPr>
          <w:rFonts w:ascii="Arial" w:hAnsi="Arial" w:cs="Arial"/>
          <w:bCs/>
          <w:sz w:val="24"/>
          <w:szCs w:val="24"/>
        </w:rPr>
        <w:t>.</w:t>
      </w:r>
    </w:p>
    <w:p w:rsidR="007F0BEB" w:rsidRPr="00E3129B" w:rsidRDefault="008D2BC4" w:rsidP="00205AB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8D2BC4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Primary outcome measure</w:t>
      </w:r>
    </w:p>
    <w:p w:rsidR="00A010E1" w:rsidRPr="007F0BEB" w:rsidRDefault="00F25CE7" w:rsidP="000B79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F0BEB">
        <w:rPr>
          <w:rFonts w:ascii="Arial" w:eastAsia="Times New Roman" w:hAnsi="Arial" w:cs="Arial"/>
          <w:sz w:val="24"/>
          <w:szCs w:val="24"/>
          <w:lang w:eastAsia="en-GB"/>
        </w:rPr>
        <w:t>51/3</w:t>
      </w:r>
      <w:r w:rsidR="007F0BEB" w:rsidRPr="007F0BEB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Pr="007F0BEB">
        <w:rPr>
          <w:rFonts w:ascii="Arial" w:eastAsia="Times New Roman" w:hAnsi="Arial" w:cs="Arial"/>
          <w:sz w:val="24"/>
          <w:szCs w:val="24"/>
          <w:lang w:eastAsia="en-GB"/>
        </w:rPr>
        <w:t xml:space="preserve">2 </w:t>
      </w:r>
      <w:r w:rsidR="005D4D4A" w:rsidRPr="007F0BEB">
        <w:rPr>
          <w:rFonts w:ascii="Arial" w:eastAsia="Times New Roman" w:hAnsi="Arial" w:cs="Arial"/>
          <w:sz w:val="24"/>
          <w:szCs w:val="24"/>
          <w:lang w:eastAsia="en-GB"/>
        </w:rPr>
        <w:t>(15%)</w:t>
      </w:r>
      <w:r w:rsidR="005D4D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F0BEB">
        <w:rPr>
          <w:rFonts w:ascii="Arial" w:eastAsia="Times New Roman" w:hAnsi="Arial" w:cs="Arial"/>
          <w:sz w:val="24"/>
          <w:szCs w:val="24"/>
          <w:lang w:eastAsia="en-GB"/>
        </w:rPr>
        <w:t xml:space="preserve">monitors failed </w:t>
      </w:r>
      <w:r w:rsidR="005D4D4A">
        <w:rPr>
          <w:rFonts w:ascii="Arial" w:eastAsia="Times New Roman" w:hAnsi="Arial" w:cs="Arial"/>
          <w:sz w:val="24"/>
          <w:szCs w:val="24"/>
          <w:lang w:eastAsia="en-GB"/>
        </w:rPr>
        <w:t>the accuracy test,</w:t>
      </w:r>
      <w:r w:rsidR="005D4D4A" w:rsidRPr="00661B18">
        <w:rPr>
          <w:rFonts w:ascii="Arial" w:eastAsia="Times New Roman" w:hAnsi="Arial" w:cs="Arial"/>
          <w:sz w:val="24"/>
          <w:szCs w:val="24"/>
          <w:lang w:eastAsia="en-GB"/>
        </w:rPr>
        <w:t xml:space="preserve"> i.e. </w:t>
      </w:r>
      <w:r w:rsidR="00661B18" w:rsidRPr="00661B18">
        <w:rPr>
          <w:rFonts w:ascii="Arial" w:eastAsia="Times New Roman" w:hAnsi="Arial" w:cs="Arial"/>
          <w:sz w:val="24"/>
          <w:szCs w:val="24"/>
          <w:lang w:eastAsia="en-GB"/>
        </w:rPr>
        <w:t xml:space="preserve">had a </w:t>
      </w:r>
      <w:r w:rsidR="00661B18">
        <w:rPr>
          <w:rFonts w:ascii="Arial" w:eastAsia="Times New Roman" w:hAnsi="Arial" w:cs="Arial"/>
          <w:sz w:val="24"/>
          <w:szCs w:val="24"/>
          <w:lang w:eastAsia="en-GB"/>
        </w:rPr>
        <w:t>&gt;</w:t>
      </w:r>
      <w:r w:rsidR="00661B18" w:rsidRPr="008D2BC4">
        <w:rPr>
          <w:rFonts w:ascii="Arial" w:eastAsia="Times New Roman" w:hAnsi="Arial" w:cs="Arial"/>
          <w:sz w:val="24"/>
          <w:szCs w:val="24"/>
          <w:lang w:eastAsia="en-GB"/>
        </w:rPr>
        <w:t xml:space="preserve">3mmHg error compared to </w:t>
      </w:r>
      <w:r w:rsidR="00A43F11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661B18" w:rsidRPr="008D2BC4">
        <w:rPr>
          <w:rFonts w:ascii="Arial" w:eastAsia="Times New Roman" w:hAnsi="Arial" w:cs="Arial"/>
          <w:sz w:val="24"/>
          <w:szCs w:val="24"/>
          <w:lang w:eastAsia="en-GB"/>
        </w:rPr>
        <w:t xml:space="preserve">reference device (PA 350) at </w:t>
      </w:r>
      <w:r w:rsidR="00661B18" w:rsidRPr="00661B18">
        <w:rPr>
          <w:rFonts w:ascii="Arial" w:eastAsia="Times New Roman" w:hAnsi="Arial" w:cs="Arial"/>
          <w:sz w:val="24"/>
          <w:szCs w:val="24"/>
          <w:lang w:eastAsia="en-GB"/>
        </w:rPr>
        <w:t>any</w:t>
      </w:r>
      <w:r w:rsidR="00661B18" w:rsidRPr="008D2BC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61B18">
        <w:rPr>
          <w:rFonts w:ascii="Arial" w:eastAsia="Times New Roman" w:hAnsi="Arial" w:cs="Arial"/>
          <w:sz w:val="24"/>
          <w:szCs w:val="24"/>
          <w:lang w:eastAsia="en-GB"/>
        </w:rPr>
        <w:t>blood pressure</w:t>
      </w:r>
      <w:r w:rsidR="00661B18" w:rsidRPr="008D2BC4">
        <w:rPr>
          <w:rFonts w:ascii="Arial" w:eastAsia="Times New Roman" w:hAnsi="Arial" w:cs="Arial"/>
          <w:sz w:val="24"/>
          <w:szCs w:val="24"/>
          <w:lang w:eastAsia="en-GB"/>
        </w:rPr>
        <w:t xml:space="preserve"> range</w:t>
      </w:r>
      <w:r w:rsidR="00661B1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79639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7F0BEB" w:rsidRPr="00124C63" w:rsidRDefault="007F0BEB" w:rsidP="007F0B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393">
        <w:rPr>
          <w:rFonts w:ascii="Arial" w:hAnsi="Arial" w:cs="Arial"/>
          <w:sz w:val="24"/>
          <w:szCs w:val="24"/>
        </w:rPr>
        <w:t>22 (7%) of the</w:t>
      </w:r>
      <w:r w:rsidR="00796393" w:rsidRPr="00796393">
        <w:rPr>
          <w:rFonts w:ascii="Arial" w:hAnsi="Arial" w:cs="Arial"/>
          <w:sz w:val="24"/>
          <w:szCs w:val="24"/>
        </w:rPr>
        <w:t xml:space="preserve"> </w:t>
      </w:r>
      <w:r w:rsidRPr="00796393">
        <w:rPr>
          <w:rFonts w:ascii="Arial" w:hAnsi="Arial" w:cs="Arial"/>
          <w:sz w:val="24"/>
          <w:szCs w:val="24"/>
        </w:rPr>
        <w:t>m</w:t>
      </w:r>
      <w:r w:rsidR="00796393" w:rsidRPr="00796393">
        <w:rPr>
          <w:rFonts w:ascii="Arial" w:hAnsi="Arial" w:cs="Arial"/>
          <w:sz w:val="24"/>
          <w:szCs w:val="24"/>
        </w:rPr>
        <w:t>onitors</w:t>
      </w:r>
      <w:r w:rsidRPr="00796393">
        <w:rPr>
          <w:rFonts w:ascii="Arial" w:hAnsi="Arial" w:cs="Arial"/>
          <w:sz w:val="24"/>
          <w:szCs w:val="24"/>
        </w:rPr>
        <w:t xml:space="preserve"> failed at the 150 mmHg level closest to the threshold used for diagnosis and treatment.</w:t>
      </w:r>
      <w:r w:rsidRPr="00124C63">
        <w:rPr>
          <w:rFonts w:ascii="Arial" w:hAnsi="Arial" w:cs="Arial"/>
          <w:sz w:val="24"/>
          <w:szCs w:val="24"/>
        </w:rPr>
        <w:t xml:space="preserve"> </w:t>
      </w:r>
    </w:p>
    <w:p w:rsidR="00205AB9" w:rsidRPr="008D2BC4" w:rsidRDefault="00205AB9" w:rsidP="00F25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8D2BC4" w:rsidRPr="008D2BC4" w:rsidRDefault="008D2BC4" w:rsidP="00BB1795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 w:rsidRPr="008D2BC4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Secondary outcome measures</w:t>
      </w:r>
    </w:p>
    <w:p w:rsidR="0090215A" w:rsidRPr="00544DF2" w:rsidRDefault="0090215A" w:rsidP="009028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572">
        <w:rPr>
          <w:rFonts w:ascii="Arial" w:hAnsi="Arial" w:cs="Arial"/>
          <w:sz w:val="24"/>
          <w:szCs w:val="24"/>
        </w:rPr>
        <w:t>Table 1:</w:t>
      </w:r>
      <w:r w:rsidRPr="00544DF2">
        <w:rPr>
          <w:rFonts w:ascii="Arial" w:hAnsi="Arial" w:cs="Arial"/>
          <w:sz w:val="24"/>
          <w:szCs w:val="24"/>
        </w:rPr>
        <w:t xml:space="preserve"> </w:t>
      </w:r>
      <w:r w:rsidR="00A43F11">
        <w:rPr>
          <w:rFonts w:ascii="Arial" w:hAnsi="Arial" w:cs="Arial"/>
          <w:sz w:val="24"/>
          <w:szCs w:val="24"/>
        </w:rPr>
        <w:t>M</w:t>
      </w:r>
      <w:r w:rsidR="00A43F11" w:rsidRPr="008D2BC4">
        <w:rPr>
          <w:rFonts w:ascii="Arial" w:eastAsia="Times New Roman" w:hAnsi="Arial" w:cs="Arial"/>
          <w:sz w:val="24"/>
          <w:szCs w:val="24"/>
          <w:lang w:eastAsia="en-GB"/>
        </w:rPr>
        <w:t>ean difference between the values reported by the test device and reference device over the pressure ranges tested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B869AA" w:rsidRDefault="00806F7B" w:rsidP="00A43F11">
            <w:pPr>
              <w:rPr>
                <w:rFonts w:ascii="Arial" w:eastAsia="PMingLiU" w:hAnsi="Arial" w:cs="Arial"/>
                <w:b/>
                <w:sz w:val="20"/>
                <w:szCs w:val="20"/>
                <w:lang w:eastAsia="en-US"/>
              </w:rPr>
            </w:pPr>
            <w:r w:rsidRPr="00B869AA">
              <w:rPr>
                <w:rFonts w:ascii="Arial" w:hAnsi="Arial" w:cs="Arial"/>
                <w:b/>
              </w:rPr>
              <w:t>Testing interval (pressure range, mmHg)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B869AA" w:rsidRDefault="00806F7B" w:rsidP="00B869AA">
            <w:pPr>
              <w:rPr>
                <w:rFonts w:ascii="Arial" w:eastAsia="PMingLiU" w:hAnsi="Arial" w:cs="Arial"/>
                <w:b/>
                <w:sz w:val="20"/>
                <w:szCs w:val="20"/>
                <w:lang w:eastAsia="en-US"/>
              </w:rPr>
            </w:pPr>
            <w:r w:rsidRPr="00B869AA">
              <w:rPr>
                <w:rFonts w:ascii="Arial" w:hAnsi="Arial" w:cs="Arial"/>
                <w:b/>
              </w:rPr>
              <w:t>Mean difference (mmHg)</w:t>
            </w:r>
            <w:r w:rsidR="00B869AA" w:rsidRPr="00B869AA">
              <w:rPr>
                <w:rFonts w:ascii="Arial" w:hAnsi="Arial" w:cs="Arial"/>
                <w:b/>
              </w:rPr>
              <w:t xml:space="preserve"> </w:t>
            </w:r>
            <w:r w:rsidRPr="00B869AA">
              <w:rPr>
                <w:rFonts w:ascii="Arial" w:hAnsi="Arial" w:cs="Arial"/>
                <w:b/>
              </w:rPr>
              <w:t>(95% CI)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 xml:space="preserve">0.27 (0.24 to 0.29)   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>0.60 (0.56 to 0.65)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 xml:space="preserve">0.78 (0.72 to 0.84) 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 xml:space="preserve">1.00 (0.91 to 1.08) 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 xml:space="preserve">1.13 (1.03 to 1.23) 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 xml:space="preserve">1.34 (1.22 to 1.45) </w:t>
            </w:r>
          </w:p>
        </w:tc>
      </w:tr>
      <w:tr w:rsidR="00806F7B" w:rsidTr="00B869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Default="00806F7B" w:rsidP="00A43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280/ 300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B" w:rsidRPr="007D557B" w:rsidRDefault="00806F7B" w:rsidP="00A43F11">
            <w:pPr>
              <w:jc w:val="both"/>
              <w:rPr>
                <w:rFonts w:ascii="Arial" w:hAnsi="Arial" w:cs="Arial"/>
              </w:rPr>
            </w:pPr>
            <w:r w:rsidRPr="007D557B">
              <w:rPr>
                <w:rFonts w:ascii="Arial" w:eastAsia="Times New Roman" w:hAnsi="Arial" w:cs="Arial"/>
              </w:rPr>
              <w:t xml:space="preserve">1.45 (1.27 to 1.62) </w:t>
            </w:r>
          </w:p>
        </w:tc>
      </w:tr>
    </w:tbl>
    <w:p w:rsidR="0090215A" w:rsidRPr="00B869AA" w:rsidRDefault="0090215A" w:rsidP="00F25CE7">
      <w:pPr>
        <w:spacing w:after="0" w:line="240" w:lineRule="auto"/>
        <w:rPr>
          <w:rFonts w:ascii="Arial" w:hAnsi="Arial" w:cs="Arial"/>
          <w:i/>
        </w:rPr>
      </w:pPr>
      <w:r w:rsidRPr="00B869AA">
        <w:rPr>
          <w:rFonts w:ascii="Arial" w:hAnsi="Arial" w:cs="Arial"/>
          <w:i/>
        </w:rPr>
        <w:t xml:space="preserve">Pressure is checked in 50mmHg increments up to </w:t>
      </w:r>
      <w:r w:rsidR="00F26572" w:rsidRPr="00B869AA">
        <w:rPr>
          <w:rFonts w:ascii="Arial" w:hAnsi="Arial" w:cs="Arial"/>
          <w:i/>
        </w:rPr>
        <w:t xml:space="preserve">either 280mmHg or </w:t>
      </w:r>
      <w:r w:rsidRPr="00B869AA">
        <w:rPr>
          <w:rFonts w:ascii="Arial" w:hAnsi="Arial" w:cs="Arial"/>
          <w:i/>
        </w:rPr>
        <w:t xml:space="preserve">300mmHg </w:t>
      </w:r>
      <w:r w:rsidR="00F26572" w:rsidRPr="00B869AA">
        <w:rPr>
          <w:rFonts w:ascii="Arial" w:hAnsi="Arial" w:cs="Arial"/>
          <w:i/>
        </w:rPr>
        <w:t xml:space="preserve">(according to manufacturer specification, the highest pressure point monitors can be tested is either 280mmHg or 300mmHg) </w:t>
      </w:r>
      <w:r w:rsidRPr="00B869AA">
        <w:rPr>
          <w:rFonts w:ascii="Arial" w:hAnsi="Arial" w:cs="Arial"/>
          <w:i/>
        </w:rPr>
        <w:t>and then down again. The data at each testing interval between 0-250mmHg going up has been combined with that going down.</w:t>
      </w:r>
    </w:p>
    <w:p w:rsidR="00467B5F" w:rsidRPr="00806F7B" w:rsidRDefault="008D2BC4" w:rsidP="00F25C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2BC4">
        <w:rPr>
          <w:rFonts w:ascii="Times New Roman" w:eastAsia="Times New Roman" w:hAnsi="Times New Roman"/>
          <w:sz w:val="24"/>
          <w:szCs w:val="24"/>
          <w:lang w:eastAsia="en-GB"/>
        </w:rPr>
        <w:br/>
      </w:r>
      <w:r w:rsidR="008F35CB">
        <w:rPr>
          <w:rFonts w:ascii="Arial" w:eastAsia="Times New Roman" w:hAnsi="Arial" w:cs="Arial"/>
          <w:sz w:val="24"/>
          <w:szCs w:val="24"/>
          <w:lang w:eastAsia="en-GB"/>
        </w:rPr>
        <w:t>Analysis of the a</w:t>
      </w:r>
      <w:r w:rsidRPr="00806F7B">
        <w:rPr>
          <w:rFonts w:ascii="Arial" w:eastAsia="Times New Roman" w:hAnsi="Arial" w:cs="Arial"/>
          <w:sz w:val="24"/>
          <w:szCs w:val="24"/>
          <w:lang w:eastAsia="en-GB"/>
        </w:rPr>
        <w:t xml:space="preserve">ssociation </w:t>
      </w:r>
      <w:r w:rsidR="00467B5F" w:rsidRPr="00806F7B">
        <w:rPr>
          <w:rFonts w:ascii="Arial" w:eastAsia="Times New Roman" w:hAnsi="Arial" w:cs="Arial"/>
          <w:sz w:val="24"/>
          <w:szCs w:val="24"/>
          <w:lang w:eastAsia="en-GB"/>
        </w:rPr>
        <w:t>between mean absolute error and</w:t>
      </w:r>
      <w:r w:rsidR="008F35CB">
        <w:rPr>
          <w:rFonts w:ascii="Arial" w:eastAsia="Times New Roman" w:hAnsi="Arial" w:cs="Arial"/>
          <w:sz w:val="24"/>
          <w:szCs w:val="24"/>
          <w:lang w:eastAsia="en-GB"/>
        </w:rPr>
        <w:t xml:space="preserve"> other variables is ongoing.</w:t>
      </w:r>
    </w:p>
    <w:p w:rsidR="008F35CB" w:rsidRDefault="008F35CB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028F4" w:rsidRDefault="009028F4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6093" w:rsidRDefault="00B7609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C74743" w:rsidRDefault="00C74743" w:rsidP="00C7474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Adverse Events</w:t>
      </w:r>
    </w:p>
    <w:p w:rsidR="0075321F" w:rsidRPr="0075321F" w:rsidRDefault="0075321F" w:rsidP="0075321F">
      <w:pPr>
        <w:rPr>
          <w:rFonts w:ascii="Arial" w:hAnsi="Arial" w:cs="Arial"/>
          <w:sz w:val="24"/>
          <w:szCs w:val="24"/>
        </w:rPr>
      </w:pPr>
      <w:r w:rsidRPr="0075321F">
        <w:rPr>
          <w:rFonts w:ascii="Arial" w:hAnsi="Arial" w:cs="Arial"/>
          <w:sz w:val="24"/>
          <w:szCs w:val="24"/>
        </w:rPr>
        <w:t>There were no adverse events associated with this trial.</w:t>
      </w:r>
    </w:p>
    <w:sectPr w:rsidR="0075321F" w:rsidRPr="0075321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42" w:rsidRDefault="00AF1942" w:rsidP="00AF1942">
      <w:pPr>
        <w:spacing w:after="0" w:line="240" w:lineRule="auto"/>
      </w:pPr>
      <w:r>
        <w:separator/>
      </w:r>
    </w:p>
  </w:endnote>
  <w:endnote w:type="continuationSeparator" w:id="0">
    <w:p w:rsidR="00AF1942" w:rsidRDefault="00AF1942" w:rsidP="00AF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171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1942" w:rsidRDefault="00AF1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1942" w:rsidRDefault="00AF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42" w:rsidRDefault="00AF1942" w:rsidP="00AF1942">
      <w:pPr>
        <w:spacing w:after="0" w:line="240" w:lineRule="auto"/>
      </w:pPr>
      <w:r>
        <w:separator/>
      </w:r>
    </w:p>
  </w:footnote>
  <w:footnote w:type="continuationSeparator" w:id="0">
    <w:p w:rsidR="00AF1942" w:rsidRDefault="00AF1942" w:rsidP="00AF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12A78"/>
    <w:multiLevelType w:val="hybridMultilevel"/>
    <w:tmpl w:val="F612C9B8"/>
    <w:lvl w:ilvl="0" w:tplc="1AC44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00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2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00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6A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A8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0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00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2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EB45FD"/>
    <w:multiLevelType w:val="hybridMultilevel"/>
    <w:tmpl w:val="8E8E4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877D7"/>
    <w:multiLevelType w:val="hybridMultilevel"/>
    <w:tmpl w:val="3B58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1F"/>
    <w:rsid w:val="00011CCB"/>
    <w:rsid w:val="000B79DF"/>
    <w:rsid w:val="00124C63"/>
    <w:rsid w:val="001E6810"/>
    <w:rsid w:val="00201238"/>
    <w:rsid w:val="00205AB9"/>
    <w:rsid w:val="00287CE5"/>
    <w:rsid w:val="002B6A3F"/>
    <w:rsid w:val="00467B5F"/>
    <w:rsid w:val="004765B5"/>
    <w:rsid w:val="004921D3"/>
    <w:rsid w:val="00492F51"/>
    <w:rsid w:val="00544DF2"/>
    <w:rsid w:val="005D4247"/>
    <w:rsid w:val="005D4D4A"/>
    <w:rsid w:val="005D532E"/>
    <w:rsid w:val="006467E5"/>
    <w:rsid w:val="00661B18"/>
    <w:rsid w:val="006742BD"/>
    <w:rsid w:val="006904A9"/>
    <w:rsid w:val="007166F0"/>
    <w:rsid w:val="0075321F"/>
    <w:rsid w:val="00796393"/>
    <w:rsid w:val="007D557B"/>
    <w:rsid w:val="007F0BEB"/>
    <w:rsid w:val="00806F7B"/>
    <w:rsid w:val="008834EC"/>
    <w:rsid w:val="008D2BC4"/>
    <w:rsid w:val="008F35CB"/>
    <w:rsid w:val="0090215A"/>
    <w:rsid w:val="009028F4"/>
    <w:rsid w:val="009F4E85"/>
    <w:rsid w:val="00A010E1"/>
    <w:rsid w:val="00A434B9"/>
    <w:rsid w:val="00A43F11"/>
    <w:rsid w:val="00A5683E"/>
    <w:rsid w:val="00AA28F2"/>
    <w:rsid w:val="00AC1FDE"/>
    <w:rsid w:val="00AD5DC3"/>
    <w:rsid w:val="00AF1942"/>
    <w:rsid w:val="00B21B25"/>
    <w:rsid w:val="00B76093"/>
    <w:rsid w:val="00B869AA"/>
    <w:rsid w:val="00B9026C"/>
    <w:rsid w:val="00BA222E"/>
    <w:rsid w:val="00BB1795"/>
    <w:rsid w:val="00C74743"/>
    <w:rsid w:val="00CA4D2C"/>
    <w:rsid w:val="00CB6542"/>
    <w:rsid w:val="00CB6D7A"/>
    <w:rsid w:val="00CF5104"/>
    <w:rsid w:val="00D25494"/>
    <w:rsid w:val="00E3129B"/>
    <w:rsid w:val="00E62DD1"/>
    <w:rsid w:val="00E902E7"/>
    <w:rsid w:val="00EC061E"/>
    <w:rsid w:val="00F207B1"/>
    <w:rsid w:val="00F25CE7"/>
    <w:rsid w:val="00F26572"/>
    <w:rsid w:val="00F77A9C"/>
    <w:rsid w:val="00F80B76"/>
    <w:rsid w:val="00F8271C"/>
    <w:rsid w:val="00FB70E2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1F"/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8D2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D2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321F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5321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D2BC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D2BC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D2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7B5F"/>
    <w:pPr>
      <w:ind w:left="720"/>
      <w:contextualSpacing/>
    </w:pPr>
  </w:style>
  <w:style w:type="table" w:styleId="TableGrid">
    <w:name w:val="Table Grid"/>
    <w:basedOn w:val="TableNormal"/>
    <w:uiPriority w:val="59"/>
    <w:rsid w:val="0090215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4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42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1F"/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8D2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D2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321F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5321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D2BC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D2BC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D2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7B5F"/>
    <w:pPr>
      <w:ind w:left="720"/>
      <w:contextualSpacing/>
    </w:pPr>
  </w:style>
  <w:style w:type="table" w:styleId="TableGrid">
    <w:name w:val="Table Grid"/>
    <w:basedOn w:val="TableNormal"/>
    <w:uiPriority w:val="59"/>
    <w:rsid w:val="0090215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94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4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Hodgkinson</dc:creator>
  <cp:lastModifiedBy>Weir, Mairead, BioMed Central Ltd.</cp:lastModifiedBy>
  <cp:revision>3</cp:revision>
  <dcterms:created xsi:type="dcterms:W3CDTF">2018-01-15T10:02:00Z</dcterms:created>
  <dcterms:modified xsi:type="dcterms:W3CDTF">2018-01-15T10:02:00Z</dcterms:modified>
</cp:coreProperties>
</file>