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145"/>
        <w:tblW w:w="90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766"/>
        <w:gridCol w:w="2727"/>
        <w:gridCol w:w="1364"/>
        <w:gridCol w:w="3225"/>
      </w:tblGrid>
      <w:tr w:rsidRPr="00C242EC" w:rsidR="002E0995" w:rsidTr="00E2308B" w14:paraId="785A8C04" w14:textId="77777777">
        <w:tc>
          <w:tcPr>
            <w:tcW w:w="9082" w:type="dxa"/>
            <w:gridSpan w:val="4"/>
            <w:tcBorders>
              <w:bottom w:val="single" w:color="auto" w:sz="4" w:space="0"/>
            </w:tcBorders>
          </w:tcPr>
          <w:p w:rsidRPr="00C242EC" w:rsidR="002E0995" w:rsidP="00E2308B" w:rsidRDefault="002E0995" w14:paraId="744AEA35" w14:textId="77777777">
            <w:pPr>
              <w:pStyle w:val="Heading6"/>
              <w:ind w:right="-165"/>
              <w:rPr>
                <w:b w:val="0"/>
                <w:sz w:val="24"/>
                <w:szCs w:val="24"/>
                <w:lang w:val="en-US"/>
              </w:rPr>
            </w:pPr>
            <w:r w:rsidRPr="00C242EC">
              <w:rPr>
                <w:b w:val="0"/>
                <w:sz w:val="24"/>
                <w:szCs w:val="24"/>
                <w:lang w:val="en-US"/>
              </w:rPr>
              <w:t>A Comparative Multicentric Non-</w:t>
            </w:r>
            <w:proofErr w:type="spellStart"/>
            <w:r w:rsidRPr="00C242EC">
              <w:rPr>
                <w:b w:val="0"/>
                <w:sz w:val="24"/>
                <w:szCs w:val="24"/>
                <w:lang w:val="en-US"/>
              </w:rPr>
              <w:t>Infireority</w:t>
            </w:r>
            <w:proofErr w:type="spellEnd"/>
            <w:r w:rsidRPr="00C242EC">
              <w:rPr>
                <w:b w:val="0"/>
                <w:sz w:val="24"/>
                <w:szCs w:val="24"/>
                <w:lang w:val="en-US"/>
              </w:rPr>
              <w:t xml:space="preserve"> Clinical Trial of WHOMBMDT with a New Monthly Chemotherapy Regime containing Rifampicin, Moxifloxacin and Clarithromycin (RMC) on Multibacillary patients from India</w:t>
            </w:r>
          </w:p>
          <w:p w:rsidRPr="00C242EC" w:rsidR="002E0995" w:rsidP="00E2308B" w:rsidRDefault="002E0995" w14:paraId="7907E0B9" w14:textId="5F4BE2EB">
            <w:pPr>
              <w:pStyle w:val="Heading6"/>
              <w:ind w:right="-165"/>
              <w:jc w:val="center"/>
              <w:rPr>
                <w:sz w:val="24"/>
                <w:szCs w:val="24"/>
              </w:rPr>
            </w:pPr>
            <w:r w:rsidRPr="00C242EC">
              <w:rPr>
                <w:sz w:val="24"/>
                <w:szCs w:val="24"/>
              </w:rPr>
              <w:t>Standard Operating Procedure 1</w:t>
            </w:r>
            <w:r w:rsidRPr="00C242EC">
              <w:rPr>
                <w:sz w:val="24"/>
                <w:szCs w:val="24"/>
              </w:rPr>
              <w:t>2</w:t>
            </w:r>
          </w:p>
          <w:p w:rsidRPr="00C242EC" w:rsidR="002E0995" w:rsidP="00E2308B" w:rsidRDefault="002E0995" w14:paraId="3E450195" w14:textId="7C983E07">
            <w:pPr>
              <w:pStyle w:val="Heading6"/>
              <w:ind w:right="-165"/>
              <w:jc w:val="center"/>
              <w:rPr>
                <w:sz w:val="24"/>
                <w:szCs w:val="24"/>
              </w:rPr>
            </w:pPr>
            <w:r w:rsidRPr="00C242EC">
              <w:rPr>
                <w:sz w:val="24"/>
                <w:szCs w:val="24"/>
              </w:rPr>
              <w:t>Withdrawal</w:t>
            </w:r>
          </w:p>
        </w:tc>
      </w:tr>
      <w:tr w:rsidRPr="00C242EC" w:rsidR="002E0995" w:rsidTr="00E2308B" w14:paraId="45181548" w14:textId="77777777">
        <w:tc>
          <w:tcPr>
            <w:tcW w:w="1766" w:type="dxa"/>
            <w:tcBorders>
              <w:right w:val="nil"/>
            </w:tcBorders>
          </w:tcPr>
          <w:p w:rsidRPr="00C242EC" w:rsidR="002E0995" w:rsidP="00E2308B" w:rsidRDefault="002E0995" w14:paraId="44BA5BF4" w14:textId="77777777">
            <w:pPr>
              <w:tabs>
                <w:tab w:val="left" w:pos="1502"/>
              </w:tabs>
              <w:spacing w:before="120" w:after="120"/>
              <w:ind w:left="-28" w:right="-165"/>
              <w:jc w:val="both"/>
            </w:pPr>
            <w:r w:rsidRPr="00C242EC">
              <w:t xml:space="preserve">SOP Ref:  </w:t>
            </w:r>
          </w:p>
        </w:tc>
        <w:tc>
          <w:tcPr>
            <w:tcW w:w="7316" w:type="dxa"/>
            <w:gridSpan w:val="3"/>
            <w:tcBorders>
              <w:left w:val="nil"/>
            </w:tcBorders>
          </w:tcPr>
          <w:p w:rsidRPr="00C242EC" w:rsidR="002E0995" w:rsidP="00E2308B" w:rsidRDefault="002E0995" w14:paraId="3C668C10" w14:textId="7D4D328D">
            <w:pPr>
              <w:spacing w:before="120" w:after="120"/>
              <w:ind w:right="-165"/>
              <w:jc w:val="both"/>
            </w:pPr>
            <w:r w:rsidRPr="00C242EC">
              <w:t>TLMTI_RMC -SOP-1</w:t>
            </w:r>
            <w:r w:rsidRPr="00C242EC">
              <w:t>2</w:t>
            </w:r>
          </w:p>
        </w:tc>
      </w:tr>
      <w:tr w:rsidRPr="00C242EC" w:rsidR="002E0995" w:rsidTr="00E2308B" w14:paraId="0B8E9CA1" w14:textId="77777777">
        <w:tc>
          <w:tcPr>
            <w:tcW w:w="1766" w:type="dxa"/>
            <w:tcBorders>
              <w:bottom w:val="single" w:color="auto" w:sz="4" w:space="0"/>
              <w:right w:val="nil"/>
            </w:tcBorders>
          </w:tcPr>
          <w:p w:rsidRPr="00C242EC" w:rsidR="002E0995" w:rsidP="00E2308B" w:rsidRDefault="002E0995" w14:paraId="47F55255" w14:textId="77777777">
            <w:pPr>
              <w:tabs>
                <w:tab w:val="left" w:pos="1502"/>
              </w:tabs>
              <w:spacing w:before="120" w:after="120"/>
              <w:ind w:left="-28" w:right="-165"/>
              <w:jc w:val="both"/>
            </w:pPr>
            <w:r w:rsidRPr="00C242EC">
              <w:t xml:space="preserve">Version: </w:t>
            </w:r>
          </w:p>
        </w:tc>
        <w:tc>
          <w:tcPr>
            <w:tcW w:w="7316" w:type="dxa"/>
            <w:gridSpan w:val="3"/>
            <w:tcBorders>
              <w:left w:val="nil"/>
              <w:bottom w:val="single" w:color="auto" w:sz="4" w:space="0"/>
            </w:tcBorders>
          </w:tcPr>
          <w:p w:rsidRPr="00C242EC" w:rsidR="002E0995" w:rsidP="00E2308B" w:rsidRDefault="002E0995" w14:paraId="2964654A" w14:textId="77777777">
            <w:pPr>
              <w:spacing w:before="120" w:after="120"/>
              <w:ind w:right="-165"/>
              <w:jc w:val="both"/>
            </w:pPr>
            <w:r w:rsidRPr="00C242EC">
              <w:t xml:space="preserve"> Draft v </w:t>
            </w:r>
          </w:p>
        </w:tc>
      </w:tr>
      <w:tr w:rsidRPr="00C242EC" w:rsidR="002E0995" w:rsidTr="00184C0E" w14:paraId="67062D86" w14:textId="77777777">
        <w:tc>
          <w:tcPr>
            <w:tcW w:w="1766" w:type="dxa"/>
            <w:tcBorders>
              <w:bottom w:val="single" w:color="auto" w:sz="4" w:space="0"/>
              <w:right w:val="nil"/>
            </w:tcBorders>
          </w:tcPr>
          <w:p w:rsidRPr="00C242EC" w:rsidR="002E0995" w:rsidP="00E2308B" w:rsidRDefault="002E0995" w14:paraId="791B90AB" w14:textId="77777777">
            <w:pPr>
              <w:tabs>
                <w:tab w:val="left" w:pos="1502"/>
              </w:tabs>
              <w:spacing w:before="120" w:after="120"/>
              <w:ind w:left="-28" w:right="-165"/>
              <w:jc w:val="both"/>
            </w:pPr>
            <w:r w:rsidRPr="00C242EC">
              <w:t xml:space="preserve">Author:  </w:t>
            </w:r>
          </w:p>
        </w:tc>
        <w:tc>
          <w:tcPr>
            <w:tcW w:w="2727" w:type="dxa"/>
            <w:tcBorders>
              <w:left w:val="nil"/>
              <w:bottom w:val="single" w:color="auto" w:sz="4" w:space="0"/>
              <w:right w:val="nil"/>
            </w:tcBorders>
          </w:tcPr>
          <w:p w:rsidRPr="00C242EC" w:rsidR="002E0995" w:rsidP="00E2308B" w:rsidRDefault="002E0995" w14:paraId="3189FB90" w14:textId="77777777">
            <w:pPr>
              <w:spacing w:before="120" w:after="120"/>
              <w:ind w:right="-165"/>
              <w:jc w:val="both"/>
            </w:pPr>
            <w:proofErr w:type="spellStart"/>
            <w:r w:rsidRPr="00C242EC">
              <w:t>Joydeepa</w:t>
            </w:r>
            <w:proofErr w:type="spellEnd"/>
            <w:r w:rsidRPr="00C242EC">
              <w:t xml:space="preserve"> </w:t>
            </w:r>
            <w:proofErr w:type="spellStart"/>
            <w:r w:rsidRPr="00C242EC">
              <w:t>Darlong</w:t>
            </w:r>
            <w:proofErr w:type="spellEnd"/>
          </w:p>
        </w:tc>
        <w:tc>
          <w:tcPr>
            <w:tcW w:w="4589" w:type="dxa"/>
            <w:gridSpan w:val="2"/>
            <w:tcBorders>
              <w:left w:val="nil"/>
              <w:bottom w:val="single" w:color="auto" w:sz="4" w:space="0"/>
            </w:tcBorders>
          </w:tcPr>
          <w:p w:rsidRPr="00C242EC" w:rsidR="002E0995" w:rsidP="002E0995" w:rsidRDefault="002E0995" w14:paraId="1BC17084" w14:textId="2A2CB09B">
            <w:pPr>
              <w:spacing w:before="120" w:after="120"/>
              <w:ind w:right="-165"/>
            </w:pPr>
            <w:r w:rsidRPr="00C242EC">
              <w:t xml:space="preserve">Title:  </w:t>
            </w:r>
            <w:r w:rsidRPr="00C242EC">
              <w:t>Withdrawal</w:t>
            </w:r>
          </w:p>
        </w:tc>
      </w:tr>
      <w:tr w:rsidRPr="00C242EC" w:rsidR="002E0995" w:rsidTr="00E2308B" w14:paraId="1230AD1D" w14:textId="77777777">
        <w:tc>
          <w:tcPr>
            <w:tcW w:w="1766" w:type="dxa"/>
            <w:tcBorders>
              <w:right w:val="nil"/>
            </w:tcBorders>
          </w:tcPr>
          <w:p w:rsidRPr="00C242EC" w:rsidR="002E0995" w:rsidP="00E2308B" w:rsidRDefault="002E0995" w14:paraId="730D6902" w14:textId="77777777">
            <w:pPr>
              <w:tabs>
                <w:tab w:val="left" w:pos="1502"/>
              </w:tabs>
              <w:spacing w:before="120" w:after="120"/>
              <w:ind w:left="-28" w:right="-165"/>
              <w:rPr>
                <w:color w:val="999999"/>
              </w:rPr>
            </w:pPr>
            <w:r w:rsidRPr="00C242EC">
              <w:t>Effective Date:</w:t>
            </w:r>
            <w:r w:rsidRPr="00C242EC">
              <w:rPr>
                <w:color w:val="999999"/>
              </w:rPr>
              <w:t xml:space="preserve">   </w:t>
            </w:r>
          </w:p>
        </w:tc>
        <w:tc>
          <w:tcPr>
            <w:tcW w:w="2727" w:type="dxa"/>
            <w:tcBorders>
              <w:left w:val="nil"/>
              <w:right w:val="nil"/>
            </w:tcBorders>
          </w:tcPr>
          <w:p w:rsidRPr="00C242EC" w:rsidR="002E0995" w:rsidP="00E2308B" w:rsidRDefault="002E0995" w14:paraId="6482712D" w14:textId="77777777">
            <w:pPr>
              <w:spacing w:before="120" w:after="120"/>
              <w:ind w:right="-165"/>
              <w:jc w:val="both"/>
            </w:pPr>
          </w:p>
        </w:tc>
        <w:tc>
          <w:tcPr>
            <w:tcW w:w="1364" w:type="dxa"/>
            <w:tcBorders>
              <w:left w:val="nil"/>
              <w:right w:val="nil"/>
            </w:tcBorders>
          </w:tcPr>
          <w:p w:rsidRPr="00C242EC" w:rsidR="002E0995" w:rsidP="00E2308B" w:rsidRDefault="002E0995" w14:paraId="7B3CCA7F" w14:textId="77777777">
            <w:pPr>
              <w:spacing w:before="120" w:after="120"/>
              <w:ind w:right="-165"/>
              <w:jc w:val="right"/>
            </w:pPr>
            <w:r w:rsidRPr="00C242EC">
              <w:t xml:space="preserve">Review by: </w:t>
            </w:r>
          </w:p>
        </w:tc>
        <w:tc>
          <w:tcPr>
            <w:tcW w:w="3225" w:type="dxa"/>
            <w:tcBorders>
              <w:left w:val="nil"/>
            </w:tcBorders>
          </w:tcPr>
          <w:p w:rsidRPr="00C242EC" w:rsidR="002E0995" w:rsidP="00E2308B" w:rsidRDefault="002E0995" w14:paraId="663173B4" w14:textId="77777777">
            <w:pPr>
              <w:spacing w:before="120" w:after="120"/>
              <w:ind w:right="-165"/>
              <w:jc w:val="both"/>
            </w:pPr>
          </w:p>
        </w:tc>
      </w:tr>
      <w:tr w:rsidRPr="00C242EC" w:rsidR="002E0995" w:rsidTr="00E2308B" w14:paraId="67A857F0" w14:textId="77777777">
        <w:tc>
          <w:tcPr>
            <w:tcW w:w="1766" w:type="dxa"/>
            <w:tcBorders>
              <w:right w:val="nil"/>
            </w:tcBorders>
          </w:tcPr>
          <w:p w:rsidRPr="00C242EC" w:rsidR="002E0995" w:rsidP="00E2308B" w:rsidRDefault="002E0995" w14:paraId="706DFA83" w14:textId="77777777">
            <w:pPr>
              <w:tabs>
                <w:tab w:val="left" w:pos="1502"/>
              </w:tabs>
              <w:spacing w:before="120" w:after="120"/>
              <w:ind w:left="-28" w:right="-165"/>
              <w:jc w:val="both"/>
              <w:rPr>
                <w:color w:val="999999"/>
              </w:rPr>
            </w:pPr>
            <w:r w:rsidRPr="00C242EC">
              <w:t xml:space="preserve">Approved by:    </w:t>
            </w:r>
          </w:p>
        </w:tc>
        <w:tc>
          <w:tcPr>
            <w:tcW w:w="2727" w:type="dxa"/>
            <w:tcBorders>
              <w:left w:val="nil"/>
              <w:right w:val="nil"/>
            </w:tcBorders>
          </w:tcPr>
          <w:p w:rsidRPr="00C242EC" w:rsidR="002E0995" w:rsidP="00E2308B" w:rsidRDefault="002E0995" w14:paraId="463070A5" w14:textId="77777777">
            <w:pPr>
              <w:spacing w:before="120" w:after="120"/>
              <w:ind w:right="-165"/>
              <w:jc w:val="both"/>
            </w:pPr>
          </w:p>
        </w:tc>
        <w:tc>
          <w:tcPr>
            <w:tcW w:w="1364" w:type="dxa"/>
            <w:tcBorders>
              <w:left w:val="nil"/>
              <w:right w:val="nil"/>
            </w:tcBorders>
          </w:tcPr>
          <w:p w:rsidRPr="00C242EC" w:rsidR="002E0995" w:rsidP="00E2308B" w:rsidRDefault="002E0995" w14:paraId="4B5E49ED" w14:textId="77777777">
            <w:pPr>
              <w:spacing w:before="120" w:after="120"/>
              <w:ind w:right="-165"/>
              <w:jc w:val="right"/>
            </w:pPr>
            <w:r w:rsidRPr="00C242EC">
              <w:t>Date:</w:t>
            </w:r>
          </w:p>
        </w:tc>
        <w:tc>
          <w:tcPr>
            <w:tcW w:w="3225" w:type="dxa"/>
            <w:tcBorders>
              <w:left w:val="nil"/>
            </w:tcBorders>
          </w:tcPr>
          <w:p w:rsidRPr="00C242EC" w:rsidR="002E0995" w:rsidP="00E2308B" w:rsidRDefault="002E0995" w14:paraId="7B46D6B8" w14:textId="77777777">
            <w:pPr>
              <w:spacing w:before="120" w:after="120"/>
              <w:ind w:right="-165"/>
              <w:jc w:val="both"/>
            </w:pPr>
          </w:p>
        </w:tc>
      </w:tr>
      <w:tr w:rsidRPr="00C242EC" w:rsidR="002E0995" w:rsidTr="00E2308B" w14:paraId="565F6D61" w14:textId="77777777">
        <w:tc>
          <w:tcPr>
            <w:tcW w:w="1766" w:type="dxa"/>
            <w:tcBorders>
              <w:right w:val="nil"/>
            </w:tcBorders>
          </w:tcPr>
          <w:p w:rsidRPr="00C242EC" w:rsidR="002E0995" w:rsidP="00E2308B" w:rsidRDefault="002E0995" w14:paraId="40427F35" w14:textId="77777777">
            <w:pPr>
              <w:tabs>
                <w:tab w:val="left" w:pos="1502"/>
              </w:tabs>
              <w:spacing w:before="120" w:after="120"/>
              <w:ind w:left="-28" w:right="-165"/>
            </w:pPr>
            <w:r w:rsidRPr="00C242EC">
              <w:t xml:space="preserve">Signature of </w:t>
            </w:r>
            <w:proofErr w:type="spellStart"/>
            <w:r w:rsidRPr="00C242EC">
              <w:t>Authorisor</w:t>
            </w:r>
            <w:proofErr w:type="spellEnd"/>
            <w:r w:rsidRPr="00C242EC">
              <w:t>:</w:t>
            </w:r>
          </w:p>
        </w:tc>
        <w:tc>
          <w:tcPr>
            <w:tcW w:w="7316" w:type="dxa"/>
            <w:gridSpan w:val="3"/>
            <w:tcBorders>
              <w:left w:val="nil"/>
            </w:tcBorders>
          </w:tcPr>
          <w:p w:rsidRPr="00C242EC" w:rsidR="002E0995" w:rsidP="00E2308B" w:rsidRDefault="002E0995" w14:paraId="5216F91B" w14:textId="77777777">
            <w:pPr>
              <w:spacing w:before="120" w:after="120"/>
              <w:ind w:right="-165"/>
              <w:jc w:val="both"/>
            </w:pPr>
            <w:r w:rsidRPr="00C242EC">
              <w:tab/>
            </w:r>
            <w:r w:rsidRPr="00C242EC">
              <w:tab/>
            </w:r>
            <w:r w:rsidRPr="00C242EC">
              <w:tab/>
            </w:r>
          </w:p>
        </w:tc>
      </w:tr>
    </w:tbl>
    <w:p w:rsidRPr="00C242EC" w:rsidR="00E4465F" w:rsidP="003E7A56" w:rsidRDefault="00E4465F" w14:paraId="06DAFC43" w14:textId="77777777">
      <w:pPr>
        <w:pStyle w:val="Header"/>
        <w:spacing w:line="360" w:lineRule="auto"/>
        <w:rPr>
          <w:b/>
        </w:rPr>
      </w:pPr>
    </w:p>
    <w:p w:rsidRPr="00C242EC" w:rsidR="00E4465F" w:rsidP="00E4465F" w:rsidRDefault="00E4465F" w14:paraId="1A0C3DE8" w14:textId="77777777">
      <w:pPr>
        <w:jc w:val="center"/>
      </w:pPr>
    </w:p>
    <w:p w:rsidRPr="00C242EC" w:rsidR="00E4465F" w:rsidP="00E4465F" w:rsidRDefault="00E4465F" w14:paraId="2AA77AA5" w14:textId="77777777"/>
    <w:p w:rsidRPr="00C242EC" w:rsidR="00E4465F" w:rsidP="00E4465F" w:rsidRDefault="00E4465F" w14:paraId="7618D3DF" w14:textId="77777777">
      <w:pPr>
        <w:jc w:val="center"/>
      </w:pPr>
    </w:p>
    <w:tbl>
      <w:tblPr>
        <w:tblpPr w:leftFromText="180" w:rightFromText="180" w:vertAnchor="text" w:horzAnchor="margin" w:tblpX="-431" w:tblpY="53"/>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07"/>
        <w:gridCol w:w="1545"/>
        <w:gridCol w:w="4985"/>
        <w:gridCol w:w="930"/>
      </w:tblGrid>
      <w:tr w:rsidRPr="00C242EC" w:rsidR="003B7C24" w:rsidTr="003E7A56" w14:paraId="47C9F7EA" w14:textId="77777777">
        <w:tc>
          <w:tcPr>
            <w:tcW w:w="8137" w:type="dxa"/>
            <w:gridSpan w:val="3"/>
            <w:shd w:val="clear" w:color="auto" w:fill="E6E6E6"/>
          </w:tcPr>
          <w:p w:rsidRPr="00C242EC" w:rsidR="005E0448" w:rsidP="003E7A56" w:rsidRDefault="005E0448" w14:paraId="3184FA3D" w14:textId="77777777">
            <w:pPr>
              <w:jc w:val="both"/>
              <w:rPr>
                <w:b/>
                <w:bCs/>
                <w:color w:val="000000"/>
                <w:sz w:val="22"/>
                <w:szCs w:val="22"/>
              </w:rPr>
            </w:pPr>
            <w:bookmarkStart w:name="title_page" w:id="0"/>
            <w:bookmarkEnd w:id="0"/>
            <w:r w:rsidRPr="00C242EC">
              <w:rPr>
                <w:b/>
                <w:bCs/>
                <w:color w:val="000000"/>
                <w:sz w:val="22"/>
                <w:szCs w:val="22"/>
              </w:rPr>
              <w:t>SOP Chronology</w:t>
            </w:r>
          </w:p>
        </w:tc>
        <w:tc>
          <w:tcPr>
            <w:tcW w:w="930" w:type="dxa"/>
            <w:shd w:val="clear" w:color="auto" w:fill="E6E6E6"/>
          </w:tcPr>
          <w:p w:rsidRPr="00C242EC" w:rsidR="005E0448" w:rsidP="003E7A56" w:rsidRDefault="005E0448" w14:paraId="5580C31C" w14:textId="77777777">
            <w:pPr>
              <w:jc w:val="both"/>
              <w:rPr>
                <w:b/>
                <w:bCs/>
                <w:color w:val="000000"/>
                <w:sz w:val="22"/>
                <w:szCs w:val="22"/>
              </w:rPr>
            </w:pPr>
          </w:p>
        </w:tc>
      </w:tr>
      <w:tr w:rsidRPr="00C242EC" w:rsidR="005E0448" w:rsidTr="003E7A56" w14:paraId="2F290EA2" w14:textId="77777777">
        <w:tc>
          <w:tcPr>
            <w:tcW w:w="1607" w:type="dxa"/>
            <w:shd w:val="clear" w:color="auto" w:fill="E6E6E6"/>
          </w:tcPr>
          <w:p w:rsidRPr="00C242EC" w:rsidR="005E0448" w:rsidP="003E7A56" w:rsidRDefault="005E0448" w14:paraId="2A38B7AE" w14:textId="77777777">
            <w:pPr>
              <w:jc w:val="both"/>
              <w:rPr>
                <w:b/>
                <w:bCs/>
                <w:color w:val="000000"/>
                <w:sz w:val="22"/>
                <w:szCs w:val="22"/>
              </w:rPr>
            </w:pPr>
            <w:r w:rsidRPr="00C242EC">
              <w:rPr>
                <w:b/>
                <w:bCs/>
                <w:color w:val="000000"/>
                <w:sz w:val="22"/>
                <w:szCs w:val="22"/>
              </w:rPr>
              <w:t>Version</w:t>
            </w:r>
          </w:p>
          <w:p w:rsidRPr="00C242EC" w:rsidR="005E0448" w:rsidP="003E7A56" w:rsidRDefault="005E0448" w14:paraId="5CEB68B9" w14:textId="77777777">
            <w:pPr>
              <w:jc w:val="both"/>
              <w:rPr>
                <w:b/>
                <w:bCs/>
                <w:color w:val="000000"/>
                <w:sz w:val="22"/>
                <w:szCs w:val="22"/>
              </w:rPr>
            </w:pPr>
          </w:p>
        </w:tc>
        <w:tc>
          <w:tcPr>
            <w:tcW w:w="1545" w:type="dxa"/>
            <w:shd w:val="clear" w:color="auto" w:fill="E6E6E6"/>
          </w:tcPr>
          <w:p w:rsidRPr="00C242EC" w:rsidR="005E0448" w:rsidP="003E7A56" w:rsidRDefault="005E0448" w14:paraId="4E1D6B3B" w14:textId="77777777">
            <w:pPr>
              <w:jc w:val="both"/>
              <w:rPr>
                <w:b/>
                <w:bCs/>
                <w:color w:val="000000"/>
                <w:sz w:val="22"/>
                <w:szCs w:val="22"/>
              </w:rPr>
            </w:pPr>
            <w:r w:rsidRPr="00C242EC">
              <w:rPr>
                <w:b/>
                <w:bCs/>
                <w:color w:val="000000"/>
                <w:sz w:val="22"/>
                <w:szCs w:val="22"/>
              </w:rPr>
              <w:t>Date</w:t>
            </w:r>
          </w:p>
        </w:tc>
        <w:tc>
          <w:tcPr>
            <w:tcW w:w="4985" w:type="dxa"/>
            <w:shd w:val="clear" w:color="auto" w:fill="E6E6E6"/>
          </w:tcPr>
          <w:p w:rsidRPr="00C242EC" w:rsidR="005E0448" w:rsidP="003E7A56" w:rsidRDefault="005E0448" w14:paraId="59A79118" w14:textId="77777777">
            <w:pPr>
              <w:jc w:val="both"/>
              <w:rPr>
                <w:b/>
                <w:bCs/>
                <w:color w:val="000000"/>
                <w:sz w:val="22"/>
                <w:szCs w:val="22"/>
              </w:rPr>
            </w:pPr>
            <w:r w:rsidRPr="00C242EC">
              <w:rPr>
                <w:b/>
                <w:bCs/>
                <w:color w:val="000000"/>
                <w:sz w:val="22"/>
                <w:szCs w:val="22"/>
              </w:rPr>
              <w:t>Reason for Change</w:t>
            </w:r>
          </w:p>
        </w:tc>
        <w:tc>
          <w:tcPr>
            <w:tcW w:w="930" w:type="dxa"/>
            <w:shd w:val="clear" w:color="auto" w:fill="E6E6E6"/>
          </w:tcPr>
          <w:p w:rsidRPr="00C242EC" w:rsidR="005E0448" w:rsidP="003E7A56" w:rsidRDefault="005E0448" w14:paraId="0C763DAF" w14:textId="77777777">
            <w:pPr>
              <w:jc w:val="both"/>
              <w:rPr>
                <w:b/>
                <w:bCs/>
                <w:color w:val="000000"/>
                <w:sz w:val="22"/>
                <w:szCs w:val="22"/>
              </w:rPr>
            </w:pPr>
            <w:r w:rsidRPr="00C242EC">
              <w:rPr>
                <w:b/>
                <w:bCs/>
                <w:color w:val="000000"/>
                <w:sz w:val="22"/>
                <w:szCs w:val="22"/>
              </w:rPr>
              <w:t>Author</w:t>
            </w:r>
          </w:p>
        </w:tc>
      </w:tr>
      <w:tr w:rsidRPr="00C242EC" w:rsidR="005E0448" w:rsidTr="003E7A56" w14:paraId="7CE10B4C" w14:textId="77777777">
        <w:tc>
          <w:tcPr>
            <w:tcW w:w="1607" w:type="dxa"/>
          </w:tcPr>
          <w:p w:rsidRPr="00C242EC" w:rsidR="005E0448" w:rsidP="003E7A56" w:rsidRDefault="005E0448" w14:paraId="55232F32" w14:textId="6F262073">
            <w:pPr>
              <w:pStyle w:val="Heading3"/>
              <w:spacing w:before="0" w:after="0"/>
              <w:jc w:val="both"/>
              <w:rPr>
                <w:rFonts w:ascii="Times New Roman" w:hAnsi="Times New Roman" w:cs="Times New Roman"/>
                <w:b w:val="0"/>
                <w:color w:val="000000"/>
                <w:sz w:val="22"/>
                <w:szCs w:val="22"/>
              </w:rPr>
            </w:pPr>
          </w:p>
        </w:tc>
        <w:tc>
          <w:tcPr>
            <w:tcW w:w="1545" w:type="dxa"/>
          </w:tcPr>
          <w:p w:rsidRPr="00C242EC" w:rsidR="005E0448" w:rsidP="003E7A56" w:rsidRDefault="005E0448" w14:paraId="41D682E8" w14:textId="2E727243">
            <w:pPr>
              <w:jc w:val="both"/>
              <w:rPr>
                <w:color w:val="000000"/>
                <w:sz w:val="22"/>
                <w:szCs w:val="22"/>
              </w:rPr>
            </w:pPr>
          </w:p>
        </w:tc>
        <w:tc>
          <w:tcPr>
            <w:tcW w:w="4985" w:type="dxa"/>
          </w:tcPr>
          <w:p w:rsidRPr="00C242EC" w:rsidR="005E0448" w:rsidP="003E7A56" w:rsidRDefault="005E0448" w14:paraId="5D68CDC7" w14:textId="618B0CAF">
            <w:pPr>
              <w:jc w:val="both"/>
              <w:rPr>
                <w:bCs/>
                <w:color w:val="000000"/>
                <w:sz w:val="22"/>
                <w:szCs w:val="22"/>
              </w:rPr>
            </w:pPr>
          </w:p>
        </w:tc>
        <w:tc>
          <w:tcPr>
            <w:tcW w:w="930" w:type="dxa"/>
          </w:tcPr>
          <w:p w:rsidRPr="00C242EC" w:rsidR="005E0448" w:rsidP="003E7A56" w:rsidRDefault="005E0448" w14:paraId="18AB40C9" w14:textId="5A7900F2">
            <w:pPr>
              <w:jc w:val="both"/>
              <w:rPr>
                <w:bCs/>
                <w:color w:val="000000"/>
                <w:sz w:val="22"/>
                <w:szCs w:val="22"/>
              </w:rPr>
            </w:pPr>
          </w:p>
        </w:tc>
      </w:tr>
      <w:tr w:rsidRPr="00C242EC" w:rsidR="005E0448" w:rsidTr="003E7A56" w14:paraId="74E6A1B4" w14:textId="77777777">
        <w:trPr>
          <w:trHeight w:val="274"/>
        </w:trPr>
        <w:tc>
          <w:tcPr>
            <w:tcW w:w="1607" w:type="dxa"/>
          </w:tcPr>
          <w:p w:rsidRPr="00C242EC" w:rsidR="005E0448" w:rsidP="003E7A56" w:rsidRDefault="005E0448" w14:paraId="607B7039" w14:textId="77777777">
            <w:pPr>
              <w:ind w:left="-110" w:firstLine="110"/>
              <w:jc w:val="both"/>
              <w:rPr>
                <w:color w:val="000000"/>
                <w:sz w:val="22"/>
                <w:szCs w:val="22"/>
              </w:rPr>
            </w:pPr>
          </w:p>
        </w:tc>
        <w:tc>
          <w:tcPr>
            <w:tcW w:w="1545" w:type="dxa"/>
          </w:tcPr>
          <w:p w:rsidRPr="00C242EC" w:rsidR="005E0448" w:rsidP="003E7A56" w:rsidRDefault="005E0448" w14:paraId="7A8D203B" w14:textId="77777777">
            <w:pPr>
              <w:jc w:val="both"/>
              <w:rPr>
                <w:color w:val="000000"/>
                <w:sz w:val="22"/>
                <w:szCs w:val="22"/>
              </w:rPr>
            </w:pPr>
          </w:p>
        </w:tc>
        <w:tc>
          <w:tcPr>
            <w:tcW w:w="4985" w:type="dxa"/>
          </w:tcPr>
          <w:p w:rsidRPr="00C242EC" w:rsidR="005E0448" w:rsidP="003E7A56" w:rsidRDefault="005E0448" w14:paraId="131A7C5C" w14:textId="77777777">
            <w:pPr>
              <w:jc w:val="both"/>
              <w:rPr>
                <w:color w:val="000000"/>
                <w:sz w:val="22"/>
                <w:szCs w:val="22"/>
              </w:rPr>
            </w:pPr>
          </w:p>
        </w:tc>
        <w:tc>
          <w:tcPr>
            <w:tcW w:w="930" w:type="dxa"/>
          </w:tcPr>
          <w:p w:rsidRPr="00C242EC" w:rsidR="005E0448" w:rsidP="003E7A56" w:rsidRDefault="005E0448" w14:paraId="7A2191E3" w14:textId="77777777">
            <w:pPr>
              <w:jc w:val="both"/>
              <w:rPr>
                <w:color w:val="000000"/>
                <w:sz w:val="22"/>
                <w:szCs w:val="22"/>
              </w:rPr>
            </w:pPr>
          </w:p>
        </w:tc>
      </w:tr>
      <w:tr w:rsidRPr="00C242EC" w:rsidR="005E0448" w:rsidTr="003E7A56" w14:paraId="021A5843" w14:textId="77777777">
        <w:tc>
          <w:tcPr>
            <w:tcW w:w="1607" w:type="dxa"/>
          </w:tcPr>
          <w:p w:rsidRPr="00C242EC" w:rsidR="005E0448" w:rsidP="003E7A56" w:rsidRDefault="005E0448" w14:paraId="4ED67A7D" w14:textId="77777777">
            <w:pPr>
              <w:jc w:val="both"/>
              <w:rPr>
                <w:b/>
                <w:bCs/>
                <w:color w:val="000000"/>
                <w:sz w:val="22"/>
                <w:szCs w:val="22"/>
              </w:rPr>
            </w:pPr>
          </w:p>
        </w:tc>
        <w:tc>
          <w:tcPr>
            <w:tcW w:w="1545" w:type="dxa"/>
          </w:tcPr>
          <w:p w:rsidRPr="00C242EC" w:rsidR="005E0448" w:rsidP="003E7A56" w:rsidRDefault="005E0448" w14:paraId="1525F03E" w14:textId="77777777">
            <w:pPr>
              <w:jc w:val="both"/>
              <w:rPr>
                <w:b/>
                <w:bCs/>
                <w:color w:val="000000"/>
                <w:sz w:val="22"/>
                <w:szCs w:val="22"/>
              </w:rPr>
            </w:pPr>
          </w:p>
        </w:tc>
        <w:tc>
          <w:tcPr>
            <w:tcW w:w="4985" w:type="dxa"/>
          </w:tcPr>
          <w:p w:rsidRPr="00C242EC" w:rsidR="005E0448" w:rsidP="003E7A56" w:rsidRDefault="005E0448" w14:paraId="6B7E4467" w14:textId="77777777">
            <w:pPr>
              <w:jc w:val="both"/>
              <w:rPr>
                <w:bCs/>
                <w:color w:val="000000"/>
                <w:sz w:val="22"/>
                <w:szCs w:val="22"/>
              </w:rPr>
            </w:pPr>
          </w:p>
        </w:tc>
        <w:tc>
          <w:tcPr>
            <w:tcW w:w="930" w:type="dxa"/>
          </w:tcPr>
          <w:p w:rsidRPr="00C242EC" w:rsidR="005E0448" w:rsidP="003E7A56" w:rsidRDefault="005E0448" w14:paraId="66130100" w14:textId="77777777">
            <w:pPr>
              <w:jc w:val="both"/>
              <w:rPr>
                <w:bCs/>
                <w:color w:val="000000"/>
                <w:sz w:val="22"/>
                <w:szCs w:val="22"/>
              </w:rPr>
            </w:pPr>
          </w:p>
        </w:tc>
      </w:tr>
      <w:tr w:rsidRPr="00C242EC" w:rsidR="005E0448" w:rsidTr="003E7A56" w14:paraId="4DA22AC1" w14:textId="77777777">
        <w:tc>
          <w:tcPr>
            <w:tcW w:w="1607" w:type="dxa"/>
          </w:tcPr>
          <w:p w:rsidRPr="00C242EC" w:rsidR="005E0448" w:rsidP="003E7A56" w:rsidRDefault="005E0448" w14:paraId="47B8AE19" w14:textId="77777777">
            <w:pPr>
              <w:jc w:val="both"/>
              <w:rPr>
                <w:bCs/>
                <w:color w:val="000000"/>
                <w:sz w:val="22"/>
                <w:szCs w:val="22"/>
              </w:rPr>
            </w:pPr>
          </w:p>
        </w:tc>
        <w:tc>
          <w:tcPr>
            <w:tcW w:w="1545" w:type="dxa"/>
          </w:tcPr>
          <w:p w:rsidRPr="00C242EC" w:rsidR="005E0448" w:rsidP="003E7A56" w:rsidRDefault="005E0448" w14:paraId="12FBD1EC" w14:textId="77777777">
            <w:pPr>
              <w:jc w:val="both"/>
              <w:rPr>
                <w:bCs/>
                <w:color w:val="000000"/>
                <w:sz w:val="22"/>
                <w:szCs w:val="22"/>
              </w:rPr>
            </w:pPr>
          </w:p>
        </w:tc>
        <w:tc>
          <w:tcPr>
            <w:tcW w:w="4985" w:type="dxa"/>
          </w:tcPr>
          <w:p w:rsidRPr="00C242EC" w:rsidR="005E0448" w:rsidP="003E7A56" w:rsidRDefault="005E0448" w14:paraId="61B1173C" w14:textId="77777777">
            <w:pPr>
              <w:jc w:val="both"/>
              <w:rPr>
                <w:bCs/>
                <w:color w:val="000000"/>
                <w:sz w:val="22"/>
                <w:szCs w:val="22"/>
              </w:rPr>
            </w:pPr>
          </w:p>
        </w:tc>
        <w:tc>
          <w:tcPr>
            <w:tcW w:w="930" w:type="dxa"/>
          </w:tcPr>
          <w:p w:rsidRPr="00C242EC" w:rsidR="005E0448" w:rsidP="003E7A56" w:rsidRDefault="005E0448" w14:paraId="61D54418" w14:textId="77777777">
            <w:pPr>
              <w:jc w:val="both"/>
              <w:rPr>
                <w:bCs/>
                <w:color w:val="000000"/>
                <w:sz w:val="22"/>
                <w:szCs w:val="22"/>
              </w:rPr>
            </w:pPr>
          </w:p>
        </w:tc>
      </w:tr>
    </w:tbl>
    <w:p w:rsidRPr="00C242EC" w:rsidR="00CB1063" w:rsidRDefault="00CB1063" w14:paraId="614F0661" w14:textId="77777777">
      <w:pPr>
        <w:pStyle w:val="Header"/>
        <w:jc w:val="center"/>
      </w:pPr>
    </w:p>
    <w:p w:rsidRPr="00C242EC" w:rsidR="006D7551" w:rsidRDefault="006D7551" w14:paraId="2FB49008" w14:textId="77777777">
      <w:pPr>
        <w:jc w:val="both"/>
      </w:pPr>
    </w:p>
    <w:p w:rsidRPr="00C242EC" w:rsidR="006D7551" w:rsidRDefault="006D7551" w14:paraId="3D063FC0" w14:textId="77777777">
      <w:pPr>
        <w:pStyle w:val="BodyText"/>
        <w:jc w:val="center"/>
        <w:rPr>
          <w:b/>
          <w:sz w:val="28"/>
          <w:u w:val="single"/>
        </w:rPr>
      </w:pPr>
    </w:p>
    <w:p w:rsidRPr="00C242EC" w:rsidR="006A04B2" w:rsidP="006A04B2" w:rsidRDefault="006A04B2" w14:paraId="33C86F1C" w14:textId="77777777">
      <w:pPr>
        <w:pStyle w:val="MessageHeader"/>
        <w:tabs>
          <w:tab w:val="clear" w:pos="720"/>
          <w:tab w:val="clear" w:pos="4320"/>
          <w:tab w:val="clear" w:pos="5040"/>
          <w:tab w:val="clear" w:pos="8640"/>
          <w:tab w:val="right" w:pos="9000"/>
        </w:tabs>
        <w:spacing w:after="0" w:line="360" w:lineRule="auto"/>
        <w:ind w:left="-360" w:right="-364" w:firstLine="0"/>
        <w:rPr>
          <w:rFonts w:ascii="Times New Roman" w:hAnsi="Times New Roman"/>
          <w:b/>
          <w:sz w:val="28"/>
          <w:u w:val="single"/>
        </w:rPr>
      </w:pPr>
      <w:r w:rsidRPr="00C242EC">
        <w:rPr>
          <w:rFonts w:ascii="Times New Roman" w:hAnsi="Times New Roman"/>
          <w:b/>
          <w:sz w:val="28"/>
          <w:u w:val="single"/>
        </w:rPr>
        <w:br w:type="page"/>
      </w:r>
    </w:p>
    <w:p w:rsidRPr="00C242EC" w:rsidR="00924710" w:rsidP="006A04B2" w:rsidRDefault="00924710" w14:paraId="2B5B4E27" w14:textId="77777777">
      <w:pPr>
        <w:pStyle w:val="MessageHeader"/>
        <w:tabs>
          <w:tab w:val="clear" w:pos="720"/>
          <w:tab w:val="clear" w:pos="4320"/>
          <w:tab w:val="clear" w:pos="5040"/>
          <w:tab w:val="clear" w:pos="8640"/>
          <w:tab w:val="right" w:pos="9000"/>
        </w:tabs>
        <w:spacing w:after="0" w:line="360" w:lineRule="auto"/>
        <w:ind w:left="-360" w:right="-364" w:firstLine="0"/>
        <w:rPr>
          <w:rFonts w:ascii="Times New Roman" w:hAnsi="Times New Roman"/>
          <w:b/>
          <w:sz w:val="28"/>
          <w:u w:val="single"/>
        </w:rPr>
      </w:pPr>
    </w:p>
    <w:p w:rsidRPr="00C242EC" w:rsidR="00924710" w:rsidP="006A04B2" w:rsidRDefault="00924710" w14:paraId="68D204DC" w14:textId="77777777">
      <w:pPr>
        <w:pStyle w:val="MessageHeader"/>
        <w:tabs>
          <w:tab w:val="clear" w:pos="720"/>
          <w:tab w:val="clear" w:pos="4320"/>
          <w:tab w:val="clear" w:pos="5040"/>
          <w:tab w:val="clear" w:pos="8640"/>
          <w:tab w:val="right" w:pos="9000"/>
        </w:tabs>
        <w:spacing w:after="0" w:line="360" w:lineRule="auto"/>
        <w:ind w:left="-360" w:right="-364" w:firstLine="0"/>
        <w:rPr>
          <w:rFonts w:ascii="Times New Roman" w:hAnsi="Times New Roman"/>
          <w:b/>
        </w:rPr>
      </w:pPr>
    </w:p>
    <w:p w:rsidR="00C242EC" w:rsidP="7996ECAC" w:rsidRDefault="00C242EC" w14:paraId="71E28849" w14:textId="77777777">
      <w:pPr>
        <w:pStyle w:val="BodyText"/>
        <w:jc w:val="both"/>
        <w:rPr>
          <w:b/>
          <w:bCs/>
          <w:sz w:val="28"/>
          <w:szCs w:val="28"/>
          <w:u w:val="single"/>
        </w:rPr>
      </w:pPr>
    </w:p>
    <w:tbl>
      <w:tblPr>
        <w:tblpPr w:leftFromText="180" w:rightFromText="180" w:vertAnchor="page" w:horzAnchor="margin" w:tblpY="3577"/>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495"/>
        <w:gridCol w:w="2353"/>
      </w:tblGrid>
      <w:tr w:rsidRPr="00C242EC" w:rsidR="00AD6F5E" w:rsidTr="00AD6F5E" w14:paraId="6B97C4A0" w14:textId="77777777">
        <w:tc>
          <w:tcPr>
            <w:tcW w:w="5495" w:type="dxa"/>
          </w:tcPr>
          <w:p w:rsidRPr="00C242EC" w:rsidR="00AD6F5E" w:rsidP="00AD6F5E" w:rsidRDefault="00AD6F5E" w14:paraId="43215739" w14:textId="77777777">
            <w:pPr>
              <w:spacing w:before="60" w:after="60"/>
              <w:jc w:val="center"/>
              <w:rPr>
                <w:b/>
                <w:bCs/>
                <w:color w:val="000000"/>
                <w:sz w:val="22"/>
                <w:szCs w:val="22"/>
              </w:rPr>
            </w:pPr>
            <w:r w:rsidRPr="00C242EC">
              <w:rPr>
                <w:b/>
                <w:bCs/>
                <w:color w:val="000000"/>
                <w:sz w:val="22"/>
                <w:szCs w:val="22"/>
              </w:rPr>
              <w:t>Table of Contents</w:t>
            </w:r>
          </w:p>
          <w:p w:rsidRPr="00C242EC" w:rsidR="00AD6F5E" w:rsidP="00AD6F5E" w:rsidRDefault="00AD6F5E" w14:paraId="711BEBD6" w14:textId="77777777">
            <w:pPr>
              <w:spacing w:before="60" w:after="60"/>
              <w:jc w:val="center"/>
              <w:rPr>
                <w:bCs/>
                <w:color w:val="000000"/>
                <w:sz w:val="22"/>
                <w:szCs w:val="22"/>
              </w:rPr>
            </w:pPr>
          </w:p>
        </w:tc>
        <w:tc>
          <w:tcPr>
            <w:tcW w:w="2353" w:type="dxa"/>
          </w:tcPr>
          <w:p w:rsidRPr="00C242EC" w:rsidR="00AD6F5E" w:rsidP="00AD6F5E" w:rsidRDefault="00AD6F5E" w14:paraId="5733718B" w14:textId="77777777">
            <w:pPr>
              <w:spacing w:before="60" w:after="60"/>
              <w:jc w:val="center"/>
              <w:rPr>
                <w:b/>
                <w:bCs/>
                <w:color w:val="000000"/>
                <w:sz w:val="22"/>
                <w:szCs w:val="22"/>
              </w:rPr>
            </w:pPr>
            <w:r w:rsidRPr="00C242EC">
              <w:rPr>
                <w:b/>
                <w:bCs/>
                <w:color w:val="000000"/>
                <w:sz w:val="22"/>
                <w:szCs w:val="22"/>
              </w:rPr>
              <w:t>Page</w:t>
            </w:r>
          </w:p>
        </w:tc>
      </w:tr>
      <w:tr w:rsidRPr="00C242EC" w:rsidR="00AD6F5E" w:rsidTr="00AD6F5E" w14:paraId="035DAD2B" w14:textId="77777777">
        <w:tc>
          <w:tcPr>
            <w:tcW w:w="5495" w:type="dxa"/>
          </w:tcPr>
          <w:p w:rsidRPr="00C242EC" w:rsidR="00AD6F5E" w:rsidP="00AD6F5E" w:rsidRDefault="00AD6F5E" w14:paraId="385F13E1" w14:textId="77777777">
            <w:pPr>
              <w:spacing w:before="60" w:after="60"/>
              <w:rPr>
                <w:bCs/>
                <w:color w:val="000000"/>
                <w:sz w:val="22"/>
                <w:szCs w:val="22"/>
              </w:rPr>
            </w:pPr>
            <w:r w:rsidRPr="00C242EC">
              <w:rPr>
                <w:bCs/>
                <w:color w:val="000000"/>
                <w:sz w:val="22"/>
                <w:szCs w:val="22"/>
              </w:rPr>
              <w:t>1. Purpose</w:t>
            </w:r>
          </w:p>
        </w:tc>
        <w:tc>
          <w:tcPr>
            <w:tcW w:w="2353" w:type="dxa"/>
          </w:tcPr>
          <w:p w:rsidRPr="00C242EC" w:rsidR="00AD6F5E" w:rsidP="00AD6F5E" w:rsidRDefault="00AD6F5E" w14:paraId="328A6BFE" w14:textId="77777777">
            <w:pPr>
              <w:spacing w:before="60" w:after="60"/>
              <w:jc w:val="center"/>
              <w:rPr>
                <w:bCs/>
                <w:color w:val="000000"/>
                <w:sz w:val="22"/>
                <w:szCs w:val="22"/>
              </w:rPr>
            </w:pPr>
            <w:r w:rsidRPr="00C242EC">
              <w:rPr>
                <w:bCs/>
                <w:color w:val="000000"/>
                <w:sz w:val="22"/>
                <w:szCs w:val="22"/>
              </w:rPr>
              <w:t>3</w:t>
            </w:r>
          </w:p>
        </w:tc>
      </w:tr>
      <w:tr w:rsidRPr="00C242EC" w:rsidR="00AD6F5E" w:rsidTr="00AD6F5E" w14:paraId="7CD6F588" w14:textId="77777777">
        <w:tc>
          <w:tcPr>
            <w:tcW w:w="5495" w:type="dxa"/>
          </w:tcPr>
          <w:p w:rsidRPr="00C242EC" w:rsidR="00AD6F5E" w:rsidP="00AD6F5E" w:rsidRDefault="00AD6F5E" w14:paraId="3BC8FF72" w14:textId="77777777">
            <w:pPr>
              <w:spacing w:before="60" w:after="60"/>
              <w:rPr>
                <w:bCs/>
                <w:color w:val="000000"/>
                <w:sz w:val="22"/>
                <w:szCs w:val="22"/>
              </w:rPr>
            </w:pPr>
            <w:r w:rsidRPr="00C242EC">
              <w:rPr>
                <w:bCs/>
                <w:color w:val="000000"/>
                <w:sz w:val="22"/>
                <w:szCs w:val="22"/>
              </w:rPr>
              <w:t>2. Policy Statement</w:t>
            </w:r>
          </w:p>
        </w:tc>
        <w:tc>
          <w:tcPr>
            <w:tcW w:w="2353" w:type="dxa"/>
          </w:tcPr>
          <w:p w:rsidRPr="00C242EC" w:rsidR="00AD6F5E" w:rsidDel="00F96E66" w:rsidP="00AD6F5E" w:rsidRDefault="00AD6F5E" w14:paraId="28FC946E" w14:textId="77777777">
            <w:pPr>
              <w:spacing w:before="60" w:after="60"/>
              <w:jc w:val="center"/>
              <w:rPr>
                <w:bCs/>
                <w:color w:val="000000"/>
                <w:sz w:val="22"/>
                <w:szCs w:val="22"/>
              </w:rPr>
            </w:pPr>
            <w:r w:rsidRPr="00C242EC">
              <w:rPr>
                <w:bCs/>
                <w:color w:val="000000"/>
                <w:sz w:val="22"/>
                <w:szCs w:val="22"/>
              </w:rPr>
              <w:t>3</w:t>
            </w:r>
          </w:p>
        </w:tc>
      </w:tr>
      <w:tr w:rsidRPr="00C242EC" w:rsidR="00AD6F5E" w:rsidTr="00AD6F5E" w14:paraId="763E0234" w14:textId="77777777">
        <w:tc>
          <w:tcPr>
            <w:tcW w:w="5495" w:type="dxa"/>
          </w:tcPr>
          <w:p w:rsidRPr="00C242EC" w:rsidR="00AD6F5E" w:rsidP="00AD6F5E" w:rsidRDefault="00AD6F5E" w14:paraId="5D965DBD" w14:textId="77777777">
            <w:pPr>
              <w:spacing w:before="60" w:after="60"/>
              <w:rPr>
                <w:bCs/>
                <w:color w:val="000000"/>
                <w:sz w:val="22"/>
                <w:szCs w:val="22"/>
              </w:rPr>
            </w:pPr>
            <w:r w:rsidRPr="00C242EC">
              <w:rPr>
                <w:bCs/>
                <w:color w:val="000000"/>
                <w:sz w:val="22"/>
                <w:szCs w:val="22"/>
              </w:rPr>
              <w:t>3. Background</w:t>
            </w:r>
          </w:p>
        </w:tc>
        <w:tc>
          <w:tcPr>
            <w:tcW w:w="2353" w:type="dxa"/>
          </w:tcPr>
          <w:p w:rsidRPr="00C242EC" w:rsidR="00AD6F5E" w:rsidP="00AD6F5E" w:rsidRDefault="00AD6F5E" w14:paraId="6C96F4E6" w14:textId="77777777">
            <w:pPr>
              <w:spacing w:before="60" w:after="60"/>
              <w:jc w:val="center"/>
              <w:rPr>
                <w:bCs/>
                <w:color w:val="000000"/>
                <w:sz w:val="22"/>
                <w:szCs w:val="22"/>
              </w:rPr>
            </w:pPr>
            <w:r w:rsidRPr="00C242EC">
              <w:rPr>
                <w:bCs/>
                <w:color w:val="000000"/>
                <w:sz w:val="22"/>
                <w:szCs w:val="22"/>
              </w:rPr>
              <w:t>3</w:t>
            </w:r>
          </w:p>
        </w:tc>
      </w:tr>
      <w:tr w:rsidRPr="00C242EC" w:rsidR="00AD6F5E" w:rsidTr="00AD6F5E" w14:paraId="1BE234E6" w14:textId="77777777">
        <w:tc>
          <w:tcPr>
            <w:tcW w:w="5495" w:type="dxa"/>
          </w:tcPr>
          <w:p w:rsidRPr="00C242EC" w:rsidR="00AD6F5E" w:rsidP="00AD6F5E" w:rsidRDefault="00AD6F5E" w14:paraId="43E77F66" w14:textId="77777777">
            <w:pPr>
              <w:spacing w:before="60" w:after="60"/>
              <w:rPr>
                <w:bCs/>
                <w:color w:val="000000"/>
                <w:sz w:val="22"/>
                <w:szCs w:val="22"/>
              </w:rPr>
            </w:pPr>
            <w:r w:rsidRPr="00C242EC">
              <w:rPr>
                <w:bCs/>
                <w:color w:val="000000"/>
                <w:sz w:val="22"/>
                <w:szCs w:val="22"/>
              </w:rPr>
              <w:t>4. Scope</w:t>
            </w:r>
          </w:p>
        </w:tc>
        <w:tc>
          <w:tcPr>
            <w:tcW w:w="2353" w:type="dxa"/>
          </w:tcPr>
          <w:p w:rsidRPr="00C242EC" w:rsidR="00AD6F5E" w:rsidDel="00F96E66" w:rsidP="00AD6F5E" w:rsidRDefault="00AD6F5E" w14:paraId="230F454C" w14:textId="77777777">
            <w:pPr>
              <w:spacing w:before="60" w:after="60"/>
              <w:jc w:val="center"/>
              <w:rPr>
                <w:bCs/>
                <w:color w:val="000000"/>
                <w:sz w:val="22"/>
                <w:szCs w:val="22"/>
              </w:rPr>
            </w:pPr>
            <w:r w:rsidRPr="00C242EC">
              <w:rPr>
                <w:bCs/>
                <w:color w:val="000000"/>
                <w:sz w:val="22"/>
                <w:szCs w:val="22"/>
              </w:rPr>
              <w:t>3</w:t>
            </w:r>
          </w:p>
        </w:tc>
      </w:tr>
      <w:tr w:rsidRPr="00C242EC" w:rsidR="00AD6F5E" w:rsidTr="00AD6F5E" w14:paraId="5704C6B4" w14:textId="77777777">
        <w:tc>
          <w:tcPr>
            <w:tcW w:w="5495" w:type="dxa"/>
          </w:tcPr>
          <w:p w:rsidRPr="00C242EC" w:rsidR="00AD6F5E" w:rsidP="00AD6F5E" w:rsidRDefault="00AD6F5E" w14:paraId="50142F8C" w14:textId="77777777">
            <w:pPr>
              <w:spacing w:before="60" w:after="60"/>
              <w:rPr>
                <w:bCs/>
                <w:color w:val="000000"/>
                <w:sz w:val="22"/>
                <w:szCs w:val="22"/>
              </w:rPr>
            </w:pPr>
            <w:r w:rsidRPr="00C242EC">
              <w:rPr>
                <w:bCs/>
                <w:color w:val="000000"/>
                <w:sz w:val="22"/>
                <w:szCs w:val="22"/>
              </w:rPr>
              <w:t>5. Responsibilities</w:t>
            </w:r>
          </w:p>
        </w:tc>
        <w:tc>
          <w:tcPr>
            <w:tcW w:w="2353" w:type="dxa"/>
          </w:tcPr>
          <w:p w:rsidRPr="00C242EC" w:rsidR="00AD6F5E" w:rsidDel="00F96E66" w:rsidP="00AD6F5E" w:rsidRDefault="00AD6F5E" w14:paraId="3170FF74" w14:textId="77777777">
            <w:pPr>
              <w:spacing w:before="60" w:after="60"/>
              <w:jc w:val="center"/>
              <w:rPr>
                <w:bCs/>
                <w:color w:val="000000"/>
                <w:sz w:val="22"/>
                <w:szCs w:val="22"/>
              </w:rPr>
            </w:pPr>
            <w:r w:rsidRPr="00C242EC">
              <w:rPr>
                <w:bCs/>
                <w:color w:val="000000"/>
                <w:sz w:val="22"/>
                <w:szCs w:val="22"/>
              </w:rPr>
              <w:t>3</w:t>
            </w:r>
          </w:p>
        </w:tc>
      </w:tr>
      <w:tr w:rsidRPr="00C242EC" w:rsidR="00AD6F5E" w:rsidTr="00AD6F5E" w14:paraId="37C52CE2" w14:textId="77777777">
        <w:tc>
          <w:tcPr>
            <w:tcW w:w="5495" w:type="dxa"/>
          </w:tcPr>
          <w:p w:rsidRPr="00C242EC" w:rsidR="00AD6F5E" w:rsidP="00AD6F5E" w:rsidRDefault="00AD6F5E" w14:paraId="6D47BEC1" w14:textId="77777777">
            <w:pPr>
              <w:spacing w:before="60" w:after="60"/>
              <w:rPr>
                <w:bCs/>
                <w:color w:val="000000"/>
                <w:sz w:val="22"/>
                <w:szCs w:val="22"/>
              </w:rPr>
            </w:pPr>
            <w:r w:rsidRPr="00C242EC">
              <w:rPr>
                <w:color w:val="000000"/>
                <w:sz w:val="22"/>
                <w:szCs w:val="22"/>
              </w:rPr>
              <w:t>6</w:t>
            </w:r>
            <w:r w:rsidRPr="00C242EC">
              <w:rPr>
                <w:bCs/>
                <w:color w:val="000000"/>
                <w:sz w:val="22"/>
                <w:szCs w:val="22"/>
              </w:rPr>
              <w:t>. Procedure</w:t>
            </w:r>
          </w:p>
        </w:tc>
        <w:tc>
          <w:tcPr>
            <w:tcW w:w="2353" w:type="dxa"/>
          </w:tcPr>
          <w:p w:rsidRPr="00C242EC" w:rsidR="00AD6F5E" w:rsidP="00AD6F5E" w:rsidRDefault="00AD6F5E" w14:paraId="746DEA5F" w14:textId="77777777">
            <w:pPr>
              <w:spacing w:before="60" w:after="60"/>
              <w:jc w:val="center"/>
              <w:rPr>
                <w:bCs/>
                <w:color w:val="000000"/>
                <w:sz w:val="22"/>
                <w:szCs w:val="22"/>
              </w:rPr>
            </w:pPr>
            <w:r w:rsidRPr="00C242EC">
              <w:rPr>
                <w:bCs/>
                <w:color w:val="000000"/>
                <w:sz w:val="22"/>
                <w:szCs w:val="22"/>
              </w:rPr>
              <w:t>4</w:t>
            </w:r>
          </w:p>
        </w:tc>
      </w:tr>
      <w:tr w:rsidRPr="00C242EC" w:rsidR="00AD6F5E" w:rsidTr="00AD6F5E" w14:paraId="282F46CF" w14:textId="77777777">
        <w:tc>
          <w:tcPr>
            <w:tcW w:w="5495" w:type="dxa"/>
          </w:tcPr>
          <w:p w:rsidRPr="00C242EC" w:rsidR="00AD6F5E" w:rsidP="00AD6F5E" w:rsidRDefault="00AD6F5E" w14:paraId="2257A302" w14:textId="77777777">
            <w:pPr>
              <w:spacing w:before="60" w:after="60"/>
              <w:rPr>
                <w:bCs/>
                <w:color w:val="000000"/>
                <w:sz w:val="22"/>
                <w:szCs w:val="22"/>
              </w:rPr>
            </w:pPr>
            <w:r w:rsidRPr="00C242EC">
              <w:rPr>
                <w:bCs/>
                <w:color w:val="000000"/>
                <w:sz w:val="22"/>
                <w:szCs w:val="22"/>
              </w:rPr>
              <w:t>7. Training</w:t>
            </w:r>
          </w:p>
        </w:tc>
        <w:tc>
          <w:tcPr>
            <w:tcW w:w="2353" w:type="dxa"/>
          </w:tcPr>
          <w:p w:rsidRPr="00C242EC" w:rsidR="00AD6F5E" w:rsidDel="00F96E66" w:rsidP="00AD6F5E" w:rsidRDefault="00AD6F5E" w14:paraId="17155374" w14:textId="77777777">
            <w:pPr>
              <w:spacing w:before="60" w:after="60"/>
              <w:jc w:val="center"/>
              <w:rPr>
                <w:bCs/>
                <w:color w:val="000000"/>
                <w:sz w:val="22"/>
                <w:szCs w:val="22"/>
              </w:rPr>
            </w:pPr>
            <w:r w:rsidRPr="00C242EC">
              <w:rPr>
                <w:bCs/>
                <w:color w:val="000000"/>
                <w:sz w:val="22"/>
                <w:szCs w:val="22"/>
              </w:rPr>
              <w:t>5</w:t>
            </w:r>
          </w:p>
        </w:tc>
      </w:tr>
      <w:tr w:rsidRPr="00C242EC" w:rsidR="00AD6F5E" w:rsidTr="00AD6F5E" w14:paraId="25397644" w14:textId="77777777">
        <w:tc>
          <w:tcPr>
            <w:tcW w:w="5495" w:type="dxa"/>
          </w:tcPr>
          <w:p w:rsidRPr="00C242EC" w:rsidR="00AD6F5E" w:rsidP="00AD6F5E" w:rsidRDefault="00AD6F5E" w14:paraId="38BC397C" w14:textId="77777777">
            <w:pPr>
              <w:spacing w:before="60" w:after="60"/>
              <w:rPr>
                <w:bCs/>
                <w:color w:val="000000"/>
                <w:sz w:val="22"/>
                <w:szCs w:val="22"/>
              </w:rPr>
            </w:pPr>
            <w:r w:rsidRPr="00C242EC">
              <w:rPr>
                <w:bCs/>
                <w:color w:val="000000"/>
                <w:sz w:val="22"/>
                <w:szCs w:val="22"/>
              </w:rPr>
              <w:t>8. References</w:t>
            </w:r>
          </w:p>
        </w:tc>
        <w:tc>
          <w:tcPr>
            <w:tcW w:w="2353" w:type="dxa"/>
          </w:tcPr>
          <w:p w:rsidRPr="00C242EC" w:rsidR="00AD6F5E" w:rsidP="00AD6F5E" w:rsidRDefault="00AD6F5E" w14:paraId="27F60C0F" w14:textId="77777777">
            <w:pPr>
              <w:spacing w:before="60" w:after="60"/>
              <w:jc w:val="center"/>
              <w:rPr>
                <w:bCs/>
                <w:color w:val="000000"/>
                <w:sz w:val="22"/>
                <w:szCs w:val="22"/>
              </w:rPr>
            </w:pPr>
            <w:r w:rsidRPr="00C242EC">
              <w:rPr>
                <w:bCs/>
                <w:color w:val="000000"/>
                <w:sz w:val="22"/>
                <w:szCs w:val="22"/>
              </w:rPr>
              <w:t>5</w:t>
            </w:r>
          </w:p>
        </w:tc>
      </w:tr>
    </w:tbl>
    <w:p w:rsidRPr="00C242EC" w:rsidR="006D7551" w:rsidP="7996ECAC" w:rsidRDefault="006A04B2" w14:paraId="76633CAC" w14:textId="2FCD4BD2">
      <w:pPr>
        <w:pStyle w:val="BodyText"/>
        <w:jc w:val="both"/>
        <w:rPr>
          <w:b/>
          <w:bCs/>
        </w:rPr>
      </w:pPr>
      <w:r w:rsidRPr="00C242EC">
        <w:br w:type="page"/>
      </w:r>
      <w:bookmarkStart w:name="_1._PURPOSE" w:id="1"/>
      <w:bookmarkEnd w:id="1"/>
      <w:r w:rsidRPr="00C242EC" w:rsidR="00EC7B4A">
        <w:rPr>
          <w:b/>
          <w:bCs/>
        </w:rPr>
        <w:t>1</w:t>
      </w:r>
      <w:r w:rsidRPr="00C242EC" w:rsidR="007A2D53">
        <w:rPr>
          <w:b/>
          <w:bCs/>
        </w:rPr>
        <w:t>.</w:t>
      </w:r>
      <w:r w:rsidRPr="00C242EC" w:rsidR="006D7551">
        <w:rPr>
          <w:b/>
          <w:bCs/>
        </w:rPr>
        <w:t>PURPOSE</w:t>
      </w:r>
      <w:r w:rsidRPr="00C242EC" w:rsidR="00E95037">
        <w:rPr>
          <w:b/>
          <w:bCs/>
        </w:rPr>
        <w:t xml:space="preserve"> </w:t>
      </w:r>
    </w:p>
    <w:p w:rsidRPr="00C242EC" w:rsidR="00E95037" w:rsidP="00B34AAA" w:rsidRDefault="00F50057" w14:paraId="2E2F2B5E" w14:textId="2EB1FF40">
      <w:pPr>
        <w:rPr>
          <w:sz w:val="22"/>
          <w:szCs w:val="22"/>
        </w:rPr>
      </w:pPr>
      <w:r w:rsidRPr="00C242EC">
        <w:rPr>
          <w:sz w:val="22"/>
          <w:szCs w:val="22"/>
        </w:rPr>
        <w:t>This document</w:t>
      </w:r>
      <w:r w:rsidRPr="00C242EC" w:rsidR="00B34AAA">
        <w:rPr>
          <w:sz w:val="22"/>
          <w:szCs w:val="22"/>
        </w:rPr>
        <w:t xml:space="preserve"> outlines the process </w:t>
      </w:r>
      <w:r w:rsidRPr="00C242EC" w:rsidR="006A2E04">
        <w:rPr>
          <w:sz w:val="22"/>
          <w:szCs w:val="22"/>
        </w:rPr>
        <w:t>of patient withdrawal following study enrolment fo</w:t>
      </w:r>
      <w:r w:rsidRPr="00C242EC" w:rsidR="002E0995">
        <w:rPr>
          <w:sz w:val="22"/>
          <w:szCs w:val="22"/>
        </w:rPr>
        <w:t xml:space="preserve">r </w:t>
      </w:r>
      <w:r w:rsidRPr="00C242EC" w:rsidR="006A2E04">
        <w:rPr>
          <w:sz w:val="22"/>
          <w:szCs w:val="22"/>
        </w:rPr>
        <w:t xml:space="preserve">the </w:t>
      </w:r>
      <w:r w:rsidRPr="00C242EC" w:rsidR="00EB7B4F">
        <w:rPr>
          <w:sz w:val="22"/>
          <w:szCs w:val="22"/>
        </w:rPr>
        <w:t>RMC tria</w:t>
      </w:r>
      <w:r w:rsidRPr="00C242EC" w:rsidR="001F2A16">
        <w:rPr>
          <w:sz w:val="22"/>
          <w:szCs w:val="22"/>
        </w:rPr>
        <w:t>l</w:t>
      </w:r>
    </w:p>
    <w:p w:rsidRPr="00C242EC" w:rsidR="006D7551" w:rsidP="00B34AAA" w:rsidRDefault="006D7551" w14:paraId="629F7D01" w14:textId="77777777">
      <w:pPr>
        <w:rPr>
          <w:b/>
          <w:sz w:val="20"/>
          <w:szCs w:val="20"/>
        </w:rPr>
      </w:pPr>
      <w:r w:rsidRPr="00C242EC">
        <w:rPr>
          <w:b/>
          <w:sz w:val="20"/>
          <w:szCs w:val="20"/>
        </w:rPr>
        <w:tab/>
      </w:r>
      <w:r w:rsidRPr="00C242EC">
        <w:rPr>
          <w:b/>
          <w:sz w:val="20"/>
          <w:szCs w:val="20"/>
        </w:rPr>
        <w:tab/>
      </w:r>
      <w:r w:rsidRPr="00C242EC">
        <w:rPr>
          <w:b/>
          <w:sz w:val="20"/>
          <w:szCs w:val="20"/>
        </w:rPr>
        <w:tab/>
      </w:r>
      <w:r w:rsidRPr="00C242EC">
        <w:rPr>
          <w:b/>
          <w:sz w:val="20"/>
          <w:szCs w:val="20"/>
        </w:rPr>
        <w:tab/>
      </w:r>
    </w:p>
    <w:p w:rsidRPr="00C242EC" w:rsidR="006D7551" w:rsidP="00B34AAA" w:rsidRDefault="001F2A16" w14:paraId="1B8B709F" w14:textId="4118F100">
      <w:pPr>
        <w:pStyle w:val="Heading3"/>
        <w:spacing w:before="0" w:after="120"/>
        <w:rPr>
          <w:rFonts w:ascii="Times New Roman" w:hAnsi="Times New Roman" w:cs="Times New Roman"/>
          <w:caps/>
          <w:sz w:val="24"/>
          <w:szCs w:val="22"/>
        </w:rPr>
      </w:pPr>
      <w:bookmarkStart w:name="_2._INTRODUCTION" w:id="2"/>
      <w:bookmarkEnd w:id="2"/>
      <w:r w:rsidRPr="00C242EC">
        <w:rPr>
          <w:rFonts w:ascii="Times New Roman" w:hAnsi="Times New Roman" w:cs="Times New Roman"/>
          <w:sz w:val="24"/>
          <w:szCs w:val="22"/>
        </w:rPr>
        <w:t>2</w:t>
      </w:r>
      <w:r w:rsidRPr="00C242EC" w:rsidR="00BE61FE">
        <w:rPr>
          <w:rFonts w:ascii="Times New Roman" w:hAnsi="Times New Roman" w:cs="Times New Roman"/>
          <w:sz w:val="24"/>
          <w:szCs w:val="22"/>
        </w:rPr>
        <w:t>.</w:t>
      </w:r>
      <w:r w:rsidRPr="00C242EC" w:rsidR="0020184D">
        <w:rPr>
          <w:rFonts w:ascii="Times New Roman" w:hAnsi="Times New Roman" w:cs="Times New Roman"/>
          <w:sz w:val="24"/>
          <w:szCs w:val="22"/>
        </w:rPr>
        <w:tab/>
      </w:r>
      <w:r w:rsidRPr="00C242EC" w:rsidR="00F96E66">
        <w:rPr>
          <w:rFonts w:ascii="Times New Roman" w:hAnsi="Times New Roman" w:cs="Times New Roman"/>
          <w:caps/>
          <w:sz w:val="24"/>
          <w:szCs w:val="22"/>
        </w:rPr>
        <w:t>Background</w:t>
      </w:r>
    </w:p>
    <w:p w:rsidRPr="00C242EC" w:rsidR="001F2A16" w:rsidP="001F2A16" w:rsidRDefault="001F2A16" w14:paraId="109644D7" w14:textId="77777777">
      <w:pPr>
        <w:spacing w:after="160" w:line="360" w:lineRule="auto"/>
        <w:ind w:right="-165"/>
        <w:jc w:val="both"/>
        <w:rPr>
          <w:color w:val="000000" w:themeColor="text1"/>
        </w:rPr>
      </w:pPr>
      <w:r w:rsidRPr="00C242EC">
        <w:rPr>
          <w:color w:val="000000" w:themeColor="text1"/>
          <w:lang w:val="en-IN"/>
        </w:rPr>
        <w:t xml:space="preserve">Current WHOMDT does not kill 100% bacteria even after a full course of treatment in a subset of patients </w:t>
      </w:r>
      <w:proofErr w:type="spellStart"/>
      <w:r w:rsidRPr="00C242EC">
        <w:rPr>
          <w:color w:val="000000" w:themeColor="text1"/>
          <w:lang w:val="en-IN"/>
        </w:rPr>
        <w:t>harboring</w:t>
      </w:r>
      <w:proofErr w:type="spellEnd"/>
      <w:r w:rsidRPr="00C242EC">
        <w:rPr>
          <w:color w:val="000000" w:themeColor="text1"/>
          <w:lang w:val="en-IN"/>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rsidRPr="00C242EC" w:rsidR="001F2A16" w:rsidP="001F2A16" w:rsidRDefault="001F2A16" w14:paraId="74FFB381" w14:textId="2A9BEE48">
      <w:pPr>
        <w:spacing w:after="160" w:line="360" w:lineRule="auto"/>
        <w:ind w:right="-165"/>
        <w:jc w:val="both"/>
      </w:pPr>
      <w:r w:rsidRPr="00C242EC">
        <w:rPr>
          <w:color w:val="000000" w:themeColor="text1"/>
        </w:rPr>
        <w:t xml:space="preserve">In this study, we propose to conduct </w:t>
      </w:r>
      <w:r w:rsidRPr="00C242EC">
        <w:rPr>
          <w:color w:val="212529"/>
        </w:rPr>
        <w:t xml:space="preserve">a Randomized Controlled study comparing WHO MBMDT with a monthly regime consisting of currently most bactericidal and safe drugs of Rifampicin, Moxifloxacin and Clarithromycin in MB leprosy patients. </w:t>
      </w:r>
    </w:p>
    <w:p w:rsidRPr="00C242EC" w:rsidR="004A4226" w:rsidP="00B34AAA" w:rsidRDefault="004A4226" w14:paraId="52F4DD9D" w14:textId="77777777">
      <w:pPr>
        <w:pStyle w:val="BodyText2"/>
        <w:jc w:val="left"/>
        <w:rPr>
          <w:rFonts w:ascii="Times New Roman" w:hAnsi="Times New Roman" w:cs="Times New Roman"/>
          <w:sz w:val="22"/>
          <w:szCs w:val="22"/>
        </w:rPr>
      </w:pPr>
    </w:p>
    <w:p w:rsidRPr="00C242EC" w:rsidR="00924710" w:rsidP="00B34AAA" w:rsidRDefault="001F2A16" w14:paraId="16E6BA10" w14:textId="1847B285">
      <w:pPr>
        <w:spacing w:after="120"/>
        <w:rPr>
          <w:b/>
          <w:caps/>
        </w:rPr>
      </w:pPr>
      <w:r w:rsidRPr="00C242EC">
        <w:rPr>
          <w:b/>
        </w:rPr>
        <w:t>3</w:t>
      </w:r>
      <w:r w:rsidRPr="00C242EC" w:rsidR="003B7C24">
        <w:rPr>
          <w:b/>
        </w:rPr>
        <w:t>.</w:t>
      </w:r>
      <w:r w:rsidRPr="00C242EC" w:rsidR="003B7C24">
        <w:rPr>
          <w:b/>
        </w:rPr>
        <w:tab/>
      </w:r>
      <w:r w:rsidRPr="00C242EC" w:rsidR="003B7C24">
        <w:rPr>
          <w:b/>
          <w:caps/>
        </w:rPr>
        <w:t>Scope</w:t>
      </w:r>
    </w:p>
    <w:p w:rsidRPr="00C242EC" w:rsidR="006A2E04" w:rsidP="00B34AAA" w:rsidRDefault="006A2E04" w14:paraId="2C7CAC1D" w14:textId="77777777">
      <w:pPr>
        <w:spacing w:after="120"/>
      </w:pPr>
      <w:r w:rsidRPr="00C242EC">
        <w:t>This SOP applies to participants withdrawal.</w:t>
      </w:r>
    </w:p>
    <w:p w:rsidRPr="00C242EC" w:rsidR="003B7C24" w:rsidP="00B34AAA" w:rsidRDefault="001F2A16" w14:paraId="45E3A622" w14:textId="1E1B9454">
      <w:pPr>
        <w:spacing w:after="120"/>
        <w:rPr>
          <w:b/>
          <w:caps/>
        </w:rPr>
      </w:pPr>
      <w:r w:rsidRPr="00C242EC">
        <w:rPr>
          <w:b/>
          <w:caps/>
        </w:rPr>
        <w:t>4</w:t>
      </w:r>
      <w:r w:rsidRPr="00C242EC" w:rsidR="003B7C24">
        <w:rPr>
          <w:b/>
          <w:caps/>
        </w:rPr>
        <w:t>.</w:t>
      </w:r>
      <w:r w:rsidRPr="00C242EC" w:rsidR="003B7C24">
        <w:rPr>
          <w:b/>
          <w:caps/>
        </w:rPr>
        <w:tab/>
      </w:r>
      <w:r w:rsidRPr="00C242EC" w:rsidR="003B7C24">
        <w:rPr>
          <w:b/>
          <w:caps/>
        </w:rPr>
        <w:t>Responsibilities</w:t>
      </w:r>
    </w:p>
    <w:tbl>
      <w:tblPr>
        <w:tblW w:w="94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340"/>
        <w:gridCol w:w="7110"/>
      </w:tblGrid>
      <w:tr w:rsidRPr="00C242EC" w:rsidR="00D86354" w:rsidTr="00950D33" w14:paraId="62302D2B" w14:textId="77777777">
        <w:trPr>
          <w:trHeight w:val="302"/>
        </w:trPr>
        <w:tc>
          <w:tcPr>
            <w:tcW w:w="2340" w:type="dxa"/>
          </w:tcPr>
          <w:p w:rsidRPr="00C242EC" w:rsidR="00D86354" w:rsidP="00B34AAA" w:rsidRDefault="00D86354" w14:paraId="496938C6" w14:textId="77777777">
            <w:pPr>
              <w:rPr>
                <w:b/>
              </w:rPr>
            </w:pPr>
            <w:r w:rsidRPr="00C242EC">
              <w:rPr>
                <w:b/>
              </w:rPr>
              <w:t>Role</w:t>
            </w:r>
          </w:p>
        </w:tc>
        <w:tc>
          <w:tcPr>
            <w:tcW w:w="7110" w:type="dxa"/>
          </w:tcPr>
          <w:p w:rsidRPr="00C242EC" w:rsidR="00D86354" w:rsidP="00B34AAA" w:rsidRDefault="00D86354" w14:paraId="64B3D646" w14:textId="77777777">
            <w:pPr>
              <w:rPr>
                <w:b/>
              </w:rPr>
            </w:pPr>
            <w:r w:rsidRPr="00C242EC">
              <w:rPr>
                <w:b/>
              </w:rPr>
              <w:t>Responsibility</w:t>
            </w:r>
          </w:p>
        </w:tc>
      </w:tr>
      <w:tr w:rsidRPr="00C242EC" w:rsidR="00D86354" w:rsidTr="00950D33" w14:paraId="27B0CDBE" w14:textId="77777777">
        <w:trPr>
          <w:trHeight w:val="949"/>
        </w:trPr>
        <w:tc>
          <w:tcPr>
            <w:tcW w:w="2340" w:type="dxa"/>
          </w:tcPr>
          <w:p w:rsidRPr="00C242EC" w:rsidR="00D86354" w:rsidP="00B34AAA" w:rsidRDefault="00EB7B4F" w14:paraId="6D41C07B" w14:textId="76E2F40F">
            <w:r w:rsidRPr="00C242EC">
              <w:t>RMC trial</w:t>
            </w:r>
            <w:r w:rsidRPr="00C242EC" w:rsidR="00D86354">
              <w:t xml:space="preserve"> Principal </w:t>
            </w:r>
          </w:p>
          <w:p w:rsidRPr="00C242EC" w:rsidR="00D86354" w:rsidP="00B34AAA" w:rsidRDefault="00D86354" w14:paraId="0E82242D" w14:textId="77777777">
            <w:r w:rsidRPr="00C242EC">
              <w:t>Investigator</w:t>
            </w:r>
          </w:p>
        </w:tc>
        <w:tc>
          <w:tcPr>
            <w:tcW w:w="7110" w:type="dxa"/>
          </w:tcPr>
          <w:p w:rsidRPr="00C242EC" w:rsidR="00D86354" w:rsidP="00F07F51" w:rsidRDefault="00D86354" w14:paraId="31B27EA2" w14:textId="303C5524">
            <w:pPr>
              <w:numPr>
                <w:ilvl w:val="0"/>
                <w:numId w:val="1"/>
              </w:numPr>
            </w:pPr>
            <w:r w:rsidRPr="00C242EC">
              <w:t xml:space="preserve">Ultimately responsible for ensuring </w:t>
            </w:r>
            <w:r w:rsidRPr="00C242EC" w:rsidR="00EB7B4F">
              <w:t>RMC trial</w:t>
            </w:r>
            <w:r w:rsidRPr="00C242EC">
              <w:t xml:space="preserve"> study procedures obtain ethics approval and that ICH GCP guidelines and this SOP are adhered to by all staff.</w:t>
            </w:r>
          </w:p>
        </w:tc>
      </w:tr>
      <w:tr w:rsidRPr="00C242EC" w:rsidR="00D86354" w:rsidTr="00950D33" w14:paraId="1F3BE779" w14:textId="77777777">
        <w:trPr>
          <w:cantSplit/>
          <w:trHeight w:val="638"/>
        </w:trPr>
        <w:tc>
          <w:tcPr>
            <w:tcW w:w="2340" w:type="dxa"/>
            <w:tcBorders>
              <w:top w:val="single" w:color="auto" w:sz="4" w:space="0"/>
              <w:left w:val="single" w:color="auto" w:sz="4" w:space="0"/>
              <w:bottom w:val="single" w:color="auto" w:sz="4" w:space="0"/>
              <w:right w:val="single" w:color="auto" w:sz="4" w:space="0"/>
            </w:tcBorders>
          </w:tcPr>
          <w:p w:rsidRPr="00C242EC" w:rsidR="00D86354" w:rsidP="00B34AAA" w:rsidRDefault="00464E20" w14:paraId="44D1B10A" w14:textId="77777777">
            <w:r w:rsidRPr="00C242EC">
              <w:t>Local Study researcher</w:t>
            </w:r>
            <w:r w:rsidRPr="00C242EC" w:rsidR="006A2E04">
              <w:t>/ Clinician</w:t>
            </w:r>
          </w:p>
        </w:tc>
        <w:tc>
          <w:tcPr>
            <w:tcW w:w="7110" w:type="dxa"/>
            <w:tcBorders>
              <w:top w:val="single" w:color="auto" w:sz="4" w:space="0"/>
              <w:left w:val="single" w:color="auto" w:sz="4" w:space="0"/>
              <w:bottom w:val="single" w:color="auto" w:sz="4" w:space="0"/>
              <w:right w:val="single" w:color="auto" w:sz="4" w:space="0"/>
            </w:tcBorders>
          </w:tcPr>
          <w:p w:rsidRPr="00C242EC" w:rsidR="00243181" w:rsidP="00B34AAA" w:rsidRDefault="00243181" w14:paraId="3B819D42" w14:textId="77777777">
            <w:r w:rsidRPr="00C242EC">
              <w:t>Responsible for:</w:t>
            </w:r>
          </w:p>
          <w:p w:rsidRPr="00C242EC" w:rsidR="00243181" w:rsidP="00F07F51" w:rsidRDefault="00243181" w14:paraId="767AB188" w14:textId="77777777">
            <w:pPr>
              <w:numPr>
                <w:ilvl w:val="0"/>
                <w:numId w:val="1"/>
              </w:numPr>
            </w:pPr>
            <w:r w:rsidRPr="00C242EC">
              <w:t>I</w:t>
            </w:r>
            <w:r w:rsidRPr="00C242EC" w:rsidR="00124B1D">
              <w:t>dentify</w:t>
            </w:r>
            <w:r w:rsidRPr="00C242EC">
              <w:t>ing</w:t>
            </w:r>
            <w:r w:rsidRPr="00C242EC" w:rsidR="00FA64EF">
              <w:t xml:space="preserve"> potential reasons for withdrawal</w:t>
            </w:r>
            <w:r w:rsidRPr="00C242EC" w:rsidR="00124B1D">
              <w:t>.</w:t>
            </w:r>
          </w:p>
          <w:p w:rsidRPr="00C242EC" w:rsidR="00D86354" w:rsidP="00F07F51" w:rsidRDefault="00FA64EF" w14:paraId="5BF9B653" w14:textId="77777777">
            <w:pPr>
              <w:numPr>
                <w:ilvl w:val="0"/>
                <w:numId w:val="1"/>
              </w:numPr>
            </w:pPr>
            <w:r w:rsidRPr="00C242EC">
              <w:t>Counselling participant regarding withdrawal criteria.</w:t>
            </w:r>
          </w:p>
          <w:p w:rsidRPr="00C242EC" w:rsidR="00D87CC1" w:rsidP="00F07F51" w:rsidRDefault="00D87CC1" w14:paraId="15D47B2D" w14:textId="77777777">
            <w:pPr>
              <w:numPr>
                <w:ilvl w:val="0"/>
                <w:numId w:val="1"/>
              </w:numPr>
            </w:pPr>
            <w:r w:rsidRPr="00C242EC">
              <w:t xml:space="preserve">Assuring participant who decides to withdraw will be cared for </w:t>
            </w:r>
          </w:p>
          <w:p w:rsidRPr="00C242EC" w:rsidR="00FA64EF" w:rsidP="00F07F51" w:rsidRDefault="00D87CC1" w14:paraId="13862BD7" w14:textId="77777777">
            <w:pPr>
              <w:numPr>
                <w:ilvl w:val="0"/>
                <w:numId w:val="1"/>
              </w:numPr>
            </w:pPr>
            <w:r w:rsidRPr="00C242EC">
              <w:t xml:space="preserve">Providing referral to all participants who withdraw </w:t>
            </w:r>
            <w:r w:rsidRPr="00C242EC" w:rsidR="00DD5A39">
              <w:t xml:space="preserve">from </w:t>
            </w:r>
            <w:r w:rsidRPr="00C242EC">
              <w:t>the study</w:t>
            </w:r>
          </w:p>
          <w:p w:rsidRPr="00C242EC" w:rsidR="00D86354" w:rsidP="00F07F51" w:rsidRDefault="00FA64EF" w14:paraId="1D4C9D51" w14:textId="77777777">
            <w:pPr>
              <w:numPr>
                <w:ilvl w:val="0"/>
                <w:numId w:val="1"/>
              </w:numPr>
            </w:pPr>
            <w:r w:rsidRPr="00C242EC">
              <w:t>Documenting withdrawal reason</w:t>
            </w:r>
            <w:r w:rsidRPr="00C242EC" w:rsidR="00D86354">
              <w:t>.</w:t>
            </w:r>
          </w:p>
        </w:tc>
      </w:tr>
      <w:tr w:rsidRPr="00C242EC" w:rsidR="00D86354" w:rsidTr="00950D33" w14:paraId="54CA657A" w14:textId="77777777">
        <w:trPr>
          <w:cantSplit/>
          <w:trHeight w:val="638"/>
        </w:trPr>
        <w:tc>
          <w:tcPr>
            <w:tcW w:w="2340" w:type="dxa"/>
            <w:tcBorders>
              <w:top w:val="single" w:color="auto" w:sz="4" w:space="0"/>
              <w:left w:val="single" w:color="auto" w:sz="4" w:space="0"/>
              <w:bottom w:val="single" w:color="auto" w:sz="4" w:space="0"/>
              <w:right w:val="single" w:color="auto" w:sz="4" w:space="0"/>
            </w:tcBorders>
          </w:tcPr>
          <w:p w:rsidRPr="00C242EC" w:rsidR="00D86354" w:rsidP="00B34AAA" w:rsidRDefault="00EB7B4F" w14:paraId="582BC587" w14:textId="198BF4C5">
            <w:r w:rsidRPr="00C242EC">
              <w:t xml:space="preserve">TLMTI </w:t>
            </w:r>
            <w:proofErr w:type="gramStart"/>
            <w:r w:rsidRPr="00C242EC">
              <w:t xml:space="preserve">centres </w:t>
            </w:r>
            <w:r w:rsidRPr="00C242EC" w:rsidR="005210CF">
              <w:t xml:space="preserve"> </w:t>
            </w:r>
            <w:r w:rsidRPr="00C242EC">
              <w:t>RMC</w:t>
            </w:r>
            <w:proofErr w:type="gramEnd"/>
            <w:r w:rsidRPr="00C242EC">
              <w:t xml:space="preserve"> trial</w:t>
            </w:r>
            <w:r w:rsidRPr="00C242EC" w:rsidR="00D86354">
              <w:t xml:space="preserve"> </w:t>
            </w:r>
            <w:r w:rsidRPr="00C242EC">
              <w:t>local investigators</w:t>
            </w:r>
          </w:p>
        </w:tc>
        <w:tc>
          <w:tcPr>
            <w:tcW w:w="7110" w:type="dxa"/>
            <w:tcBorders>
              <w:top w:val="single" w:color="auto" w:sz="4" w:space="0"/>
              <w:left w:val="single" w:color="auto" w:sz="4" w:space="0"/>
              <w:bottom w:val="single" w:color="auto" w:sz="4" w:space="0"/>
              <w:right w:val="single" w:color="auto" w:sz="4" w:space="0"/>
            </w:tcBorders>
          </w:tcPr>
          <w:p w:rsidRPr="00C242EC" w:rsidR="00243181" w:rsidP="00B34AAA" w:rsidRDefault="00D86354" w14:paraId="2245AB34" w14:textId="77777777">
            <w:r w:rsidRPr="00C242EC">
              <w:t>Responsible for</w:t>
            </w:r>
            <w:r w:rsidRPr="00C242EC" w:rsidR="002D0705">
              <w:t>:</w:t>
            </w:r>
            <w:r w:rsidRPr="00C242EC">
              <w:t xml:space="preserve"> </w:t>
            </w:r>
          </w:p>
          <w:p w:rsidRPr="00C242EC" w:rsidR="00D86354" w:rsidP="00F07F51" w:rsidRDefault="002D0705" w14:paraId="65C5B797" w14:textId="77777777">
            <w:pPr>
              <w:numPr>
                <w:ilvl w:val="0"/>
                <w:numId w:val="1"/>
              </w:numPr>
            </w:pPr>
            <w:r w:rsidRPr="00C242EC">
              <w:t>E</w:t>
            </w:r>
            <w:r w:rsidRPr="00C242EC" w:rsidR="00D86354">
              <w:t>nsuring appropriate staff members are trained on the procedures of this SOP.</w:t>
            </w:r>
          </w:p>
          <w:p w:rsidRPr="00C242EC" w:rsidR="00D86354" w:rsidP="00F07F51" w:rsidRDefault="002D0705" w14:paraId="6D21038E" w14:textId="77777777">
            <w:pPr>
              <w:numPr>
                <w:ilvl w:val="0"/>
                <w:numId w:val="1"/>
              </w:numPr>
            </w:pPr>
            <w:r w:rsidRPr="00C242EC">
              <w:t>F</w:t>
            </w:r>
            <w:r w:rsidRPr="00C242EC" w:rsidR="00D86354">
              <w:t>ollowing up that all</w:t>
            </w:r>
            <w:r w:rsidRPr="00C242EC" w:rsidR="00DD5A39">
              <w:t xml:space="preserve"> participants who withdraw the study</w:t>
            </w:r>
          </w:p>
          <w:p w:rsidRPr="00C242EC" w:rsidR="00D86354" w:rsidP="00F07F51" w:rsidRDefault="002D0705" w14:paraId="2692476A" w14:textId="77777777">
            <w:pPr>
              <w:numPr>
                <w:ilvl w:val="0"/>
                <w:numId w:val="1"/>
              </w:numPr>
            </w:pPr>
            <w:r w:rsidRPr="00C242EC">
              <w:t xml:space="preserve"> F</w:t>
            </w:r>
            <w:r w:rsidRPr="00C242EC" w:rsidR="00D86354">
              <w:t xml:space="preserve">ollowing up on the efficiency </w:t>
            </w:r>
            <w:r w:rsidRPr="00C242EC" w:rsidR="00DA30D0">
              <w:t>of data collection flow</w:t>
            </w:r>
            <w:r w:rsidRPr="00C242EC" w:rsidR="00D86354">
              <w:t>.</w:t>
            </w:r>
          </w:p>
        </w:tc>
      </w:tr>
    </w:tbl>
    <w:p w:rsidRPr="00C242EC" w:rsidR="00A34580" w:rsidP="00B34AAA" w:rsidRDefault="00A34580" w14:paraId="73A3ED75" w14:textId="77777777">
      <w:pPr>
        <w:rPr>
          <w:b/>
          <w:sz w:val="22"/>
          <w:szCs w:val="22"/>
        </w:rPr>
      </w:pPr>
    </w:p>
    <w:p w:rsidRPr="00C242EC" w:rsidR="00924710" w:rsidP="00B34AAA" w:rsidRDefault="00425618" w14:paraId="72D9902C" w14:textId="77777777">
      <w:pPr>
        <w:pStyle w:val="Heading3"/>
        <w:spacing w:before="0" w:after="120"/>
        <w:rPr>
          <w:rFonts w:ascii="Times New Roman" w:hAnsi="Times New Roman" w:cs="Times New Roman"/>
          <w:sz w:val="24"/>
        </w:rPr>
      </w:pPr>
      <w:bookmarkStart w:name="_3._PROCEDURE" w:id="3"/>
      <w:bookmarkEnd w:id="3"/>
      <w:r w:rsidRPr="00C242EC">
        <w:rPr>
          <w:rFonts w:ascii="Times New Roman" w:hAnsi="Times New Roman" w:cs="Times New Roman"/>
          <w:sz w:val="24"/>
        </w:rPr>
        <w:t>6</w:t>
      </w:r>
      <w:r w:rsidRPr="00C242EC" w:rsidR="00924710">
        <w:rPr>
          <w:rFonts w:ascii="Times New Roman" w:hAnsi="Times New Roman" w:cs="Times New Roman"/>
          <w:sz w:val="24"/>
        </w:rPr>
        <w:t>.</w:t>
      </w:r>
      <w:r w:rsidRPr="00C242EC" w:rsidR="00924710">
        <w:rPr>
          <w:rFonts w:ascii="Times New Roman" w:hAnsi="Times New Roman" w:cs="Times New Roman"/>
          <w:sz w:val="24"/>
        </w:rPr>
        <w:tab/>
      </w:r>
      <w:r w:rsidRPr="00C242EC" w:rsidR="00924710">
        <w:rPr>
          <w:rFonts w:ascii="Times New Roman" w:hAnsi="Times New Roman" w:cs="Times New Roman"/>
          <w:sz w:val="24"/>
        </w:rPr>
        <w:t>PROCEDURE</w:t>
      </w:r>
    </w:p>
    <w:p w:rsidRPr="00C242EC" w:rsidR="00B00399" w:rsidP="001F2A16" w:rsidRDefault="00B00399" w14:paraId="1F7CCCC4" w14:textId="77777777">
      <w:pPr>
        <w:autoSpaceDE w:val="0"/>
        <w:autoSpaceDN w:val="0"/>
        <w:adjustRightInd w:val="0"/>
        <w:jc w:val="both"/>
      </w:pPr>
      <w:r w:rsidRPr="00C242EC">
        <w:t>Participants will be withdrawn from the study immediately if any of the following occur:</w:t>
      </w:r>
    </w:p>
    <w:p w:rsidRPr="00C242EC" w:rsidR="00B00399" w:rsidP="001F2A16" w:rsidRDefault="00B00399" w14:paraId="11C83A85" w14:textId="77777777">
      <w:pPr>
        <w:autoSpaceDE w:val="0"/>
        <w:autoSpaceDN w:val="0"/>
        <w:adjustRightInd w:val="0"/>
        <w:spacing w:after="160" w:line="259" w:lineRule="auto"/>
        <w:contextualSpacing/>
        <w:jc w:val="both"/>
      </w:pPr>
    </w:p>
    <w:p w:rsidRPr="00C242EC" w:rsidR="00B00399" w:rsidP="001F2A16" w:rsidRDefault="00B00399" w14:paraId="4979C673" w14:textId="77777777">
      <w:pPr>
        <w:numPr>
          <w:ilvl w:val="3"/>
          <w:numId w:val="5"/>
        </w:numPr>
        <w:autoSpaceDE w:val="0"/>
        <w:autoSpaceDN w:val="0"/>
        <w:adjustRightInd w:val="0"/>
        <w:spacing w:after="160" w:line="259" w:lineRule="auto"/>
        <w:ind w:left="720"/>
        <w:contextualSpacing/>
        <w:jc w:val="both"/>
      </w:pPr>
      <w:r w:rsidRPr="00C242EC">
        <w:t>Clinically significant abnormal laboratory results that preclude continuation of study medication, as determined by the Investigator and/or including any of the following:</w:t>
      </w:r>
    </w:p>
    <w:p w:rsidRPr="00C242EC" w:rsidR="00B00399" w:rsidP="001F2A16" w:rsidRDefault="00B00399" w14:paraId="438F590E" w14:textId="3CBE85CE">
      <w:pPr>
        <w:numPr>
          <w:ilvl w:val="0"/>
          <w:numId w:val="7"/>
        </w:numPr>
        <w:autoSpaceDE w:val="0"/>
        <w:autoSpaceDN w:val="0"/>
        <w:adjustRightInd w:val="0"/>
        <w:spacing w:after="160" w:line="259" w:lineRule="auto"/>
        <w:contextualSpacing/>
        <w:jc w:val="both"/>
        <w:rPr/>
      </w:pPr>
      <w:r w:rsidR="00B00399">
        <w:rPr/>
        <w:t xml:space="preserve">AST or ALT &gt; 3 </w:t>
      </w:r>
      <w:r w:rsidRPr="53EE2F55" w:rsidR="00B00399">
        <w:rPr>
          <w:rFonts w:eastAsia="SymbolMT"/>
        </w:rPr>
        <w:t xml:space="preserve">× </w:t>
      </w:r>
      <w:r w:rsidR="00B00399">
        <w:rPr/>
        <w:t>ULN</w:t>
      </w:r>
    </w:p>
    <w:p w:rsidRPr="00C242EC" w:rsidR="00B00399" w:rsidP="001F2A16" w:rsidRDefault="00B00399" w14:paraId="6D583F4E" w14:textId="45C216C1">
      <w:pPr>
        <w:numPr>
          <w:ilvl w:val="0"/>
          <w:numId w:val="7"/>
        </w:numPr>
        <w:autoSpaceDE w:val="0"/>
        <w:autoSpaceDN w:val="0"/>
        <w:adjustRightInd w:val="0"/>
        <w:spacing w:after="160" w:line="259" w:lineRule="auto"/>
        <w:contextualSpacing/>
        <w:jc w:val="both"/>
        <w:rPr/>
      </w:pPr>
      <w:r w:rsidR="00B00399">
        <w:rPr/>
        <w:t>Hemoglobin</w:t>
      </w:r>
      <w:r w:rsidR="00B00399">
        <w:rPr/>
        <w:t xml:space="preserve"> &lt; </w:t>
      </w:r>
      <w:r w:rsidR="6BD4457A">
        <w:rPr/>
        <w:t>7</w:t>
      </w:r>
      <w:r w:rsidR="00B00399">
        <w:rPr/>
        <w:t xml:space="preserve"> g/dL</w:t>
      </w:r>
    </w:p>
    <w:p w:rsidRPr="00C242EC" w:rsidR="00B00399" w:rsidP="001F2A16" w:rsidRDefault="00B00399" w14:paraId="6D818FA4" w14:textId="32A282E7">
      <w:pPr>
        <w:numPr>
          <w:ilvl w:val="0"/>
          <w:numId w:val="7"/>
        </w:numPr>
        <w:autoSpaceDE w:val="0"/>
        <w:autoSpaceDN w:val="0"/>
        <w:adjustRightInd w:val="0"/>
        <w:spacing w:after="160" w:line="259" w:lineRule="auto"/>
        <w:contextualSpacing/>
        <w:jc w:val="both"/>
        <w:rPr/>
      </w:pPr>
      <w:r w:rsidR="00B00399">
        <w:rPr/>
        <w:t xml:space="preserve">WBC count &lt; </w:t>
      </w:r>
      <w:r w:rsidR="2D10F97F">
        <w:rPr/>
        <w:t>3</w:t>
      </w:r>
      <w:r w:rsidR="00B00399">
        <w:rPr/>
        <w:t xml:space="preserve"> </w:t>
      </w:r>
      <w:r w:rsidRPr="53EE2F55" w:rsidR="00B00399">
        <w:rPr>
          <w:rFonts w:eastAsia="SymbolMT"/>
        </w:rPr>
        <w:t xml:space="preserve"> </w:t>
      </w:r>
      <w:r w:rsidR="00B00399">
        <w:rPr/>
        <w:t>x</w:t>
      </w:r>
      <w:r w:rsidR="00B00399">
        <w:rPr/>
        <w:t>10</w:t>
      </w:r>
      <w:r w:rsidRPr="53EE2F55" w:rsidR="00B00399">
        <w:rPr>
          <w:vertAlign w:val="superscript"/>
        </w:rPr>
        <w:t>9</w:t>
      </w:r>
      <w:r w:rsidR="00B00399">
        <w:rPr/>
        <w:t xml:space="preserve"> cells/l</w:t>
      </w:r>
    </w:p>
    <w:p w:rsidRPr="00C242EC" w:rsidR="00B00399" w:rsidP="00EB7B4F" w:rsidRDefault="00B00399" w14:paraId="1E706D9B" w14:textId="0F310DA1">
      <w:pPr>
        <w:spacing w:after="160" w:line="259" w:lineRule="auto"/>
        <w:ind w:left="1080"/>
        <w:contextualSpacing/>
        <w:rPr>
          <w:highlight w:val="yellow"/>
        </w:rPr>
      </w:pPr>
    </w:p>
    <w:p w:rsidRPr="00C242EC" w:rsidR="00B00399" w:rsidP="00F07F51" w:rsidRDefault="00B00399" w14:paraId="5A29A3DB" w14:textId="5C962C92">
      <w:pPr>
        <w:numPr>
          <w:ilvl w:val="0"/>
          <w:numId w:val="4"/>
        </w:numPr>
        <w:autoSpaceDE w:val="0"/>
        <w:autoSpaceDN w:val="0"/>
        <w:adjustRightInd w:val="0"/>
        <w:spacing w:after="160" w:line="259" w:lineRule="auto"/>
        <w:ind w:left="720"/>
        <w:contextualSpacing/>
        <w:rPr>
          <w:color w:val="000000"/>
        </w:rPr>
      </w:pPr>
      <w:r w:rsidRPr="00C242EC">
        <w:rPr>
          <w:color w:val="000000"/>
        </w:rPr>
        <w:t>AEs that preclude continuation of study medication, as determined by the Investigator</w:t>
      </w:r>
      <w:r w:rsidRPr="00C242EC" w:rsidR="001F2A16">
        <w:rPr>
          <w:color w:val="000000"/>
        </w:rPr>
        <w:t>.</w:t>
      </w:r>
      <w:r w:rsidRPr="00C242EC">
        <w:rPr>
          <w:color w:val="000000"/>
        </w:rPr>
        <w:t xml:space="preserve"> </w:t>
      </w:r>
    </w:p>
    <w:p w:rsidRPr="00C242EC" w:rsidR="00B00399" w:rsidP="00F07F51" w:rsidRDefault="00B00399" w14:paraId="0A7FEC84" w14:textId="0838D022">
      <w:pPr>
        <w:numPr>
          <w:ilvl w:val="0"/>
          <w:numId w:val="6"/>
        </w:numPr>
        <w:autoSpaceDE w:val="0"/>
        <w:autoSpaceDN w:val="0"/>
        <w:adjustRightInd w:val="0"/>
        <w:spacing w:after="160" w:line="259" w:lineRule="auto"/>
        <w:ind w:left="709"/>
        <w:contextualSpacing/>
        <w:rPr>
          <w:color w:val="000000"/>
        </w:rPr>
      </w:pPr>
      <w:r w:rsidRPr="00C242EC">
        <w:rPr>
          <w:color w:val="000000"/>
        </w:rPr>
        <w:t>The Investigator believes it is in the best interest of the participant</w:t>
      </w:r>
      <w:r w:rsidRPr="00C242EC" w:rsidR="001F2A16">
        <w:rPr>
          <w:color w:val="000000"/>
        </w:rPr>
        <w:t>.</w:t>
      </w:r>
    </w:p>
    <w:p w:rsidRPr="00C242EC" w:rsidR="00B00399" w:rsidP="00F07F51" w:rsidRDefault="00B00399" w14:paraId="68A14344" w14:textId="4691A6BE">
      <w:pPr>
        <w:numPr>
          <w:ilvl w:val="0"/>
          <w:numId w:val="6"/>
        </w:numPr>
        <w:autoSpaceDE w:val="0"/>
        <w:autoSpaceDN w:val="0"/>
        <w:adjustRightInd w:val="0"/>
        <w:spacing w:after="160" w:line="259" w:lineRule="auto"/>
        <w:ind w:left="709"/>
        <w:contextualSpacing/>
        <w:rPr>
          <w:color w:val="000000"/>
        </w:rPr>
      </w:pPr>
      <w:r w:rsidRPr="00C242EC">
        <w:rPr>
          <w:color w:val="000000"/>
        </w:rPr>
        <w:t>The participant or participant's legally acceptable representative requests withdrawal from the stud</w:t>
      </w:r>
      <w:r w:rsidRPr="00C242EC" w:rsidR="001F2A16">
        <w:rPr>
          <w:color w:val="000000"/>
        </w:rPr>
        <w:t>y.</w:t>
      </w:r>
    </w:p>
    <w:p w:rsidRPr="00C242EC" w:rsidR="00B00399" w:rsidP="00F07F51" w:rsidRDefault="00B00399" w14:paraId="12DCA2F8" w14:textId="77777777">
      <w:pPr>
        <w:numPr>
          <w:ilvl w:val="0"/>
          <w:numId w:val="6"/>
        </w:numPr>
        <w:autoSpaceDE w:val="0"/>
        <w:autoSpaceDN w:val="0"/>
        <w:adjustRightInd w:val="0"/>
        <w:spacing w:after="160" w:line="259" w:lineRule="auto"/>
        <w:ind w:left="709"/>
        <w:contextualSpacing/>
        <w:rPr>
          <w:color w:val="000000"/>
        </w:rPr>
      </w:pPr>
      <w:r w:rsidRPr="00C242EC">
        <w:rPr>
          <w:color w:val="000000"/>
        </w:rPr>
        <w:t>Selection criteria violation was noted after the participant started study drug, and the Investigator determines that the participant should be discontinued.</w:t>
      </w:r>
    </w:p>
    <w:p w:rsidRPr="00C242EC" w:rsidR="00B00399" w:rsidP="00F07F51" w:rsidRDefault="00B00399" w14:paraId="7544BDCD" w14:textId="5CB692C6">
      <w:pPr>
        <w:numPr>
          <w:ilvl w:val="0"/>
          <w:numId w:val="6"/>
        </w:numPr>
        <w:autoSpaceDE w:val="0"/>
        <w:autoSpaceDN w:val="0"/>
        <w:adjustRightInd w:val="0"/>
        <w:spacing w:after="160" w:line="259" w:lineRule="auto"/>
        <w:ind w:left="709"/>
        <w:contextualSpacing/>
        <w:rPr>
          <w:color w:val="000000"/>
        </w:rPr>
      </w:pPr>
      <w:r w:rsidRPr="00C242EC">
        <w:rPr>
          <w:color w:val="000000"/>
        </w:rPr>
        <w:t>Participant is not compliant with study procedures/visits and study drug administration determined by the Investigator</w:t>
      </w:r>
      <w:r w:rsidRPr="00C242EC" w:rsidR="001F2A16">
        <w:rPr>
          <w:color w:val="000000"/>
        </w:rPr>
        <w:t>.</w:t>
      </w:r>
    </w:p>
    <w:p w:rsidRPr="00C242EC" w:rsidR="00EB7B4F" w:rsidP="00B34AAA" w:rsidRDefault="00EB7B4F" w14:paraId="15A7A9EA" w14:textId="77777777">
      <w:pPr>
        <w:autoSpaceDE w:val="0"/>
        <w:autoSpaceDN w:val="0"/>
        <w:adjustRightInd w:val="0"/>
        <w:spacing w:after="160" w:line="259" w:lineRule="auto"/>
        <w:contextualSpacing/>
        <w:rPr>
          <w:color w:val="000000"/>
        </w:rPr>
      </w:pPr>
    </w:p>
    <w:p w:rsidRPr="00C242EC" w:rsidR="00B00399" w:rsidP="00C242EC" w:rsidRDefault="00B0087D" w14:paraId="57F16547" w14:textId="2055C65D">
      <w:pPr>
        <w:autoSpaceDE w:val="0"/>
        <w:autoSpaceDN w:val="0"/>
        <w:adjustRightInd w:val="0"/>
        <w:spacing w:after="160" w:line="259" w:lineRule="auto"/>
        <w:contextualSpacing/>
        <w:jc w:val="both"/>
        <w:rPr>
          <w:color w:val="000000"/>
        </w:rPr>
      </w:pPr>
      <w:r w:rsidRPr="00C242EC">
        <w:rPr>
          <w:color w:val="000000"/>
        </w:rPr>
        <w:t>For the above scenarios, patients will be withdrawn from the study and treatment of such patients will be in conjunction with routine care, but the study team will provide support according local guidelines.</w:t>
      </w:r>
    </w:p>
    <w:p w:rsidRPr="00C242EC" w:rsidR="00B0087D" w:rsidP="00C242EC" w:rsidRDefault="00B0087D" w14:paraId="62C744A9" w14:textId="77777777">
      <w:pPr>
        <w:autoSpaceDE w:val="0"/>
        <w:autoSpaceDN w:val="0"/>
        <w:adjustRightInd w:val="0"/>
        <w:spacing w:after="160" w:line="259" w:lineRule="auto"/>
        <w:contextualSpacing/>
        <w:jc w:val="both"/>
        <w:rPr>
          <w:color w:val="000000"/>
        </w:rPr>
      </w:pPr>
    </w:p>
    <w:p w:rsidRPr="00C242EC" w:rsidR="00DE7DEF" w:rsidP="00C242EC" w:rsidRDefault="00DE7DEF" w14:paraId="11A1E881" w14:textId="09A14919">
      <w:pPr>
        <w:autoSpaceDE w:val="0"/>
        <w:autoSpaceDN w:val="0"/>
        <w:adjustRightInd w:val="0"/>
        <w:spacing w:after="160" w:line="259" w:lineRule="auto"/>
        <w:contextualSpacing/>
        <w:jc w:val="both"/>
        <w:rPr>
          <w:color w:val="000000"/>
        </w:rPr>
      </w:pPr>
      <w:r w:rsidRPr="00C242EC">
        <w:rPr>
          <w:color w:val="000000"/>
        </w:rPr>
        <w:t>Study patients are free to withdraw from the study at any point without providing reason. Patients who withdraw from the study will receive the routine medical care provided by the local centre. P</w:t>
      </w:r>
      <w:r w:rsidRPr="00C242EC" w:rsidR="00CC4470">
        <w:rPr>
          <w:color w:val="000000"/>
        </w:rPr>
        <w:t>atients who withdraw from the study intervention should be asked if we can use collected data for the study</w:t>
      </w:r>
      <w:r w:rsidRPr="00C242EC" w:rsidR="008470C0">
        <w:rPr>
          <w:color w:val="000000"/>
        </w:rPr>
        <w:t>. The reasons why shou</w:t>
      </w:r>
      <w:r w:rsidRPr="00C242EC" w:rsidR="00C242EC">
        <w:rPr>
          <w:color w:val="000000"/>
        </w:rPr>
        <w:t>ld</w:t>
      </w:r>
      <w:r w:rsidRPr="00C242EC" w:rsidR="008470C0">
        <w:rPr>
          <w:color w:val="000000"/>
        </w:rPr>
        <w:t xml:space="preserve"> be explained and the patient’s right to refuse this will be respected.</w:t>
      </w:r>
    </w:p>
    <w:p w:rsidRPr="00C242EC" w:rsidR="008470C0" w:rsidP="00C242EC" w:rsidRDefault="008470C0" w14:paraId="0B615FED" w14:textId="77777777">
      <w:pPr>
        <w:autoSpaceDE w:val="0"/>
        <w:autoSpaceDN w:val="0"/>
        <w:adjustRightInd w:val="0"/>
        <w:spacing w:after="160" w:line="259" w:lineRule="auto"/>
        <w:contextualSpacing/>
        <w:jc w:val="both"/>
        <w:rPr>
          <w:color w:val="000000"/>
        </w:rPr>
      </w:pPr>
    </w:p>
    <w:p w:rsidRPr="00C242EC" w:rsidR="00B00399" w:rsidP="00C242EC" w:rsidRDefault="008470C0" w14:paraId="31A9D061" w14:textId="77777777">
      <w:pPr>
        <w:jc w:val="both"/>
      </w:pPr>
      <w:r w:rsidRPr="00C242EC">
        <w:t xml:space="preserve">If, during the course of the study, the participant must be prematurely discontinued, the procedures outlined for the Early Termination Visit must be completed at that visit or within 2 weeks of the last dose of study drug, and prior to the initiation of another therapy. However, these procedures should not interfere with the initiation of any new treatments or therapeutic modalities that in the Investigator's opinion are necessary to </w:t>
      </w:r>
      <w:r w:rsidRPr="00C242EC">
        <w:t>treat the participant's condition. Following discontinuation of the study drug, the participant will be treated in accordance with the Investigator's best clinical judgment. All attempts must be made to determine the date of last dose and the primary reason for Early Termination. This information will be entered into the appropriate CRF</w:t>
      </w:r>
      <w:r w:rsidRPr="00C242EC" w:rsidR="00B34AAA">
        <w:t>.</w:t>
      </w:r>
    </w:p>
    <w:p w:rsidRPr="00C242EC" w:rsidR="00B34AAA" w:rsidP="00B34AAA" w:rsidRDefault="00B34AAA" w14:paraId="5AABE570" w14:textId="77777777"/>
    <w:p w:rsidRPr="00C242EC" w:rsidR="00B34AAA" w:rsidP="00B34AAA" w:rsidRDefault="0032009F" w14:paraId="0F8DEF7A" w14:textId="77777777">
      <w:pPr>
        <w:pStyle w:val="Heading3"/>
        <w:spacing w:before="0" w:after="120"/>
        <w:rPr>
          <w:rFonts w:ascii="Times New Roman" w:hAnsi="Times New Roman" w:cs="Times New Roman"/>
          <w:sz w:val="24"/>
        </w:rPr>
      </w:pPr>
      <w:r w:rsidRPr="00C242EC">
        <w:rPr>
          <w:rFonts w:ascii="Times New Roman" w:hAnsi="Times New Roman" w:cs="Times New Roman"/>
          <w:sz w:val="24"/>
        </w:rPr>
        <w:t>7</w:t>
      </w:r>
      <w:r w:rsidRPr="00C242EC" w:rsidR="00B34AAA">
        <w:rPr>
          <w:rFonts w:ascii="Times New Roman" w:hAnsi="Times New Roman" w:cs="Times New Roman"/>
          <w:sz w:val="24"/>
        </w:rPr>
        <w:t>.</w:t>
      </w:r>
      <w:r w:rsidRPr="00C242EC" w:rsidR="00B34AAA">
        <w:rPr>
          <w:rFonts w:ascii="Times New Roman" w:hAnsi="Times New Roman" w:cs="Times New Roman"/>
          <w:sz w:val="24"/>
        </w:rPr>
        <w:tab/>
      </w:r>
      <w:r w:rsidRPr="00C242EC">
        <w:rPr>
          <w:rFonts w:ascii="Times New Roman" w:hAnsi="Times New Roman" w:cs="Times New Roman"/>
          <w:sz w:val="24"/>
        </w:rPr>
        <w:t>TRAINING</w:t>
      </w:r>
    </w:p>
    <w:p w:rsidRPr="00C242EC" w:rsidR="0032009F" w:rsidP="00AD6F5E" w:rsidRDefault="0032009F" w14:paraId="5328E37A" w14:textId="77777777">
      <w:pPr>
        <w:spacing w:line="360" w:lineRule="auto"/>
        <w:jc w:val="both"/>
      </w:pPr>
      <w:r w:rsidRPr="00C242EC">
        <w:t>Each staff member has direct access to applicable SOP.</w:t>
      </w:r>
    </w:p>
    <w:p w:rsidRPr="00C242EC" w:rsidR="0032009F" w:rsidP="00AD6F5E" w:rsidRDefault="0032009F" w14:paraId="62AB9616" w14:textId="77777777">
      <w:pPr>
        <w:spacing w:line="360" w:lineRule="auto"/>
        <w:jc w:val="both"/>
      </w:pPr>
      <w:r w:rsidRPr="00C242EC">
        <w:t>Each staff member reviews the applicable SOP once a year.</w:t>
      </w:r>
    </w:p>
    <w:p w:rsidRPr="00C242EC" w:rsidR="0032009F" w:rsidP="00AD6F5E" w:rsidRDefault="0032009F" w14:paraId="6BA9B0DE" w14:textId="77777777">
      <w:pPr>
        <w:spacing w:line="360" w:lineRule="auto"/>
        <w:jc w:val="both"/>
      </w:pPr>
      <w:r w:rsidRPr="00C242EC">
        <w:t>All SOP training is documented and tracked in the training log located in the Investigator Site File (ISF).</w:t>
      </w:r>
    </w:p>
    <w:p w:rsidRPr="00C242EC" w:rsidR="0032009F" w:rsidP="00AD6F5E" w:rsidRDefault="0072224A" w14:paraId="67F31D8C" w14:textId="77777777">
      <w:pPr>
        <w:spacing w:line="360" w:lineRule="auto"/>
        <w:jc w:val="both"/>
      </w:pPr>
      <w:r w:rsidRPr="00C242EC">
        <w:t xml:space="preserve">New staff </w:t>
      </w:r>
      <w:r w:rsidRPr="00C242EC" w:rsidR="0032009F">
        <w:t>are trained on applicable SOP</w:t>
      </w:r>
      <w:r w:rsidRPr="00C242EC">
        <w:t xml:space="preserve"> within 30 days of employment and all SOPs within 90 days of employment.</w:t>
      </w:r>
    </w:p>
    <w:p w:rsidRPr="00C242EC" w:rsidR="0072224A" w:rsidP="00AD6F5E" w:rsidRDefault="0072224A" w14:paraId="74C16916" w14:textId="77777777">
      <w:pPr>
        <w:spacing w:line="360" w:lineRule="auto"/>
        <w:jc w:val="both"/>
      </w:pPr>
      <w:r w:rsidRPr="00C242EC">
        <w:t>Staff members whose duties fall within this SOP scope are retrained within 14 days of the approval of each SOP revision.</w:t>
      </w:r>
    </w:p>
    <w:p w:rsidRPr="00C242EC" w:rsidR="0072224A" w:rsidP="0032009F" w:rsidRDefault="0072224A" w14:paraId="3AE95A0B" w14:textId="77777777"/>
    <w:p w:rsidRPr="00C242EC" w:rsidR="0072224A" w:rsidP="0072224A" w:rsidRDefault="0072224A" w14:paraId="253024F3" w14:textId="77777777">
      <w:pPr>
        <w:pStyle w:val="Heading3"/>
        <w:spacing w:before="0" w:after="120"/>
        <w:rPr>
          <w:rFonts w:ascii="Times New Roman" w:hAnsi="Times New Roman" w:cs="Times New Roman"/>
          <w:sz w:val="24"/>
        </w:rPr>
      </w:pPr>
      <w:r w:rsidRPr="00C242EC">
        <w:rPr>
          <w:rFonts w:ascii="Times New Roman" w:hAnsi="Times New Roman" w:cs="Times New Roman"/>
          <w:sz w:val="24"/>
        </w:rPr>
        <w:t>8.</w:t>
      </w:r>
      <w:r w:rsidRPr="00C242EC">
        <w:rPr>
          <w:rFonts w:ascii="Times New Roman" w:hAnsi="Times New Roman" w:cs="Times New Roman"/>
          <w:sz w:val="24"/>
        </w:rPr>
        <w:tab/>
      </w:r>
      <w:r w:rsidRPr="00C242EC">
        <w:rPr>
          <w:rFonts w:ascii="Times New Roman" w:hAnsi="Times New Roman" w:cs="Times New Roman"/>
          <w:sz w:val="24"/>
        </w:rPr>
        <w:t>REFERENCES</w:t>
      </w:r>
    </w:p>
    <w:p w:rsidRPr="00C242EC" w:rsidR="0072224A" w:rsidP="00F07F51" w:rsidRDefault="00541548" w14:paraId="430646A9" w14:textId="77777777">
      <w:pPr>
        <w:autoSpaceDE w:val="0"/>
        <w:autoSpaceDN w:val="0"/>
        <w:adjustRightInd w:val="0"/>
        <w:rPr>
          <w:color w:val="0000FF"/>
          <w:sz w:val="22"/>
          <w:szCs w:val="22"/>
        </w:rPr>
      </w:pPr>
      <w:r w:rsidRPr="00C242EC">
        <w:t xml:space="preserve">1. </w:t>
      </w:r>
      <w:r w:rsidRPr="00C242EC">
        <w:rPr>
          <w:color w:val="000000"/>
          <w:sz w:val="22"/>
          <w:szCs w:val="22"/>
        </w:rPr>
        <w:t xml:space="preserve">Declaration of Helsinki, 2013: </w:t>
      </w:r>
      <w:r w:rsidRPr="00C242EC">
        <w:rPr>
          <w:color w:val="0000FF"/>
          <w:sz w:val="22"/>
          <w:szCs w:val="22"/>
        </w:rPr>
        <w:t xml:space="preserve">https://www.wma.net/policies-post/wma-declaration-ofhelsinki-ethical-principles-for-medical-research-involving-human-subjects/ </w:t>
      </w:r>
      <w:r w:rsidRPr="00C242EC">
        <w:rPr>
          <w:color w:val="000000"/>
          <w:sz w:val="22"/>
          <w:szCs w:val="22"/>
        </w:rPr>
        <w:t>accessed 10</w:t>
      </w:r>
      <w:r w:rsidRPr="00C242EC">
        <w:rPr>
          <w:color w:val="000000"/>
          <w:sz w:val="14"/>
          <w:szCs w:val="14"/>
          <w:vertAlign w:val="superscript"/>
        </w:rPr>
        <w:t>th</w:t>
      </w:r>
      <w:r w:rsidRPr="00C242EC" w:rsidR="00F07F51">
        <w:rPr>
          <w:color w:val="0000FF"/>
          <w:sz w:val="22"/>
          <w:szCs w:val="22"/>
        </w:rPr>
        <w:t xml:space="preserve"> </w:t>
      </w:r>
      <w:r w:rsidRPr="00C242EC">
        <w:rPr>
          <w:color w:val="000000"/>
          <w:sz w:val="22"/>
          <w:szCs w:val="22"/>
        </w:rPr>
        <w:t>March 2019</w:t>
      </w:r>
    </w:p>
    <w:p w:rsidRPr="00C242EC" w:rsidR="00541548" w:rsidP="00541548" w:rsidRDefault="00541548" w14:paraId="62D186B4" w14:textId="77777777">
      <w:pPr>
        <w:rPr>
          <w:color w:val="000000"/>
          <w:sz w:val="22"/>
          <w:szCs w:val="22"/>
        </w:rPr>
      </w:pPr>
    </w:p>
    <w:p w:rsidRPr="00C242EC" w:rsidR="00541548" w:rsidP="00F07F51" w:rsidRDefault="00541548" w14:paraId="1B2981E8" w14:textId="77777777">
      <w:pPr>
        <w:rPr>
          <w:color w:val="000000"/>
        </w:rPr>
      </w:pPr>
      <w:r w:rsidRPr="00C242EC">
        <w:rPr>
          <w:color w:val="000000"/>
        </w:rPr>
        <w:t xml:space="preserve">2. </w:t>
      </w:r>
      <w:r w:rsidRPr="00C242EC" w:rsidR="00F07F51">
        <w:rPr>
          <w:color w:val="000000"/>
        </w:rPr>
        <w:t xml:space="preserve">International Conference on Harmonisation (ICH) Guideline </w:t>
      </w:r>
      <w:proofErr w:type="gramStart"/>
      <w:r w:rsidRPr="00C242EC" w:rsidR="00F07F51">
        <w:rPr>
          <w:color w:val="000000"/>
        </w:rPr>
        <w:t>For</w:t>
      </w:r>
      <w:proofErr w:type="gramEnd"/>
      <w:r w:rsidRPr="00C242EC" w:rsidR="00F07F51">
        <w:rPr>
          <w:color w:val="000000"/>
        </w:rPr>
        <w:t xml:space="preserve"> Good Clinical Practice E6(R1), 1996</w:t>
      </w:r>
    </w:p>
    <w:p w:rsidRPr="00C242EC" w:rsidR="0072224A" w:rsidP="0032009F" w:rsidRDefault="0072224A" w14:paraId="226964F2" w14:textId="77777777"/>
    <w:p w:rsidRPr="00C242EC" w:rsidR="00B00399" w:rsidP="00B34AAA" w:rsidRDefault="00F07F51" w14:paraId="40524C37" w14:textId="57E99810">
      <w:r w:rsidRPr="00C242EC">
        <w:t xml:space="preserve">3. </w:t>
      </w:r>
      <w:r w:rsidRPr="00C242EC" w:rsidR="00EB7B4F">
        <w:t>RMC trial</w:t>
      </w:r>
      <w:r w:rsidRPr="00C242EC">
        <w:t xml:space="preserve"> Protocol</w:t>
      </w:r>
    </w:p>
    <w:sectPr w:rsidRPr="00C242EC" w:rsidR="00B00399" w:rsidSect="001A31CD">
      <w:headerReference w:type="default" r:id="rId11"/>
      <w:footerReference w:type="default" r:id="rId12"/>
      <w:pgSz w:w="11906" w:h="16838" w:orient="portrait" w:code="9"/>
      <w:pgMar w:top="2173" w:right="1797" w:bottom="1418" w:left="1797" w:header="951" w:footer="26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073E5" w:rsidRDefault="006073E5" w14:paraId="277682A9" w14:textId="77777777">
      <w:r>
        <w:separator/>
      </w:r>
    </w:p>
  </w:endnote>
  <w:endnote w:type="continuationSeparator" w:id="0">
    <w:p w:rsidR="006073E5" w:rsidRDefault="006073E5" w14:paraId="1A747CC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FGHJPK+Tahoma">
    <w:altName w:val="Tahoma"/>
    <w:panose1 w:val="00000000000000000000"/>
    <w:charset w:val="00"/>
    <w:family w:val="swiss"/>
    <w:notTrueType/>
    <w:pitch w:val="default"/>
    <w:sig w:usb0="00000003" w:usb1="00000000" w:usb2="00000000" w:usb3="00000000" w:csb0="00000001" w:csb1="00000000"/>
  </w:font>
  <w:font w:name="SymbolMT">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2204497"/>
      <w:docPartObj>
        <w:docPartGallery w:val="Page Numbers (Bottom of Page)"/>
        <w:docPartUnique/>
      </w:docPartObj>
    </w:sdtPr>
    <w:sdtEndPr>
      <w:rPr>
        <w:noProof/>
      </w:rPr>
    </w:sdtEndPr>
    <w:sdtContent>
      <w:p w:rsidR="00C242EC" w:rsidRDefault="00C242EC" w14:paraId="5410FA46" w14:textId="3EA0CE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Pr="00C242EC" w:rsidR="00950D33" w:rsidP="00C242EC" w:rsidRDefault="00950D33" w14:paraId="75A0A6C3" w14:textId="54E5C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073E5" w:rsidRDefault="006073E5" w14:paraId="58EC4224" w14:textId="77777777">
      <w:r>
        <w:separator/>
      </w:r>
    </w:p>
  </w:footnote>
  <w:footnote w:type="continuationSeparator" w:id="0">
    <w:p w:rsidR="006073E5" w:rsidRDefault="006073E5" w14:paraId="26D32C4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E0995" w:rsidP="002E0995" w:rsidRDefault="002E0995" w14:paraId="44CCFD3C" w14:textId="559CDCE3">
    <w:pPr>
      <w:pStyle w:val="Header"/>
      <w:rPr>
        <w:i/>
        <w:iCs/>
      </w:rPr>
    </w:pPr>
    <w:r>
      <w:rPr>
        <w:i/>
        <w:iCs/>
        <w:noProof/>
      </w:rPr>
      <w:drawing>
        <wp:inline distT="0" distB="0" distL="0" distR="0" wp14:anchorId="071BC968" wp14:editId="500A4FC1">
          <wp:extent cx="576893" cy="544026"/>
          <wp:effectExtent l="0" t="0" r="0" b="8890"/>
          <wp:docPr id="18288238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882" cy="575136"/>
                  </a:xfrm>
                  <a:prstGeom prst="rect">
                    <a:avLst/>
                  </a:prstGeom>
                  <a:noFill/>
                </pic:spPr>
              </pic:pic>
            </a:graphicData>
          </a:graphic>
        </wp:inline>
      </w:drawing>
    </w:r>
    <w:r>
      <w:rPr>
        <w:i/>
        <w:iCs/>
      </w:rPr>
      <w:t xml:space="preserve">               </w:t>
    </w:r>
    <w:proofErr w:type="spellStart"/>
    <w:r w:rsidRPr="00C242EC">
      <w:rPr>
        <w:i/>
        <w:iCs/>
        <w:sz w:val="20"/>
        <w:szCs w:val="20"/>
      </w:rPr>
      <w:t>SOP_</w:t>
    </w:r>
    <w:r w:rsidRPr="00C242EC" w:rsidR="00C242EC">
      <w:rPr>
        <w:i/>
        <w:iCs/>
        <w:sz w:val="20"/>
        <w:szCs w:val="20"/>
      </w:rPr>
      <w:t>Withdrawal</w:t>
    </w:r>
    <w:r w:rsidRPr="00C242EC">
      <w:rPr>
        <w:i/>
        <w:iCs/>
        <w:sz w:val="20"/>
        <w:szCs w:val="20"/>
      </w:rPr>
      <w:t>_ver</w:t>
    </w:r>
    <w:proofErr w:type="spellEnd"/>
    <w:r w:rsidRPr="00C242EC">
      <w:rPr>
        <w:i/>
        <w:iCs/>
        <w:sz w:val="20"/>
        <w:szCs w:val="20"/>
      </w:rPr>
      <w:t xml:space="preserve"> 1.0                         </w:t>
    </w:r>
    <w:r>
      <w:rPr>
        <w:i/>
        <w:iCs/>
        <w:noProof/>
      </w:rPr>
      <w:drawing>
        <wp:inline distT="0" distB="0" distL="0" distR="0" wp14:anchorId="36A28910" wp14:editId="1470FE83">
          <wp:extent cx="1363980" cy="495966"/>
          <wp:effectExtent l="0" t="0" r="7620" b="0"/>
          <wp:docPr id="872071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0353" cy="520101"/>
                  </a:xfrm>
                  <a:prstGeom prst="rect">
                    <a:avLst/>
                  </a:prstGeom>
                  <a:noFill/>
                </pic:spPr>
              </pic:pic>
            </a:graphicData>
          </a:graphic>
        </wp:inline>
      </w:drawing>
    </w:r>
    <w:r>
      <w:rPr>
        <w:i/>
        <w:iCs/>
      </w:rPr>
      <w:t xml:space="preserve">                                                                  </w:t>
    </w:r>
    <w:r>
      <w:rPr>
        <w:i/>
        <w:iCs/>
        <w:noProof/>
      </w:rPr>
      <w:t xml:space="preserve">            </w:t>
    </w:r>
  </w:p>
  <w:p w:rsidR="00950D33" w:rsidRDefault="00950D33" w14:paraId="5A6246C8" w14:textId="05E520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695DD8"/>
    <w:multiLevelType w:val="hybridMultilevel"/>
    <w:tmpl w:val="E1DA0808"/>
    <w:lvl w:ilvl="0" w:tplc="F2B80926">
      <w:numFmt w:val="bullet"/>
      <w:lvlText w:val="-"/>
      <w:lvlJc w:val="left"/>
      <w:pPr>
        <w:ind w:left="1440" w:hanging="360"/>
      </w:pPr>
      <w:rPr>
        <w:rFonts w:hint="default" w:ascii="Times New Roman" w:hAnsi="Times New Roman" w:eastAsia="Times New Roman" w:cs="Times New Roman"/>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hint="default" w:ascii="Symbol" w:hAnsi="Symbol"/>
      </w:rPr>
    </w:lvl>
  </w:abstractNum>
  <w:abstractNum w:abstractNumId="2" w15:restartNumberingAfterBreak="0">
    <w:nsid w:val="31DD1792"/>
    <w:multiLevelType w:val="hybridMultilevel"/>
    <w:tmpl w:val="A1AA880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E2543E8"/>
    <w:multiLevelType w:val="hybridMultilevel"/>
    <w:tmpl w:val="E4EE3460"/>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4" w15:restartNumberingAfterBreak="0">
    <w:nsid w:val="521D5AE6"/>
    <w:multiLevelType w:val="hybridMultilevel"/>
    <w:tmpl w:val="1F4C1A1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57214F49"/>
    <w:multiLevelType w:val="hybridMultilevel"/>
    <w:tmpl w:val="3E7223E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 w15:restartNumberingAfterBreak="0">
    <w:nsid w:val="776773A0"/>
    <w:multiLevelType w:val="multilevel"/>
    <w:tmpl w:val="BCE8B0F2"/>
    <w:styleLink w:val="StyleOutlinenumbered"/>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390568487">
    <w:abstractNumId w:val="2"/>
  </w:num>
  <w:num w:numId="2" w16cid:durableId="684481196">
    <w:abstractNumId w:val="6"/>
  </w:num>
  <w:num w:numId="3" w16cid:durableId="1196387979">
    <w:abstractNumId w:val="1"/>
  </w:num>
  <w:num w:numId="4" w16cid:durableId="2076315765">
    <w:abstractNumId w:val="3"/>
  </w:num>
  <w:num w:numId="5" w16cid:durableId="937375305">
    <w:abstractNumId w:val="4"/>
  </w:num>
  <w:num w:numId="6" w16cid:durableId="598100606">
    <w:abstractNumId w:val="5"/>
  </w:num>
  <w:num w:numId="7" w16cid:durableId="1728213799">
    <w:abstractNumId w:val="0"/>
  </w:num>
  <w:numIdMacAtCleanup w:val="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E48"/>
    <w:rsid w:val="0000273A"/>
    <w:rsid w:val="000051BA"/>
    <w:rsid w:val="00005F9F"/>
    <w:rsid w:val="000224DD"/>
    <w:rsid w:val="00023840"/>
    <w:rsid w:val="00026AB6"/>
    <w:rsid w:val="000331EF"/>
    <w:rsid w:val="00051954"/>
    <w:rsid w:val="00053634"/>
    <w:rsid w:val="000607CA"/>
    <w:rsid w:val="000613E2"/>
    <w:rsid w:val="00065B69"/>
    <w:rsid w:val="0007118A"/>
    <w:rsid w:val="00080445"/>
    <w:rsid w:val="00081FDE"/>
    <w:rsid w:val="00082743"/>
    <w:rsid w:val="00085C15"/>
    <w:rsid w:val="00094E83"/>
    <w:rsid w:val="00096359"/>
    <w:rsid w:val="000A70BB"/>
    <w:rsid w:val="000B1155"/>
    <w:rsid w:val="000B1A0C"/>
    <w:rsid w:val="000B6265"/>
    <w:rsid w:val="00100741"/>
    <w:rsid w:val="00104A74"/>
    <w:rsid w:val="001110B7"/>
    <w:rsid w:val="00113472"/>
    <w:rsid w:val="0011631E"/>
    <w:rsid w:val="0012121B"/>
    <w:rsid w:val="00122303"/>
    <w:rsid w:val="00124B1D"/>
    <w:rsid w:val="001265AE"/>
    <w:rsid w:val="001268D5"/>
    <w:rsid w:val="00130746"/>
    <w:rsid w:val="00132690"/>
    <w:rsid w:val="00145FD9"/>
    <w:rsid w:val="00150828"/>
    <w:rsid w:val="00161645"/>
    <w:rsid w:val="0016325E"/>
    <w:rsid w:val="0017214C"/>
    <w:rsid w:val="00176D11"/>
    <w:rsid w:val="0017766D"/>
    <w:rsid w:val="00181903"/>
    <w:rsid w:val="001976C1"/>
    <w:rsid w:val="001A31CD"/>
    <w:rsid w:val="001B324C"/>
    <w:rsid w:val="001B6336"/>
    <w:rsid w:val="001C35EC"/>
    <w:rsid w:val="001D479B"/>
    <w:rsid w:val="001F2A16"/>
    <w:rsid w:val="001F2BF6"/>
    <w:rsid w:val="001F3CAC"/>
    <w:rsid w:val="001F6F20"/>
    <w:rsid w:val="0020184D"/>
    <w:rsid w:val="00216DA9"/>
    <w:rsid w:val="00232765"/>
    <w:rsid w:val="0023568B"/>
    <w:rsid w:val="002421F0"/>
    <w:rsid w:val="002425A6"/>
    <w:rsid w:val="00243181"/>
    <w:rsid w:val="00243E9B"/>
    <w:rsid w:val="00247DA0"/>
    <w:rsid w:val="002519AB"/>
    <w:rsid w:val="00252741"/>
    <w:rsid w:val="00260625"/>
    <w:rsid w:val="00260819"/>
    <w:rsid w:val="0026316A"/>
    <w:rsid w:val="002635E4"/>
    <w:rsid w:val="00267A12"/>
    <w:rsid w:val="002739AB"/>
    <w:rsid w:val="00277CB1"/>
    <w:rsid w:val="00277E5F"/>
    <w:rsid w:val="002A548D"/>
    <w:rsid w:val="002A764A"/>
    <w:rsid w:val="002C49BE"/>
    <w:rsid w:val="002D0705"/>
    <w:rsid w:val="002D6307"/>
    <w:rsid w:val="002E041F"/>
    <w:rsid w:val="002E0995"/>
    <w:rsid w:val="002E13DB"/>
    <w:rsid w:val="002E5F6A"/>
    <w:rsid w:val="002F285F"/>
    <w:rsid w:val="002F28A8"/>
    <w:rsid w:val="0032009F"/>
    <w:rsid w:val="00322556"/>
    <w:rsid w:val="00323AC1"/>
    <w:rsid w:val="00335E04"/>
    <w:rsid w:val="00340E7D"/>
    <w:rsid w:val="0036034A"/>
    <w:rsid w:val="0036528E"/>
    <w:rsid w:val="00367337"/>
    <w:rsid w:val="00372C18"/>
    <w:rsid w:val="00372F69"/>
    <w:rsid w:val="00375DFB"/>
    <w:rsid w:val="003A059B"/>
    <w:rsid w:val="003B7C24"/>
    <w:rsid w:val="003C1D80"/>
    <w:rsid w:val="003C1F1E"/>
    <w:rsid w:val="003C3587"/>
    <w:rsid w:val="003C3B4D"/>
    <w:rsid w:val="003D1397"/>
    <w:rsid w:val="003D7023"/>
    <w:rsid w:val="003E52A6"/>
    <w:rsid w:val="003E7A56"/>
    <w:rsid w:val="003E7FA1"/>
    <w:rsid w:val="00413F11"/>
    <w:rsid w:val="00414E3A"/>
    <w:rsid w:val="00422627"/>
    <w:rsid w:val="00425618"/>
    <w:rsid w:val="0043099A"/>
    <w:rsid w:val="00431BC0"/>
    <w:rsid w:val="00432371"/>
    <w:rsid w:val="00433F70"/>
    <w:rsid w:val="004366C8"/>
    <w:rsid w:val="0044381E"/>
    <w:rsid w:val="004448A3"/>
    <w:rsid w:val="00444CB4"/>
    <w:rsid w:val="00447ED5"/>
    <w:rsid w:val="004601DD"/>
    <w:rsid w:val="00460BEE"/>
    <w:rsid w:val="00460E33"/>
    <w:rsid w:val="00464E20"/>
    <w:rsid w:val="004710AE"/>
    <w:rsid w:val="00474DD2"/>
    <w:rsid w:val="00483B0D"/>
    <w:rsid w:val="00486688"/>
    <w:rsid w:val="004A3E79"/>
    <w:rsid w:val="004A4226"/>
    <w:rsid w:val="004B019A"/>
    <w:rsid w:val="004C2422"/>
    <w:rsid w:val="004C4187"/>
    <w:rsid w:val="004C42DC"/>
    <w:rsid w:val="004D31A2"/>
    <w:rsid w:val="004D4AB5"/>
    <w:rsid w:val="004D65E0"/>
    <w:rsid w:val="004E3C37"/>
    <w:rsid w:val="004E67F9"/>
    <w:rsid w:val="0050566E"/>
    <w:rsid w:val="00506048"/>
    <w:rsid w:val="00506956"/>
    <w:rsid w:val="005122A6"/>
    <w:rsid w:val="00517AE3"/>
    <w:rsid w:val="00520703"/>
    <w:rsid w:val="005210CF"/>
    <w:rsid w:val="00523CB0"/>
    <w:rsid w:val="00527356"/>
    <w:rsid w:val="0053643C"/>
    <w:rsid w:val="0053688A"/>
    <w:rsid w:val="00541548"/>
    <w:rsid w:val="00550387"/>
    <w:rsid w:val="00564242"/>
    <w:rsid w:val="00567CB3"/>
    <w:rsid w:val="005712CF"/>
    <w:rsid w:val="00584775"/>
    <w:rsid w:val="005872F2"/>
    <w:rsid w:val="00593A48"/>
    <w:rsid w:val="005976A1"/>
    <w:rsid w:val="005976CB"/>
    <w:rsid w:val="005B413B"/>
    <w:rsid w:val="005D495C"/>
    <w:rsid w:val="005E0448"/>
    <w:rsid w:val="005F70AA"/>
    <w:rsid w:val="005F7935"/>
    <w:rsid w:val="006042D1"/>
    <w:rsid w:val="006073E5"/>
    <w:rsid w:val="00611CE9"/>
    <w:rsid w:val="006147CC"/>
    <w:rsid w:val="006149E6"/>
    <w:rsid w:val="00626D87"/>
    <w:rsid w:val="0064637F"/>
    <w:rsid w:val="00647E6E"/>
    <w:rsid w:val="00653848"/>
    <w:rsid w:val="00657561"/>
    <w:rsid w:val="00657680"/>
    <w:rsid w:val="006577A3"/>
    <w:rsid w:val="006602B9"/>
    <w:rsid w:val="00662F95"/>
    <w:rsid w:val="0066467C"/>
    <w:rsid w:val="00666D71"/>
    <w:rsid w:val="006710D5"/>
    <w:rsid w:val="00672802"/>
    <w:rsid w:val="0067667E"/>
    <w:rsid w:val="006770F2"/>
    <w:rsid w:val="006902EC"/>
    <w:rsid w:val="0069657F"/>
    <w:rsid w:val="006A04B2"/>
    <w:rsid w:val="006A0ABB"/>
    <w:rsid w:val="006A2E04"/>
    <w:rsid w:val="006A3DE2"/>
    <w:rsid w:val="006B37A1"/>
    <w:rsid w:val="006B7665"/>
    <w:rsid w:val="006C22B7"/>
    <w:rsid w:val="006D539B"/>
    <w:rsid w:val="006D7551"/>
    <w:rsid w:val="006F6C77"/>
    <w:rsid w:val="007022F7"/>
    <w:rsid w:val="00704C75"/>
    <w:rsid w:val="0070630B"/>
    <w:rsid w:val="00707187"/>
    <w:rsid w:val="00717F90"/>
    <w:rsid w:val="0072224A"/>
    <w:rsid w:val="007266B4"/>
    <w:rsid w:val="00732846"/>
    <w:rsid w:val="00734EE1"/>
    <w:rsid w:val="00763DC9"/>
    <w:rsid w:val="0077216D"/>
    <w:rsid w:val="00774795"/>
    <w:rsid w:val="007843B2"/>
    <w:rsid w:val="007A2D53"/>
    <w:rsid w:val="007A75B8"/>
    <w:rsid w:val="007B60C0"/>
    <w:rsid w:val="007C3F1F"/>
    <w:rsid w:val="007D39E7"/>
    <w:rsid w:val="007D44A2"/>
    <w:rsid w:val="007E332E"/>
    <w:rsid w:val="007F0236"/>
    <w:rsid w:val="007F45E1"/>
    <w:rsid w:val="00827917"/>
    <w:rsid w:val="00833A47"/>
    <w:rsid w:val="008353F0"/>
    <w:rsid w:val="00836C5D"/>
    <w:rsid w:val="00843AE0"/>
    <w:rsid w:val="008470C0"/>
    <w:rsid w:val="00847642"/>
    <w:rsid w:val="0086039B"/>
    <w:rsid w:val="00882C2F"/>
    <w:rsid w:val="00891AA0"/>
    <w:rsid w:val="00893A6D"/>
    <w:rsid w:val="008954BE"/>
    <w:rsid w:val="008B3C49"/>
    <w:rsid w:val="008C21E9"/>
    <w:rsid w:val="008C51E9"/>
    <w:rsid w:val="008D2A62"/>
    <w:rsid w:val="008D5323"/>
    <w:rsid w:val="008D629A"/>
    <w:rsid w:val="008E05F5"/>
    <w:rsid w:val="008E37F1"/>
    <w:rsid w:val="008E3B26"/>
    <w:rsid w:val="008F1E48"/>
    <w:rsid w:val="009026A3"/>
    <w:rsid w:val="00912A26"/>
    <w:rsid w:val="00914627"/>
    <w:rsid w:val="009231E2"/>
    <w:rsid w:val="00924710"/>
    <w:rsid w:val="00924EE6"/>
    <w:rsid w:val="0092595B"/>
    <w:rsid w:val="0093576A"/>
    <w:rsid w:val="00936AF7"/>
    <w:rsid w:val="0093750C"/>
    <w:rsid w:val="009421BC"/>
    <w:rsid w:val="009432CC"/>
    <w:rsid w:val="00945A7D"/>
    <w:rsid w:val="00950D33"/>
    <w:rsid w:val="00951999"/>
    <w:rsid w:val="00952981"/>
    <w:rsid w:val="009540C0"/>
    <w:rsid w:val="00954AF0"/>
    <w:rsid w:val="009621F3"/>
    <w:rsid w:val="00962BBE"/>
    <w:rsid w:val="00965F4C"/>
    <w:rsid w:val="00981432"/>
    <w:rsid w:val="00985646"/>
    <w:rsid w:val="00987C3A"/>
    <w:rsid w:val="009A3FB2"/>
    <w:rsid w:val="009C1D24"/>
    <w:rsid w:val="009C5A3D"/>
    <w:rsid w:val="009E083B"/>
    <w:rsid w:val="009E3080"/>
    <w:rsid w:val="009E308B"/>
    <w:rsid w:val="009E5487"/>
    <w:rsid w:val="009F1E3C"/>
    <w:rsid w:val="00A03797"/>
    <w:rsid w:val="00A045D8"/>
    <w:rsid w:val="00A0792D"/>
    <w:rsid w:val="00A20B6F"/>
    <w:rsid w:val="00A2431C"/>
    <w:rsid w:val="00A25A79"/>
    <w:rsid w:val="00A33589"/>
    <w:rsid w:val="00A34580"/>
    <w:rsid w:val="00A41E91"/>
    <w:rsid w:val="00A5725C"/>
    <w:rsid w:val="00A74C9D"/>
    <w:rsid w:val="00A87CD9"/>
    <w:rsid w:val="00A910D9"/>
    <w:rsid w:val="00A95537"/>
    <w:rsid w:val="00AA2A6D"/>
    <w:rsid w:val="00AA7ED9"/>
    <w:rsid w:val="00AB1763"/>
    <w:rsid w:val="00AD1808"/>
    <w:rsid w:val="00AD6F5E"/>
    <w:rsid w:val="00AE31A7"/>
    <w:rsid w:val="00AF0CD5"/>
    <w:rsid w:val="00AF1759"/>
    <w:rsid w:val="00AF2839"/>
    <w:rsid w:val="00AF7582"/>
    <w:rsid w:val="00B00399"/>
    <w:rsid w:val="00B0087D"/>
    <w:rsid w:val="00B00EBA"/>
    <w:rsid w:val="00B12B27"/>
    <w:rsid w:val="00B22B64"/>
    <w:rsid w:val="00B31D5F"/>
    <w:rsid w:val="00B34AAA"/>
    <w:rsid w:val="00B44615"/>
    <w:rsid w:val="00B44A57"/>
    <w:rsid w:val="00B479E7"/>
    <w:rsid w:val="00B51DEE"/>
    <w:rsid w:val="00B5737B"/>
    <w:rsid w:val="00B7768A"/>
    <w:rsid w:val="00B82B28"/>
    <w:rsid w:val="00B91E1E"/>
    <w:rsid w:val="00B92BF8"/>
    <w:rsid w:val="00BC683C"/>
    <w:rsid w:val="00BD607E"/>
    <w:rsid w:val="00BD67F0"/>
    <w:rsid w:val="00BD6D10"/>
    <w:rsid w:val="00BD7C34"/>
    <w:rsid w:val="00BE09B8"/>
    <w:rsid w:val="00BE61FE"/>
    <w:rsid w:val="00BE6715"/>
    <w:rsid w:val="00BE7D16"/>
    <w:rsid w:val="00C04665"/>
    <w:rsid w:val="00C04729"/>
    <w:rsid w:val="00C15CE7"/>
    <w:rsid w:val="00C16591"/>
    <w:rsid w:val="00C242EC"/>
    <w:rsid w:val="00C41848"/>
    <w:rsid w:val="00C41FF0"/>
    <w:rsid w:val="00C43591"/>
    <w:rsid w:val="00C52A5F"/>
    <w:rsid w:val="00C610D8"/>
    <w:rsid w:val="00C64CE8"/>
    <w:rsid w:val="00C67404"/>
    <w:rsid w:val="00C923EA"/>
    <w:rsid w:val="00C93B21"/>
    <w:rsid w:val="00CA4548"/>
    <w:rsid w:val="00CA77E4"/>
    <w:rsid w:val="00CB1063"/>
    <w:rsid w:val="00CC4470"/>
    <w:rsid w:val="00CC4F34"/>
    <w:rsid w:val="00CC6807"/>
    <w:rsid w:val="00CF4D40"/>
    <w:rsid w:val="00CF4FB9"/>
    <w:rsid w:val="00CF545C"/>
    <w:rsid w:val="00CF63A5"/>
    <w:rsid w:val="00CF7673"/>
    <w:rsid w:val="00D03DA4"/>
    <w:rsid w:val="00D17665"/>
    <w:rsid w:val="00D234C9"/>
    <w:rsid w:val="00D26A9D"/>
    <w:rsid w:val="00D26FEA"/>
    <w:rsid w:val="00D274CF"/>
    <w:rsid w:val="00D33285"/>
    <w:rsid w:val="00D42694"/>
    <w:rsid w:val="00D44F8A"/>
    <w:rsid w:val="00D6117A"/>
    <w:rsid w:val="00D61C4D"/>
    <w:rsid w:val="00D62D1D"/>
    <w:rsid w:val="00D65516"/>
    <w:rsid w:val="00D71EA9"/>
    <w:rsid w:val="00D74E3B"/>
    <w:rsid w:val="00D75E24"/>
    <w:rsid w:val="00D82D41"/>
    <w:rsid w:val="00D83478"/>
    <w:rsid w:val="00D86354"/>
    <w:rsid w:val="00D87CC1"/>
    <w:rsid w:val="00D974A1"/>
    <w:rsid w:val="00DA30D0"/>
    <w:rsid w:val="00DB14F7"/>
    <w:rsid w:val="00DC385E"/>
    <w:rsid w:val="00DD2A19"/>
    <w:rsid w:val="00DD5A39"/>
    <w:rsid w:val="00DD7A97"/>
    <w:rsid w:val="00DE78C2"/>
    <w:rsid w:val="00DE7DEF"/>
    <w:rsid w:val="00E05FB4"/>
    <w:rsid w:val="00E13053"/>
    <w:rsid w:val="00E16029"/>
    <w:rsid w:val="00E24D1B"/>
    <w:rsid w:val="00E31DD3"/>
    <w:rsid w:val="00E32991"/>
    <w:rsid w:val="00E33212"/>
    <w:rsid w:val="00E34CBA"/>
    <w:rsid w:val="00E4465F"/>
    <w:rsid w:val="00E45FE4"/>
    <w:rsid w:val="00E46964"/>
    <w:rsid w:val="00E650DC"/>
    <w:rsid w:val="00E713F5"/>
    <w:rsid w:val="00E775CC"/>
    <w:rsid w:val="00E9070A"/>
    <w:rsid w:val="00E92A2A"/>
    <w:rsid w:val="00E94EDE"/>
    <w:rsid w:val="00E95037"/>
    <w:rsid w:val="00E955F1"/>
    <w:rsid w:val="00EA187D"/>
    <w:rsid w:val="00EA1CA0"/>
    <w:rsid w:val="00EA41E9"/>
    <w:rsid w:val="00EA6C08"/>
    <w:rsid w:val="00EB1E55"/>
    <w:rsid w:val="00EB7485"/>
    <w:rsid w:val="00EB7B4F"/>
    <w:rsid w:val="00EC7124"/>
    <w:rsid w:val="00EC7B4A"/>
    <w:rsid w:val="00ED0C6D"/>
    <w:rsid w:val="00EF5946"/>
    <w:rsid w:val="00F040D6"/>
    <w:rsid w:val="00F06D82"/>
    <w:rsid w:val="00F07F51"/>
    <w:rsid w:val="00F1510C"/>
    <w:rsid w:val="00F15A7F"/>
    <w:rsid w:val="00F160FF"/>
    <w:rsid w:val="00F17769"/>
    <w:rsid w:val="00F20186"/>
    <w:rsid w:val="00F2222E"/>
    <w:rsid w:val="00F26C2A"/>
    <w:rsid w:val="00F4011D"/>
    <w:rsid w:val="00F44F2D"/>
    <w:rsid w:val="00F50057"/>
    <w:rsid w:val="00F5730F"/>
    <w:rsid w:val="00F57720"/>
    <w:rsid w:val="00F6556A"/>
    <w:rsid w:val="00F67962"/>
    <w:rsid w:val="00F7727A"/>
    <w:rsid w:val="00F83163"/>
    <w:rsid w:val="00F96E66"/>
    <w:rsid w:val="00FA64EF"/>
    <w:rsid w:val="00FA78E5"/>
    <w:rsid w:val="00FB3ED9"/>
    <w:rsid w:val="00FB537A"/>
    <w:rsid w:val="00FF3476"/>
    <w:rsid w:val="00FF5E8F"/>
    <w:rsid w:val="2D10F97F"/>
    <w:rsid w:val="36D14CEC"/>
    <w:rsid w:val="5256B808"/>
    <w:rsid w:val="53EE2F55"/>
    <w:rsid w:val="6BD4457A"/>
    <w:rsid w:val="7996EC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D6B92D"/>
  <w15:chartTrackingRefBased/>
  <w15:docId w15:val="{37E06022-19F4-D24E-96FE-AC5D415C99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0"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7A2D5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4465F"/>
    <w:pPr>
      <w:keepNext/>
      <w:spacing w:before="240" w:after="60"/>
      <w:outlineLvl w:val="1"/>
    </w:pPr>
    <w:rPr>
      <w:rFonts w:ascii="Arial" w:hAnsi="Arial" w:cs="Arial"/>
      <w:b/>
      <w:bCs/>
      <w:i/>
      <w:iCs/>
      <w:sz w:val="28"/>
      <w:szCs w:val="28"/>
      <w:lang w:eastAsia="en-US"/>
    </w:rPr>
  </w:style>
  <w:style w:type="paragraph" w:styleId="Heading3">
    <w:name w:val="heading 3"/>
    <w:basedOn w:val="Normal"/>
    <w:next w:val="Normal"/>
    <w:qFormat/>
    <w:rsid w:val="005F7935"/>
    <w:pPr>
      <w:keepNext/>
      <w:spacing w:before="240" w:after="60"/>
      <w:outlineLvl w:val="2"/>
    </w:pPr>
    <w:rPr>
      <w:rFonts w:ascii="Arial" w:hAnsi="Arial" w:cs="Arial"/>
      <w:b/>
      <w:bCs/>
      <w:sz w:val="26"/>
      <w:szCs w:val="26"/>
    </w:rPr>
  </w:style>
  <w:style w:type="paragraph" w:styleId="Heading5">
    <w:name w:val="heading 5"/>
    <w:basedOn w:val="Normal"/>
    <w:next w:val="Normal"/>
    <w:qFormat/>
    <w:pPr>
      <w:keepNext/>
      <w:outlineLvl w:val="4"/>
    </w:pPr>
    <w:rPr>
      <w:rFonts w:ascii="Albertus Extra Bold" w:hAnsi="Albertus Extra Bold"/>
      <w:sz w:val="72"/>
      <w:szCs w:val="20"/>
      <w:lang w:eastAsia="en-US"/>
    </w:rPr>
  </w:style>
  <w:style w:type="paragraph" w:styleId="Heading6">
    <w:name w:val="heading 6"/>
    <w:basedOn w:val="Normal"/>
    <w:next w:val="Normal"/>
    <w:link w:val="Heading6Char"/>
    <w:qFormat/>
    <w:rsid w:val="00D71EA9"/>
    <w:pPr>
      <w:spacing w:before="240" w:after="60"/>
      <w:outlineLvl w:val="5"/>
    </w:pPr>
    <w:rPr>
      <w:b/>
      <w:bCs/>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360"/>
      </w:tabs>
      <w:spacing w:before="240"/>
      <w:ind w:left="360"/>
      <w:jc w:val="both"/>
    </w:pPr>
  </w:style>
  <w:style w:type="paragraph" w:styleId="BodyText">
    <w:name w:val="Body Text"/>
    <w:basedOn w:val="Normal"/>
    <w:pPr>
      <w:spacing w:after="120"/>
    </w:pPr>
  </w:style>
  <w:style w:type="character" w:styleId="Hyperlink">
    <w:name w:val="Hyperlink"/>
    <w:uiPriority w:val="99"/>
    <w:rPr>
      <w:color w:val="0000FF"/>
      <w:u w:val="single"/>
    </w:rPr>
  </w:style>
  <w:style w:type="paragraph" w:styleId="BodyTextIndent2">
    <w:name w:val="Body Text Indent 2"/>
    <w:basedOn w:val="Normal"/>
    <w:pPr>
      <w:ind w:left="1440" w:hanging="1440"/>
    </w:pPr>
    <w:rPr>
      <w:rFonts w:ascii="Arial" w:hAnsi="Arial"/>
    </w:rPr>
  </w:style>
  <w:style w:type="paragraph" w:styleId="BodyText2">
    <w:name w:val="Body Text 2"/>
    <w:basedOn w:val="Normal"/>
    <w:pPr>
      <w:jc w:val="both"/>
    </w:pPr>
    <w:rPr>
      <w:rFonts w:ascii="Arial" w:hAnsi="Arial" w:cs="Arial"/>
    </w:rPr>
  </w:style>
  <w:style w:type="paragraph" w:styleId="BalloonText">
    <w:name w:val="Balloon Text"/>
    <w:basedOn w:val="Normal"/>
    <w:semiHidden/>
    <w:rsid w:val="00626D87"/>
    <w:rPr>
      <w:rFonts w:ascii="Tahoma" w:hAnsi="Tahoma" w:cs="Tahoma"/>
      <w:sz w:val="16"/>
      <w:szCs w:val="16"/>
    </w:rPr>
  </w:style>
  <w:style w:type="paragraph" w:styleId="MessageHeader">
    <w:name w:val="Message Header"/>
    <w:basedOn w:val="BodyText"/>
    <w:rsid w:val="00E4465F"/>
    <w:pPr>
      <w:keepLines/>
      <w:tabs>
        <w:tab w:val="left" w:pos="720"/>
        <w:tab w:val="left" w:pos="4320"/>
        <w:tab w:val="left" w:pos="5040"/>
        <w:tab w:val="right" w:pos="8640"/>
      </w:tabs>
      <w:spacing w:after="40" w:line="440" w:lineRule="atLeast"/>
      <w:ind w:left="720" w:hanging="720"/>
    </w:pPr>
    <w:rPr>
      <w:rFonts w:ascii="Arial" w:hAnsi="Arial"/>
      <w:spacing w:val="-5"/>
      <w:sz w:val="20"/>
      <w:szCs w:val="20"/>
      <w:lang w:eastAsia="en-US"/>
    </w:rPr>
  </w:style>
  <w:style w:type="character" w:styleId="MessageHeaderLabel" w:customStyle="1">
    <w:name w:val="Message Header Label"/>
    <w:rsid w:val="00E4465F"/>
    <w:rPr>
      <w:rFonts w:hint="default" w:ascii="Arial" w:hAnsi="Arial"/>
      <w:sz w:val="22"/>
    </w:rPr>
  </w:style>
  <w:style w:type="table" w:styleId="TableGrid">
    <w:name w:val="Table Grid"/>
    <w:basedOn w:val="TableNormal"/>
    <w:rsid w:val="00E4465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link w:val="Heading2"/>
    <w:rsid w:val="00E4465F"/>
    <w:rPr>
      <w:rFonts w:ascii="Arial" w:hAnsi="Arial" w:cs="Arial"/>
      <w:b/>
      <w:bCs/>
      <w:i/>
      <w:iCs/>
      <w:sz w:val="28"/>
      <w:szCs w:val="28"/>
      <w:lang w:val="en-GB" w:eastAsia="en-US" w:bidi="ar-SA"/>
    </w:rPr>
  </w:style>
  <w:style w:type="paragraph" w:styleId="Default" w:customStyle="1">
    <w:name w:val="Default"/>
    <w:rsid w:val="00AB1763"/>
    <w:pPr>
      <w:autoSpaceDE w:val="0"/>
      <w:autoSpaceDN w:val="0"/>
      <w:adjustRightInd w:val="0"/>
    </w:pPr>
    <w:rPr>
      <w:rFonts w:ascii="FGHJPK+Tahoma" w:hAnsi="FGHJPK+Tahoma" w:cs="FGHJPK+Tahoma"/>
      <w:color w:val="000000"/>
      <w:sz w:val="24"/>
      <w:szCs w:val="24"/>
    </w:rPr>
  </w:style>
  <w:style w:type="character" w:styleId="FollowedHyperlink">
    <w:name w:val="FollowedHyperlink"/>
    <w:rsid w:val="007A2D53"/>
    <w:rPr>
      <w:color w:val="800080"/>
      <w:u w:val="single"/>
    </w:rPr>
  </w:style>
  <w:style w:type="character" w:styleId="CommentReference">
    <w:name w:val="annotation reference"/>
    <w:uiPriority w:val="99"/>
    <w:semiHidden/>
    <w:unhideWhenUsed/>
    <w:rsid w:val="00987C3A"/>
    <w:rPr>
      <w:sz w:val="16"/>
      <w:szCs w:val="16"/>
    </w:rPr>
  </w:style>
  <w:style w:type="paragraph" w:styleId="CommentText">
    <w:name w:val="annotation text"/>
    <w:basedOn w:val="Normal"/>
    <w:link w:val="CommentTextChar"/>
    <w:uiPriority w:val="99"/>
    <w:semiHidden/>
    <w:unhideWhenUsed/>
    <w:rsid w:val="00987C3A"/>
    <w:rPr>
      <w:sz w:val="20"/>
      <w:szCs w:val="20"/>
    </w:rPr>
  </w:style>
  <w:style w:type="character" w:styleId="CommentTextChar" w:customStyle="1">
    <w:name w:val="Comment Text Char"/>
    <w:basedOn w:val="DefaultParagraphFont"/>
    <w:link w:val="CommentText"/>
    <w:uiPriority w:val="99"/>
    <w:semiHidden/>
    <w:rsid w:val="00987C3A"/>
  </w:style>
  <w:style w:type="paragraph" w:styleId="CommentSubject">
    <w:name w:val="annotation subject"/>
    <w:basedOn w:val="CommentText"/>
    <w:next w:val="CommentText"/>
    <w:link w:val="CommentSubjectChar"/>
    <w:uiPriority w:val="99"/>
    <w:semiHidden/>
    <w:unhideWhenUsed/>
    <w:rsid w:val="00987C3A"/>
    <w:rPr>
      <w:b/>
      <w:bCs/>
    </w:rPr>
  </w:style>
  <w:style w:type="character" w:styleId="CommentSubjectChar" w:customStyle="1">
    <w:name w:val="Comment Subject Char"/>
    <w:link w:val="CommentSubject"/>
    <w:uiPriority w:val="99"/>
    <w:semiHidden/>
    <w:rsid w:val="00987C3A"/>
    <w:rPr>
      <w:b/>
      <w:bCs/>
    </w:rPr>
  </w:style>
  <w:style w:type="character" w:styleId="HeaderChar" w:customStyle="1">
    <w:name w:val="Header Char"/>
    <w:link w:val="Header"/>
    <w:uiPriority w:val="99"/>
    <w:rsid w:val="0007118A"/>
    <w:rPr>
      <w:sz w:val="24"/>
      <w:szCs w:val="24"/>
    </w:rPr>
  </w:style>
  <w:style w:type="paragraph" w:styleId="ListParagraph">
    <w:name w:val="List Paragraph"/>
    <w:basedOn w:val="Normal"/>
    <w:link w:val="ListParagraphChar"/>
    <w:uiPriority w:val="34"/>
    <w:qFormat/>
    <w:rsid w:val="002421F0"/>
    <w:pPr>
      <w:ind w:left="720"/>
      <w:contextualSpacing/>
    </w:pPr>
  </w:style>
  <w:style w:type="numbering" w:styleId="StyleOutlinenumbered" w:customStyle="1">
    <w:name w:val="Style Outline numbered"/>
    <w:basedOn w:val="NoList"/>
    <w:rsid w:val="00707187"/>
    <w:pPr>
      <w:numPr>
        <w:numId w:val="2"/>
      </w:numPr>
    </w:pPr>
  </w:style>
  <w:style w:type="character" w:styleId="ListParagraphChar" w:customStyle="1">
    <w:name w:val="List Paragraph Char"/>
    <w:basedOn w:val="DefaultParagraphFont"/>
    <w:link w:val="ListParagraph"/>
    <w:uiPriority w:val="34"/>
    <w:rsid w:val="00EA41E9"/>
    <w:rPr>
      <w:sz w:val="24"/>
      <w:szCs w:val="24"/>
    </w:rPr>
  </w:style>
  <w:style w:type="paragraph" w:styleId="listbull" w:customStyle="1">
    <w:name w:val="list:bull"/>
    <w:basedOn w:val="Normal"/>
    <w:link w:val="listbullChar"/>
    <w:rsid w:val="00EA41E9"/>
    <w:pPr>
      <w:numPr>
        <w:numId w:val="3"/>
      </w:numPr>
      <w:spacing w:after="120"/>
    </w:pPr>
    <w:rPr>
      <w:szCs w:val="20"/>
      <w:lang w:eastAsia="en-US"/>
    </w:rPr>
  </w:style>
  <w:style w:type="character" w:styleId="listbullChar" w:customStyle="1">
    <w:name w:val="list:bull Char"/>
    <w:basedOn w:val="DefaultParagraphFont"/>
    <w:link w:val="listbull"/>
    <w:rsid w:val="00EA41E9"/>
    <w:rPr>
      <w:sz w:val="24"/>
      <w:lang w:eastAsia="en-US"/>
    </w:rPr>
  </w:style>
  <w:style w:type="paragraph" w:styleId="TOC6">
    <w:name w:val="toc 6"/>
    <w:basedOn w:val="Normal"/>
    <w:next w:val="Normal"/>
    <w:autoRedefine/>
    <w:semiHidden/>
    <w:rsid w:val="009C1D24"/>
    <w:pPr>
      <w:ind w:left="880"/>
    </w:pPr>
    <w:rPr>
      <w:sz w:val="20"/>
      <w:szCs w:val="20"/>
    </w:rPr>
  </w:style>
  <w:style w:type="character" w:styleId="Heading6Char" w:customStyle="1">
    <w:name w:val="Heading 6 Char"/>
    <w:basedOn w:val="DefaultParagraphFont"/>
    <w:link w:val="Heading6"/>
    <w:rsid w:val="002E0995"/>
    <w:rPr>
      <w:b/>
      <w:bCs/>
      <w:sz w:val="22"/>
      <w:szCs w:val="22"/>
    </w:rPr>
  </w:style>
  <w:style w:type="character" w:styleId="FooterChar" w:customStyle="1">
    <w:name w:val="Footer Char"/>
    <w:basedOn w:val="DefaultParagraphFont"/>
    <w:link w:val="Footer"/>
    <w:uiPriority w:val="99"/>
    <w:rsid w:val="00C242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48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F8DC2-1F34-435E-83C5-1FC90BAE60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FA87B1-66B9-402C-BF1F-255581E2A5FA}">
  <ds:schemaRefs>
    <ds:schemaRef ds:uri="http://schemas.microsoft.com/sharepoint/v3/contenttype/forms"/>
  </ds:schemaRefs>
</ds:datastoreItem>
</file>

<file path=customXml/itemProps3.xml><?xml version="1.0" encoding="utf-8"?>
<ds:datastoreItem xmlns:ds="http://schemas.openxmlformats.org/officeDocument/2006/customXml" ds:itemID="{B9D9DEF6-EEE3-461C-83B4-5F466C6033C7}"/>
</file>

<file path=customXml/itemProps4.xml><?xml version="1.0" encoding="utf-8"?>
<ds:datastoreItem xmlns:ds="http://schemas.openxmlformats.org/officeDocument/2006/customXml" ds:itemID="{D05C4F3D-3121-44DA-AB67-B1CB6F88B04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Royal Free &amp; University College Medical School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Microsoft Office User</dc:creator>
  <cp:keywords/>
  <dc:description/>
  <cp:lastModifiedBy>Samrun Nessa</cp:lastModifiedBy>
  <cp:revision>3</cp:revision>
  <cp:lastPrinted>2013-12-13T11:44:00Z</cp:lastPrinted>
  <dcterms:created xsi:type="dcterms:W3CDTF">2024-05-14T04:18:00Z</dcterms:created>
  <dcterms:modified xsi:type="dcterms:W3CDTF">2024-05-30T05:44:39Z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y fmtid="{D5CDD505-2E9C-101B-9397-08002B2CF9AE}" pid="3" name="_dlc_DocIdItemGuid">
    <vt:lpwstr>519fbd12-4c0a-4e88-be83-df1da1957332</vt:lpwstr>
  </property>
  <property fmtid="{D5CDD505-2E9C-101B-9397-08002B2CF9AE}" pid="4" name="MediaServiceImageTags">
    <vt:lpwstr/>
  </property>
</Properties>
</file>