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FB1D82" w14:textId="77777777" w:rsidR="005E785F" w:rsidRDefault="003621E8">
      <w:pPr>
        <w:pStyle w:val="Bigtitle0"/>
      </w:pPr>
      <w:r>
        <w:t>STUDY PROTOCOL</w:t>
      </w:r>
    </w:p>
    <w:tbl>
      <w:tblPr>
        <w:tblStyle w:val="TableGrid"/>
        <w:tblW w:w="0" w:type="auto"/>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5978"/>
      </w:tblGrid>
      <w:tr w:rsidR="005E785F" w14:paraId="73FB1D87" w14:textId="77777777">
        <w:tc>
          <w:tcPr>
            <w:tcW w:w="3211" w:type="dxa"/>
          </w:tcPr>
          <w:p w14:paraId="73FB1D85" w14:textId="77777777" w:rsidR="005E785F" w:rsidRDefault="003621E8">
            <w:pPr>
              <w:pStyle w:val="BodyText"/>
              <w:jc w:val="left"/>
              <w:rPr>
                <w:b/>
              </w:rPr>
            </w:pPr>
            <w:bookmarkStart w:id="0" w:name="_Hlk66958155"/>
            <w:r>
              <w:rPr>
                <w:b/>
              </w:rPr>
              <w:t>STUDY TITLE:</w:t>
            </w:r>
          </w:p>
        </w:tc>
        <w:tc>
          <w:tcPr>
            <w:tcW w:w="5978" w:type="dxa"/>
          </w:tcPr>
          <w:p w14:paraId="73FB1D86" w14:textId="08CD4E56" w:rsidR="005E785F" w:rsidRDefault="003621E8">
            <w:pPr>
              <w:pStyle w:val="BodyText"/>
            </w:pPr>
            <w:bookmarkStart w:id="1" w:name="_Hlk66957689"/>
            <w:r>
              <w:t>A Phase I, Double-blind, Randomised, Single Centre, Parallel-group, Single Ascending Dose, Placebo-controlled Study of the Safety, Tolerability, Pharmacokinetics, and Pharmacodynamics of CpG ODN D35 after Subcutaneous Administration in Healthy Male Subjects</w:t>
            </w:r>
            <w:bookmarkEnd w:id="1"/>
          </w:p>
        </w:tc>
      </w:tr>
      <w:bookmarkEnd w:id="0"/>
      <w:tr w:rsidR="005E785F" w14:paraId="73FB1D8D" w14:textId="77777777">
        <w:tc>
          <w:tcPr>
            <w:tcW w:w="3211" w:type="dxa"/>
          </w:tcPr>
          <w:p w14:paraId="73FB1D8B" w14:textId="77777777" w:rsidR="005E785F" w:rsidRDefault="003621E8">
            <w:pPr>
              <w:pStyle w:val="BodyText"/>
              <w:jc w:val="left"/>
            </w:pPr>
            <w:r>
              <w:rPr>
                <w:b/>
              </w:rPr>
              <w:t>STUDY NUMBER:</w:t>
            </w:r>
          </w:p>
        </w:tc>
        <w:tc>
          <w:tcPr>
            <w:tcW w:w="5978" w:type="dxa"/>
          </w:tcPr>
          <w:p w14:paraId="73FB1D8C" w14:textId="52D8A4C9" w:rsidR="005E785F" w:rsidRDefault="003621E8">
            <w:pPr>
              <w:pStyle w:val="BodyText"/>
              <w:jc w:val="left"/>
            </w:pPr>
            <w:r>
              <w:t>RD 777/35000 (DNDi‐CpG‐01)</w:t>
            </w:r>
          </w:p>
        </w:tc>
      </w:tr>
      <w:tr w:rsidR="005E785F" w14:paraId="73FB1D96" w14:textId="77777777">
        <w:tc>
          <w:tcPr>
            <w:tcW w:w="3211" w:type="dxa"/>
          </w:tcPr>
          <w:p w14:paraId="788E8BC1" w14:textId="77777777" w:rsidR="005E785F" w:rsidRDefault="003621E8">
            <w:pPr>
              <w:pStyle w:val="BodyText"/>
              <w:rPr>
                <w:b/>
                <w:szCs w:val="24"/>
              </w:rPr>
            </w:pPr>
            <w:r>
              <w:rPr>
                <w:b/>
                <w:szCs w:val="24"/>
              </w:rPr>
              <w:t>EudraCT NUMBER:</w:t>
            </w:r>
          </w:p>
          <w:p w14:paraId="73FB1D94" w14:textId="2E2533EF" w:rsidR="005E785F" w:rsidRDefault="003621E8">
            <w:pPr>
              <w:pStyle w:val="BodyText"/>
              <w:rPr>
                <w:b/>
                <w:szCs w:val="24"/>
              </w:rPr>
            </w:pPr>
            <w:r>
              <w:rPr>
                <w:b/>
                <w:szCs w:val="24"/>
              </w:rPr>
              <w:t>IRAS ID:</w:t>
            </w:r>
          </w:p>
        </w:tc>
        <w:tc>
          <w:tcPr>
            <w:tcW w:w="5978" w:type="dxa"/>
          </w:tcPr>
          <w:p w14:paraId="50BE9876" w14:textId="100A738B" w:rsidR="005E785F" w:rsidRDefault="003621E8">
            <w:pPr>
              <w:pStyle w:val="BodyText"/>
              <w:rPr>
                <w:szCs w:val="24"/>
              </w:rPr>
            </w:pPr>
            <w:r>
              <w:rPr>
                <w:szCs w:val="24"/>
              </w:rPr>
              <w:t>2021-001179-18</w:t>
            </w:r>
          </w:p>
          <w:p w14:paraId="73FB1D95" w14:textId="546CF295" w:rsidR="005E785F" w:rsidRDefault="003621E8">
            <w:pPr>
              <w:pStyle w:val="BodyText"/>
              <w:rPr>
                <w:szCs w:val="24"/>
              </w:rPr>
            </w:pPr>
            <w:r>
              <w:rPr>
                <w:szCs w:val="24"/>
              </w:rPr>
              <w:t>297265</w:t>
            </w:r>
          </w:p>
        </w:tc>
      </w:tr>
      <w:tr w:rsidR="005E785F" w14:paraId="73FB1D9C" w14:textId="77777777">
        <w:tc>
          <w:tcPr>
            <w:tcW w:w="3211" w:type="dxa"/>
          </w:tcPr>
          <w:p w14:paraId="73FB1D9A" w14:textId="77777777" w:rsidR="005E785F" w:rsidRDefault="003621E8">
            <w:pPr>
              <w:pStyle w:val="BodyText"/>
              <w:rPr>
                <w:b/>
                <w:bCs/>
                <w:szCs w:val="24"/>
              </w:rPr>
            </w:pPr>
            <w:r>
              <w:rPr>
                <w:b/>
                <w:bCs/>
                <w:szCs w:val="24"/>
              </w:rPr>
              <w:t>INVESTIGATIONAL MEDICINAL PRODUCT(s):</w:t>
            </w:r>
          </w:p>
        </w:tc>
        <w:tc>
          <w:tcPr>
            <w:tcW w:w="5978" w:type="dxa"/>
          </w:tcPr>
          <w:p w14:paraId="73FB1D9B" w14:textId="76B0617B" w:rsidR="005E785F" w:rsidRDefault="003621E8">
            <w:pPr>
              <w:pStyle w:val="BodyText"/>
              <w:jc w:val="left"/>
              <w:rPr>
                <w:color w:val="FF0000"/>
                <w:szCs w:val="24"/>
              </w:rPr>
            </w:pPr>
            <w:r>
              <w:rPr>
                <w:szCs w:val="24"/>
              </w:rPr>
              <w:t>CpG ODN D35</w:t>
            </w:r>
            <w:r>
              <w:rPr>
                <w:color w:val="FF0000"/>
                <w:szCs w:val="24"/>
              </w:rPr>
              <w:br/>
            </w:r>
          </w:p>
        </w:tc>
      </w:tr>
      <w:tr w:rsidR="005E785F" w14:paraId="73FB1DA2" w14:textId="77777777">
        <w:tc>
          <w:tcPr>
            <w:tcW w:w="3211" w:type="dxa"/>
          </w:tcPr>
          <w:p w14:paraId="73FB1DA0" w14:textId="77777777" w:rsidR="005E785F" w:rsidRDefault="003621E8">
            <w:pPr>
              <w:spacing w:before="120" w:line="283" w:lineRule="exact"/>
              <w:ind w:right="62"/>
              <w:jc w:val="both"/>
              <w:rPr>
                <w:b/>
                <w:bCs/>
                <w:szCs w:val="24"/>
                <w:lang w:val="en-GB"/>
              </w:rPr>
            </w:pPr>
            <w:r>
              <w:rPr>
                <w:b/>
                <w:bCs/>
                <w:szCs w:val="24"/>
                <w:lang w:val="en-GB"/>
              </w:rPr>
              <w:t>PLANNED STUDY DOSES:</w:t>
            </w:r>
          </w:p>
        </w:tc>
        <w:tc>
          <w:tcPr>
            <w:tcW w:w="5978" w:type="dxa"/>
          </w:tcPr>
          <w:p w14:paraId="4F7EB574" w14:textId="10F76E9F" w:rsidR="005E785F" w:rsidRDefault="003621E8">
            <w:pPr>
              <w:spacing w:before="120" w:line="283" w:lineRule="exact"/>
              <w:ind w:right="62"/>
              <w:jc w:val="both"/>
              <w:rPr>
                <w:bCs/>
                <w:szCs w:val="24"/>
                <w:lang w:val="en-GB"/>
              </w:rPr>
            </w:pPr>
            <w:r>
              <w:rPr>
                <w:bCs/>
                <w:szCs w:val="24"/>
                <w:lang w:val="en-GB"/>
              </w:rPr>
              <w:t>Cohort 1: SC injection of 7.5 mg of CpG ODN D35 or placebo</w:t>
            </w:r>
          </w:p>
          <w:p w14:paraId="36D25D11" w14:textId="33A0FAF6" w:rsidR="005E785F" w:rsidRDefault="003621E8">
            <w:pPr>
              <w:spacing w:line="283" w:lineRule="exact"/>
              <w:ind w:right="62"/>
              <w:jc w:val="both"/>
              <w:rPr>
                <w:bCs/>
                <w:szCs w:val="24"/>
                <w:lang w:val="en-GB"/>
              </w:rPr>
            </w:pPr>
            <w:r>
              <w:rPr>
                <w:bCs/>
                <w:szCs w:val="24"/>
                <w:lang w:val="en-GB"/>
              </w:rPr>
              <w:t>Cohort 2: SC injection of 22.5 mg of CpG ODN D35 or placebo</w:t>
            </w:r>
          </w:p>
          <w:p w14:paraId="3ACEECD5" w14:textId="22AF1D83" w:rsidR="005E785F" w:rsidRDefault="003621E8">
            <w:pPr>
              <w:spacing w:line="283" w:lineRule="exact"/>
              <w:ind w:right="62"/>
              <w:jc w:val="both"/>
              <w:rPr>
                <w:bCs/>
                <w:szCs w:val="24"/>
                <w:lang w:val="en-GB"/>
              </w:rPr>
            </w:pPr>
            <w:r>
              <w:rPr>
                <w:bCs/>
                <w:szCs w:val="24"/>
                <w:lang w:val="en-GB"/>
              </w:rPr>
              <w:t>Cohort 3: SC injection of 67.5 mg of CpG ODN D35 or placebo</w:t>
            </w:r>
          </w:p>
          <w:p w14:paraId="73FB1DA1" w14:textId="357F0A2D" w:rsidR="005E785F" w:rsidRDefault="003621E8">
            <w:pPr>
              <w:spacing w:after="120" w:line="283" w:lineRule="exact"/>
              <w:ind w:right="62"/>
              <w:jc w:val="both"/>
              <w:rPr>
                <w:bCs/>
                <w:sz w:val="22"/>
                <w:szCs w:val="22"/>
                <w:lang w:val="en-GB"/>
              </w:rPr>
            </w:pPr>
            <w:r>
              <w:rPr>
                <w:bCs/>
                <w:szCs w:val="24"/>
                <w:lang w:val="en-GB"/>
              </w:rPr>
              <w:t>Cohort 4 (optional): SC injection of 180 mg of CpG ODN D35 or placebo</w:t>
            </w:r>
          </w:p>
        </w:tc>
      </w:tr>
      <w:tr w:rsidR="005E785F" w14:paraId="73FB1DA9" w14:textId="77777777">
        <w:tc>
          <w:tcPr>
            <w:tcW w:w="3211" w:type="dxa"/>
          </w:tcPr>
          <w:p w14:paraId="73FB1DA7" w14:textId="103EB5DF" w:rsidR="005E785F" w:rsidRDefault="003621E8">
            <w:pPr>
              <w:pStyle w:val="C-BodyText"/>
              <w:rPr>
                <w:sz w:val="22"/>
                <w:szCs w:val="24"/>
                <w:lang w:val="en-GB"/>
              </w:rPr>
            </w:pPr>
            <w:r>
              <w:rPr>
                <w:b/>
                <w:sz w:val="22"/>
                <w:szCs w:val="24"/>
                <w:lang w:val="en-GB"/>
              </w:rPr>
              <w:t>PRINCIPAL INVESTIGATOR:</w:t>
            </w:r>
          </w:p>
        </w:tc>
        <w:tc>
          <w:tcPr>
            <w:tcW w:w="5978" w:type="dxa"/>
          </w:tcPr>
          <w:p w14:paraId="41FE5CA9" w14:textId="62082C66" w:rsidR="005E785F" w:rsidRDefault="003621E8">
            <w:pPr>
              <w:pStyle w:val="C-BodyText"/>
              <w:spacing w:after="0"/>
              <w:rPr>
                <w:szCs w:val="24"/>
                <w:lang w:val="en-GB"/>
              </w:rPr>
            </w:pPr>
            <w:r>
              <w:rPr>
                <w:szCs w:val="24"/>
                <w:lang w:val="en-GB"/>
              </w:rPr>
              <w:t>Dr Annelize Koch</w:t>
            </w:r>
            <w:r>
              <w:rPr>
                <w:szCs w:val="24"/>
                <w:lang w:val="en-GB"/>
              </w:rPr>
              <w:br/>
              <w:t xml:space="preserve">Simbec-Orion </w:t>
            </w:r>
            <w:r>
              <w:rPr>
                <w:szCs w:val="24"/>
                <w:lang w:val="en-GB"/>
              </w:rPr>
              <w:br/>
              <w:t>Merthyr Tydfil CF48 4DR</w:t>
            </w:r>
          </w:p>
          <w:p w14:paraId="73FB1DA8" w14:textId="432E4183" w:rsidR="005E785F" w:rsidRDefault="003621E8">
            <w:pPr>
              <w:pStyle w:val="C-BodyText"/>
              <w:spacing w:before="0"/>
              <w:rPr>
                <w:szCs w:val="24"/>
                <w:lang w:val="en-GB"/>
              </w:rPr>
            </w:pPr>
            <w:r>
              <w:rPr>
                <w:szCs w:val="24"/>
                <w:lang w:val="en-GB"/>
              </w:rPr>
              <w:t>United Kingdom</w:t>
            </w:r>
          </w:p>
        </w:tc>
      </w:tr>
      <w:tr w:rsidR="005E785F" w14:paraId="73FB1DAF" w14:textId="77777777">
        <w:tc>
          <w:tcPr>
            <w:tcW w:w="3211" w:type="dxa"/>
          </w:tcPr>
          <w:p w14:paraId="625F84F6" w14:textId="0849B6F9" w:rsidR="005E785F" w:rsidRDefault="003621E8">
            <w:pPr>
              <w:pStyle w:val="C-TableText"/>
              <w:spacing w:before="120" w:after="120"/>
              <w:rPr>
                <w:b/>
                <w:szCs w:val="24"/>
                <w:lang w:val="en-GB"/>
              </w:rPr>
            </w:pPr>
            <w:r>
              <w:rPr>
                <w:b/>
                <w:szCs w:val="24"/>
                <w:lang w:val="en-GB"/>
              </w:rPr>
              <w:t>STUDY SPONSOR:</w:t>
            </w:r>
          </w:p>
          <w:p w14:paraId="73FB1DAD" w14:textId="3BB2CAEC" w:rsidR="005E785F" w:rsidRDefault="005E785F">
            <w:pPr>
              <w:pStyle w:val="C-TableText"/>
              <w:spacing w:before="120" w:after="120"/>
              <w:rPr>
                <w:szCs w:val="24"/>
                <w:lang w:val="en-GB"/>
              </w:rPr>
            </w:pPr>
          </w:p>
        </w:tc>
        <w:tc>
          <w:tcPr>
            <w:tcW w:w="5978" w:type="dxa"/>
          </w:tcPr>
          <w:p w14:paraId="2C909C81" w14:textId="7E9183D4" w:rsidR="005E785F" w:rsidRPr="00AC2EEE" w:rsidRDefault="003621E8">
            <w:pPr>
              <w:pStyle w:val="C-TableText"/>
              <w:keepNext/>
              <w:tabs>
                <w:tab w:val="num" w:pos="3975"/>
              </w:tabs>
              <w:spacing w:before="120" w:after="0"/>
              <w:outlineLvl w:val="1"/>
              <w:rPr>
                <w:iCs/>
                <w:sz w:val="24"/>
                <w:szCs w:val="24"/>
                <w:lang w:val="en-GB"/>
              </w:rPr>
            </w:pPr>
            <w:bookmarkStart w:id="2" w:name="_Hlk74904095"/>
            <w:r>
              <w:rPr>
                <w:sz w:val="24"/>
                <w:szCs w:val="24"/>
              </w:rPr>
              <w:t xml:space="preserve">Drugs for Neglected Diseases initiative </w:t>
            </w:r>
            <w:bookmarkEnd w:id="2"/>
            <w:r>
              <w:rPr>
                <w:sz w:val="24"/>
                <w:szCs w:val="24"/>
              </w:rPr>
              <w:t>(DNDi), Chemin Camille Vidart, 15</w:t>
            </w:r>
          </w:p>
          <w:p w14:paraId="34B6BB9A" w14:textId="472F8AE4" w:rsidR="005E785F" w:rsidRPr="00AC2EEE" w:rsidRDefault="003621E8">
            <w:pPr>
              <w:pStyle w:val="C-TableText"/>
              <w:keepNext/>
              <w:tabs>
                <w:tab w:val="num" w:pos="3975"/>
              </w:tabs>
              <w:spacing w:before="120" w:after="0"/>
              <w:outlineLvl w:val="1"/>
              <w:rPr>
                <w:iCs/>
                <w:sz w:val="24"/>
                <w:szCs w:val="24"/>
                <w:lang w:val="en-GB"/>
              </w:rPr>
            </w:pPr>
            <w:r w:rsidRPr="00AC2EEE">
              <w:rPr>
                <w:iCs/>
                <w:sz w:val="24"/>
                <w:szCs w:val="24"/>
                <w:lang w:val="en-GB"/>
              </w:rPr>
              <w:t>1202 Geneva</w:t>
            </w:r>
          </w:p>
          <w:p w14:paraId="73FB1DAE" w14:textId="20A6D884" w:rsidR="005E785F" w:rsidRDefault="003621E8">
            <w:pPr>
              <w:pStyle w:val="C-TableText"/>
              <w:keepNext/>
              <w:tabs>
                <w:tab w:val="num" w:pos="3975"/>
              </w:tabs>
              <w:spacing w:before="0" w:after="120"/>
              <w:outlineLvl w:val="1"/>
              <w:rPr>
                <w:iCs/>
                <w:sz w:val="24"/>
                <w:szCs w:val="24"/>
                <w:lang w:val="fr-BE"/>
              </w:rPr>
            </w:pPr>
            <w:r>
              <w:rPr>
                <w:iCs/>
                <w:sz w:val="24"/>
                <w:szCs w:val="24"/>
                <w:lang w:val="fr-BE"/>
              </w:rPr>
              <w:t>Switzerland</w:t>
            </w:r>
          </w:p>
        </w:tc>
      </w:tr>
      <w:tr w:rsidR="005E785F" w14:paraId="61710B1D" w14:textId="77777777">
        <w:tc>
          <w:tcPr>
            <w:tcW w:w="3211" w:type="dxa"/>
          </w:tcPr>
          <w:p w14:paraId="13DE1830" w14:textId="06DA85BF" w:rsidR="005E785F" w:rsidRDefault="003621E8">
            <w:pPr>
              <w:pStyle w:val="C-TableText"/>
              <w:spacing w:before="120" w:after="120"/>
              <w:rPr>
                <w:b/>
                <w:szCs w:val="24"/>
                <w:lang w:val="en-GB"/>
              </w:rPr>
            </w:pPr>
            <w:r>
              <w:rPr>
                <w:b/>
                <w:szCs w:val="24"/>
                <w:lang w:val="en-GB"/>
              </w:rPr>
              <w:t>SPONSOR’S LEGAL REPRESENTATIVE:</w:t>
            </w:r>
          </w:p>
        </w:tc>
        <w:tc>
          <w:tcPr>
            <w:tcW w:w="5978" w:type="dxa"/>
          </w:tcPr>
          <w:p w14:paraId="700EB164" w14:textId="77777777" w:rsidR="005E785F" w:rsidRDefault="003621E8">
            <w:pPr>
              <w:pStyle w:val="C-TableText"/>
              <w:keepNext/>
              <w:tabs>
                <w:tab w:val="num" w:pos="3975"/>
              </w:tabs>
              <w:spacing w:before="120" w:after="0"/>
              <w:outlineLvl w:val="1"/>
              <w:rPr>
                <w:iCs/>
                <w:sz w:val="24"/>
                <w:szCs w:val="24"/>
                <w:lang w:val="en-GB"/>
              </w:rPr>
            </w:pPr>
            <w:r>
              <w:rPr>
                <w:iCs/>
                <w:sz w:val="24"/>
                <w:szCs w:val="24"/>
                <w:lang w:val="en-GB"/>
              </w:rPr>
              <w:t>Orion LR Limited</w:t>
            </w:r>
          </w:p>
          <w:p w14:paraId="1CD019AF" w14:textId="7911A990" w:rsidR="005E785F" w:rsidRDefault="003621E8">
            <w:pPr>
              <w:pStyle w:val="C-TableText"/>
              <w:keepNext/>
              <w:tabs>
                <w:tab w:val="num" w:pos="3975"/>
              </w:tabs>
              <w:spacing w:before="0" w:after="0"/>
              <w:outlineLvl w:val="1"/>
              <w:rPr>
                <w:iCs/>
                <w:sz w:val="24"/>
                <w:szCs w:val="24"/>
                <w:lang w:val="en-GB"/>
              </w:rPr>
            </w:pPr>
            <w:r>
              <w:rPr>
                <w:iCs/>
                <w:sz w:val="24"/>
                <w:szCs w:val="24"/>
                <w:lang w:val="en-GB"/>
              </w:rPr>
              <w:t>Merthyr Tydfil CF48 4DR</w:t>
            </w:r>
          </w:p>
          <w:p w14:paraId="4A52B185" w14:textId="767613F4" w:rsidR="005E785F" w:rsidRDefault="003621E8">
            <w:pPr>
              <w:pStyle w:val="C-TableText"/>
              <w:keepNext/>
              <w:tabs>
                <w:tab w:val="num" w:pos="3975"/>
              </w:tabs>
              <w:spacing w:before="0" w:after="120"/>
              <w:outlineLvl w:val="1"/>
              <w:rPr>
                <w:iCs/>
                <w:sz w:val="24"/>
                <w:szCs w:val="24"/>
                <w:lang w:val="en-GB"/>
              </w:rPr>
            </w:pPr>
            <w:r>
              <w:rPr>
                <w:iCs/>
                <w:sz w:val="24"/>
                <w:szCs w:val="24"/>
                <w:lang w:val="en-GB"/>
              </w:rPr>
              <w:t>United Kingdom</w:t>
            </w:r>
          </w:p>
        </w:tc>
      </w:tr>
      <w:tr w:rsidR="005E785F" w14:paraId="7E131D8C" w14:textId="77777777">
        <w:tc>
          <w:tcPr>
            <w:tcW w:w="3211" w:type="dxa"/>
          </w:tcPr>
          <w:p w14:paraId="4C842233" w14:textId="5DF6026C" w:rsidR="005E785F" w:rsidRDefault="003621E8">
            <w:pPr>
              <w:pStyle w:val="C-TableText"/>
              <w:spacing w:before="120" w:after="120"/>
              <w:rPr>
                <w:b/>
                <w:szCs w:val="24"/>
                <w:lang w:val="en-GB"/>
              </w:rPr>
            </w:pPr>
            <w:r>
              <w:rPr>
                <w:b/>
                <w:szCs w:val="24"/>
                <w:lang w:val="en-GB"/>
              </w:rPr>
              <w:t>SPONSOR’S RESPONSIBLE PHYSICIAN:</w:t>
            </w:r>
          </w:p>
        </w:tc>
        <w:tc>
          <w:tcPr>
            <w:tcW w:w="5978" w:type="dxa"/>
          </w:tcPr>
          <w:p w14:paraId="7BBFF00B" w14:textId="28168ADB" w:rsidR="005E785F" w:rsidRDefault="003621E8">
            <w:pPr>
              <w:spacing w:before="120"/>
              <w:rPr>
                <w:lang w:val="fr-BE"/>
              </w:rPr>
            </w:pPr>
            <w:r>
              <w:rPr>
                <w:lang w:val="fr-BE"/>
              </w:rPr>
              <w:t>Dr Byron Arana</w:t>
            </w:r>
          </w:p>
          <w:p w14:paraId="0D68D933" w14:textId="77777777" w:rsidR="005E785F" w:rsidRDefault="003621E8">
            <w:pPr>
              <w:tabs>
                <w:tab w:val="left" w:pos="4320"/>
              </w:tabs>
              <w:spacing w:line="280" w:lineRule="atLeast"/>
              <w:jc w:val="both"/>
              <w:rPr>
                <w:rFonts w:cs="Times New Roman"/>
                <w:iCs/>
                <w:szCs w:val="24"/>
                <w:lang w:val="fr-BE"/>
              </w:rPr>
            </w:pPr>
            <w:r>
              <w:rPr>
                <w:rFonts w:cs="Times New Roman"/>
                <w:iCs/>
                <w:szCs w:val="24"/>
                <w:lang w:val="fr-BE"/>
              </w:rPr>
              <w:t>DNDi</w:t>
            </w:r>
          </w:p>
          <w:p w14:paraId="330E50E3" w14:textId="77777777" w:rsidR="005E785F" w:rsidRDefault="003621E8">
            <w:pPr>
              <w:tabs>
                <w:tab w:val="left" w:pos="4320"/>
              </w:tabs>
              <w:spacing w:line="280" w:lineRule="atLeast"/>
              <w:jc w:val="both"/>
              <w:rPr>
                <w:rFonts w:cs="Times New Roman"/>
                <w:lang w:val="fr-BE"/>
              </w:rPr>
            </w:pPr>
            <w:r>
              <w:rPr>
                <w:rFonts w:cs="Times New Roman"/>
                <w:iCs/>
                <w:szCs w:val="24"/>
                <w:lang w:val="fr-BE"/>
              </w:rPr>
              <w:t>Chemin Camille Vidart</w:t>
            </w:r>
            <w:r>
              <w:rPr>
                <w:rFonts w:cs="Times New Roman"/>
                <w:lang w:val="fr-BE"/>
              </w:rPr>
              <w:t>, 15</w:t>
            </w:r>
          </w:p>
          <w:p w14:paraId="4D58CD6A" w14:textId="4741D9EC" w:rsidR="005E785F" w:rsidRDefault="003621E8">
            <w:pPr>
              <w:tabs>
                <w:tab w:val="left" w:pos="4320"/>
              </w:tabs>
              <w:spacing w:line="280" w:lineRule="atLeast"/>
              <w:jc w:val="both"/>
              <w:rPr>
                <w:rFonts w:cs="Times New Roman"/>
                <w:lang w:val="en-GB"/>
              </w:rPr>
            </w:pPr>
            <w:r>
              <w:rPr>
                <w:rFonts w:cs="Times New Roman"/>
                <w:lang w:val="fr-BE"/>
              </w:rPr>
              <w:t xml:space="preserve">1202 </w:t>
            </w:r>
            <w:r>
              <w:rPr>
                <w:rFonts w:cs="Times New Roman"/>
                <w:lang w:val="en-GB"/>
              </w:rPr>
              <w:t>Geneva</w:t>
            </w:r>
          </w:p>
          <w:p w14:paraId="0420EC3A" w14:textId="62CD3499" w:rsidR="005E785F" w:rsidRDefault="003621E8">
            <w:pPr>
              <w:pStyle w:val="C-TableText"/>
              <w:keepNext/>
              <w:spacing w:before="0" w:after="120"/>
              <w:outlineLvl w:val="1"/>
              <w:rPr>
                <w:i/>
                <w:color w:val="FF0000"/>
                <w:szCs w:val="24"/>
                <w:lang w:val="en-GB"/>
              </w:rPr>
            </w:pPr>
            <w:r>
              <w:rPr>
                <w:sz w:val="24"/>
                <w:szCs w:val="22"/>
                <w:lang w:val="en-GB"/>
              </w:rPr>
              <w:t>Switzerland</w:t>
            </w:r>
          </w:p>
        </w:tc>
      </w:tr>
    </w:tbl>
    <w:p w14:paraId="1CE9BBDC" w14:textId="77777777" w:rsidR="005E785F" w:rsidRDefault="003621E8">
      <w:r>
        <w:br w:type="page"/>
      </w:r>
    </w:p>
    <w:tbl>
      <w:tblPr>
        <w:tblStyle w:val="TableGrid"/>
        <w:tblW w:w="0" w:type="auto"/>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9"/>
        <w:gridCol w:w="72"/>
        <w:gridCol w:w="5978"/>
      </w:tblGrid>
      <w:tr w:rsidR="005E785F" w14:paraId="73FB1DB5" w14:textId="77777777">
        <w:tc>
          <w:tcPr>
            <w:tcW w:w="3211" w:type="dxa"/>
            <w:gridSpan w:val="2"/>
          </w:tcPr>
          <w:p w14:paraId="73FB1DB3" w14:textId="44521B2F" w:rsidR="005E785F" w:rsidRDefault="003621E8">
            <w:pPr>
              <w:pStyle w:val="C-TableText"/>
              <w:rPr>
                <w:b/>
                <w:szCs w:val="24"/>
                <w:lang w:val="en-GB"/>
              </w:rPr>
            </w:pPr>
            <w:r>
              <w:rPr>
                <w:b/>
                <w:szCs w:val="24"/>
                <w:lang w:val="en-GB"/>
              </w:rPr>
              <w:lastRenderedPageBreak/>
              <w:t xml:space="preserve">STUDY MONITOR: </w:t>
            </w:r>
          </w:p>
        </w:tc>
        <w:tc>
          <w:tcPr>
            <w:tcW w:w="5978" w:type="dxa"/>
          </w:tcPr>
          <w:p w14:paraId="15A157B5" w14:textId="77777777" w:rsidR="005E785F" w:rsidRDefault="003621E8">
            <w:pPr>
              <w:pStyle w:val="C-TableText"/>
              <w:rPr>
                <w:iCs/>
                <w:sz w:val="24"/>
                <w:szCs w:val="28"/>
                <w:lang w:val="en-GB"/>
              </w:rPr>
            </w:pPr>
            <w:r>
              <w:rPr>
                <w:iCs/>
                <w:sz w:val="24"/>
                <w:szCs w:val="28"/>
                <w:lang w:val="en-GB"/>
              </w:rPr>
              <w:t>Clinical Operations, Simbec-Orion</w:t>
            </w:r>
            <w:r>
              <w:rPr>
                <w:iCs/>
                <w:sz w:val="24"/>
                <w:szCs w:val="24"/>
                <w:lang w:val="en-GB"/>
              </w:rPr>
              <w:t xml:space="preserve"> Clinical Development</w:t>
            </w:r>
            <w:r>
              <w:rPr>
                <w:iCs/>
                <w:sz w:val="24"/>
                <w:szCs w:val="28"/>
                <w:lang w:val="en-GB"/>
              </w:rPr>
              <w:t xml:space="preserve">, Simbec-Orion </w:t>
            </w:r>
          </w:p>
          <w:p w14:paraId="097B8129" w14:textId="483F8F38" w:rsidR="005E785F" w:rsidRDefault="003621E8">
            <w:pPr>
              <w:pStyle w:val="C-TableText"/>
              <w:rPr>
                <w:iCs/>
                <w:sz w:val="24"/>
                <w:szCs w:val="28"/>
                <w:lang w:val="en-GB"/>
              </w:rPr>
            </w:pPr>
            <w:r>
              <w:rPr>
                <w:iCs/>
                <w:sz w:val="24"/>
                <w:szCs w:val="28"/>
                <w:lang w:val="en-GB"/>
              </w:rPr>
              <w:t>Merthyr Tydfil CF48 4DR</w:t>
            </w:r>
          </w:p>
          <w:p w14:paraId="73FB1DB4" w14:textId="76EC7670" w:rsidR="005E785F" w:rsidRDefault="003621E8">
            <w:pPr>
              <w:pStyle w:val="C-TableText"/>
              <w:rPr>
                <w:i/>
                <w:color w:val="FF0000"/>
                <w:szCs w:val="24"/>
                <w:highlight w:val="yellow"/>
                <w:lang w:val="en-GB"/>
              </w:rPr>
            </w:pPr>
            <w:r>
              <w:rPr>
                <w:iCs/>
                <w:szCs w:val="24"/>
                <w:lang w:val="en-GB"/>
              </w:rPr>
              <w:t>United Kingdom</w:t>
            </w:r>
            <w:r>
              <w:rPr>
                <w:i/>
                <w:color w:val="FF0000"/>
                <w:szCs w:val="24"/>
                <w:lang w:val="en-GB"/>
              </w:rPr>
              <w:t>.</w:t>
            </w:r>
          </w:p>
        </w:tc>
      </w:tr>
      <w:tr w:rsidR="005E785F" w14:paraId="39E8B8FF" w14:textId="77777777">
        <w:tc>
          <w:tcPr>
            <w:tcW w:w="3139" w:type="dxa"/>
          </w:tcPr>
          <w:p w14:paraId="7232D57E" w14:textId="77777777" w:rsidR="005E785F" w:rsidRDefault="003621E8">
            <w:pPr>
              <w:pStyle w:val="C-TableText"/>
              <w:spacing w:before="120"/>
              <w:rPr>
                <w:b/>
                <w:szCs w:val="24"/>
                <w:lang w:val="en-GB"/>
              </w:rPr>
            </w:pPr>
            <w:r>
              <w:rPr>
                <w:b/>
                <w:szCs w:val="24"/>
                <w:lang w:val="en-GB"/>
              </w:rPr>
              <w:t>ADDITIONAL DEPARTMENTS:</w:t>
            </w:r>
          </w:p>
        </w:tc>
        <w:tc>
          <w:tcPr>
            <w:tcW w:w="6050" w:type="dxa"/>
            <w:gridSpan w:val="2"/>
          </w:tcPr>
          <w:tbl>
            <w:tblPr>
              <w:tblW w:w="0" w:type="auto"/>
              <w:tblLook w:val="01E0" w:firstRow="1" w:lastRow="1" w:firstColumn="1" w:lastColumn="1" w:noHBand="0" w:noVBand="0"/>
            </w:tblPr>
            <w:tblGrid>
              <w:gridCol w:w="2722"/>
              <w:gridCol w:w="3112"/>
            </w:tblGrid>
            <w:tr w:rsidR="005E785F" w14:paraId="07B282DA" w14:textId="77777777">
              <w:trPr>
                <w:trHeight w:val="1241"/>
              </w:trPr>
              <w:tc>
                <w:tcPr>
                  <w:tcW w:w="2722" w:type="dxa"/>
                </w:tcPr>
                <w:p w14:paraId="2335496C" w14:textId="77777777" w:rsidR="005E785F" w:rsidRDefault="003621E8">
                  <w:pPr>
                    <w:pStyle w:val="TitlePageBoldText"/>
                    <w:spacing w:before="120"/>
                    <w:rPr>
                      <w:rFonts w:ascii="Times New Roman" w:hAnsi="Times New Roman"/>
                    </w:rPr>
                  </w:pPr>
                  <w:r>
                    <w:rPr>
                      <w:rFonts w:ascii="Times New Roman" w:hAnsi="Times New Roman"/>
                    </w:rPr>
                    <w:t xml:space="preserve">Pharmacovigilance </w:t>
                  </w:r>
                  <w:r>
                    <w:rPr>
                      <w:rFonts w:ascii="Times New Roman" w:hAnsi="Times New Roman"/>
                      <w:bCs w:val="0"/>
                      <w:lang w:val="fr-FR"/>
                    </w:rPr>
                    <w:t>Department</w:t>
                  </w:r>
                  <w:r>
                    <w:rPr>
                      <w:rFonts w:ascii="Times New Roman" w:hAnsi="Times New Roman"/>
                      <w:b w:val="0"/>
                      <w:bCs w:val="0"/>
                    </w:rPr>
                    <w:t>:</w:t>
                  </w:r>
                </w:p>
              </w:tc>
              <w:tc>
                <w:tcPr>
                  <w:tcW w:w="3112" w:type="dxa"/>
                </w:tcPr>
                <w:p w14:paraId="4E4E7772" w14:textId="77777777" w:rsidR="005E785F" w:rsidRDefault="003621E8">
                  <w:pPr>
                    <w:spacing w:before="120"/>
                    <w:contextualSpacing/>
                    <w:rPr>
                      <w:rFonts w:cs="Times New Roman"/>
                      <w:bCs/>
                      <w:sz w:val="22"/>
                      <w:szCs w:val="18"/>
                      <w:lang w:val="fr-FR"/>
                    </w:rPr>
                  </w:pPr>
                  <w:r>
                    <w:rPr>
                      <w:rFonts w:cs="Times New Roman"/>
                      <w:bCs/>
                      <w:sz w:val="22"/>
                      <w:szCs w:val="18"/>
                      <w:lang w:val="fr-FR"/>
                    </w:rPr>
                    <w:t>DNDi</w:t>
                  </w:r>
                </w:p>
                <w:p w14:paraId="6C5A8019" w14:textId="77777777" w:rsidR="005E785F" w:rsidRDefault="003621E8">
                  <w:pPr>
                    <w:contextualSpacing/>
                    <w:rPr>
                      <w:rFonts w:cs="Times New Roman"/>
                      <w:bCs/>
                      <w:sz w:val="22"/>
                      <w:szCs w:val="18"/>
                      <w:lang w:val="fr-FR"/>
                    </w:rPr>
                  </w:pPr>
                  <w:r>
                    <w:rPr>
                      <w:rFonts w:cs="Times New Roman"/>
                      <w:bCs/>
                      <w:sz w:val="22"/>
                      <w:szCs w:val="18"/>
                      <w:lang w:val="fr-FR"/>
                    </w:rPr>
                    <w:t>Chemin Camille Vidart, 15</w:t>
                  </w:r>
                </w:p>
                <w:p w14:paraId="188235D0" w14:textId="66F13F95" w:rsidR="005E785F" w:rsidRDefault="003621E8">
                  <w:pPr>
                    <w:contextualSpacing/>
                    <w:rPr>
                      <w:rFonts w:cs="Times New Roman"/>
                      <w:bCs/>
                      <w:sz w:val="22"/>
                      <w:szCs w:val="18"/>
                      <w:lang w:val="fr-FR"/>
                    </w:rPr>
                  </w:pPr>
                  <w:r>
                    <w:rPr>
                      <w:rFonts w:cs="Times New Roman"/>
                      <w:bCs/>
                      <w:sz w:val="22"/>
                      <w:szCs w:val="18"/>
                      <w:lang w:val="fr-FR"/>
                    </w:rPr>
                    <w:t>1202 Geneva</w:t>
                  </w:r>
                </w:p>
                <w:p w14:paraId="56573CBC" w14:textId="77777777" w:rsidR="005E785F" w:rsidRDefault="003621E8">
                  <w:pPr>
                    <w:contextualSpacing/>
                    <w:rPr>
                      <w:rFonts w:cs="Times New Roman"/>
                      <w:sz w:val="22"/>
                      <w:szCs w:val="18"/>
                      <w:lang w:val="fr-FR"/>
                    </w:rPr>
                  </w:pPr>
                  <w:r>
                    <w:rPr>
                      <w:rFonts w:cs="Times New Roman"/>
                      <w:bCs/>
                      <w:sz w:val="22"/>
                      <w:szCs w:val="18"/>
                      <w:lang w:val="fr-FR"/>
                    </w:rPr>
                    <w:t>Switzerland</w:t>
                  </w:r>
                </w:p>
                <w:p w14:paraId="6BC1DFC5" w14:textId="77777777" w:rsidR="005E785F" w:rsidRDefault="003621E8">
                  <w:pPr>
                    <w:pStyle w:val="TitlePageText"/>
                    <w:rPr>
                      <w:rFonts w:ascii="Times New Roman" w:hAnsi="Times New Roman"/>
                    </w:rPr>
                  </w:pPr>
                  <w:r>
                    <w:rPr>
                      <w:rFonts w:ascii="Times New Roman" w:hAnsi="Times New Roman"/>
                    </w:rPr>
                    <w:t>Tel: +41 (0) 78 613 39 30</w:t>
                  </w:r>
                </w:p>
              </w:tc>
            </w:tr>
            <w:tr w:rsidR="005E785F" w14:paraId="5973D3A4" w14:textId="77777777">
              <w:trPr>
                <w:trHeight w:val="1550"/>
              </w:trPr>
              <w:tc>
                <w:tcPr>
                  <w:tcW w:w="2722" w:type="dxa"/>
                </w:tcPr>
                <w:p w14:paraId="6652A974" w14:textId="77777777" w:rsidR="005E785F" w:rsidRDefault="003621E8">
                  <w:pPr>
                    <w:pStyle w:val="TitlePageBoldText"/>
                    <w:spacing w:before="240"/>
                    <w:jc w:val="left"/>
                    <w:rPr>
                      <w:rFonts w:ascii="Times New Roman" w:hAnsi="Times New Roman"/>
                    </w:rPr>
                  </w:pPr>
                  <w:r>
                    <w:rPr>
                      <w:rFonts w:ascii="Times New Roman" w:hAnsi="Times New Roman"/>
                    </w:rPr>
                    <w:t>Pharmacovigilance Provider (Third Party):</w:t>
                  </w:r>
                </w:p>
              </w:tc>
              <w:tc>
                <w:tcPr>
                  <w:tcW w:w="3112" w:type="dxa"/>
                </w:tcPr>
                <w:p w14:paraId="0C3BB331" w14:textId="77777777" w:rsidR="005E785F" w:rsidRDefault="003621E8">
                  <w:pPr>
                    <w:pStyle w:val="TitlePageText"/>
                    <w:spacing w:before="240"/>
                    <w:jc w:val="left"/>
                    <w:rPr>
                      <w:rFonts w:ascii="Times New Roman" w:hAnsi="Times New Roman"/>
                      <w:lang w:val="fr-FR"/>
                    </w:rPr>
                  </w:pPr>
                  <w:r>
                    <w:rPr>
                      <w:rFonts w:ascii="Times New Roman" w:hAnsi="Times New Roman"/>
                      <w:lang w:val="fr-FR"/>
                    </w:rPr>
                    <w:t>United BioSource Corporation (UBC)</w:t>
                  </w:r>
                </w:p>
                <w:p w14:paraId="69560F6D" w14:textId="77777777" w:rsidR="005E785F" w:rsidRDefault="003621E8">
                  <w:pPr>
                    <w:pStyle w:val="TitlePageText"/>
                    <w:jc w:val="left"/>
                    <w:rPr>
                      <w:rFonts w:ascii="Times New Roman" w:hAnsi="Times New Roman"/>
                      <w:lang w:val="fr-FR"/>
                    </w:rPr>
                  </w:pPr>
                  <w:r>
                    <w:rPr>
                      <w:rFonts w:ascii="Times New Roman" w:hAnsi="Times New Roman"/>
                      <w:lang w:val="fr-FR"/>
                    </w:rPr>
                    <w:t>16 Chemin des Coquelicots</w:t>
                  </w:r>
                </w:p>
                <w:p w14:paraId="259AC462" w14:textId="77777777" w:rsidR="005E785F" w:rsidRDefault="003621E8">
                  <w:pPr>
                    <w:pStyle w:val="TitlePageText"/>
                    <w:jc w:val="left"/>
                    <w:rPr>
                      <w:rFonts w:ascii="Times New Roman" w:hAnsi="Times New Roman"/>
                      <w:lang w:val="fr-FR"/>
                    </w:rPr>
                  </w:pPr>
                  <w:r>
                    <w:rPr>
                      <w:rFonts w:ascii="Times New Roman" w:hAnsi="Times New Roman"/>
                      <w:lang w:val="fr-FR"/>
                    </w:rPr>
                    <w:t xml:space="preserve">1214 Vernier </w:t>
                  </w:r>
                </w:p>
                <w:p w14:paraId="3D6C99C6" w14:textId="77777777" w:rsidR="005E785F" w:rsidRDefault="003621E8">
                  <w:pPr>
                    <w:pStyle w:val="TitlePageText"/>
                    <w:jc w:val="left"/>
                    <w:rPr>
                      <w:rFonts w:ascii="Times New Roman" w:hAnsi="Times New Roman"/>
                    </w:rPr>
                  </w:pPr>
                  <w:r>
                    <w:rPr>
                      <w:rFonts w:ascii="Times New Roman" w:hAnsi="Times New Roman"/>
                    </w:rPr>
                    <w:t>Switzerland</w:t>
                  </w:r>
                </w:p>
                <w:p w14:paraId="0A542749" w14:textId="77777777" w:rsidR="005E785F" w:rsidRDefault="003621E8">
                  <w:pPr>
                    <w:pStyle w:val="TitlePageText"/>
                    <w:jc w:val="left"/>
                    <w:rPr>
                      <w:rFonts w:ascii="Times New Roman" w:hAnsi="Times New Roman"/>
                    </w:rPr>
                  </w:pPr>
                  <w:r>
                    <w:rPr>
                      <w:rFonts w:ascii="Times New Roman" w:hAnsi="Times New Roman"/>
                    </w:rPr>
                    <w:t>Tel: +41 (0) 22 59 64 42 0</w:t>
                  </w:r>
                </w:p>
              </w:tc>
            </w:tr>
            <w:tr w:rsidR="005E785F" w14:paraId="5FE32472" w14:textId="77777777">
              <w:trPr>
                <w:trHeight w:val="1633"/>
              </w:trPr>
              <w:tc>
                <w:tcPr>
                  <w:tcW w:w="2722" w:type="dxa"/>
                </w:tcPr>
                <w:p w14:paraId="4B8B164A" w14:textId="77777777" w:rsidR="005E785F" w:rsidRDefault="003621E8">
                  <w:pPr>
                    <w:pStyle w:val="TitlePageBoldText"/>
                    <w:spacing w:before="240"/>
                    <w:rPr>
                      <w:rFonts w:ascii="Times New Roman" w:hAnsi="Times New Roman"/>
                    </w:rPr>
                  </w:pPr>
                  <w:r>
                    <w:rPr>
                      <w:rFonts w:ascii="Times New Roman" w:hAnsi="Times New Roman"/>
                    </w:rPr>
                    <w:t>Bioanalytical Laboratory:</w:t>
                  </w:r>
                </w:p>
              </w:tc>
              <w:tc>
                <w:tcPr>
                  <w:tcW w:w="3112" w:type="dxa"/>
                </w:tcPr>
                <w:p w14:paraId="239E44AC" w14:textId="160DBE79" w:rsidR="005E785F" w:rsidRDefault="003621E8">
                  <w:pPr>
                    <w:pStyle w:val="TitlePageText"/>
                    <w:spacing w:before="240" w:after="0"/>
                    <w:rPr>
                      <w:rFonts w:ascii="Times New Roman" w:hAnsi="Times New Roman"/>
                      <w:lang w:val="fr-FR"/>
                    </w:rPr>
                  </w:pPr>
                  <w:r>
                    <w:rPr>
                      <w:rFonts w:ascii="Times New Roman" w:hAnsi="Times New Roman"/>
                      <w:lang w:val="fr-FR"/>
                    </w:rPr>
                    <w:t>Oncodesign</w:t>
                  </w:r>
                </w:p>
                <w:p w14:paraId="3F963451" w14:textId="77777777" w:rsidR="005E785F" w:rsidRDefault="003621E8">
                  <w:pPr>
                    <w:pStyle w:val="TitlePageText"/>
                    <w:spacing w:after="0"/>
                    <w:jc w:val="left"/>
                    <w:rPr>
                      <w:rFonts w:ascii="Times New Roman" w:hAnsi="Times New Roman"/>
                      <w:lang w:val="fr-BE"/>
                    </w:rPr>
                  </w:pPr>
                  <w:r>
                    <w:rPr>
                      <w:rFonts w:ascii="Times New Roman" w:hAnsi="Times New Roman"/>
                      <w:lang w:val="fr-BE"/>
                    </w:rPr>
                    <w:t>25-27 avenue du Québec</w:t>
                  </w:r>
                </w:p>
                <w:p w14:paraId="47872E4E" w14:textId="77777777" w:rsidR="005E785F" w:rsidRDefault="003621E8">
                  <w:pPr>
                    <w:pStyle w:val="TitlePageText"/>
                    <w:spacing w:after="0"/>
                    <w:jc w:val="left"/>
                    <w:rPr>
                      <w:rFonts w:ascii="Times New Roman" w:hAnsi="Times New Roman"/>
                      <w:lang w:val="fr-BE"/>
                    </w:rPr>
                  </w:pPr>
                  <w:r>
                    <w:rPr>
                      <w:rFonts w:ascii="Times New Roman" w:hAnsi="Times New Roman"/>
                      <w:lang w:val="fr-BE"/>
                    </w:rPr>
                    <w:t>91140 Villebon-sur-Yvette</w:t>
                  </w:r>
                </w:p>
                <w:p w14:paraId="32AC0F5B" w14:textId="280838D6" w:rsidR="005E785F" w:rsidRDefault="003621E8">
                  <w:pPr>
                    <w:pStyle w:val="TitlePageText"/>
                    <w:spacing w:after="0"/>
                    <w:jc w:val="left"/>
                    <w:rPr>
                      <w:rFonts w:ascii="Times New Roman" w:hAnsi="Times New Roman"/>
                      <w:highlight w:val="yellow"/>
                      <w:lang w:val="fr-FR"/>
                    </w:rPr>
                  </w:pPr>
                  <w:r>
                    <w:rPr>
                      <w:rFonts w:ascii="Times New Roman" w:hAnsi="Times New Roman"/>
                      <w:lang w:val="fr-FR"/>
                    </w:rPr>
                    <w:t>France</w:t>
                  </w:r>
                </w:p>
                <w:p w14:paraId="0DD5D899" w14:textId="78DCB4F5" w:rsidR="005E785F" w:rsidRDefault="003621E8">
                  <w:pPr>
                    <w:pStyle w:val="TitlePageText"/>
                    <w:jc w:val="left"/>
                    <w:rPr>
                      <w:rFonts w:ascii="Times New Roman" w:hAnsi="Times New Roman"/>
                    </w:rPr>
                  </w:pPr>
                  <w:r>
                    <w:rPr>
                      <w:rFonts w:ascii="Times New Roman" w:hAnsi="Times New Roman"/>
                    </w:rPr>
                    <w:t xml:space="preserve">Tel: </w:t>
                  </w:r>
                  <w:r>
                    <w:rPr>
                      <w:rFonts w:ascii="Times New Roman" w:hAnsi="Times New Roman"/>
                      <w:lang w:val="fr-FR"/>
                    </w:rPr>
                    <w:t>+33 3 80 78 82 60</w:t>
                  </w:r>
                </w:p>
              </w:tc>
            </w:tr>
            <w:tr w:rsidR="005E785F" w14:paraId="14080FF0" w14:textId="77777777">
              <w:tc>
                <w:tcPr>
                  <w:tcW w:w="2722" w:type="dxa"/>
                </w:tcPr>
                <w:p w14:paraId="5DE9B8A1" w14:textId="34582B33" w:rsidR="005E785F" w:rsidRDefault="003621E8">
                  <w:pPr>
                    <w:pStyle w:val="TitlePageText"/>
                    <w:rPr>
                      <w:rFonts w:ascii="Times New Roman" w:hAnsi="Times New Roman"/>
                      <w:b/>
                      <w:bCs w:val="0"/>
                    </w:rPr>
                  </w:pPr>
                  <w:r>
                    <w:rPr>
                      <w:rFonts w:ascii="Times New Roman" w:hAnsi="Times New Roman"/>
                      <w:b/>
                      <w:bCs w:val="0"/>
                    </w:rPr>
                    <w:t>PBMC sample Analysis:</w:t>
                  </w:r>
                </w:p>
              </w:tc>
              <w:tc>
                <w:tcPr>
                  <w:tcW w:w="3112" w:type="dxa"/>
                </w:tcPr>
                <w:p w14:paraId="1165B485" w14:textId="77777777" w:rsidR="005E785F" w:rsidRDefault="003621E8">
                  <w:pPr>
                    <w:rPr>
                      <w:rStyle w:val="TitlePageTextChar"/>
                      <w:rFonts w:ascii="Times New Roman" w:hAnsi="Times New Roman"/>
                    </w:rPr>
                  </w:pPr>
                  <w:r>
                    <w:rPr>
                      <w:rStyle w:val="TitlePageTextChar"/>
                      <w:rFonts w:ascii="Times New Roman" w:hAnsi="Times New Roman"/>
                    </w:rPr>
                    <w:t>Prof. Ken Ishii</w:t>
                  </w:r>
                </w:p>
                <w:p w14:paraId="73944725" w14:textId="77777777" w:rsidR="005E785F" w:rsidRDefault="003621E8">
                  <w:pPr>
                    <w:rPr>
                      <w:rStyle w:val="TitlePageTextChar"/>
                      <w:rFonts w:ascii="Times New Roman" w:hAnsi="Times New Roman"/>
                    </w:rPr>
                  </w:pPr>
                  <w:r>
                    <w:rPr>
                      <w:rStyle w:val="TitlePageTextChar"/>
                      <w:rFonts w:ascii="Times New Roman" w:hAnsi="Times New Roman"/>
                    </w:rPr>
                    <w:t xml:space="preserve">University of Tokyo </w:t>
                  </w:r>
                </w:p>
                <w:p w14:paraId="3EB4B8F7" w14:textId="5E55B7FC" w:rsidR="005E785F" w:rsidRDefault="003621E8">
                  <w:pPr>
                    <w:rPr>
                      <w:rStyle w:val="TitlePageTextChar"/>
                      <w:rFonts w:ascii="Times New Roman" w:hAnsi="Times New Roman"/>
                    </w:rPr>
                  </w:pPr>
                  <w:r>
                    <w:rPr>
                      <w:rStyle w:val="TitlePageTextChar"/>
                      <w:rFonts w:ascii="Times New Roman" w:hAnsi="Times New Roman"/>
                    </w:rPr>
                    <w:t xml:space="preserve">4-6-1 Shirokanedai, Minato-ku </w:t>
                  </w:r>
                </w:p>
                <w:p w14:paraId="05CB1143" w14:textId="4892B19D" w:rsidR="005E785F" w:rsidRDefault="003621E8">
                  <w:pPr>
                    <w:rPr>
                      <w:rStyle w:val="TitlePageTextChar"/>
                      <w:rFonts w:ascii="Times New Roman" w:hAnsi="Times New Roman"/>
                    </w:rPr>
                  </w:pPr>
                  <w:r>
                    <w:rPr>
                      <w:rStyle w:val="TitlePageTextChar"/>
                      <w:rFonts w:ascii="Times New Roman" w:hAnsi="Times New Roman"/>
                    </w:rPr>
                    <w:t>Tokyo 108-8639</w:t>
                  </w:r>
                </w:p>
                <w:p w14:paraId="5A61DAA1" w14:textId="77777777" w:rsidR="005E785F" w:rsidRDefault="003621E8">
                  <w:pPr>
                    <w:rPr>
                      <w:rStyle w:val="TitlePageTextChar"/>
                      <w:rFonts w:ascii="Times New Roman" w:hAnsi="Times New Roman"/>
                    </w:rPr>
                  </w:pPr>
                  <w:r>
                    <w:rPr>
                      <w:rStyle w:val="TitlePageTextChar"/>
                      <w:rFonts w:ascii="Times New Roman" w:hAnsi="Times New Roman"/>
                    </w:rPr>
                    <w:t>Japan</w:t>
                  </w:r>
                </w:p>
                <w:p w14:paraId="07440090" w14:textId="2412EFA6" w:rsidR="005E785F" w:rsidRDefault="003621E8">
                  <w:pPr>
                    <w:rPr>
                      <w:rStyle w:val="TitlePageTextChar"/>
                      <w:rFonts w:ascii="Times New Roman" w:hAnsi="Times New Roman"/>
                    </w:rPr>
                  </w:pPr>
                  <w:r>
                    <w:rPr>
                      <w:rStyle w:val="TitlePageTextChar"/>
                      <w:rFonts w:ascii="Times New Roman" w:hAnsi="Times New Roman"/>
                    </w:rPr>
                    <w:t>Tel: +81 35 449 5314</w:t>
                  </w:r>
                </w:p>
                <w:p w14:paraId="66F304B2" w14:textId="28956B59" w:rsidR="005E785F" w:rsidRDefault="005E785F">
                  <w:pPr>
                    <w:pStyle w:val="TitlePageText"/>
                    <w:rPr>
                      <w:rStyle w:val="TitlePageTextChar"/>
                      <w:rFonts w:ascii="Times New Roman" w:hAnsi="Times New Roman"/>
                    </w:rPr>
                  </w:pPr>
                </w:p>
              </w:tc>
            </w:tr>
            <w:tr w:rsidR="005E785F" w14:paraId="2BA259AD" w14:textId="77777777">
              <w:tc>
                <w:tcPr>
                  <w:tcW w:w="2722" w:type="dxa"/>
                </w:tcPr>
                <w:p w14:paraId="1458138D" w14:textId="7CF83960" w:rsidR="005E785F" w:rsidRDefault="003621E8">
                  <w:pPr>
                    <w:pStyle w:val="TitlePageBoldText"/>
                    <w:jc w:val="left"/>
                    <w:rPr>
                      <w:rFonts w:ascii="Times New Roman" w:hAnsi="Times New Roman"/>
                    </w:rPr>
                  </w:pPr>
                  <w:r>
                    <w:rPr>
                      <w:rFonts w:ascii="Times New Roman" w:hAnsi="Times New Roman"/>
                    </w:rPr>
                    <w:t>Data Protection Representative:</w:t>
                  </w:r>
                </w:p>
              </w:tc>
              <w:tc>
                <w:tcPr>
                  <w:tcW w:w="3112" w:type="dxa"/>
                </w:tcPr>
                <w:p w14:paraId="11F2C5E4" w14:textId="77777777" w:rsidR="005E785F" w:rsidRDefault="003621E8">
                  <w:pPr>
                    <w:pStyle w:val="TitlePageText"/>
                    <w:jc w:val="left"/>
                    <w:rPr>
                      <w:rStyle w:val="TitlePageTextChar"/>
                      <w:rFonts w:ascii="Times New Roman" w:hAnsi="Times New Roman"/>
                      <w:b/>
                    </w:rPr>
                  </w:pPr>
                  <w:r>
                    <w:rPr>
                      <w:rStyle w:val="TitlePageTextChar"/>
                      <w:rFonts w:ascii="Times New Roman" w:hAnsi="Times New Roman"/>
                    </w:rPr>
                    <w:t>Mydata - T LTD</w:t>
                  </w:r>
                </w:p>
                <w:p w14:paraId="299E821D" w14:textId="77777777" w:rsidR="005E785F" w:rsidRDefault="003621E8">
                  <w:pPr>
                    <w:pStyle w:val="TitlePageText"/>
                    <w:jc w:val="left"/>
                    <w:rPr>
                      <w:rStyle w:val="TitlePageTextChar"/>
                      <w:rFonts w:ascii="Times New Roman" w:hAnsi="Times New Roman"/>
                    </w:rPr>
                  </w:pPr>
                  <w:r>
                    <w:rPr>
                      <w:rStyle w:val="TitlePageTextChar"/>
                      <w:rFonts w:ascii="Times New Roman" w:hAnsi="Times New Roman"/>
                    </w:rPr>
                    <w:t>Waldeck House, Lyne Lane, Chertsey, KT16 0AW</w:t>
                  </w:r>
                </w:p>
                <w:p w14:paraId="40F2548C" w14:textId="77777777" w:rsidR="005E785F" w:rsidRDefault="003621E8">
                  <w:pPr>
                    <w:pStyle w:val="TitlePageText"/>
                    <w:jc w:val="left"/>
                    <w:rPr>
                      <w:rStyle w:val="TitlePageTextChar"/>
                      <w:rFonts w:ascii="Times New Roman" w:hAnsi="Times New Roman" w:cs="Arial"/>
                      <w:bCs/>
                    </w:rPr>
                  </w:pPr>
                  <w:r>
                    <w:rPr>
                      <w:rStyle w:val="TitlePageTextChar"/>
                      <w:rFonts w:ascii="Times New Roman" w:hAnsi="Times New Roman"/>
                    </w:rPr>
                    <w:t>United Kingdom dndi.dpr@mydata-trust.info</w:t>
                  </w:r>
                </w:p>
              </w:tc>
            </w:tr>
          </w:tbl>
          <w:p w14:paraId="0E56FB05" w14:textId="77777777" w:rsidR="005E785F" w:rsidRDefault="005E785F">
            <w:pPr>
              <w:pStyle w:val="C-TableText"/>
              <w:rPr>
                <w:iCs/>
                <w:szCs w:val="24"/>
                <w:lang w:val="en-GB"/>
              </w:rPr>
            </w:pPr>
          </w:p>
        </w:tc>
      </w:tr>
    </w:tbl>
    <w:p w14:paraId="73FB1DB6" w14:textId="77777777" w:rsidR="005E785F" w:rsidRDefault="005E785F">
      <w:pPr>
        <w:pStyle w:val="C-NumberedList"/>
        <w:ind w:left="720"/>
        <w:rPr>
          <w:lang w:val="en-GB"/>
        </w:rPr>
      </w:pPr>
    </w:p>
    <w:p w14:paraId="73FB1DB7" w14:textId="77777777" w:rsidR="005E785F" w:rsidRDefault="003621E8">
      <w:pPr>
        <w:pStyle w:val="Normalbold"/>
        <w:jc w:val="center"/>
        <w:rPr>
          <w:sz w:val="28"/>
        </w:rPr>
      </w:pPr>
      <w:r>
        <w:rPr>
          <w:sz w:val="28"/>
        </w:rPr>
        <w:t>PROTOCOL FINALISATION STATEMENT</w:t>
      </w:r>
    </w:p>
    <w:p w14:paraId="73FB1DB9" w14:textId="77777777" w:rsidR="005E785F" w:rsidRDefault="003621E8">
      <w:pPr>
        <w:pStyle w:val="bodytextleft0"/>
        <w:autoSpaceDE w:val="0"/>
        <w:autoSpaceDN w:val="0"/>
        <w:adjustRightInd w:val="0"/>
        <w:jc w:val="center"/>
        <w:rPr>
          <w:szCs w:val="17"/>
        </w:rPr>
      </w:pPr>
      <w:r>
        <w:rPr>
          <w:szCs w:val="17"/>
        </w:rPr>
        <w:t>This protocol is not considered final unless accompanied by an approval letter from the Research Ethics Committees and Notice of Acceptance from the relevant Competent Authority.</w:t>
      </w:r>
    </w:p>
    <w:p w14:paraId="73FB1DBB" w14:textId="6D3B28B3" w:rsidR="005E785F" w:rsidRDefault="003621E8">
      <w:pPr>
        <w:pStyle w:val="Normalbold"/>
        <w:jc w:val="right"/>
      </w:pPr>
      <w:r>
        <w:t>Protocol Prepared by: LT</w:t>
      </w:r>
    </w:p>
    <w:p w14:paraId="73FB1DBC" w14:textId="77777777" w:rsidR="005E785F" w:rsidRDefault="003621E8">
      <w:pPr>
        <w:rPr>
          <w:lang w:val="en-GB"/>
        </w:rPr>
      </w:pPr>
      <w:r>
        <w:rPr>
          <w:lang w:val="en-GB"/>
        </w:rPr>
        <w:br w:type="page"/>
      </w:r>
    </w:p>
    <w:p w14:paraId="73FB1DBD" w14:textId="334AC554" w:rsidR="005E785F" w:rsidRDefault="003621E8">
      <w:pPr>
        <w:pStyle w:val="Heading1"/>
      </w:pPr>
      <w:bookmarkStart w:id="3" w:name="_Ref66988869"/>
      <w:bookmarkStart w:id="4" w:name="_Toc74904329"/>
      <w:r>
        <w:lastRenderedPageBreak/>
        <w:t>SIGNATURE PAGE</w:t>
      </w:r>
      <w:bookmarkEnd w:id="3"/>
      <w:bookmarkEnd w:id="4"/>
    </w:p>
    <w:p w14:paraId="73FB1DC0" w14:textId="2F7B4A89" w:rsidR="005E785F" w:rsidRDefault="003621E8">
      <w:pPr>
        <w:pStyle w:val="C-BodyText"/>
        <w:tabs>
          <w:tab w:val="left" w:pos="4320"/>
        </w:tabs>
        <w:jc w:val="both"/>
        <w:rPr>
          <w:lang w:val="en-GB"/>
        </w:rPr>
      </w:pPr>
      <w:r>
        <w:rPr>
          <w:lang w:val="en-GB"/>
        </w:rPr>
        <w:t xml:space="preserve">I declare that I have read and understood this study protocol.  I agree to abide by this protocol (subject to any amendments agreed in writing between the Sponsor and Principal Investigator).  Any changes in procedure will only be </w:t>
      </w:r>
      <w:r w:rsidR="009C6160">
        <w:rPr>
          <w:lang w:val="en-GB"/>
        </w:rPr>
        <w:t>made,</w:t>
      </w:r>
      <w:r>
        <w:rPr>
          <w:lang w:val="en-GB"/>
        </w:rPr>
        <w:t xml:space="preserve"> if necessary, to protect the safety, rights or welfare of the participants.</w:t>
      </w:r>
    </w:p>
    <w:p w14:paraId="6280235E" w14:textId="77777777" w:rsidR="005E785F" w:rsidRDefault="005E785F">
      <w:pPr>
        <w:pStyle w:val="C-BodyText"/>
        <w:tabs>
          <w:tab w:val="left" w:pos="4320"/>
        </w:tabs>
        <w:jc w:val="both"/>
        <w:rPr>
          <w:b/>
          <w:lang w:val="en-GB"/>
        </w:rPr>
      </w:pPr>
    </w:p>
    <w:p w14:paraId="505A0521" w14:textId="4D8AD7A8" w:rsidR="005E785F" w:rsidRDefault="003621E8">
      <w:pPr>
        <w:pStyle w:val="C-BodyText"/>
        <w:tabs>
          <w:tab w:val="left" w:pos="4320"/>
        </w:tabs>
        <w:jc w:val="both"/>
        <w:rPr>
          <w:b/>
          <w:lang w:val="en-GB"/>
        </w:rPr>
      </w:pPr>
      <w:r>
        <w:rPr>
          <w:b/>
          <w:lang w:val="en-GB"/>
        </w:rPr>
        <w:t>STUDY SPONSOR:</w:t>
      </w:r>
    </w:p>
    <w:tbl>
      <w:tblPr>
        <w:tblW w:w="0" w:type="auto"/>
        <w:tblLook w:val="04A0" w:firstRow="1" w:lastRow="0" w:firstColumn="1" w:lastColumn="0" w:noHBand="0" w:noVBand="1"/>
      </w:tblPr>
      <w:tblGrid>
        <w:gridCol w:w="750"/>
        <w:gridCol w:w="3639"/>
        <w:gridCol w:w="4638"/>
      </w:tblGrid>
      <w:tr w:rsidR="005E785F" w14:paraId="7072759C" w14:textId="77777777">
        <w:trPr>
          <w:trHeight w:val="585"/>
        </w:trPr>
        <w:tc>
          <w:tcPr>
            <w:tcW w:w="4389" w:type="dxa"/>
            <w:gridSpan w:val="2"/>
            <w:vMerge w:val="restart"/>
          </w:tcPr>
          <w:p w14:paraId="2883A1C6" w14:textId="77777777" w:rsidR="005E785F" w:rsidRDefault="003621E8">
            <w:pPr>
              <w:tabs>
                <w:tab w:val="left" w:pos="4320"/>
              </w:tabs>
              <w:spacing w:before="120" w:line="280" w:lineRule="atLeast"/>
              <w:jc w:val="both"/>
              <w:rPr>
                <w:rFonts w:cs="Times New Roman"/>
                <w:b/>
                <w:bCs/>
                <w:szCs w:val="24"/>
                <w:lang w:val="fr-BE"/>
              </w:rPr>
            </w:pPr>
            <w:r>
              <w:rPr>
                <w:rFonts w:cs="Times New Roman"/>
                <w:b/>
                <w:bCs/>
                <w:szCs w:val="24"/>
                <w:lang w:val="fr-BE"/>
              </w:rPr>
              <w:t>Dr Séverine Blesson</w:t>
            </w:r>
          </w:p>
          <w:p w14:paraId="5CE1FA27" w14:textId="77777777" w:rsidR="005E785F" w:rsidRDefault="003621E8">
            <w:pPr>
              <w:tabs>
                <w:tab w:val="left" w:pos="4320"/>
              </w:tabs>
              <w:spacing w:line="280" w:lineRule="atLeast"/>
              <w:jc w:val="both"/>
              <w:rPr>
                <w:rFonts w:cs="Times New Roman"/>
                <w:lang w:val="fr-BE"/>
              </w:rPr>
            </w:pPr>
            <w:r>
              <w:rPr>
                <w:rFonts w:cs="Times New Roman"/>
                <w:lang w:val="fr-BE"/>
              </w:rPr>
              <w:t>Senior Clinical Manager</w:t>
            </w:r>
          </w:p>
          <w:p w14:paraId="6446801C" w14:textId="77777777" w:rsidR="005E785F" w:rsidRDefault="003621E8">
            <w:pPr>
              <w:tabs>
                <w:tab w:val="left" w:pos="4320"/>
              </w:tabs>
              <w:spacing w:line="280" w:lineRule="atLeast"/>
              <w:jc w:val="both"/>
              <w:rPr>
                <w:rFonts w:cs="Times New Roman"/>
                <w:lang w:val="fr-BE"/>
              </w:rPr>
            </w:pPr>
            <w:r>
              <w:rPr>
                <w:rFonts w:cs="Times New Roman"/>
                <w:lang w:val="fr-BE"/>
              </w:rPr>
              <w:t>DNDi</w:t>
            </w:r>
          </w:p>
          <w:p w14:paraId="11AFB7B9" w14:textId="77777777" w:rsidR="005E785F" w:rsidRDefault="003621E8">
            <w:pPr>
              <w:tabs>
                <w:tab w:val="left" w:pos="4320"/>
              </w:tabs>
              <w:spacing w:line="280" w:lineRule="atLeast"/>
              <w:jc w:val="both"/>
              <w:rPr>
                <w:rFonts w:cs="Times New Roman"/>
                <w:lang w:val="fr-BE"/>
              </w:rPr>
            </w:pPr>
            <w:r>
              <w:rPr>
                <w:rFonts w:cs="Times New Roman"/>
                <w:lang w:val="fr-BE"/>
              </w:rPr>
              <w:t xml:space="preserve">Chemin Camille Vidart, 15 </w:t>
            </w:r>
          </w:p>
          <w:p w14:paraId="41D82A21" w14:textId="515FEA3F" w:rsidR="005E785F" w:rsidRDefault="003621E8">
            <w:pPr>
              <w:tabs>
                <w:tab w:val="left" w:pos="4320"/>
              </w:tabs>
              <w:spacing w:line="280" w:lineRule="atLeast"/>
              <w:jc w:val="both"/>
              <w:rPr>
                <w:rFonts w:cs="Times New Roman"/>
                <w:lang w:val="en-GB"/>
              </w:rPr>
            </w:pPr>
            <w:r>
              <w:rPr>
                <w:rFonts w:cs="Times New Roman"/>
                <w:lang w:val="fr-BE"/>
              </w:rPr>
              <w:t xml:space="preserve">1202 </w:t>
            </w:r>
            <w:r>
              <w:rPr>
                <w:rFonts w:cs="Times New Roman"/>
                <w:lang w:val="en-GB"/>
              </w:rPr>
              <w:t xml:space="preserve">Geneva </w:t>
            </w:r>
          </w:p>
          <w:p w14:paraId="1CD5152C" w14:textId="77777777" w:rsidR="005E785F" w:rsidRDefault="003621E8">
            <w:pPr>
              <w:tabs>
                <w:tab w:val="left" w:pos="4320"/>
              </w:tabs>
              <w:spacing w:line="280" w:lineRule="atLeast"/>
              <w:jc w:val="both"/>
              <w:rPr>
                <w:rFonts w:cs="Times New Roman"/>
                <w:lang w:val="en-GB"/>
              </w:rPr>
            </w:pPr>
            <w:r>
              <w:rPr>
                <w:rFonts w:cs="Times New Roman"/>
                <w:lang w:val="en-GB"/>
              </w:rPr>
              <w:t xml:space="preserve">Switzerland </w:t>
            </w:r>
          </w:p>
        </w:tc>
        <w:tc>
          <w:tcPr>
            <w:tcW w:w="4638" w:type="dxa"/>
          </w:tcPr>
          <w:p w14:paraId="359A0304" w14:textId="77777777" w:rsidR="005E785F" w:rsidRDefault="003621E8">
            <w:pPr>
              <w:tabs>
                <w:tab w:val="left" w:pos="4320"/>
              </w:tabs>
              <w:spacing w:before="120" w:after="120" w:line="280" w:lineRule="atLeast"/>
              <w:jc w:val="both"/>
              <w:rPr>
                <w:rFonts w:cs="Times New Roman"/>
                <w:lang w:val="en-GB"/>
              </w:rPr>
            </w:pPr>
            <w:r>
              <w:rPr>
                <w:rFonts w:cs="Times New Roman"/>
                <w:lang w:val="en-GB"/>
              </w:rPr>
              <w:t>Signature:</w:t>
            </w:r>
          </w:p>
        </w:tc>
      </w:tr>
      <w:tr w:rsidR="005E785F" w14:paraId="7604CEEA" w14:textId="77777777">
        <w:trPr>
          <w:trHeight w:val="867"/>
        </w:trPr>
        <w:tc>
          <w:tcPr>
            <w:tcW w:w="4389" w:type="dxa"/>
            <w:gridSpan w:val="2"/>
            <w:vMerge/>
          </w:tcPr>
          <w:p w14:paraId="7216D49C" w14:textId="77777777" w:rsidR="005E785F" w:rsidRDefault="005E785F">
            <w:pPr>
              <w:tabs>
                <w:tab w:val="left" w:pos="4320"/>
              </w:tabs>
              <w:spacing w:line="280" w:lineRule="atLeast"/>
              <w:jc w:val="both"/>
              <w:rPr>
                <w:rFonts w:cs="Times New Roman"/>
                <w:lang w:val="en-GB"/>
              </w:rPr>
            </w:pPr>
          </w:p>
        </w:tc>
        <w:tc>
          <w:tcPr>
            <w:tcW w:w="4638" w:type="dxa"/>
            <w:vMerge w:val="restart"/>
          </w:tcPr>
          <w:p w14:paraId="70E75716" w14:textId="77777777" w:rsidR="005E785F" w:rsidRDefault="003621E8">
            <w:pPr>
              <w:tabs>
                <w:tab w:val="left" w:pos="4320"/>
              </w:tabs>
              <w:spacing w:before="120" w:after="120" w:line="280" w:lineRule="atLeast"/>
              <w:jc w:val="both"/>
              <w:rPr>
                <w:rFonts w:cs="Times New Roman"/>
                <w:lang w:val="en-GB"/>
              </w:rPr>
            </w:pPr>
            <w:r>
              <w:rPr>
                <w:rFonts w:cs="Times New Roman"/>
                <w:lang w:val="en-GB"/>
              </w:rPr>
              <w:t>Date:</w:t>
            </w:r>
          </w:p>
        </w:tc>
      </w:tr>
      <w:tr w:rsidR="005E785F" w14:paraId="782B302D" w14:textId="77777777">
        <w:trPr>
          <w:trHeight w:val="441"/>
        </w:trPr>
        <w:tc>
          <w:tcPr>
            <w:tcW w:w="750" w:type="dxa"/>
            <w:vAlign w:val="center"/>
          </w:tcPr>
          <w:p w14:paraId="3182E4D0" w14:textId="77777777" w:rsidR="005E785F" w:rsidRDefault="003621E8">
            <w:pPr>
              <w:tabs>
                <w:tab w:val="left" w:pos="4320"/>
              </w:tabs>
              <w:spacing w:before="120" w:after="120" w:line="280" w:lineRule="atLeast"/>
              <w:jc w:val="both"/>
              <w:rPr>
                <w:rFonts w:cs="Times New Roman"/>
                <w:lang w:val="en-GB"/>
              </w:rPr>
            </w:pPr>
            <w:r>
              <w:rPr>
                <w:rFonts w:ascii="Wingdings" w:eastAsia="Wingdings" w:hAnsi="Wingdings" w:cs="Wingdings"/>
                <w:lang w:val="en-GB"/>
              </w:rPr>
              <w:t></w:t>
            </w:r>
          </w:p>
        </w:tc>
        <w:tc>
          <w:tcPr>
            <w:tcW w:w="3639" w:type="dxa"/>
            <w:vAlign w:val="center"/>
          </w:tcPr>
          <w:p w14:paraId="0590D882" w14:textId="77777777" w:rsidR="005E785F" w:rsidRDefault="003621E8">
            <w:pPr>
              <w:tabs>
                <w:tab w:val="left" w:pos="4320"/>
              </w:tabs>
              <w:spacing w:line="280" w:lineRule="atLeast"/>
              <w:jc w:val="both"/>
              <w:rPr>
                <w:rFonts w:cs="Times New Roman"/>
                <w:lang w:val="en-GB"/>
              </w:rPr>
            </w:pPr>
            <w:r>
              <w:rPr>
                <w:rFonts w:cs="Times New Roman"/>
                <w:lang w:val="en-GB"/>
              </w:rPr>
              <w:t>+41 22 906 92 57</w:t>
            </w:r>
          </w:p>
          <w:p w14:paraId="20CE97A5" w14:textId="77777777" w:rsidR="005E785F" w:rsidRDefault="003621E8">
            <w:pPr>
              <w:tabs>
                <w:tab w:val="left" w:pos="4320"/>
              </w:tabs>
              <w:spacing w:line="280" w:lineRule="atLeast"/>
              <w:jc w:val="both"/>
              <w:rPr>
                <w:rFonts w:cs="Times New Roman"/>
                <w:lang w:val="en-GB"/>
              </w:rPr>
            </w:pPr>
            <w:r>
              <w:rPr>
                <w:rFonts w:cs="Times New Roman"/>
                <w:lang w:val="en-GB"/>
              </w:rPr>
              <w:t>Mobile: +41 79 305 73 38</w:t>
            </w:r>
          </w:p>
        </w:tc>
        <w:tc>
          <w:tcPr>
            <w:tcW w:w="4638" w:type="dxa"/>
            <w:vMerge/>
            <w:vAlign w:val="center"/>
          </w:tcPr>
          <w:p w14:paraId="309C530F" w14:textId="77777777" w:rsidR="005E785F" w:rsidRDefault="005E785F">
            <w:pPr>
              <w:tabs>
                <w:tab w:val="left" w:pos="4320"/>
              </w:tabs>
              <w:spacing w:before="120" w:after="120" w:line="280" w:lineRule="atLeast"/>
              <w:jc w:val="both"/>
              <w:rPr>
                <w:rFonts w:cs="Times New Roman"/>
                <w:lang w:val="en-GB"/>
              </w:rPr>
            </w:pPr>
          </w:p>
        </w:tc>
      </w:tr>
      <w:tr w:rsidR="005E785F" w14:paraId="1DF31AAC" w14:textId="77777777">
        <w:trPr>
          <w:trHeight w:val="349"/>
        </w:trPr>
        <w:tc>
          <w:tcPr>
            <w:tcW w:w="750" w:type="dxa"/>
            <w:vAlign w:val="center"/>
          </w:tcPr>
          <w:p w14:paraId="2BE4245C" w14:textId="77777777" w:rsidR="005E785F" w:rsidRDefault="003621E8">
            <w:pPr>
              <w:tabs>
                <w:tab w:val="left" w:pos="4320"/>
              </w:tabs>
              <w:spacing w:before="120" w:after="120" w:line="280" w:lineRule="atLeast"/>
              <w:jc w:val="both"/>
              <w:rPr>
                <w:rFonts w:cs="Times New Roman"/>
                <w:lang w:val="en-GB"/>
              </w:rPr>
            </w:pPr>
            <w:r>
              <w:rPr>
                <w:rFonts w:cs="Times New Roman"/>
                <w:lang w:val="en-GB"/>
              </w:rPr>
              <w:t>email</w:t>
            </w:r>
          </w:p>
        </w:tc>
        <w:tc>
          <w:tcPr>
            <w:tcW w:w="3639" w:type="dxa"/>
            <w:vAlign w:val="center"/>
          </w:tcPr>
          <w:p w14:paraId="6A53BA8E" w14:textId="77777777" w:rsidR="005E785F" w:rsidRDefault="00747B9C">
            <w:pPr>
              <w:tabs>
                <w:tab w:val="left" w:pos="4320"/>
              </w:tabs>
              <w:spacing w:line="280" w:lineRule="atLeast"/>
              <w:jc w:val="both"/>
              <w:rPr>
                <w:rFonts w:cs="Times New Roman"/>
                <w:lang w:val="en-GB"/>
              </w:rPr>
            </w:pPr>
            <w:hyperlink r:id="rId11" w:history="1">
              <w:r w:rsidR="003621E8">
                <w:rPr>
                  <w:rStyle w:val="Hyperlink"/>
                  <w:rFonts w:cs="Times New Roman"/>
                  <w:color w:val="auto"/>
                  <w:lang w:val="en-GB"/>
                </w:rPr>
                <w:t>sblesson@dndi.org</w:t>
              </w:r>
            </w:hyperlink>
          </w:p>
        </w:tc>
        <w:tc>
          <w:tcPr>
            <w:tcW w:w="4638" w:type="dxa"/>
            <w:vMerge/>
            <w:vAlign w:val="center"/>
          </w:tcPr>
          <w:p w14:paraId="2928D153" w14:textId="77777777" w:rsidR="005E785F" w:rsidRDefault="005E785F">
            <w:pPr>
              <w:tabs>
                <w:tab w:val="left" w:pos="4320"/>
              </w:tabs>
              <w:spacing w:before="120" w:after="120" w:line="280" w:lineRule="atLeast"/>
              <w:jc w:val="both"/>
              <w:rPr>
                <w:rFonts w:cs="Times New Roman"/>
                <w:lang w:val="en-GB"/>
              </w:rPr>
            </w:pPr>
          </w:p>
        </w:tc>
      </w:tr>
      <w:tr w:rsidR="005E785F" w14:paraId="36235A7A" w14:textId="77777777">
        <w:trPr>
          <w:trHeight w:val="585"/>
        </w:trPr>
        <w:tc>
          <w:tcPr>
            <w:tcW w:w="4389" w:type="dxa"/>
            <w:gridSpan w:val="2"/>
            <w:vMerge w:val="restart"/>
          </w:tcPr>
          <w:p w14:paraId="1252F0D5" w14:textId="77777777" w:rsidR="005E785F" w:rsidRDefault="005E785F">
            <w:pPr>
              <w:tabs>
                <w:tab w:val="left" w:pos="4320"/>
              </w:tabs>
              <w:spacing w:line="280" w:lineRule="atLeast"/>
              <w:jc w:val="both"/>
              <w:rPr>
                <w:b/>
                <w:lang w:val="en-GB"/>
              </w:rPr>
            </w:pPr>
          </w:p>
          <w:p w14:paraId="12EDE5A3" w14:textId="6706EDBE" w:rsidR="005E785F" w:rsidRDefault="003621E8">
            <w:pPr>
              <w:tabs>
                <w:tab w:val="left" w:pos="4320"/>
              </w:tabs>
              <w:spacing w:before="240" w:line="280" w:lineRule="atLeast"/>
              <w:jc w:val="both"/>
              <w:rPr>
                <w:rFonts w:cs="Times New Roman"/>
                <w:lang w:val="en-GB"/>
              </w:rPr>
            </w:pPr>
            <w:r>
              <w:rPr>
                <w:b/>
                <w:lang w:val="en-GB"/>
              </w:rPr>
              <w:t xml:space="preserve">Dr </w:t>
            </w:r>
            <w:bookmarkStart w:id="5" w:name="_Hlk48546676"/>
            <w:r>
              <w:rPr>
                <w:b/>
                <w:lang w:val="en-GB"/>
              </w:rPr>
              <w:t>Jean-Yves Gillon</w:t>
            </w:r>
            <w:r>
              <w:rPr>
                <w:rFonts w:cs="Times New Roman"/>
                <w:lang w:val="en-GB"/>
              </w:rPr>
              <w:t xml:space="preserve"> </w:t>
            </w:r>
            <w:bookmarkEnd w:id="5"/>
          </w:p>
          <w:p w14:paraId="4B8F51EA" w14:textId="77777777" w:rsidR="005E785F" w:rsidRDefault="003621E8">
            <w:pPr>
              <w:tabs>
                <w:tab w:val="left" w:pos="4320"/>
              </w:tabs>
              <w:spacing w:line="280" w:lineRule="atLeast"/>
              <w:jc w:val="both"/>
              <w:rPr>
                <w:rFonts w:cs="Times New Roman"/>
                <w:lang w:val="en-GB"/>
              </w:rPr>
            </w:pPr>
            <w:r>
              <w:rPr>
                <w:rFonts w:cs="Times New Roman"/>
                <w:lang w:val="en-GB"/>
              </w:rPr>
              <w:t xml:space="preserve">Head of Translational Sciences </w:t>
            </w:r>
          </w:p>
          <w:p w14:paraId="54466495" w14:textId="77777777" w:rsidR="005E785F" w:rsidRDefault="003621E8">
            <w:pPr>
              <w:tabs>
                <w:tab w:val="left" w:pos="4320"/>
              </w:tabs>
              <w:spacing w:line="280" w:lineRule="atLeast"/>
              <w:jc w:val="both"/>
              <w:rPr>
                <w:rFonts w:cs="Times New Roman"/>
                <w:lang w:val="fr-BE"/>
              </w:rPr>
            </w:pPr>
            <w:r>
              <w:rPr>
                <w:rFonts w:cs="Times New Roman"/>
                <w:lang w:val="fr-BE"/>
              </w:rPr>
              <w:t>DNDi</w:t>
            </w:r>
          </w:p>
          <w:p w14:paraId="3DD5E285" w14:textId="77777777" w:rsidR="005E785F" w:rsidRDefault="003621E8">
            <w:pPr>
              <w:tabs>
                <w:tab w:val="left" w:pos="4320"/>
              </w:tabs>
              <w:spacing w:line="280" w:lineRule="atLeast"/>
              <w:jc w:val="both"/>
              <w:rPr>
                <w:rFonts w:cs="Times New Roman"/>
                <w:lang w:val="fr-BE"/>
              </w:rPr>
            </w:pPr>
            <w:r>
              <w:rPr>
                <w:rFonts w:cs="Times New Roman"/>
                <w:lang w:val="fr-BE"/>
              </w:rPr>
              <w:t>Chemin Camille Vidart, 15</w:t>
            </w:r>
          </w:p>
          <w:p w14:paraId="72940CAA" w14:textId="67AA5C3C" w:rsidR="005E785F" w:rsidRDefault="003621E8">
            <w:pPr>
              <w:tabs>
                <w:tab w:val="left" w:pos="4320"/>
              </w:tabs>
              <w:spacing w:line="280" w:lineRule="atLeast"/>
              <w:jc w:val="both"/>
              <w:rPr>
                <w:rFonts w:cs="Times New Roman"/>
                <w:lang w:val="fr-BE"/>
              </w:rPr>
            </w:pPr>
            <w:r>
              <w:rPr>
                <w:rFonts w:cs="Times New Roman"/>
                <w:lang w:val="fr-BE"/>
              </w:rPr>
              <w:t xml:space="preserve">1202 Geneva </w:t>
            </w:r>
          </w:p>
          <w:p w14:paraId="34B6BD4F" w14:textId="77777777" w:rsidR="005E785F" w:rsidRDefault="003621E8">
            <w:pPr>
              <w:tabs>
                <w:tab w:val="left" w:pos="4320"/>
              </w:tabs>
              <w:spacing w:line="280" w:lineRule="atLeast"/>
              <w:jc w:val="both"/>
              <w:rPr>
                <w:rFonts w:cs="Times New Roman"/>
                <w:lang w:val="fr-BE"/>
              </w:rPr>
            </w:pPr>
            <w:r>
              <w:rPr>
                <w:rFonts w:cs="Times New Roman"/>
                <w:lang w:val="fr-BE"/>
              </w:rPr>
              <w:t xml:space="preserve">Switzerland </w:t>
            </w:r>
          </w:p>
        </w:tc>
        <w:tc>
          <w:tcPr>
            <w:tcW w:w="4638" w:type="dxa"/>
          </w:tcPr>
          <w:p w14:paraId="61895ABC" w14:textId="77777777" w:rsidR="005E785F" w:rsidRDefault="005E785F">
            <w:pPr>
              <w:tabs>
                <w:tab w:val="left" w:pos="4320"/>
              </w:tabs>
              <w:spacing w:before="120" w:after="120" w:line="280" w:lineRule="atLeast"/>
              <w:jc w:val="both"/>
              <w:rPr>
                <w:rFonts w:cs="Times New Roman"/>
                <w:lang w:val="fr-BE"/>
              </w:rPr>
            </w:pPr>
          </w:p>
          <w:p w14:paraId="6D6AD2BC" w14:textId="77777777" w:rsidR="005E785F" w:rsidRDefault="003621E8">
            <w:pPr>
              <w:tabs>
                <w:tab w:val="left" w:pos="4320"/>
              </w:tabs>
              <w:spacing w:before="120" w:after="120" w:line="280" w:lineRule="atLeast"/>
              <w:jc w:val="both"/>
              <w:rPr>
                <w:rFonts w:cs="Times New Roman"/>
                <w:lang w:val="en-GB"/>
              </w:rPr>
            </w:pPr>
            <w:r>
              <w:rPr>
                <w:rFonts w:cs="Times New Roman"/>
                <w:lang w:val="en-GB"/>
              </w:rPr>
              <w:t>Signature:</w:t>
            </w:r>
          </w:p>
        </w:tc>
      </w:tr>
      <w:tr w:rsidR="005E785F" w14:paraId="61BBCA28" w14:textId="77777777">
        <w:trPr>
          <w:trHeight w:val="893"/>
        </w:trPr>
        <w:tc>
          <w:tcPr>
            <w:tcW w:w="4389" w:type="dxa"/>
            <w:gridSpan w:val="2"/>
            <w:vMerge/>
          </w:tcPr>
          <w:p w14:paraId="0552CE9E" w14:textId="77777777" w:rsidR="005E785F" w:rsidRDefault="005E785F">
            <w:pPr>
              <w:tabs>
                <w:tab w:val="left" w:pos="4320"/>
              </w:tabs>
              <w:spacing w:line="280" w:lineRule="atLeast"/>
              <w:jc w:val="both"/>
              <w:rPr>
                <w:rFonts w:cs="Times New Roman"/>
                <w:lang w:val="en-GB"/>
              </w:rPr>
            </w:pPr>
          </w:p>
        </w:tc>
        <w:tc>
          <w:tcPr>
            <w:tcW w:w="4638" w:type="dxa"/>
            <w:vMerge w:val="restart"/>
          </w:tcPr>
          <w:p w14:paraId="54CD4423" w14:textId="77777777" w:rsidR="005E785F" w:rsidRDefault="003621E8">
            <w:pPr>
              <w:tabs>
                <w:tab w:val="left" w:pos="4320"/>
              </w:tabs>
              <w:spacing w:before="120" w:after="120" w:line="280" w:lineRule="atLeast"/>
              <w:jc w:val="both"/>
              <w:rPr>
                <w:rFonts w:cs="Times New Roman"/>
                <w:lang w:val="en-GB"/>
              </w:rPr>
            </w:pPr>
            <w:r>
              <w:rPr>
                <w:rFonts w:cs="Times New Roman"/>
                <w:lang w:val="en-GB"/>
              </w:rPr>
              <w:t>Date:</w:t>
            </w:r>
          </w:p>
        </w:tc>
      </w:tr>
      <w:tr w:rsidR="005E785F" w14:paraId="4E9B64B1" w14:textId="77777777">
        <w:trPr>
          <w:trHeight w:val="263"/>
        </w:trPr>
        <w:tc>
          <w:tcPr>
            <w:tcW w:w="750" w:type="dxa"/>
            <w:vAlign w:val="center"/>
          </w:tcPr>
          <w:p w14:paraId="7C473965" w14:textId="77777777" w:rsidR="005E785F" w:rsidRDefault="003621E8">
            <w:pPr>
              <w:tabs>
                <w:tab w:val="left" w:pos="4320"/>
              </w:tabs>
              <w:spacing w:before="120" w:after="120" w:line="280" w:lineRule="atLeast"/>
              <w:jc w:val="both"/>
              <w:rPr>
                <w:rFonts w:cs="Times New Roman"/>
                <w:lang w:val="en-GB"/>
              </w:rPr>
            </w:pPr>
            <w:r>
              <w:rPr>
                <w:rFonts w:ascii="Wingdings" w:eastAsia="Wingdings" w:hAnsi="Wingdings" w:cs="Wingdings"/>
                <w:lang w:val="en-GB"/>
              </w:rPr>
              <w:t></w:t>
            </w:r>
          </w:p>
        </w:tc>
        <w:tc>
          <w:tcPr>
            <w:tcW w:w="3639" w:type="dxa"/>
            <w:vAlign w:val="center"/>
          </w:tcPr>
          <w:p w14:paraId="5371C1DD" w14:textId="77777777" w:rsidR="005E785F" w:rsidRDefault="003621E8">
            <w:pPr>
              <w:tabs>
                <w:tab w:val="left" w:pos="4320"/>
              </w:tabs>
              <w:spacing w:line="280" w:lineRule="atLeast"/>
              <w:jc w:val="both"/>
              <w:rPr>
                <w:rFonts w:cs="Times New Roman"/>
                <w:lang w:val="en-GB"/>
              </w:rPr>
            </w:pPr>
            <w:r>
              <w:rPr>
                <w:rFonts w:cs="Times New Roman"/>
                <w:lang w:val="en-GB"/>
              </w:rPr>
              <w:t>+41 22 906 92 32</w:t>
            </w:r>
          </w:p>
        </w:tc>
        <w:tc>
          <w:tcPr>
            <w:tcW w:w="4638" w:type="dxa"/>
            <w:vMerge/>
          </w:tcPr>
          <w:p w14:paraId="4E2723F6" w14:textId="77777777" w:rsidR="005E785F" w:rsidRDefault="005E785F">
            <w:pPr>
              <w:tabs>
                <w:tab w:val="left" w:pos="4320"/>
              </w:tabs>
              <w:spacing w:before="120" w:after="120" w:line="280" w:lineRule="atLeast"/>
              <w:jc w:val="both"/>
              <w:rPr>
                <w:rFonts w:cs="Times New Roman"/>
                <w:lang w:val="en-GB"/>
              </w:rPr>
            </w:pPr>
          </w:p>
        </w:tc>
      </w:tr>
      <w:tr w:rsidR="005E785F" w14:paraId="65E5C31A" w14:textId="77777777">
        <w:trPr>
          <w:trHeight w:val="339"/>
        </w:trPr>
        <w:tc>
          <w:tcPr>
            <w:tcW w:w="750" w:type="dxa"/>
            <w:vAlign w:val="center"/>
          </w:tcPr>
          <w:p w14:paraId="3A72A95A" w14:textId="77777777" w:rsidR="005E785F" w:rsidRDefault="003621E8">
            <w:pPr>
              <w:tabs>
                <w:tab w:val="left" w:pos="4320"/>
              </w:tabs>
              <w:spacing w:before="120" w:after="120" w:line="280" w:lineRule="atLeast"/>
              <w:jc w:val="both"/>
              <w:rPr>
                <w:rFonts w:cs="Times New Roman"/>
                <w:lang w:val="en-GB"/>
              </w:rPr>
            </w:pPr>
            <w:r>
              <w:rPr>
                <w:rFonts w:cs="Times New Roman"/>
                <w:lang w:val="en-GB"/>
              </w:rPr>
              <w:t>email</w:t>
            </w:r>
          </w:p>
        </w:tc>
        <w:tc>
          <w:tcPr>
            <w:tcW w:w="3639" w:type="dxa"/>
            <w:vAlign w:val="center"/>
          </w:tcPr>
          <w:p w14:paraId="5BD7AD5F" w14:textId="77777777" w:rsidR="005E785F" w:rsidRDefault="00747B9C">
            <w:pPr>
              <w:tabs>
                <w:tab w:val="left" w:pos="4320"/>
              </w:tabs>
              <w:spacing w:line="280" w:lineRule="atLeast"/>
              <w:jc w:val="both"/>
              <w:rPr>
                <w:rFonts w:cs="Times New Roman"/>
                <w:lang w:val="en-GB"/>
              </w:rPr>
            </w:pPr>
            <w:hyperlink r:id="rId12" w:history="1">
              <w:r w:rsidR="003621E8">
                <w:rPr>
                  <w:rStyle w:val="Hyperlink"/>
                  <w:rFonts w:cs="Times New Roman"/>
                  <w:color w:val="auto"/>
                  <w:lang w:val="en-GB"/>
                </w:rPr>
                <w:t>jygillon@dndi.org</w:t>
              </w:r>
            </w:hyperlink>
          </w:p>
        </w:tc>
        <w:tc>
          <w:tcPr>
            <w:tcW w:w="4638" w:type="dxa"/>
            <w:vMerge/>
          </w:tcPr>
          <w:p w14:paraId="7C2300E1" w14:textId="77777777" w:rsidR="005E785F" w:rsidRDefault="005E785F">
            <w:pPr>
              <w:tabs>
                <w:tab w:val="left" w:pos="4320"/>
              </w:tabs>
              <w:spacing w:before="120" w:after="120" w:line="280" w:lineRule="atLeast"/>
              <w:jc w:val="both"/>
              <w:rPr>
                <w:rFonts w:cs="Times New Roman"/>
                <w:lang w:val="en-GB"/>
              </w:rPr>
            </w:pPr>
          </w:p>
        </w:tc>
      </w:tr>
      <w:tr w:rsidR="005E785F" w14:paraId="38894030" w14:textId="77777777">
        <w:trPr>
          <w:trHeight w:val="585"/>
        </w:trPr>
        <w:tc>
          <w:tcPr>
            <w:tcW w:w="4389" w:type="dxa"/>
            <w:gridSpan w:val="2"/>
            <w:vMerge w:val="restart"/>
          </w:tcPr>
          <w:p w14:paraId="3A7AB6F4" w14:textId="68444D83" w:rsidR="005E785F" w:rsidRDefault="003621E8">
            <w:pPr>
              <w:tabs>
                <w:tab w:val="left" w:pos="4320"/>
              </w:tabs>
              <w:spacing w:before="480" w:line="280" w:lineRule="atLeast"/>
              <w:jc w:val="both"/>
              <w:rPr>
                <w:b/>
                <w:lang w:val="en-GB"/>
              </w:rPr>
            </w:pPr>
            <w:r>
              <w:rPr>
                <w:b/>
                <w:lang w:val="en-GB"/>
              </w:rPr>
              <w:t>Dr Byron Arana</w:t>
            </w:r>
          </w:p>
          <w:p w14:paraId="10C987CF" w14:textId="77777777" w:rsidR="005E785F" w:rsidRDefault="003621E8">
            <w:pPr>
              <w:tabs>
                <w:tab w:val="left" w:pos="4320"/>
              </w:tabs>
              <w:spacing w:line="280" w:lineRule="atLeast"/>
              <w:jc w:val="both"/>
              <w:rPr>
                <w:bCs/>
                <w:lang w:val="en-GB"/>
              </w:rPr>
            </w:pPr>
            <w:r>
              <w:rPr>
                <w:bCs/>
                <w:lang w:val="en-GB"/>
              </w:rPr>
              <w:t>DNDi Medical Responsible</w:t>
            </w:r>
          </w:p>
          <w:p w14:paraId="1E6BC986" w14:textId="77777777" w:rsidR="005E785F" w:rsidRDefault="003621E8">
            <w:pPr>
              <w:tabs>
                <w:tab w:val="left" w:pos="4320"/>
              </w:tabs>
              <w:spacing w:line="280" w:lineRule="atLeast"/>
              <w:jc w:val="both"/>
              <w:rPr>
                <w:rFonts w:cs="Times New Roman"/>
                <w:lang w:val="fr-BE"/>
              </w:rPr>
            </w:pPr>
            <w:r>
              <w:rPr>
                <w:bCs/>
                <w:lang w:val="fr-BE"/>
              </w:rPr>
              <w:t>DNDi</w:t>
            </w:r>
          </w:p>
          <w:p w14:paraId="0789EDF0" w14:textId="77777777" w:rsidR="005E785F" w:rsidRDefault="003621E8">
            <w:pPr>
              <w:tabs>
                <w:tab w:val="left" w:pos="4320"/>
              </w:tabs>
              <w:spacing w:line="280" w:lineRule="atLeast"/>
              <w:jc w:val="both"/>
              <w:rPr>
                <w:rFonts w:cs="Times New Roman"/>
                <w:lang w:val="fr-BE"/>
              </w:rPr>
            </w:pPr>
            <w:r>
              <w:rPr>
                <w:rFonts w:cs="Times New Roman"/>
                <w:lang w:val="fr-BE"/>
              </w:rPr>
              <w:t>Chemin Camille Vidart, 15</w:t>
            </w:r>
          </w:p>
          <w:p w14:paraId="406F2C2E" w14:textId="5179BA55" w:rsidR="005E785F" w:rsidRDefault="003621E8">
            <w:pPr>
              <w:tabs>
                <w:tab w:val="left" w:pos="4320"/>
              </w:tabs>
              <w:spacing w:line="280" w:lineRule="atLeast"/>
              <w:jc w:val="both"/>
              <w:rPr>
                <w:rFonts w:cs="Times New Roman"/>
                <w:lang w:val="fr-BE"/>
              </w:rPr>
            </w:pPr>
            <w:r>
              <w:rPr>
                <w:rFonts w:cs="Times New Roman"/>
                <w:lang w:val="fr-BE"/>
              </w:rPr>
              <w:t xml:space="preserve">1202 Geneva </w:t>
            </w:r>
          </w:p>
          <w:p w14:paraId="03FEA5CC" w14:textId="77777777" w:rsidR="005E785F" w:rsidRDefault="003621E8">
            <w:pPr>
              <w:tabs>
                <w:tab w:val="left" w:pos="4320"/>
              </w:tabs>
              <w:spacing w:line="280" w:lineRule="atLeast"/>
              <w:jc w:val="both"/>
              <w:rPr>
                <w:rFonts w:cs="Times New Roman"/>
                <w:lang w:val="fr-BE"/>
              </w:rPr>
            </w:pPr>
            <w:r>
              <w:rPr>
                <w:rFonts w:cs="Times New Roman"/>
                <w:lang w:val="fr-BE"/>
              </w:rPr>
              <w:t xml:space="preserve">Switzerland </w:t>
            </w:r>
          </w:p>
        </w:tc>
        <w:tc>
          <w:tcPr>
            <w:tcW w:w="4638" w:type="dxa"/>
          </w:tcPr>
          <w:p w14:paraId="5B2B48B7" w14:textId="77777777" w:rsidR="005E785F" w:rsidRDefault="005E785F">
            <w:pPr>
              <w:tabs>
                <w:tab w:val="left" w:pos="4320"/>
              </w:tabs>
              <w:spacing w:before="120" w:after="120" w:line="280" w:lineRule="atLeast"/>
              <w:jc w:val="both"/>
              <w:rPr>
                <w:rFonts w:cs="Times New Roman"/>
                <w:lang w:val="fr-BE"/>
              </w:rPr>
            </w:pPr>
          </w:p>
          <w:p w14:paraId="26918ADE" w14:textId="77777777" w:rsidR="005E785F" w:rsidRDefault="003621E8">
            <w:pPr>
              <w:tabs>
                <w:tab w:val="left" w:pos="4320"/>
              </w:tabs>
              <w:spacing w:before="120" w:after="120" w:line="280" w:lineRule="atLeast"/>
              <w:jc w:val="both"/>
              <w:rPr>
                <w:rFonts w:cs="Times New Roman"/>
                <w:lang w:val="en-GB"/>
              </w:rPr>
            </w:pPr>
            <w:r>
              <w:rPr>
                <w:rFonts w:cs="Times New Roman"/>
                <w:lang w:val="en-GB"/>
              </w:rPr>
              <w:t>Signature:</w:t>
            </w:r>
          </w:p>
        </w:tc>
      </w:tr>
      <w:tr w:rsidR="005E785F" w14:paraId="2112E53C" w14:textId="77777777">
        <w:trPr>
          <w:trHeight w:val="1147"/>
        </w:trPr>
        <w:tc>
          <w:tcPr>
            <w:tcW w:w="4389" w:type="dxa"/>
            <w:gridSpan w:val="2"/>
            <w:vMerge/>
          </w:tcPr>
          <w:p w14:paraId="04704D9A" w14:textId="77777777" w:rsidR="005E785F" w:rsidRDefault="005E785F">
            <w:pPr>
              <w:tabs>
                <w:tab w:val="left" w:pos="4320"/>
              </w:tabs>
              <w:spacing w:line="280" w:lineRule="atLeast"/>
              <w:jc w:val="both"/>
              <w:rPr>
                <w:rFonts w:cs="Times New Roman"/>
                <w:lang w:val="en-GB"/>
              </w:rPr>
            </w:pPr>
          </w:p>
        </w:tc>
        <w:tc>
          <w:tcPr>
            <w:tcW w:w="4638" w:type="dxa"/>
            <w:vMerge w:val="restart"/>
          </w:tcPr>
          <w:p w14:paraId="635DD074" w14:textId="77777777" w:rsidR="005E785F" w:rsidRDefault="003621E8">
            <w:pPr>
              <w:tabs>
                <w:tab w:val="left" w:pos="4320"/>
              </w:tabs>
              <w:spacing w:before="120" w:after="120" w:line="280" w:lineRule="atLeast"/>
              <w:jc w:val="both"/>
              <w:rPr>
                <w:rFonts w:cs="Times New Roman"/>
                <w:lang w:val="en-GB"/>
              </w:rPr>
            </w:pPr>
            <w:r>
              <w:rPr>
                <w:rFonts w:cs="Times New Roman"/>
                <w:lang w:val="en-GB"/>
              </w:rPr>
              <w:t>Date:</w:t>
            </w:r>
          </w:p>
        </w:tc>
      </w:tr>
      <w:tr w:rsidR="005E785F" w14:paraId="6F6016C8" w14:textId="77777777">
        <w:trPr>
          <w:trHeight w:val="263"/>
        </w:trPr>
        <w:tc>
          <w:tcPr>
            <w:tcW w:w="750" w:type="dxa"/>
            <w:vAlign w:val="center"/>
          </w:tcPr>
          <w:p w14:paraId="6CF0E245" w14:textId="77777777" w:rsidR="005E785F" w:rsidRDefault="003621E8">
            <w:pPr>
              <w:tabs>
                <w:tab w:val="left" w:pos="4320"/>
              </w:tabs>
              <w:spacing w:before="120" w:after="120" w:line="280" w:lineRule="atLeast"/>
              <w:jc w:val="both"/>
              <w:rPr>
                <w:rFonts w:cs="Times New Roman"/>
                <w:lang w:val="en-GB"/>
              </w:rPr>
            </w:pPr>
            <w:r>
              <w:rPr>
                <w:rFonts w:ascii="Wingdings" w:eastAsia="Wingdings" w:hAnsi="Wingdings" w:cs="Wingdings"/>
                <w:lang w:val="en-GB"/>
              </w:rPr>
              <w:t></w:t>
            </w:r>
          </w:p>
        </w:tc>
        <w:tc>
          <w:tcPr>
            <w:tcW w:w="3639" w:type="dxa"/>
            <w:vAlign w:val="center"/>
          </w:tcPr>
          <w:p w14:paraId="70256919" w14:textId="32840300" w:rsidR="005E785F" w:rsidRDefault="003621E8">
            <w:pPr>
              <w:tabs>
                <w:tab w:val="left" w:pos="4320"/>
              </w:tabs>
              <w:spacing w:line="280" w:lineRule="atLeast"/>
              <w:jc w:val="both"/>
              <w:rPr>
                <w:rFonts w:cs="Times New Roman"/>
                <w:lang w:val="en-GB"/>
              </w:rPr>
            </w:pPr>
            <w:r>
              <w:t>+41 79 276 22 83</w:t>
            </w:r>
          </w:p>
        </w:tc>
        <w:tc>
          <w:tcPr>
            <w:tcW w:w="4638" w:type="dxa"/>
            <w:vMerge/>
            <w:vAlign w:val="center"/>
          </w:tcPr>
          <w:p w14:paraId="663DE3FC" w14:textId="77777777" w:rsidR="005E785F" w:rsidRDefault="005E785F">
            <w:pPr>
              <w:tabs>
                <w:tab w:val="left" w:pos="4320"/>
              </w:tabs>
              <w:spacing w:before="120" w:after="120" w:line="280" w:lineRule="atLeast"/>
              <w:jc w:val="both"/>
              <w:rPr>
                <w:rFonts w:cs="Times New Roman"/>
                <w:lang w:val="en-GB"/>
              </w:rPr>
            </w:pPr>
          </w:p>
        </w:tc>
      </w:tr>
      <w:tr w:rsidR="005E785F" w14:paraId="6C80881C" w14:textId="77777777">
        <w:trPr>
          <w:trHeight w:val="262"/>
        </w:trPr>
        <w:tc>
          <w:tcPr>
            <w:tcW w:w="750" w:type="dxa"/>
            <w:vAlign w:val="center"/>
          </w:tcPr>
          <w:p w14:paraId="5456E77F" w14:textId="77777777" w:rsidR="005E785F" w:rsidRDefault="003621E8">
            <w:pPr>
              <w:tabs>
                <w:tab w:val="left" w:pos="4320"/>
              </w:tabs>
              <w:spacing w:before="120" w:after="120" w:line="280" w:lineRule="atLeast"/>
              <w:jc w:val="both"/>
              <w:rPr>
                <w:rFonts w:cs="Times New Roman"/>
                <w:lang w:val="en-GB"/>
              </w:rPr>
            </w:pPr>
            <w:r>
              <w:rPr>
                <w:rFonts w:cs="Times New Roman"/>
                <w:lang w:val="en-GB"/>
              </w:rPr>
              <w:t>email</w:t>
            </w:r>
          </w:p>
        </w:tc>
        <w:tc>
          <w:tcPr>
            <w:tcW w:w="3639" w:type="dxa"/>
            <w:vAlign w:val="center"/>
          </w:tcPr>
          <w:p w14:paraId="24FBE242" w14:textId="4D699A8A" w:rsidR="005E785F" w:rsidRDefault="003621E8">
            <w:pPr>
              <w:tabs>
                <w:tab w:val="left" w:pos="4320"/>
              </w:tabs>
              <w:spacing w:line="280" w:lineRule="atLeast"/>
              <w:jc w:val="both"/>
              <w:rPr>
                <w:rFonts w:cs="Times New Roman"/>
                <w:highlight w:val="yellow"/>
                <w:lang w:val="en-GB"/>
              </w:rPr>
            </w:pPr>
            <w:r>
              <w:rPr>
                <w:rFonts w:cs="Times New Roman"/>
                <w:lang w:val="en-GB"/>
              </w:rPr>
              <w:t>barana@dndi.org</w:t>
            </w:r>
          </w:p>
        </w:tc>
        <w:tc>
          <w:tcPr>
            <w:tcW w:w="4638" w:type="dxa"/>
            <w:vMerge/>
            <w:vAlign w:val="center"/>
          </w:tcPr>
          <w:p w14:paraId="6E23BFC3" w14:textId="77777777" w:rsidR="005E785F" w:rsidRDefault="005E785F">
            <w:pPr>
              <w:tabs>
                <w:tab w:val="left" w:pos="4320"/>
              </w:tabs>
              <w:spacing w:before="120" w:after="120" w:line="280" w:lineRule="atLeast"/>
              <w:jc w:val="both"/>
              <w:rPr>
                <w:rFonts w:cs="Times New Roman"/>
                <w:lang w:val="en-GB"/>
              </w:rPr>
            </w:pPr>
          </w:p>
        </w:tc>
      </w:tr>
    </w:tbl>
    <w:p w14:paraId="4B650CB3" w14:textId="77777777" w:rsidR="005E785F" w:rsidRDefault="003621E8">
      <w:pPr>
        <w:rPr>
          <w:rFonts w:cs="Times New Roman"/>
          <w:b/>
          <w:lang w:val="en-GB"/>
        </w:rPr>
      </w:pPr>
      <w:r>
        <w:rPr>
          <w:b/>
          <w:lang w:val="en-GB"/>
        </w:rPr>
        <w:br w:type="page"/>
      </w:r>
    </w:p>
    <w:p w14:paraId="54C2FDDA" w14:textId="77777777" w:rsidR="005E785F" w:rsidRDefault="003621E8">
      <w:pPr>
        <w:pStyle w:val="C-BodyText"/>
        <w:tabs>
          <w:tab w:val="left" w:pos="4320"/>
        </w:tabs>
        <w:jc w:val="both"/>
        <w:rPr>
          <w:b/>
          <w:lang w:val="en-GB"/>
        </w:rPr>
      </w:pPr>
      <w:r>
        <w:rPr>
          <w:b/>
          <w:lang w:val="en-GB"/>
        </w:rPr>
        <w:lastRenderedPageBreak/>
        <w:t>PRINCIPAL INVESTIGATOR:</w:t>
      </w:r>
    </w:p>
    <w:tbl>
      <w:tblPr>
        <w:tblW w:w="0" w:type="auto"/>
        <w:tblLook w:val="04A0" w:firstRow="1" w:lastRow="0" w:firstColumn="1" w:lastColumn="0" w:noHBand="0" w:noVBand="1"/>
      </w:tblPr>
      <w:tblGrid>
        <w:gridCol w:w="750"/>
        <w:gridCol w:w="3729"/>
        <w:gridCol w:w="4548"/>
      </w:tblGrid>
      <w:tr w:rsidR="005E785F" w14:paraId="0C412174" w14:textId="77777777">
        <w:trPr>
          <w:trHeight w:val="585"/>
        </w:trPr>
        <w:tc>
          <w:tcPr>
            <w:tcW w:w="4338" w:type="dxa"/>
            <w:gridSpan w:val="2"/>
            <w:vMerge w:val="restart"/>
          </w:tcPr>
          <w:p w14:paraId="57916BB6" w14:textId="77777777" w:rsidR="005E785F" w:rsidRDefault="003621E8">
            <w:pPr>
              <w:pStyle w:val="C-BodyText"/>
              <w:tabs>
                <w:tab w:val="left" w:pos="4320"/>
              </w:tabs>
              <w:jc w:val="both"/>
              <w:rPr>
                <w:b/>
                <w:bCs/>
                <w:lang w:val="en-GB"/>
              </w:rPr>
            </w:pPr>
            <w:r>
              <w:rPr>
                <w:b/>
                <w:bCs/>
                <w:szCs w:val="24"/>
                <w:lang w:val="en-GB"/>
              </w:rPr>
              <w:t>Dr Annelize Koch</w:t>
            </w:r>
          </w:p>
          <w:p w14:paraId="00DE04F4" w14:textId="77777777" w:rsidR="005E785F" w:rsidRDefault="003621E8">
            <w:pPr>
              <w:pStyle w:val="C-BodyText"/>
              <w:tabs>
                <w:tab w:val="left" w:pos="4320"/>
              </w:tabs>
              <w:jc w:val="both"/>
              <w:rPr>
                <w:lang w:val="en-GB"/>
              </w:rPr>
            </w:pPr>
            <w:r>
              <w:rPr>
                <w:lang w:val="en-GB"/>
              </w:rPr>
              <w:t>Simbec-Orion Clinical Pharmacology</w:t>
            </w:r>
          </w:p>
          <w:p w14:paraId="6070C454" w14:textId="77777777" w:rsidR="005E785F" w:rsidRDefault="003621E8">
            <w:pPr>
              <w:pStyle w:val="C-BodyText"/>
              <w:tabs>
                <w:tab w:val="left" w:pos="4320"/>
              </w:tabs>
              <w:jc w:val="both"/>
              <w:rPr>
                <w:lang w:val="en-GB"/>
              </w:rPr>
            </w:pPr>
            <w:r>
              <w:rPr>
                <w:lang w:val="en-GB"/>
              </w:rPr>
              <w:t>Merthyr Tydfil CF48 4DR</w:t>
            </w:r>
          </w:p>
          <w:p w14:paraId="6128B37D" w14:textId="77777777" w:rsidR="005E785F" w:rsidRDefault="003621E8">
            <w:pPr>
              <w:pStyle w:val="C-BodyText"/>
              <w:tabs>
                <w:tab w:val="left" w:pos="4320"/>
              </w:tabs>
              <w:jc w:val="both"/>
              <w:rPr>
                <w:lang w:val="en-GB"/>
              </w:rPr>
            </w:pPr>
            <w:r>
              <w:rPr>
                <w:lang w:val="en-GB"/>
              </w:rPr>
              <w:t xml:space="preserve">United Kingdom </w:t>
            </w:r>
          </w:p>
        </w:tc>
        <w:tc>
          <w:tcPr>
            <w:tcW w:w="4905" w:type="dxa"/>
          </w:tcPr>
          <w:p w14:paraId="717ABA11" w14:textId="77777777" w:rsidR="005E785F" w:rsidRDefault="003621E8">
            <w:pPr>
              <w:pStyle w:val="C-BodyText"/>
              <w:tabs>
                <w:tab w:val="left" w:pos="4320"/>
              </w:tabs>
              <w:jc w:val="both"/>
              <w:rPr>
                <w:lang w:val="en-GB"/>
              </w:rPr>
            </w:pPr>
            <w:r>
              <w:rPr>
                <w:lang w:val="en-GB"/>
              </w:rPr>
              <w:t>Signature:</w:t>
            </w:r>
          </w:p>
        </w:tc>
      </w:tr>
      <w:tr w:rsidR="005E785F" w14:paraId="105A73D0" w14:textId="77777777">
        <w:trPr>
          <w:trHeight w:val="1260"/>
        </w:trPr>
        <w:tc>
          <w:tcPr>
            <w:tcW w:w="4338" w:type="dxa"/>
            <w:gridSpan w:val="2"/>
            <w:vMerge/>
          </w:tcPr>
          <w:p w14:paraId="39AD1B9C" w14:textId="77777777" w:rsidR="005E785F" w:rsidRDefault="005E785F">
            <w:pPr>
              <w:pStyle w:val="C-BodyText"/>
              <w:tabs>
                <w:tab w:val="left" w:pos="4320"/>
              </w:tabs>
              <w:jc w:val="both"/>
              <w:rPr>
                <w:lang w:val="en-GB"/>
              </w:rPr>
            </w:pPr>
          </w:p>
        </w:tc>
        <w:tc>
          <w:tcPr>
            <w:tcW w:w="4905" w:type="dxa"/>
            <w:vMerge w:val="restart"/>
          </w:tcPr>
          <w:p w14:paraId="4108F98D" w14:textId="77777777" w:rsidR="005E785F" w:rsidRDefault="003621E8">
            <w:pPr>
              <w:pStyle w:val="C-BodyText"/>
              <w:tabs>
                <w:tab w:val="left" w:pos="4320"/>
              </w:tabs>
              <w:jc w:val="both"/>
              <w:rPr>
                <w:lang w:val="en-GB"/>
              </w:rPr>
            </w:pPr>
            <w:r>
              <w:rPr>
                <w:lang w:val="en-GB"/>
              </w:rPr>
              <w:t>Date:</w:t>
            </w:r>
          </w:p>
        </w:tc>
      </w:tr>
      <w:tr w:rsidR="005E785F" w14:paraId="32AD2C15" w14:textId="77777777">
        <w:trPr>
          <w:trHeight w:val="263"/>
        </w:trPr>
        <w:tc>
          <w:tcPr>
            <w:tcW w:w="576" w:type="dxa"/>
          </w:tcPr>
          <w:p w14:paraId="7919A104" w14:textId="77777777" w:rsidR="005E785F" w:rsidRDefault="003621E8">
            <w:pPr>
              <w:pStyle w:val="C-BodyText"/>
              <w:tabs>
                <w:tab w:val="left" w:pos="4320"/>
              </w:tabs>
              <w:jc w:val="both"/>
              <w:rPr>
                <w:lang w:val="en-GB"/>
              </w:rPr>
            </w:pPr>
            <w:r>
              <w:rPr>
                <w:rFonts w:ascii="Wingdings" w:eastAsia="Wingdings" w:hAnsi="Wingdings" w:cs="Wingdings"/>
                <w:lang w:val="en-GB"/>
              </w:rPr>
              <w:t></w:t>
            </w:r>
          </w:p>
        </w:tc>
        <w:tc>
          <w:tcPr>
            <w:tcW w:w="3762" w:type="dxa"/>
          </w:tcPr>
          <w:p w14:paraId="674307F8" w14:textId="77777777" w:rsidR="005E785F" w:rsidRDefault="003621E8">
            <w:pPr>
              <w:pStyle w:val="C-BodyText"/>
              <w:tabs>
                <w:tab w:val="left" w:pos="4320"/>
              </w:tabs>
              <w:jc w:val="both"/>
              <w:rPr>
                <w:lang w:val="en-GB"/>
              </w:rPr>
            </w:pPr>
            <w:r>
              <w:rPr>
                <w:lang w:val="en-GB"/>
              </w:rPr>
              <w:t>+44 (0)1443 690977</w:t>
            </w:r>
          </w:p>
        </w:tc>
        <w:tc>
          <w:tcPr>
            <w:tcW w:w="4905" w:type="dxa"/>
            <w:vMerge/>
          </w:tcPr>
          <w:p w14:paraId="11959621" w14:textId="77777777" w:rsidR="005E785F" w:rsidRDefault="005E785F">
            <w:pPr>
              <w:pStyle w:val="C-BodyText"/>
              <w:tabs>
                <w:tab w:val="left" w:pos="4320"/>
              </w:tabs>
              <w:jc w:val="both"/>
              <w:rPr>
                <w:lang w:val="en-GB"/>
              </w:rPr>
            </w:pPr>
          </w:p>
        </w:tc>
      </w:tr>
      <w:tr w:rsidR="005E785F" w14:paraId="7593E348" w14:textId="77777777">
        <w:trPr>
          <w:trHeight w:val="262"/>
        </w:trPr>
        <w:tc>
          <w:tcPr>
            <w:tcW w:w="576" w:type="dxa"/>
          </w:tcPr>
          <w:p w14:paraId="3880EF08" w14:textId="77777777" w:rsidR="005E785F" w:rsidRDefault="003621E8">
            <w:pPr>
              <w:pStyle w:val="C-BodyText"/>
              <w:tabs>
                <w:tab w:val="left" w:pos="4320"/>
              </w:tabs>
              <w:jc w:val="both"/>
              <w:rPr>
                <w:lang w:val="en-GB"/>
              </w:rPr>
            </w:pPr>
            <w:r>
              <w:rPr>
                <w:lang w:val="en-GB"/>
              </w:rPr>
              <w:t>email</w:t>
            </w:r>
          </w:p>
        </w:tc>
        <w:tc>
          <w:tcPr>
            <w:tcW w:w="3762" w:type="dxa"/>
          </w:tcPr>
          <w:p w14:paraId="455ED1BC" w14:textId="77777777" w:rsidR="005E785F" w:rsidRDefault="003621E8">
            <w:pPr>
              <w:pStyle w:val="C-BodyText"/>
              <w:tabs>
                <w:tab w:val="left" w:pos="4320"/>
              </w:tabs>
              <w:jc w:val="both"/>
              <w:rPr>
                <w:lang w:val="en-GB"/>
              </w:rPr>
            </w:pPr>
            <w:r>
              <w:rPr>
                <w:lang w:val="en-GB"/>
              </w:rPr>
              <w:t>annelize.koch@simbecorion.com</w:t>
            </w:r>
          </w:p>
        </w:tc>
        <w:tc>
          <w:tcPr>
            <w:tcW w:w="4905" w:type="dxa"/>
            <w:vMerge/>
          </w:tcPr>
          <w:p w14:paraId="61A0EC3E" w14:textId="77777777" w:rsidR="005E785F" w:rsidRDefault="005E785F">
            <w:pPr>
              <w:pStyle w:val="C-BodyText"/>
              <w:tabs>
                <w:tab w:val="left" w:pos="4320"/>
              </w:tabs>
              <w:jc w:val="both"/>
              <w:rPr>
                <w:lang w:val="en-GB"/>
              </w:rPr>
            </w:pPr>
          </w:p>
        </w:tc>
      </w:tr>
    </w:tbl>
    <w:p w14:paraId="45833C6A" w14:textId="77777777" w:rsidR="005E785F" w:rsidRDefault="005E785F">
      <w:pPr>
        <w:pStyle w:val="C-BodyText"/>
        <w:tabs>
          <w:tab w:val="left" w:pos="4320"/>
        </w:tabs>
        <w:jc w:val="both"/>
        <w:rPr>
          <w:lang w:val="en-GB"/>
        </w:rPr>
      </w:pPr>
    </w:p>
    <w:p w14:paraId="56B180B4" w14:textId="77777777" w:rsidR="005E785F" w:rsidRDefault="003621E8">
      <w:pPr>
        <w:pStyle w:val="C-BodyText"/>
        <w:tabs>
          <w:tab w:val="left" w:pos="4320"/>
        </w:tabs>
        <w:jc w:val="both"/>
        <w:rPr>
          <w:b/>
          <w:bCs/>
          <w:lang w:val="en-GB"/>
        </w:rPr>
      </w:pPr>
      <w:r>
        <w:rPr>
          <w:b/>
          <w:bCs/>
          <w:lang w:val="en-GB"/>
        </w:rPr>
        <w:t>STATISTICIAN:</w:t>
      </w:r>
    </w:p>
    <w:tbl>
      <w:tblPr>
        <w:tblW w:w="0" w:type="auto"/>
        <w:tblLook w:val="04A0" w:firstRow="1" w:lastRow="0" w:firstColumn="1" w:lastColumn="0" w:noHBand="0" w:noVBand="1"/>
      </w:tblPr>
      <w:tblGrid>
        <w:gridCol w:w="750"/>
        <w:gridCol w:w="3735"/>
        <w:gridCol w:w="4542"/>
      </w:tblGrid>
      <w:tr w:rsidR="005E785F" w14:paraId="00452FEE" w14:textId="77777777">
        <w:trPr>
          <w:trHeight w:val="585"/>
        </w:trPr>
        <w:tc>
          <w:tcPr>
            <w:tcW w:w="4338" w:type="dxa"/>
            <w:gridSpan w:val="2"/>
            <w:vMerge w:val="restart"/>
          </w:tcPr>
          <w:p w14:paraId="72A35D31" w14:textId="0C27800B" w:rsidR="005E785F" w:rsidRDefault="003621E8">
            <w:pPr>
              <w:tabs>
                <w:tab w:val="left" w:pos="4320"/>
              </w:tabs>
              <w:spacing w:before="120" w:after="120" w:line="280" w:lineRule="atLeast"/>
              <w:jc w:val="both"/>
              <w:rPr>
                <w:rFonts w:cs="Times New Roman"/>
                <w:b/>
                <w:bCs/>
                <w:lang w:val="en-GB"/>
              </w:rPr>
            </w:pPr>
            <w:r>
              <w:rPr>
                <w:rFonts w:cs="Times New Roman"/>
                <w:b/>
                <w:bCs/>
                <w:lang w:val="en-GB"/>
              </w:rPr>
              <w:t xml:space="preserve">Kerry Williams </w:t>
            </w:r>
          </w:p>
          <w:p w14:paraId="17283DEC" w14:textId="77777777" w:rsidR="005E785F" w:rsidRDefault="003621E8">
            <w:pPr>
              <w:pStyle w:val="C-BodyText"/>
              <w:tabs>
                <w:tab w:val="left" w:pos="4320"/>
              </w:tabs>
              <w:jc w:val="both"/>
              <w:rPr>
                <w:lang w:val="en-GB"/>
              </w:rPr>
            </w:pPr>
            <w:r>
              <w:rPr>
                <w:lang w:val="en-GB"/>
              </w:rPr>
              <w:t>Simbec-Orion Clinical Pharmacology</w:t>
            </w:r>
          </w:p>
          <w:p w14:paraId="7DDC3244" w14:textId="77777777" w:rsidR="005E785F" w:rsidRDefault="003621E8">
            <w:pPr>
              <w:pStyle w:val="C-BodyText"/>
              <w:tabs>
                <w:tab w:val="left" w:pos="4320"/>
              </w:tabs>
              <w:jc w:val="both"/>
              <w:rPr>
                <w:lang w:val="en-GB"/>
              </w:rPr>
            </w:pPr>
            <w:r>
              <w:rPr>
                <w:lang w:val="en-GB"/>
              </w:rPr>
              <w:t>Merthyr Tydfil CF48 4DR</w:t>
            </w:r>
          </w:p>
          <w:p w14:paraId="5ADE5B38" w14:textId="03814900" w:rsidR="005E785F" w:rsidRDefault="003621E8">
            <w:pPr>
              <w:tabs>
                <w:tab w:val="left" w:pos="4320"/>
              </w:tabs>
              <w:spacing w:before="120" w:after="120" w:line="280" w:lineRule="atLeast"/>
              <w:jc w:val="both"/>
              <w:rPr>
                <w:rFonts w:cs="Times New Roman"/>
                <w:lang w:val="en-GB"/>
              </w:rPr>
            </w:pPr>
            <w:r>
              <w:rPr>
                <w:lang w:val="en-GB"/>
              </w:rPr>
              <w:t>United Kingdom</w:t>
            </w:r>
          </w:p>
        </w:tc>
        <w:tc>
          <w:tcPr>
            <w:tcW w:w="4905" w:type="dxa"/>
          </w:tcPr>
          <w:p w14:paraId="1F5E508F" w14:textId="77777777" w:rsidR="005E785F" w:rsidRDefault="003621E8">
            <w:pPr>
              <w:tabs>
                <w:tab w:val="left" w:pos="4320"/>
              </w:tabs>
              <w:spacing w:before="120" w:after="120" w:line="280" w:lineRule="atLeast"/>
              <w:jc w:val="both"/>
              <w:rPr>
                <w:rFonts w:cs="Times New Roman"/>
                <w:lang w:val="en-GB"/>
              </w:rPr>
            </w:pPr>
            <w:r>
              <w:rPr>
                <w:rFonts w:cs="Times New Roman"/>
                <w:lang w:val="en-GB"/>
              </w:rPr>
              <w:t>Signature:</w:t>
            </w:r>
          </w:p>
        </w:tc>
      </w:tr>
      <w:tr w:rsidR="005E785F" w14:paraId="7D052522" w14:textId="77777777">
        <w:trPr>
          <w:trHeight w:val="1260"/>
        </w:trPr>
        <w:tc>
          <w:tcPr>
            <w:tcW w:w="4338" w:type="dxa"/>
            <w:gridSpan w:val="2"/>
            <w:vMerge/>
          </w:tcPr>
          <w:p w14:paraId="794C76DA" w14:textId="77777777" w:rsidR="005E785F" w:rsidRDefault="005E785F">
            <w:pPr>
              <w:tabs>
                <w:tab w:val="left" w:pos="4320"/>
              </w:tabs>
              <w:spacing w:before="120" w:after="120" w:line="280" w:lineRule="atLeast"/>
              <w:jc w:val="both"/>
              <w:rPr>
                <w:rFonts w:cs="Times New Roman"/>
                <w:lang w:val="en-GB"/>
              </w:rPr>
            </w:pPr>
          </w:p>
        </w:tc>
        <w:tc>
          <w:tcPr>
            <w:tcW w:w="4905" w:type="dxa"/>
            <w:vMerge w:val="restart"/>
          </w:tcPr>
          <w:p w14:paraId="05788EA6" w14:textId="77777777" w:rsidR="005E785F" w:rsidRDefault="003621E8">
            <w:pPr>
              <w:tabs>
                <w:tab w:val="left" w:pos="4320"/>
              </w:tabs>
              <w:spacing w:before="120" w:after="120" w:line="280" w:lineRule="atLeast"/>
              <w:jc w:val="both"/>
              <w:rPr>
                <w:rFonts w:cs="Times New Roman"/>
                <w:lang w:val="en-GB"/>
              </w:rPr>
            </w:pPr>
            <w:r>
              <w:rPr>
                <w:rFonts w:cs="Times New Roman"/>
                <w:lang w:val="en-GB"/>
              </w:rPr>
              <w:t>Date:</w:t>
            </w:r>
          </w:p>
        </w:tc>
      </w:tr>
      <w:tr w:rsidR="005E785F" w14:paraId="0766BA1B" w14:textId="77777777">
        <w:trPr>
          <w:trHeight w:val="263"/>
        </w:trPr>
        <w:tc>
          <w:tcPr>
            <w:tcW w:w="576" w:type="dxa"/>
          </w:tcPr>
          <w:p w14:paraId="496E7759" w14:textId="77777777" w:rsidR="005E785F" w:rsidRDefault="003621E8">
            <w:pPr>
              <w:tabs>
                <w:tab w:val="left" w:pos="4320"/>
              </w:tabs>
              <w:spacing w:before="120" w:after="120" w:line="280" w:lineRule="atLeast"/>
              <w:jc w:val="both"/>
              <w:rPr>
                <w:rFonts w:cs="Times New Roman"/>
                <w:lang w:val="en-GB"/>
              </w:rPr>
            </w:pPr>
            <w:r>
              <w:rPr>
                <w:rFonts w:ascii="Wingdings" w:eastAsia="Wingdings" w:hAnsi="Wingdings" w:cs="Wingdings"/>
                <w:lang w:val="en-GB"/>
              </w:rPr>
              <w:t></w:t>
            </w:r>
          </w:p>
        </w:tc>
        <w:tc>
          <w:tcPr>
            <w:tcW w:w="3762" w:type="dxa"/>
          </w:tcPr>
          <w:p w14:paraId="2DE55DAF" w14:textId="7D3F9AED" w:rsidR="005E785F" w:rsidRDefault="003621E8">
            <w:pPr>
              <w:tabs>
                <w:tab w:val="left" w:pos="4320"/>
              </w:tabs>
              <w:spacing w:before="120" w:after="120" w:line="280" w:lineRule="atLeast"/>
              <w:jc w:val="both"/>
              <w:rPr>
                <w:rFonts w:cs="Times New Roman"/>
                <w:szCs w:val="24"/>
              </w:rPr>
            </w:pPr>
            <w:r>
              <w:rPr>
                <w:rFonts w:cs="Times New Roman"/>
                <w:szCs w:val="24"/>
              </w:rPr>
              <w:t>+44 1443 1685 700599</w:t>
            </w:r>
          </w:p>
        </w:tc>
        <w:tc>
          <w:tcPr>
            <w:tcW w:w="4905" w:type="dxa"/>
            <w:vMerge/>
          </w:tcPr>
          <w:p w14:paraId="5347DFEF" w14:textId="77777777" w:rsidR="005E785F" w:rsidRDefault="005E785F">
            <w:pPr>
              <w:tabs>
                <w:tab w:val="left" w:pos="4320"/>
              </w:tabs>
              <w:spacing w:before="120" w:after="120" w:line="280" w:lineRule="atLeast"/>
              <w:jc w:val="both"/>
              <w:rPr>
                <w:rFonts w:cs="Times New Roman"/>
                <w:lang w:val="en-GB"/>
              </w:rPr>
            </w:pPr>
          </w:p>
        </w:tc>
      </w:tr>
      <w:tr w:rsidR="005E785F" w14:paraId="419323BE" w14:textId="77777777">
        <w:trPr>
          <w:trHeight w:val="262"/>
        </w:trPr>
        <w:tc>
          <w:tcPr>
            <w:tcW w:w="576" w:type="dxa"/>
          </w:tcPr>
          <w:p w14:paraId="0AFE4EF7" w14:textId="77777777" w:rsidR="005E785F" w:rsidRDefault="003621E8">
            <w:pPr>
              <w:tabs>
                <w:tab w:val="left" w:pos="4320"/>
              </w:tabs>
              <w:spacing w:before="120" w:after="120" w:line="280" w:lineRule="atLeast"/>
              <w:jc w:val="both"/>
              <w:rPr>
                <w:rFonts w:cs="Times New Roman"/>
                <w:lang w:val="en-GB"/>
              </w:rPr>
            </w:pPr>
            <w:r>
              <w:rPr>
                <w:rFonts w:cs="Times New Roman"/>
                <w:lang w:val="en-GB"/>
              </w:rPr>
              <w:t>email</w:t>
            </w:r>
          </w:p>
        </w:tc>
        <w:tc>
          <w:tcPr>
            <w:tcW w:w="3762" w:type="dxa"/>
          </w:tcPr>
          <w:p w14:paraId="59281333" w14:textId="2A90C673" w:rsidR="005E785F" w:rsidRDefault="003621E8">
            <w:pPr>
              <w:tabs>
                <w:tab w:val="left" w:pos="4320"/>
              </w:tabs>
              <w:spacing w:before="120" w:after="120" w:line="280" w:lineRule="atLeast"/>
              <w:jc w:val="both"/>
              <w:rPr>
                <w:rFonts w:cs="Times New Roman"/>
                <w:lang w:val="en-GB"/>
              </w:rPr>
            </w:pPr>
            <w:r>
              <w:rPr>
                <w:rFonts w:cs="Times New Roman"/>
                <w:lang w:val="en-GB"/>
              </w:rPr>
              <w:t>kerry.williams@simbecorion.com</w:t>
            </w:r>
          </w:p>
        </w:tc>
        <w:tc>
          <w:tcPr>
            <w:tcW w:w="4905" w:type="dxa"/>
            <w:vMerge/>
          </w:tcPr>
          <w:p w14:paraId="71757194" w14:textId="77777777" w:rsidR="005E785F" w:rsidRDefault="005E785F">
            <w:pPr>
              <w:tabs>
                <w:tab w:val="left" w:pos="4320"/>
              </w:tabs>
              <w:spacing w:before="120" w:after="120" w:line="280" w:lineRule="atLeast"/>
              <w:jc w:val="both"/>
              <w:rPr>
                <w:rFonts w:cs="Times New Roman"/>
                <w:lang w:val="en-GB"/>
              </w:rPr>
            </w:pPr>
          </w:p>
        </w:tc>
      </w:tr>
    </w:tbl>
    <w:p w14:paraId="771EE611" w14:textId="23860919" w:rsidR="005E785F" w:rsidRDefault="003621E8">
      <w:pPr>
        <w:rPr>
          <w:lang w:val="en-GB"/>
        </w:rPr>
      </w:pPr>
      <w:bookmarkStart w:id="6" w:name="_Toc385827238"/>
      <w:r>
        <w:rPr>
          <w:lang w:val="en-GB"/>
        </w:rPr>
        <w:br w:type="page"/>
      </w:r>
    </w:p>
    <w:p w14:paraId="73FB1DE8" w14:textId="77777777" w:rsidR="005E785F" w:rsidRDefault="003621E8">
      <w:pPr>
        <w:pStyle w:val="Heading1"/>
      </w:pPr>
      <w:bookmarkStart w:id="7" w:name="_Toc74904330"/>
      <w:bookmarkStart w:id="8" w:name="_Hlk4578975"/>
      <w:r>
        <w:lastRenderedPageBreak/>
        <w:t>PROTOCOL AMENDMENT/REVISION HISTORY</w:t>
      </w:r>
      <w:bookmarkEnd w:id="7"/>
    </w:p>
    <w:tbl>
      <w:tblPr>
        <w:tblStyle w:val="TableGrid"/>
        <w:tblpPr w:leftFromText="180" w:rightFromText="180" w:vertAnchor="text" w:horzAnchor="margin" w:tblpY="142"/>
        <w:tblW w:w="9918" w:type="dxa"/>
        <w:tblLayout w:type="fixed"/>
        <w:tblLook w:val="04A0" w:firstRow="1" w:lastRow="0" w:firstColumn="1" w:lastColumn="0" w:noHBand="0" w:noVBand="1"/>
      </w:tblPr>
      <w:tblGrid>
        <w:gridCol w:w="1428"/>
        <w:gridCol w:w="1544"/>
        <w:gridCol w:w="1701"/>
        <w:gridCol w:w="1843"/>
        <w:gridCol w:w="3402"/>
      </w:tblGrid>
      <w:tr w:rsidR="005E785F" w14:paraId="73FB1DEE" w14:textId="77777777">
        <w:tc>
          <w:tcPr>
            <w:tcW w:w="1428" w:type="dxa"/>
            <w:shd w:val="clear" w:color="auto" w:fill="D9D9D9" w:themeFill="background1" w:themeFillShade="D9"/>
            <w:vAlign w:val="center"/>
          </w:tcPr>
          <w:p w14:paraId="73FB1DE9" w14:textId="77777777" w:rsidR="005E785F" w:rsidRDefault="003621E8">
            <w:pPr>
              <w:rPr>
                <w:b/>
                <w:lang w:val="en-GB"/>
              </w:rPr>
            </w:pPr>
            <w:r>
              <w:rPr>
                <w:b/>
                <w:lang w:val="en-GB"/>
              </w:rPr>
              <w:t>Protocol Version/</w:t>
            </w:r>
          </w:p>
          <w:p w14:paraId="73FB1DEA" w14:textId="77777777" w:rsidR="005E785F" w:rsidRDefault="003621E8">
            <w:pPr>
              <w:rPr>
                <w:b/>
                <w:lang w:val="en-GB"/>
              </w:rPr>
            </w:pPr>
            <w:r>
              <w:rPr>
                <w:b/>
                <w:lang w:val="en-GB"/>
              </w:rPr>
              <w:t>Date</w:t>
            </w:r>
          </w:p>
        </w:tc>
        <w:tc>
          <w:tcPr>
            <w:tcW w:w="1544" w:type="dxa"/>
            <w:shd w:val="clear" w:color="auto" w:fill="D9D9D9" w:themeFill="background1" w:themeFillShade="D9"/>
          </w:tcPr>
          <w:p w14:paraId="2AAE92EC" w14:textId="62F7CDA4" w:rsidR="005E785F" w:rsidRDefault="003621E8">
            <w:pPr>
              <w:rPr>
                <w:b/>
                <w:lang w:val="en-GB"/>
              </w:rPr>
            </w:pPr>
            <w:r>
              <w:rPr>
                <w:b/>
                <w:lang w:val="en-GB"/>
              </w:rPr>
              <w:t xml:space="preserve">Type of Amendment </w:t>
            </w:r>
          </w:p>
        </w:tc>
        <w:tc>
          <w:tcPr>
            <w:tcW w:w="1701" w:type="dxa"/>
            <w:shd w:val="clear" w:color="auto" w:fill="D9D9D9" w:themeFill="background1" w:themeFillShade="D9"/>
            <w:vAlign w:val="center"/>
          </w:tcPr>
          <w:p w14:paraId="73FB1DEB" w14:textId="12B451B0" w:rsidR="005E785F" w:rsidRDefault="003621E8">
            <w:pPr>
              <w:rPr>
                <w:b/>
                <w:lang w:val="en-GB"/>
              </w:rPr>
            </w:pPr>
            <w:r>
              <w:rPr>
                <w:b/>
                <w:lang w:val="en-GB"/>
              </w:rPr>
              <w:t>Amendment Rationale</w:t>
            </w:r>
          </w:p>
        </w:tc>
        <w:tc>
          <w:tcPr>
            <w:tcW w:w="1843" w:type="dxa"/>
            <w:shd w:val="clear" w:color="auto" w:fill="D9D9D9" w:themeFill="background1" w:themeFillShade="D9"/>
            <w:vAlign w:val="center"/>
          </w:tcPr>
          <w:p w14:paraId="73FB1DEC" w14:textId="77777777" w:rsidR="005E785F" w:rsidRDefault="003621E8">
            <w:pPr>
              <w:rPr>
                <w:b/>
                <w:lang w:val="en-GB"/>
              </w:rPr>
            </w:pPr>
            <w:r>
              <w:rPr>
                <w:b/>
                <w:lang w:val="en-GB"/>
              </w:rPr>
              <w:t>Sections Affected</w:t>
            </w:r>
          </w:p>
        </w:tc>
        <w:tc>
          <w:tcPr>
            <w:tcW w:w="3402" w:type="dxa"/>
            <w:shd w:val="clear" w:color="auto" w:fill="D9D9D9" w:themeFill="background1" w:themeFillShade="D9"/>
            <w:vAlign w:val="center"/>
          </w:tcPr>
          <w:p w14:paraId="73FB1DED" w14:textId="77777777" w:rsidR="005E785F" w:rsidRDefault="003621E8">
            <w:pPr>
              <w:rPr>
                <w:b/>
                <w:lang w:val="en-GB"/>
              </w:rPr>
            </w:pPr>
            <w:r>
              <w:rPr>
                <w:b/>
                <w:lang w:val="en-GB"/>
              </w:rPr>
              <w:t>Summary of Amendment / Changes to the Protocol</w:t>
            </w:r>
          </w:p>
        </w:tc>
      </w:tr>
      <w:tr w:rsidR="005E785F" w14:paraId="73FB1DF3" w14:textId="77777777">
        <w:tc>
          <w:tcPr>
            <w:tcW w:w="1428" w:type="dxa"/>
            <w:tcBorders>
              <w:bottom w:val="single" w:sz="4" w:space="0" w:color="auto"/>
            </w:tcBorders>
          </w:tcPr>
          <w:p w14:paraId="73FB1DEF" w14:textId="4B63AC22" w:rsidR="005E785F" w:rsidRDefault="003621E8">
            <w:pPr>
              <w:rPr>
                <w:iCs/>
                <w:sz w:val="22"/>
                <w:szCs w:val="18"/>
                <w:lang w:val="en-GB"/>
              </w:rPr>
            </w:pPr>
            <w:r>
              <w:rPr>
                <w:iCs/>
                <w:sz w:val="22"/>
                <w:szCs w:val="18"/>
                <w:lang w:val="en-GB"/>
              </w:rPr>
              <w:t>V1.0/19 March 2021</w:t>
            </w:r>
          </w:p>
        </w:tc>
        <w:tc>
          <w:tcPr>
            <w:tcW w:w="1544" w:type="dxa"/>
            <w:tcBorders>
              <w:bottom w:val="single" w:sz="4" w:space="0" w:color="auto"/>
            </w:tcBorders>
          </w:tcPr>
          <w:p w14:paraId="74ABCD17" w14:textId="2C52CA06" w:rsidR="005E785F" w:rsidRDefault="003621E8">
            <w:pPr>
              <w:rPr>
                <w:iCs/>
                <w:sz w:val="22"/>
                <w:szCs w:val="18"/>
                <w:lang w:val="en-GB"/>
              </w:rPr>
            </w:pPr>
            <w:r>
              <w:rPr>
                <w:iCs/>
                <w:sz w:val="22"/>
                <w:szCs w:val="18"/>
                <w:lang w:val="en-GB"/>
              </w:rPr>
              <w:t>N/A</w:t>
            </w:r>
          </w:p>
        </w:tc>
        <w:tc>
          <w:tcPr>
            <w:tcW w:w="1701" w:type="dxa"/>
            <w:tcBorders>
              <w:bottom w:val="single" w:sz="4" w:space="0" w:color="auto"/>
            </w:tcBorders>
          </w:tcPr>
          <w:p w14:paraId="73FB1DF0" w14:textId="49F71C8E" w:rsidR="005E785F" w:rsidRDefault="003621E8">
            <w:pPr>
              <w:rPr>
                <w:iCs/>
                <w:sz w:val="22"/>
                <w:szCs w:val="18"/>
                <w:lang w:val="en-GB"/>
              </w:rPr>
            </w:pPr>
            <w:r>
              <w:rPr>
                <w:iCs/>
                <w:sz w:val="22"/>
                <w:szCs w:val="18"/>
                <w:lang w:val="en-GB"/>
              </w:rPr>
              <w:t>N/A</w:t>
            </w:r>
          </w:p>
        </w:tc>
        <w:tc>
          <w:tcPr>
            <w:tcW w:w="1843" w:type="dxa"/>
            <w:tcBorders>
              <w:bottom w:val="single" w:sz="4" w:space="0" w:color="auto"/>
            </w:tcBorders>
          </w:tcPr>
          <w:p w14:paraId="73FB1DF1" w14:textId="656B652E" w:rsidR="005E785F" w:rsidRDefault="003621E8">
            <w:pPr>
              <w:rPr>
                <w:iCs/>
                <w:sz w:val="22"/>
                <w:szCs w:val="18"/>
                <w:lang w:val="en-GB"/>
              </w:rPr>
            </w:pPr>
            <w:r>
              <w:rPr>
                <w:iCs/>
                <w:sz w:val="22"/>
                <w:szCs w:val="18"/>
                <w:lang w:val="en-GB"/>
              </w:rPr>
              <w:t>N/A</w:t>
            </w:r>
          </w:p>
        </w:tc>
        <w:tc>
          <w:tcPr>
            <w:tcW w:w="3402" w:type="dxa"/>
            <w:tcBorders>
              <w:bottom w:val="single" w:sz="4" w:space="0" w:color="auto"/>
            </w:tcBorders>
          </w:tcPr>
          <w:p w14:paraId="73FB1DF2" w14:textId="35B99A55" w:rsidR="005E785F" w:rsidRDefault="003621E8">
            <w:pPr>
              <w:rPr>
                <w:iCs/>
                <w:sz w:val="22"/>
                <w:szCs w:val="18"/>
                <w:lang w:val="en-GB"/>
              </w:rPr>
            </w:pPr>
            <w:r>
              <w:rPr>
                <w:iCs/>
                <w:sz w:val="22"/>
                <w:szCs w:val="18"/>
                <w:lang w:val="en-GB"/>
              </w:rPr>
              <w:t>N/A</w:t>
            </w:r>
          </w:p>
        </w:tc>
      </w:tr>
      <w:tr w:rsidR="005E785F" w14:paraId="73FB1DF8" w14:textId="77777777">
        <w:tc>
          <w:tcPr>
            <w:tcW w:w="1428" w:type="dxa"/>
            <w:tcBorders>
              <w:top w:val="single" w:sz="4" w:space="0" w:color="auto"/>
              <w:left w:val="single" w:sz="4" w:space="0" w:color="auto"/>
              <w:bottom w:val="single" w:sz="4" w:space="0" w:color="auto"/>
              <w:right w:val="single" w:sz="4" w:space="0" w:color="auto"/>
            </w:tcBorders>
          </w:tcPr>
          <w:p w14:paraId="73FB1DF4" w14:textId="667084D2" w:rsidR="005E785F" w:rsidRDefault="003621E8">
            <w:pPr>
              <w:spacing w:line="276" w:lineRule="auto"/>
              <w:rPr>
                <w:sz w:val="22"/>
                <w:szCs w:val="18"/>
                <w:lang w:val="en-GB"/>
              </w:rPr>
            </w:pPr>
            <w:r>
              <w:rPr>
                <w:sz w:val="22"/>
                <w:szCs w:val="18"/>
                <w:lang w:val="en-GB"/>
              </w:rPr>
              <w:t>V2.0/15 April 2021</w:t>
            </w:r>
          </w:p>
        </w:tc>
        <w:tc>
          <w:tcPr>
            <w:tcW w:w="1544" w:type="dxa"/>
            <w:tcBorders>
              <w:top w:val="single" w:sz="4" w:space="0" w:color="auto"/>
              <w:left w:val="single" w:sz="4" w:space="0" w:color="auto"/>
              <w:bottom w:val="single" w:sz="4" w:space="0" w:color="auto"/>
              <w:right w:val="single" w:sz="4" w:space="0" w:color="auto"/>
            </w:tcBorders>
          </w:tcPr>
          <w:p w14:paraId="45E59774" w14:textId="299CF605" w:rsidR="005E785F" w:rsidRDefault="003621E8">
            <w:pPr>
              <w:spacing w:line="276" w:lineRule="auto"/>
              <w:rPr>
                <w:sz w:val="22"/>
                <w:szCs w:val="18"/>
                <w:lang w:val="en-GB"/>
              </w:rPr>
            </w:pPr>
            <w:r>
              <w:rPr>
                <w:sz w:val="22"/>
                <w:szCs w:val="18"/>
                <w:lang w:val="en-GB"/>
              </w:rPr>
              <w:t>N/A</w:t>
            </w:r>
          </w:p>
        </w:tc>
        <w:tc>
          <w:tcPr>
            <w:tcW w:w="1701" w:type="dxa"/>
            <w:tcBorders>
              <w:top w:val="single" w:sz="4" w:space="0" w:color="auto"/>
              <w:left w:val="single" w:sz="4" w:space="0" w:color="auto"/>
              <w:bottom w:val="single" w:sz="4" w:space="0" w:color="auto"/>
              <w:right w:val="single" w:sz="4" w:space="0" w:color="auto"/>
            </w:tcBorders>
          </w:tcPr>
          <w:p w14:paraId="73FB1DF5" w14:textId="5BE93AB0" w:rsidR="005E785F" w:rsidRDefault="003621E8">
            <w:pPr>
              <w:spacing w:line="276" w:lineRule="auto"/>
              <w:rPr>
                <w:sz w:val="22"/>
                <w:szCs w:val="18"/>
                <w:lang w:val="en-GB"/>
              </w:rPr>
            </w:pPr>
            <w:r>
              <w:rPr>
                <w:sz w:val="22"/>
                <w:szCs w:val="18"/>
                <w:lang w:val="en-GB"/>
              </w:rPr>
              <w:t>Response to Grounds for Non-Acceptance (GNA) – MHRA</w:t>
            </w:r>
          </w:p>
        </w:tc>
        <w:tc>
          <w:tcPr>
            <w:tcW w:w="1843" w:type="dxa"/>
            <w:tcBorders>
              <w:top w:val="single" w:sz="4" w:space="0" w:color="auto"/>
              <w:left w:val="single" w:sz="4" w:space="0" w:color="auto"/>
              <w:bottom w:val="single" w:sz="4" w:space="0" w:color="auto"/>
              <w:right w:val="single" w:sz="4" w:space="0" w:color="auto"/>
            </w:tcBorders>
          </w:tcPr>
          <w:p w14:paraId="6EB02E46" w14:textId="77777777" w:rsidR="005E785F" w:rsidRDefault="003621E8">
            <w:pPr>
              <w:spacing w:line="276" w:lineRule="auto"/>
              <w:rPr>
                <w:sz w:val="22"/>
                <w:szCs w:val="18"/>
                <w:lang w:val="en-GB"/>
              </w:rPr>
            </w:pPr>
            <w:r>
              <w:rPr>
                <w:sz w:val="22"/>
                <w:szCs w:val="18"/>
                <w:lang w:val="en-GB"/>
              </w:rPr>
              <w:t>Synopsis</w:t>
            </w:r>
          </w:p>
          <w:p w14:paraId="3AAB296E" w14:textId="77777777" w:rsidR="005E785F" w:rsidRDefault="005E785F">
            <w:pPr>
              <w:spacing w:line="276" w:lineRule="auto"/>
              <w:rPr>
                <w:sz w:val="22"/>
                <w:szCs w:val="18"/>
                <w:lang w:val="en-GB"/>
              </w:rPr>
            </w:pPr>
          </w:p>
          <w:p w14:paraId="5048481D" w14:textId="77777777" w:rsidR="005E785F" w:rsidRDefault="005E785F">
            <w:pPr>
              <w:spacing w:line="276" w:lineRule="auto"/>
              <w:rPr>
                <w:sz w:val="22"/>
                <w:szCs w:val="18"/>
                <w:lang w:val="en-GB"/>
              </w:rPr>
            </w:pPr>
          </w:p>
          <w:p w14:paraId="1EA004AA" w14:textId="77777777" w:rsidR="005E785F" w:rsidRDefault="005E785F">
            <w:pPr>
              <w:spacing w:line="276" w:lineRule="auto"/>
              <w:rPr>
                <w:sz w:val="22"/>
                <w:szCs w:val="18"/>
                <w:lang w:val="en-GB"/>
              </w:rPr>
            </w:pPr>
          </w:p>
          <w:p w14:paraId="5213226C" w14:textId="38F911B2" w:rsidR="005E785F" w:rsidRDefault="005E785F">
            <w:pPr>
              <w:spacing w:line="276" w:lineRule="auto"/>
              <w:rPr>
                <w:sz w:val="22"/>
                <w:szCs w:val="18"/>
                <w:lang w:val="en-GB"/>
              </w:rPr>
            </w:pPr>
          </w:p>
          <w:p w14:paraId="4628AF88" w14:textId="77777777" w:rsidR="005E785F" w:rsidRDefault="005E785F">
            <w:pPr>
              <w:spacing w:line="276" w:lineRule="auto"/>
              <w:rPr>
                <w:sz w:val="22"/>
                <w:szCs w:val="18"/>
                <w:lang w:val="en-GB"/>
              </w:rPr>
            </w:pPr>
          </w:p>
          <w:p w14:paraId="36813A00" w14:textId="77777777" w:rsidR="005E785F" w:rsidRDefault="005E785F">
            <w:pPr>
              <w:spacing w:line="276" w:lineRule="auto"/>
              <w:rPr>
                <w:sz w:val="22"/>
                <w:szCs w:val="18"/>
                <w:lang w:val="en-GB"/>
              </w:rPr>
            </w:pPr>
          </w:p>
          <w:p w14:paraId="146371A3" w14:textId="77777777" w:rsidR="005E785F" w:rsidRDefault="003621E8">
            <w:pPr>
              <w:spacing w:line="276" w:lineRule="auto"/>
              <w:rPr>
                <w:sz w:val="22"/>
                <w:szCs w:val="18"/>
                <w:lang w:val="en-GB"/>
              </w:rPr>
            </w:pPr>
            <w:r>
              <w:rPr>
                <w:sz w:val="22"/>
                <w:szCs w:val="18"/>
                <w:lang w:val="en-GB"/>
              </w:rPr>
              <w:t>10.5.1 Contraception</w:t>
            </w:r>
          </w:p>
          <w:p w14:paraId="39D5A394" w14:textId="77777777" w:rsidR="005E785F" w:rsidRDefault="005E785F">
            <w:pPr>
              <w:spacing w:line="276" w:lineRule="auto"/>
              <w:rPr>
                <w:sz w:val="22"/>
                <w:szCs w:val="18"/>
                <w:lang w:val="en-GB"/>
              </w:rPr>
            </w:pPr>
          </w:p>
          <w:p w14:paraId="6A9C5F3A" w14:textId="77777777" w:rsidR="005E785F" w:rsidRDefault="005E785F">
            <w:pPr>
              <w:spacing w:line="276" w:lineRule="auto"/>
              <w:rPr>
                <w:sz w:val="22"/>
                <w:szCs w:val="18"/>
                <w:lang w:val="en-GB"/>
              </w:rPr>
            </w:pPr>
          </w:p>
          <w:p w14:paraId="2EC6FA08" w14:textId="79B2BC5D" w:rsidR="005E785F" w:rsidRDefault="005E785F">
            <w:pPr>
              <w:spacing w:line="276" w:lineRule="auto"/>
              <w:rPr>
                <w:sz w:val="22"/>
                <w:szCs w:val="18"/>
                <w:lang w:val="en-GB"/>
              </w:rPr>
            </w:pPr>
          </w:p>
          <w:p w14:paraId="58F137DD" w14:textId="77777777" w:rsidR="005E785F" w:rsidRDefault="005E785F">
            <w:pPr>
              <w:spacing w:line="276" w:lineRule="auto"/>
              <w:rPr>
                <w:sz w:val="22"/>
                <w:szCs w:val="18"/>
                <w:lang w:val="en-GB"/>
              </w:rPr>
            </w:pPr>
          </w:p>
          <w:p w14:paraId="15FACDF5" w14:textId="77777777" w:rsidR="005E785F" w:rsidRDefault="003621E8">
            <w:pPr>
              <w:spacing w:line="276" w:lineRule="auto"/>
              <w:rPr>
                <w:sz w:val="22"/>
                <w:szCs w:val="18"/>
                <w:lang w:val="en-GB"/>
              </w:rPr>
            </w:pPr>
            <w:r>
              <w:rPr>
                <w:sz w:val="22"/>
                <w:szCs w:val="18"/>
                <w:lang w:val="en-GB"/>
              </w:rPr>
              <w:t>10.6.7.3 Dose Escalation Increments</w:t>
            </w:r>
          </w:p>
          <w:p w14:paraId="311B2B75" w14:textId="77777777" w:rsidR="005E785F" w:rsidRDefault="005E785F">
            <w:pPr>
              <w:spacing w:line="276" w:lineRule="auto"/>
              <w:rPr>
                <w:sz w:val="22"/>
                <w:szCs w:val="18"/>
                <w:lang w:val="en-GB"/>
              </w:rPr>
            </w:pPr>
          </w:p>
          <w:p w14:paraId="2A5E97A9" w14:textId="77777777" w:rsidR="005E785F" w:rsidRDefault="005E785F">
            <w:pPr>
              <w:spacing w:line="276" w:lineRule="auto"/>
              <w:rPr>
                <w:sz w:val="22"/>
                <w:szCs w:val="18"/>
                <w:lang w:val="en-GB"/>
              </w:rPr>
            </w:pPr>
          </w:p>
          <w:p w14:paraId="60B5ED44" w14:textId="77777777" w:rsidR="005E785F" w:rsidRDefault="005E785F">
            <w:pPr>
              <w:spacing w:line="276" w:lineRule="auto"/>
              <w:rPr>
                <w:sz w:val="22"/>
                <w:szCs w:val="18"/>
                <w:lang w:val="en-GB"/>
              </w:rPr>
            </w:pPr>
          </w:p>
          <w:p w14:paraId="73AEF06B" w14:textId="77777777" w:rsidR="005E785F" w:rsidRDefault="005E785F">
            <w:pPr>
              <w:spacing w:line="276" w:lineRule="auto"/>
              <w:rPr>
                <w:sz w:val="22"/>
                <w:szCs w:val="18"/>
                <w:lang w:val="en-GB"/>
              </w:rPr>
            </w:pPr>
          </w:p>
          <w:p w14:paraId="36FCFAB7" w14:textId="77777777" w:rsidR="005E785F" w:rsidRDefault="003621E8">
            <w:pPr>
              <w:spacing w:line="276" w:lineRule="auto"/>
              <w:rPr>
                <w:sz w:val="22"/>
                <w:szCs w:val="18"/>
                <w:lang w:val="en-GB"/>
              </w:rPr>
            </w:pPr>
            <w:r>
              <w:rPr>
                <w:sz w:val="22"/>
                <w:szCs w:val="18"/>
                <w:lang w:val="en-GB"/>
              </w:rPr>
              <w:t>10.7.1 Efficacy and Safety Measurements Assessed and Flow Chart</w:t>
            </w:r>
          </w:p>
          <w:p w14:paraId="206F21B6" w14:textId="77777777" w:rsidR="005E785F" w:rsidRDefault="005E785F">
            <w:pPr>
              <w:spacing w:line="276" w:lineRule="auto"/>
              <w:rPr>
                <w:sz w:val="22"/>
                <w:szCs w:val="18"/>
                <w:lang w:val="en-GB"/>
              </w:rPr>
            </w:pPr>
          </w:p>
          <w:p w14:paraId="73FB1DF6" w14:textId="4097F3C2" w:rsidR="005E785F" w:rsidRDefault="003621E8">
            <w:pPr>
              <w:spacing w:line="276" w:lineRule="auto"/>
              <w:rPr>
                <w:sz w:val="22"/>
                <w:szCs w:val="18"/>
                <w:lang w:val="en-GB"/>
              </w:rPr>
            </w:pPr>
            <w:r>
              <w:rPr>
                <w:sz w:val="22"/>
                <w:szCs w:val="18"/>
                <w:lang w:val="en-GB"/>
              </w:rPr>
              <w:t>10.7.5 Appropriateness of Measurements</w:t>
            </w:r>
          </w:p>
        </w:tc>
        <w:tc>
          <w:tcPr>
            <w:tcW w:w="3402" w:type="dxa"/>
            <w:tcBorders>
              <w:top w:val="single" w:sz="4" w:space="0" w:color="auto"/>
              <w:left w:val="single" w:sz="4" w:space="0" w:color="auto"/>
              <w:bottom w:val="single" w:sz="4" w:space="0" w:color="auto"/>
              <w:right w:val="single" w:sz="4" w:space="0" w:color="auto"/>
            </w:tcBorders>
          </w:tcPr>
          <w:p w14:paraId="632D4156" w14:textId="77777777" w:rsidR="005E785F" w:rsidRDefault="003621E8">
            <w:pPr>
              <w:spacing w:line="276" w:lineRule="auto"/>
              <w:rPr>
                <w:sz w:val="22"/>
                <w:szCs w:val="18"/>
                <w:lang w:val="en-GB"/>
              </w:rPr>
            </w:pPr>
            <w:r>
              <w:rPr>
                <w:sz w:val="22"/>
                <w:szCs w:val="18"/>
                <w:lang w:val="en-GB"/>
              </w:rPr>
              <w:t>Additional assessments:</w:t>
            </w:r>
            <w:r>
              <w:rPr>
                <w:sz w:val="22"/>
                <w:szCs w:val="18"/>
                <w:lang w:val="en-GB"/>
              </w:rPr>
              <w:br/>
              <w:t>-Day 4 brief physical exam</w:t>
            </w:r>
            <w:r>
              <w:rPr>
                <w:sz w:val="22"/>
                <w:szCs w:val="18"/>
                <w:lang w:val="en-GB"/>
              </w:rPr>
              <w:br/>
              <w:t xml:space="preserve">-Day 4 12-Lead ECG </w:t>
            </w:r>
            <w:r>
              <w:rPr>
                <w:sz w:val="22"/>
                <w:szCs w:val="18"/>
                <w:lang w:val="en-GB"/>
              </w:rPr>
              <w:br/>
              <w:t xml:space="preserve">-Day 7 Laboratory safety assessments </w:t>
            </w:r>
          </w:p>
          <w:p w14:paraId="0FAE5EC1" w14:textId="77777777" w:rsidR="005E785F" w:rsidRDefault="005E785F">
            <w:pPr>
              <w:spacing w:line="276" w:lineRule="auto"/>
              <w:rPr>
                <w:sz w:val="22"/>
                <w:szCs w:val="18"/>
                <w:lang w:val="en-GB"/>
              </w:rPr>
            </w:pPr>
          </w:p>
          <w:p w14:paraId="0AE69366" w14:textId="77777777" w:rsidR="005E785F" w:rsidRDefault="003621E8">
            <w:pPr>
              <w:spacing w:line="276" w:lineRule="auto"/>
              <w:rPr>
                <w:sz w:val="22"/>
                <w:szCs w:val="18"/>
                <w:lang w:val="en-GB"/>
              </w:rPr>
            </w:pPr>
            <w:r>
              <w:rPr>
                <w:sz w:val="22"/>
                <w:szCs w:val="18"/>
                <w:lang w:val="en-GB"/>
              </w:rPr>
              <w:t>Amended text relating to use of a condom when engaging in sexual intercourse.</w:t>
            </w:r>
          </w:p>
          <w:p w14:paraId="01BAF2A1" w14:textId="77777777" w:rsidR="005E785F" w:rsidRDefault="005E785F">
            <w:pPr>
              <w:spacing w:line="276" w:lineRule="auto"/>
              <w:rPr>
                <w:sz w:val="22"/>
                <w:szCs w:val="18"/>
                <w:lang w:val="en-GB"/>
              </w:rPr>
            </w:pPr>
          </w:p>
          <w:p w14:paraId="5C8A6796" w14:textId="77777777" w:rsidR="005E785F" w:rsidRDefault="005E785F">
            <w:pPr>
              <w:spacing w:line="276" w:lineRule="auto"/>
              <w:rPr>
                <w:sz w:val="22"/>
                <w:szCs w:val="18"/>
                <w:lang w:val="en-GB"/>
              </w:rPr>
            </w:pPr>
          </w:p>
          <w:p w14:paraId="2ECE9FCC" w14:textId="77777777" w:rsidR="005E785F" w:rsidRDefault="003621E8">
            <w:pPr>
              <w:spacing w:line="276" w:lineRule="auto"/>
              <w:rPr>
                <w:sz w:val="22"/>
                <w:szCs w:val="18"/>
                <w:lang w:val="en-GB"/>
              </w:rPr>
            </w:pPr>
            <w:r>
              <w:rPr>
                <w:sz w:val="22"/>
                <w:szCs w:val="18"/>
                <w:lang w:val="en-GB"/>
              </w:rPr>
              <w:t>Text to state that the maximum clinical dose will not exceed 180 mg unless approved by REC and MHRA in a substantial amendment.</w:t>
            </w:r>
          </w:p>
          <w:p w14:paraId="57435FC9" w14:textId="77777777" w:rsidR="005E785F" w:rsidRDefault="005E785F">
            <w:pPr>
              <w:spacing w:line="276" w:lineRule="auto"/>
              <w:rPr>
                <w:sz w:val="22"/>
                <w:szCs w:val="18"/>
                <w:lang w:val="en-GB"/>
              </w:rPr>
            </w:pPr>
          </w:p>
          <w:p w14:paraId="14417469" w14:textId="134216E2" w:rsidR="005E785F" w:rsidRDefault="003621E8">
            <w:pPr>
              <w:spacing w:line="276" w:lineRule="auto"/>
              <w:rPr>
                <w:sz w:val="22"/>
                <w:szCs w:val="18"/>
                <w:lang w:val="en-GB"/>
              </w:rPr>
            </w:pPr>
            <w:r>
              <w:rPr>
                <w:sz w:val="22"/>
                <w:szCs w:val="18"/>
                <w:lang w:val="en-GB"/>
              </w:rPr>
              <w:t>Additional assessments added to Table 5 and footnote wording amended:</w:t>
            </w:r>
            <w:r>
              <w:rPr>
                <w:sz w:val="22"/>
                <w:szCs w:val="18"/>
                <w:lang w:val="en-GB"/>
              </w:rPr>
              <w:br/>
              <w:t>-Day 4 brief physical exam</w:t>
            </w:r>
            <w:r>
              <w:rPr>
                <w:sz w:val="22"/>
                <w:szCs w:val="18"/>
                <w:lang w:val="en-GB"/>
              </w:rPr>
              <w:br/>
              <w:t xml:space="preserve">-Day 4 12-Lead ECG </w:t>
            </w:r>
            <w:r>
              <w:rPr>
                <w:sz w:val="22"/>
                <w:szCs w:val="18"/>
                <w:lang w:val="en-GB"/>
              </w:rPr>
              <w:br/>
              <w:t xml:space="preserve">-Day 7 Laboratory safety assessments </w:t>
            </w:r>
          </w:p>
          <w:p w14:paraId="26577044" w14:textId="77777777" w:rsidR="005E785F" w:rsidRDefault="005E785F">
            <w:pPr>
              <w:spacing w:line="276" w:lineRule="auto"/>
              <w:rPr>
                <w:sz w:val="22"/>
                <w:szCs w:val="18"/>
                <w:lang w:val="en-GB"/>
              </w:rPr>
            </w:pPr>
          </w:p>
          <w:p w14:paraId="09D2702B" w14:textId="77777777" w:rsidR="005E785F" w:rsidRDefault="005E785F">
            <w:pPr>
              <w:spacing w:line="276" w:lineRule="auto"/>
              <w:rPr>
                <w:sz w:val="22"/>
                <w:szCs w:val="18"/>
                <w:lang w:val="en-GB"/>
              </w:rPr>
            </w:pPr>
          </w:p>
          <w:p w14:paraId="73FB1DF7" w14:textId="626CFA7D" w:rsidR="005E785F" w:rsidRDefault="003621E8">
            <w:pPr>
              <w:spacing w:line="276" w:lineRule="auto"/>
              <w:rPr>
                <w:sz w:val="22"/>
                <w:szCs w:val="18"/>
                <w:lang w:val="en-GB"/>
              </w:rPr>
            </w:pPr>
            <w:r>
              <w:rPr>
                <w:sz w:val="22"/>
                <w:szCs w:val="18"/>
                <w:lang w:val="en-GB"/>
              </w:rPr>
              <w:t xml:space="preserve">Table 6 edited to include additional laboratory blood samples and total blood volume amended. </w:t>
            </w:r>
          </w:p>
        </w:tc>
      </w:tr>
      <w:tr w:rsidR="005E785F" w14:paraId="73FB1DFD" w14:textId="77777777">
        <w:trPr>
          <w:trHeight w:val="1119"/>
        </w:trPr>
        <w:tc>
          <w:tcPr>
            <w:tcW w:w="1428" w:type="dxa"/>
            <w:tcBorders>
              <w:top w:val="single" w:sz="4" w:space="0" w:color="auto"/>
              <w:left w:val="single" w:sz="4" w:space="0" w:color="auto"/>
              <w:bottom w:val="single" w:sz="4" w:space="0" w:color="auto"/>
              <w:right w:val="single" w:sz="4" w:space="0" w:color="auto"/>
            </w:tcBorders>
          </w:tcPr>
          <w:p w14:paraId="73FB1DF9" w14:textId="47F85E71" w:rsidR="005E785F" w:rsidRDefault="003621E8">
            <w:pPr>
              <w:pStyle w:val="BodyTextFull"/>
              <w:rPr>
                <w:rFonts w:ascii="Times New Roman" w:hAnsi="Times New Roman" w:cs="Times New Roman"/>
                <w:lang w:val="en-GB"/>
              </w:rPr>
            </w:pPr>
            <w:r>
              <w:rPr>
                <w:rFonts w:ascii="Times New Roman" w:hAnsi="Times New Roman" w:cs="Times New Roman"/>
                <w:lang w:val="en-GB"/>
              </w:rPr>
              <w:t>V3.0/10 May 2021</w:t>
            </w:r>
          </w:p>
        </w:tc>
        <w:tc>
          <w:tcPr>
            <w:tcW w:w="1544" w:type="dxa"/>
            <w:tcBorders>
              <w:top w:val="single" w:sz="4" w:space="0" w:color="auto"/>
              <w:left w:val="single" w:sz="4" w:space="0" w:color="auto"/>
              <w:bottom w:val="single" w:sz="4" w:space="0" w:color="auto"/>
              <w:right w:val="single" w:sz="4" w:space="0" w:color="auto"/>
            </w:tcBorders>
          </w:tcPr>
          <w:p w14:paraId="7D946282" w14:textId="0596ECA5" w:rsidR="005E785F" w:rsidRDefault="003621E8">
            <w:pPr>
              <w:pStyle w:val="BodyTextFull"/>
              <w:rPr>
                <w:rFonts w:ascii="Times New Roman" w:hAnsi="Times New Roman" w:cs="Times New Roman"/>
                <w:lang w:val="en-GB"/>
              </w:rPr>
            </w:pPr>
            <w:r>
              <w:rPr>
                <w:rFonts w:ascii="Times New Roman" w:hAnsi="Times New Roman" w:cs="Times New Roman"/>
                <w:lang w:val="en-GB"/>
              </w:rPr>
              <w:t>Substantial amendment</w:t>
            </w:r>
          </w:p>
        </w:tc>
        <w:tc>
          <w:tcPr>
            <w:tcW w:w="1701" w:type="dxa"/>
            <w:tcBorders>
              <w:top w:val="single" w:sz="4" w:space="0" w:color="auto"/>
              <w:left w:val="single" w:sz="4" w:space="0" w:color="auto"/>
              <w:bottom w:val="single" w:sz="4" w:space="0" w:color="auto"/>
              <w:right w:val="single" w:sz="4" w:space="0" w:color="auto"/>
            </w:tcBorders>
          </w:tcPr>
          <w:p w14:paraId="73FB1DFA" w14:textId="673CF60B" w:rsidR="005E785F" w:rsidRDefault="003621E8">
            <w:pPr>
              <w:pStyle w:val="BodyTextFull"/>
              <w:jc w:val="left"/>
              <w:rPr>
                <w:rFonts w:ascii="Times New Roman" w:hAnsi="Times New Roman" w:cs="Times New Roman"/>
                <w:lang w:val="en-GB"/>
              </w:rPr>
            </w:pPr>
            <w:r>
              <w:rPr>
                <w:rFonts w:ascii="Times New Roman" w:hAnsi="Times New Roman" w:cs="Times New Roman"/>
                <w:lang w:val="en-GB"/>
              </w:rPr>
              <w:t>Response to Provisional Opinion from REC</w:t>
            </w:r>
          </w:p>
        </w:tc>
        <w:tc>
          <w:tcPr>
            <w:tcW w:w="1843" w:type="dxa"/>
            <w:tcBorders>
              <w:top w:val="single" w:sz="4" w:space="0" w:color="auto"/>
              <w:left w:val="single" w:sz="4" w:space="0" w:color="auto"/>
              <w:bottom w:val="single" w:sz="4" w:space="0" w:color="auto"/>
              <w:right w:val="single" w:sz="4" w:space="0" w:color="auto"/>
            </w:tcBorders>
          </w:tcPr>
          <w:p w14:paraId="17EB981A" w14:textId="53EE3D5C" w:rsidR="005E785F" w:rsidRDefault="003621E8">
            <w:pPr>
              <w:spacing w:line="480" w:lineRule="auto"/>
              <w:rPr>
                <w:lang w:val="en-GB"/>
              </w:rPr>
            </w:pPr>
            <w:r>
              <w:rPr>
                <w:sz w:val="22"/>
                <w:szCs w:val="18"/>
                <w:lang w:val="en-GB"/>
              </w:rPr>
              <w:t>Signature Page Synopsis</w:t>
            </w:r>
          </w:p>
          <w:p w14:paraId="5BAB332C" w14:textId="3F165FAC" w:rsidR="005E785F" w:rsidRDefault="005E785F">
            <w:pPr>
              <w:rPr>
                <w:sz w:val="22"/>
                <w:szCs w:val="22"/>
                <w:lang w:val="en-GB"/>
              </w:rPr>
            </w:pPr>
          </w:p>
          <w:p w14:paraId="58611D8E" w14:textId="20B7A2C9" w:rsidR="005E785F" w:rsidRDefault="005E785F">
            <w:pPr>
              <w:rPr>
                <w:sz w:val="22"/>
                <w:szCs w:val="22"/>
                <w:lang w:val="en-GB"/>
              </w:rPr>
            </w:pPr>
          </w:p>
          <w:p w14:paraId="3FECB676" w14:textId="77777777" w:rsidR="005E785F" w:rsidRDefault="005E785F">
            <w:pPr>
              <w:rPr>
                <w:sz w:val="22"/>
                <w:szCs w:val="22"/>
                <w:lang w:val="en-GB"/>
              </w:rPr>
            </w:pPr>
          </w:p>
          <w:p w14:paraId="1DE0B135" w14:textId="109DE6F0" w:rsidR="005E785F" w:rsidRDefault="003621E8">
            <w:pPr>
              <w:rPr>
                <w:sz w:val="22"/>
                <w:szCs w:val="22"/>
                <w:lang w:val="en-GB"/>
              </w:rPr>
            </w:pPr>
            <w:r>
              <w:rPr>
                <w:sz w:val="22"/>
                <w:szCs w:val="22"/>
                <w:lang w:val="en-GB"/>
              </w:rPr>
              <w:t xml:space="preserve">Synopsis &amp; Section 10.2.2 </w:t>
            </w:r>
            <w:r>
              <w:rPr>
                <w:sz w:val="22"/>
                <w:szCs w:val="22"/>
                <w:lang w:val="en-GB"/>
              </w:rPr>
              <w:lastRenderedPageBreak/>
              <w:t>(Trial Stopping Criteria)</w:t>
            </w:r>
          </w:p>
          <w:p w14:paraId="6BB90657" w14:textId="77777777" w:rsidR="005E785F" w:rsidRDefault="005E785F">
            <w:pPr>
              <w:rPr>
                <w:sz w:val="22"/>
                <w:szCs w:val="22"/>
                <w:lang w:val="en-GB"/>
              </w:rPr>
            </w:pPr>
          </w:p>
          <w:p w14:paraId="48EF6B2A" w14:textId="77777777" w:rsidR="005E785F" w:rsidRDefault="005E785F">
            <w:pPr>
              <w:rPr>
                <w:sz w:val="22"/>
                <w:szCs w:val="22"/>
                <w:lang w:val="en-GB"/>
              </w:rPr>
            </w:pPr>
          </w:p>
          <w:p w14:paraId="223B133E" w14:textId="77777777" w:rsidR="005E785F" w:rsidRDefault="005E785F">
            <w:pPr>
              <w:rPr>
                <w:sz w:val="22"/>
                <w:szCs w:val="22"/>
                <w:lang w:val="en-GB"/>
              </w:rPr>
            </w:pPr>
          </w:p>
          <w:p w14:paraId="6043C160" w14:textId="77777777" w:rsidR="005E785F" w:rsidRDefault="005E785F">
            <w:pPr>
              <w:rPr>
                <w:sz w:val="22"/>
                <w:szCs w:val="22"/>
                <w:lang w:val="en-GB"/>
              </w:rPr>
            </w:pPr>
          </w:p>
          <w:p w14:paraId="1EF28137" w14:textId="51D700FD" w:rsidR="005E785F" w:rsidRDefault="005E785F">
            <w:pPr>
              <w:rPr>
                <w:sz w:val="22"/>
                <w:szCs w:val="22"/>
                <w:lang w:val="en-GB"/>
              </w:rPr>
            </w:pPr>
          </w:p>
          <w:p w14:paraId="404DDA3A" w14:textId="05B9C7A1" w:rsidR="005E785F" w:rsidRDefault="005E785F">
            <w:pPr>
              <w:rPr>
                <w:sz w:val="22"/>
                <w:szCs w:val="22"/>
                <w:lang w:val="en-GB"/>
              </w:rPr>
            </w:pPr>
          </w:p>
          <w:p w14:paraId="5C878F2C" w14:textId="77777777" w:rsidR="005E785F" w:rsidRDefault="005E785F">
            <w:pPr>
              <w:rPr>
                <w:sz w:val="22"/>
                <w:szCs w:val="22"/>
                <w:lang w:val="en-GB"/>
              </w:rPr>
            </w:pPr>
          </w:p>
          <w:p w14:paraId="2CB33A4B" w14:textId="06BD5340" w:rsidR="005E785F" w:rsidRDefault="005E785F">
            <w:pPr>
              <w:rPr>
                <w:sz w:val="22"/>
                <w:szCs w:val="22"/>
                <w:lang w:val="en-GB"/>
              </w:rPr>
            </w:pPr>
          </w:p>
          <w:p w14:paraId="282F7001" w14:textId="3EE8A138" w:rsidR="005E785F" w:rsidRDefault="005E785F">
            <w:pPr>
              <w:rPr>
                <w:sz w:val="22"/>
                <w:szCs w:val="22"/>
                <w:lang w:val="en-GB"/>
              </w:rPr>
            </w:pPr>
          </w:p>
          <w:p w14:paraId="7D7DA66D" w14:textId="58668F91" w:rsidR="005E785F" w:rsidRDefault="005E785F">
            <w:pPr>
              <w:rPr>
                <w:sz w:val="22"/>
                <w:szCs w:val="22"/>
                <w:lang w:val="en-GB"/>
              </w:rPr>
            </w:pPr>
          </w:p>
          <w:p w14:paraId="719EA422" w14:textId="6E0BB338" w:rsidR="005E785F" w:rsidRDefault="005E785F">
            <w:pPr>
              <w:rPr>
                <w:sz w:val="22"/>
                <w:szCs w:val="22"/>
                <w:lang w:val="en-GB"/>
              </w:rPr>
            </w:pPr>
          </w:p>
          <w:p w14:paraId="51E769BF" w14:textId="35D0AEB6" w:rsidR="005E785F" w:rsidRDefault="005E785F">
            <w:pPr>
              <w:rPr>
                <w:sz w:val="22"/>
                <w:szCs w:val="22"/>
                <w:lang w:val="en-GB"/>
              </w:rPr>
            </w:pPr>
          </w:p>
          <w:p w14:paraId="21CB4C4B" w14:textId="0F3A9A5D" w:rsidR="005E785F" w:rsidRDefault="005E785F">
            <w:pPr>
              <w:rPr>
                <w:sz w:val="22"/>
                <w:szCs w:val="22"/>
                <w:lang w:val="en-GB"/>
              </w:rPr>
            </w:pPr>
          </w:p>
          <w:p w14:paraId="56408F57" w14:textId="05C7E73B" w:rsidR="005E785F" w:rsidRDefault="005E785F">
            <w:pPr>
              <w:rPr>
                <w:sz w:val="22"/>
                <w:szCs w:val="22"/>
                <w:lang w:val="en-GB"/>
              </w:rPr>
            </w:pPr>
          </w:p>
          <w:p w14:paraId="60FE881D" w14:textId="1FB8BDE4" w:rsidR="005E785F" w:rsidRDefault="005E785F">
            <w:pPr>
              <w:rPr>
                <w:sz w:val="22"/>
                <w:szCs w:val="22"/>
                <w:lang w:val="en-GB"/>
              </w:rPr>
            </w:pPr>
          </w:p>
          <w:p w14:paraId="0D59A940" w14:textId="43BEB26C" w:rsidR="005E785F" w:rsidRDefault="005E785F">
            <w:pPr>
              <w:rPr>
                <w:sz w:val="22"/>
                <w:szCs w:val="22"/>
                <w:lang w:val="en-GB"/>
              </w:rPr>
            </w:pPr>
          </w:p>
          <w:p w14:paraId="05CFBF97" w14:textId="0DF5BBFB" w:rsidR="005E785F" w:rsidRDefault="005E785F">
            <w:pPr>
              <w:rPr>
                <w:sz w:val="22"/>
                <w:szCs w:val="22"/>
                <w:lang w:val="en-GB"/>
              </w:rPr>
            </w:pPr>
          </w:p>
          <w:p w14:paraId="27394189" w14:textId="5A93E4D5" w:rsidR="005E785F" w:rsidRDefault="005E785F">
            <w:pPr>
              <w:rPr>
                <w:sz w:val="22"/>
                <w:szCs w:val="22"/>
                <w:lang w:val="en-GB"/>
              </w:rPr>
            </w:pPr>
          </w:p>
          <w:p w14:paraId="76BEA4D4" w14:textId="0AC656F9" w:rsidR="005E785F" w:rsidRDefault="005E785F">
            <w:pPr>
              <w:rPr>
                <w:sz w:val="22"/>
                <w:szCs w:val="22"/>
                <w:lang w:val="en-GB"/>
              </w:rPr>
            </w:pPr>
          </w:p>
          <w:p w14:paraId="76034EF8" w14:textId="77F968FE" w:rsidR="005E785F" w:rsidRDefault="005E785F">
            <w:pPr>
              <w:rPr>
                <w:sz w:val="22"/>
                <w:szCs w:val="22"/>
                <w:lang w:val="en-GB"/>
              </w:rPr>
            </w:pPr>
          </w:p>
          <w:p w14:paraId="363DBD81" w14:textId="799BC09F" w:rsidR="005E785F" w:rsidRDefault="005E785F">
            <w:pPr>
              <w:rPr>
                <w:sz w:val="22"/>
                <w:szCs w:val="22"/>
                <w:lang w:val="en-GB"/>
              </w:rPr>
            </w:pPr>
          </w:p>
          <w:p w14:paraId="67398DE5" w14:textId="26056708" w:rsidR="005E785F" w:rsidRDefault="005E785F">
            <w:pPr>
              <w:rPr>
                <w:sz w:val="22"/>
                <w:szCs w:val="22"/>
                <w:lang w:val="en-GB"/>
              </w:rPr>
            </w:pPr>
          </w:p>
          <w:p w14:paraId="384E5368" w14:textId="77777777" w:rsidR="005E785F" w:rsidRDefault="005E785F">
            <w:pPr>
              <w:rPr>
                <w:sz w:val="22"/>
                <w:szCs w:val="22"/>
                <w:lang w:val="en-GB"/>
              </w:rPr>
            </w:pPr>
          </w:p>
          <w:p w14:paraId="3261153B" w14:textId="6451FC60" w:rsidR="005E785F" w:rsidRDefault="003621E8">
            <w:pPr>
              <w:rPr>
                <w:sz w:val="22"/>
                <w:szCs w:val="22"/>
                <w:lang w:val="en-GB"/>
              </w:rPr>
            </w:pPr>
            <w:r>
              <w:rPr>
                <w:sz w:val="22"/>
                <w:szCs w:val="22"/>
                <w:lang w:val="en-GB"/>
              </w:rPr>
              <w:t>Synopsis &amp; Section 10.2.3 (Dose Escalation Stopping Criteria)</w:t>
            </w:r>
          </w:p>
          <w:p w14:paraId="3833B989" w14:textId="33619230" w:rsidR="005E785F" w:rsidRDefault="005E785F">
            <w:pPr>
              <w:rPr>
                <w:sz w:val="22"/>
                <w:szCs w:val="22"/>
                <w:lang w:val="en-GB"/>
              </w:rPr>
            </w:pPr>
          </w:p>
          <w:p w14:paraId="413217F9" w14:textId="39CE91CF" w:rsidR="005E785F" w:rsidRDefault="005E785F">
            <w:pPr>
              <w:rPr>
                <w:sz w:val="22"/>
                <w:szCs w:val="22"/>
                <w:lang w:val="en-GB"/>
              </w:rPr>
            </w:pPr>
          </w:p>
          <w:p w14:paraId="44BC90AF" w14:textId="1107654A" w:rsidR="005E785F" w:rsidRDefault="005E785F">
            <w:pPr>
              <w:rPr>
                <w:sz w:val="22"/>
                <w:szCs w:val="22"/>
                <w:lang w:val="en-GB"/>
              </w:rPr>
            </w:pPr>
          </w:p>
          <w:p w14:paraId="63C587F2" w14:textId="2BFD345E" w:rsidR="005E785F" w:rsidRDefault="005E785F">
            <w:pPr>
              <w:rPr>
                <w:sz w:val="22"/>
                <w:szCs w:val="22"/>
                <w:lang w:val="en-GB"/>
              </w:rPr>
            </w:pPr>
          </w:p>
          <w:p w14:paraId="2BCED1BE" w14:textId="38512676" w:rsidR="005E785F" w:rsidRDefault="005E785F">
            <w:pPr>
              <w:rPr>
                <w:sz w:val="22"/>
                <w:szCs w:val="22"/>
                <w:lang w:val="en-GB"/>
              </w:rPr>
            </w:pPr>
          </w:p>
          <w:p w14:paraId="1C3D5ECD" w14:textId="796AA175" w:rsidR="005E785F" w:rsidRDefault="005E785F">
            <w:pPr>
              <w:rPr>
                <w:sz w:val="22"/>
                <w:szCs w:val="22"/>
                <w:lang w:val="en-GB"/>
              </w:rPr>
            </w:pPr>
          </w:p>
          <w:p w14:paraId="0AC0EE2F" w14:textId="267E2B1C" w:rsidR="005E785F" w:rsidRDefault="005E785F">
            <w:pPr>
              <w:rPr>
                <w:sz w:val="22"/>
                <w:szCs w:val="22"/>
                <w:lang w:val="en-GB"/>
              </w:rPr>
            </w:pPr>
          </w:p>
          <w:p w14:paraId="5148A730" w14:textId="6B42CA5B" w:rsidR="005E785F" w:rsidRDefault="005E785F">
            <w:pPr>
              <w:rPr>
                <w:sz w:val="22"/>
                <w:szCs w:val="22"/>
                <w:lang w:val="en-GB"/>
              </w:rPr>
            </w:pPr>
          </w:p>
          <w:p w14:paraId="7C59F0CD" w14:textId="2177F078" w:rsidR="005E785F" w:rsidRDefault="005E785F">
            <w:pPr>
              <w:rPr>
                <w:sz w:val="22"/>
                <w:szCs w:val="22"/>
                <w:lang w:val="en-GB"/>
              </w:rPr>
            </w:pPr>
          </w:p>
          <w:p w14:paraId="1150F926" w14:textId="6A72DA34" w:rsidR="005E785F" w:rsidRDefault="005E785F">
            <w:pPr>
              <w:rPr>
                <w:sz w:val="22"/>
                <w:szCs w:val="22"/>
                <w:lang w:val="en-GB"/>
              </w:rPr>
            </w:pPr>
          </w:p>
          <w:p w14:paraId="5329EDF5" w14:textId="0A9AAD85" w:rsidR="005E785F" w:rsidRDefault="005E785F">
            <w:pPr>
              <w:rPr>
                <w:sz w:val="22"/>
                <w:szCs w:val="22"/>
                <w:lang w:val="en-GB"/>
              </w:rPr>
            </w:pPr>
          </w:p>
          <w:p w14:paraId="6AFF6ECD" w14:textId="644AA41C" w:rsidR="005E785F" w:rsidRDefault="005E785F">
            <w:pPr>
              <w:rPr>
                <w:sz w:val="22"/>
                <w:szCs w:val="22"/>
                <w:lang w:val="en-GB"/>
              </w:rPr>
            </w:pPr>
          </w:p>
          <w:p w14:paraId="1E86A6E8" w14:textId="2EBDD8DD" w:rsidR="005E785F" w:rsidRDefault="005E785F">
            <w:pPr>
              <w:rPr>
                <w:sz w:val="22"/>
                <w:szCs w:val="22"/>
                <w:lang w:val="en-GB"/>
              </w:rPr>
            </w:pPr>
          </w:p>
          <w:p w14:paraId="624B8C18" w14:textId="4A141F7E" w:rsidR="005E785F" w:rsidRDefault="005E785F">
            <w:pPr>
              <w:rPr>
                <w:sz w:val="22"/>
                <w:szCs w:val="22"/>
                <w:lang w:val="en-GB"/>
              </w:rPr>
            </w:pPr>
          </w:p>
          <w:p w14:paraId="0108FF97" w14:textId="241BD7FE" w:rsidR="005E785F" w:rsidRDefault="005E785F">
            <w:pPr>
              <w:rPr>
                <w:sz w:val="22"/>
                <w:szCs w:val="22"/>
                <w:lang w:val="en-GB"/>
              </w:rPr>
            </w:pPr>
          </w:p>
          <w:p w14:paraId="0D5AFA65" w14:textId="77777777" w:rsidR="005E785F" w:rsidRDefault="005E785F">
            <w:pPr>
              <w:rPr>
                <w:sz w:val="22"/>
                <w:szCs w:val="22"/>
                <w:lang w:val="en-GB"/>
              </w:rPr>
            </w:pPr>
          </w:p>
          <w:p w14:paraId="423693D4" w14:textId="2F1942FE" w:rsidR="005E785F" w:rsidRDefault="003621E8">
            <w:pPr>
              <w:rPr>
                <w:sz w:val="22"/>
                <w:szCs w:val="22"/>
                <w:lang w:val="en-GB"/>
              </w:rPr>
            </w:pPr>
            <w:r>
              <w:rPr>
                <w:sz w:val="22"/>
                <w:szCs w:val="22"/>
                <w:lang w:val="en-GB"/>
              </w:rPr>
              <w:t>Synopsis &amp; Section 10.4.1 (Inclusion Criteria)</w:t>
            </w:r>
          </w:p>
          <w:p w14:paraId="539E0B04" w14:textId="77777777" w:rsidR="005E785F" w:rsidRDefault="005E785F">
            <w:pPr>
              <w:rPr>
                <w:lang w:val="en-GB"/>
              </w:rPr>
            </w:pPr>
          </w:p>
          <w:p w14:paraId="04CFAE4C" w14:textId="36146AEA" w:rsidR="005E785F" w:rsidRDefault="003621E8">
            <w:pPr>
              <w:pStyle w:val="BodyTextFull"/>
              <w:spacing w:before="0" w:after="0"/>
              <w:jc w:val="left"/>
              <w:rPr>
                <w:rFonts w:cs="Times New Roman"/>
                <w:lang w:val="en-GB"/>
              </w:rPr>
            </w:pPr>
            <w:r>
              <w:rPr>
                <w:rFonts w:ascii="Times New Roman" w:hAnsi="Times New Roman" w:cs="Times New Roman"/>
                <w:lang w:val="en-GB"/>
              </w:rPr>
              <w:lastRenderedPageBreak/>
              <w:t>Synopsis &amp; Section 10.4.2 (Exclusion Criteria)</w:t>
            </w:r>
          </w:p>
          <w:p w14:paraId="2824472F" w14:textId="12CB92EB" w:rsidR="005E785F" w:rsidRDefault="005E785F">
            <w:pPr>
              <w:spacing w:line="480" w:lineRule="auto"/>
              <w:rPr>
                <w:lang w:val="en-GB"/>
              </w:rPr>
            </w:pPr>
          </w:p>
          <w:p w14:paraId="26D007BB" w14:textId="01D21AAA" w:rsidR="005E785F" w:rsidRDefault="005E785F">
            <w:pPr>
              <w:spacing w:line="480" w:lineRule="auto"/>
              <w:rPr>
                <w:lang w:val="en-GB"/>
              </w:rPr>
            </w:pPr>
          </w:p>
          <w:p w14:paraId="5447F8FD" w14:textId="6827DA40" w:rsidR="005E785F" w:rsidRDefault="005E785F">
            <w:pPr>
              <w:pStyle w:val="BodyTextFull"/>
              <w:spacing w:before="0" w:after="0"/>
              <w:jc w:val="left"/>
              <w:rPr>
                <w:rFonts w:ascii="Times New Roman" w:hAnsi="Times New Roman" w:cs="Times New Roman"/>
                <w:lang w:val="en-GB"/>
              </w:rPr>
            </w:pPr>
          </w:p>
          <w:p w14:paraId="5BECA902" w14:textId="211C90D0" w:rsidR="005E785F" w:rsidRDefault="005E785F">
            <w:pPr>
              <w:pStyle w:val="BodyTextFull"/>
              <w:spacing w:before="0" w:after="0"/>
              <w:jc w:val="left"/>
              <w:rPr>
                <w:rFonts w:ascii="Times New Roman" w:hAnsi="Times New Roman" w:cs="Times New Roman"/>
                <w:lang w:val="en-GB"/>
              </w:rPr>
            </w:pPr>
          </w:p>
          <w:p w14:paraId="5FEC424B" w14:textId="05B82312" w:rsidR="005E785F" w:rsidRDefault="005E785F">
            <w:pPr>
              <w:pStyle w:val="BodyTextFull"/>
              <w:spacing w:before="0" w:after="0"/>
              <w:jc w:val="left"/>
              <w:rPr>
                <w:rFonts w:ascii="Times New Roman" w:hAnsi="Times New Roman" w:cs="Times New Roman"/>
                <w:lang w:val="en-GB"/>
              </w:rPr>
            </w:pPr>
          </w:p>
          <w:p w14:paraId="04262BA1" w14:textId="47647AE8" w:rsidR="005E785F" w:rsidRDefault="005E785F">
            <w:pPr>
              <w:pStyle w:val="BodyTextFull"/>
              <w:spacing w:before="0" w:after="0"/>
              <w:jc w:val="left"/>
              <w:rPr>
                <w:rFonts w:ascii="Times New Roman" w:hAnsi="Times New Roman" w:cs="Times New Roman"/>
                <w:lang w:val="en-GB"/>
              </w:rPr>
            </w:pPr>
          </w:p>
          <w:p w14:paraId="74CBF1B1" w14:textId="4F040438" w:rsidR="005E785F" w:rsidRDefault="005E785F">
            <w:pPr>
              <w:pStyle w:val="BodyTextFull"/>
              <w:spacing w:before="0" w:after="0"/>
              <w:jc w:val="left"/>
              <w:rPr>
                <w:rFonts w:ascii="Times New Roman" w:hAnsi="Times New Roman" w:cs="Times New Roman"/>
                <w:lang w:val="en-GB"/>
              </w:rPr>
            </w:pPr>
          </w:p>
          <w:p w14:paraId="6822A7FE" w14:textId="14939856" w:rsidR="005E785F" w:rsidRDefault="005E785F">
            <w:pPr>
              <w:pStyle w:val="BodyTextFull"/>
              <w:spacing w:before="0" w:after="0"/>
              <w:jc w:val="left"/>
              <w:rPr>
                <w:rFonts w:ascii="Times New Roman" w:hAnsi="Times New Roman" w:cs="Times New Roman"/>
                <w:lang w:val="en-GB"/>
              </w:rPr>
            </w:pPr>
          </w:p>
          <w:p w14:paraId="7D47E5A4" w14:textId="4A41D2F1" w:rsidR="005E785F" w:rsidRDefault="005E785F">
            <w:pPr>
              <w:pStyle w:val="BodyTextFull"/>
              <w:spacing w:before="0" w:after="0"/>
              <w:jc w:val="left"/>
              <w:rPr>
                <w:rFonts w:ascii="Times New Roman" w:hAnsi="Times New Roman" w:cs="Times New Roman"/>
                <w:lang w:val="en-GB"/>
              </w:rPr>
            </w:pPr>
          </w:p>
          <w:p w14:paraId="5A4645E2" w14:textId="024E0D11" w:rsidR="005E785F" w:rsidRDefault="005E785F">
            <w:pPr>
              <w:pStyle w:val="BodyTextFull"/>
              <w:spacing w:before="0" w:after="0"/>
              <w:jc w:val="left"/>
              <w:rPr>
                <w:rFonts w:ascii="Times New Roman" w:hAnsi="Times New Roman" w:cs="Times New Roman"/>
                <w:lang w:val="en-GB"/>
              </w:rPr>
            </w:pPr>
          </w:p>
          <w:p w14:paraId="0757E7CC" w14:textId="78F4478B" w:rsidR="005E785F" w:rsidRDefault="003621E8">
            <w:pPr>
              <w:pStyle w:val="BodyTextFull"/>
              <w:spacing w:before="0" w:after="0"/>
              <w:jc w:val="left"/>
              <w:rPr>
                <w:rFonts w:ascii="Times New Roman" w:hAnsi="Times New Roman" w:cs="Times New Roman"/>
                <w:lang w:val="en-GB"/>
              </w:rPr>
            </w:pPr>
            <w:r>
              <w:rPr>
                <w:rFonts w:ascii="Times New Roman" w:hAnsi="Times New Roman" w:cs="Times New Roman"/>
                <w:lang w:val="en-GB"/>
              </w:rPr>
              <w:t>Section 10.6.1 (Identity)</w:t>
            </w:r>
          </w:p>
          <w:p w14:paraId="4E698985" w14:textId="41CD8E0E" w:rsidR="005E785F" w:rsidRDefault="005E785F">
            <w:pPr>
              <w:pStyle w:val="BodyTextFull"/>
              <w:spacing w:before="0" w:after="0"/>
              <w:jc w:val="left"/>
              <w:rPr>
                <w:rFonts w:ascii="Times New Roman" w:hAnsi="Times New Roman" w:cs="Times New Roman"/>
                <w:lang w:val="en-GB"/>
              </w:rPr>
            </w:pPr>
          </w:p>
          <w:p w14:paraId="05CF87A8" w14:textId="0593DFF9" w:rsidR="005E785F" w:rsidRDefault="005E785F">
            <w:pPr>
              <w:pStyle w:val="BodyTextFull"/>
              <w:spacing w:before="0" w:after="0"/>
              <w:jc w:val="left"/>
              <w:rPr>
                <w:rFonts w:ascii="Times New Roman" w:hAnsi="Times New Roman" w:cs="Times New Roman"/>
                <w:lang w:val="en-GB"/>
              </w:rPr>
            </w:pPr>
          </w:p>
          <w:p w14:paraId="1503FFD1" w14:textId="5579BCC8" w:rsidR="005E785F" w:rsidRDefault="005E785F">
            <w:pPr>
              <w:pStyle w:val="BodyTextFull"/>
              <w:spacing w:before="0" w:after="0"/>
              <w:jc w:val="left"/>
              <w:rPr>
                <w:rFonts w:ascii="Times New Roman" w:hAnsi="Times New Roman" w:cs="Times New Roman"/>
                <w:lang w:val="en-GB"/>
              </w:rPr>
            </w:pPr>
          </w:p>
          <w:p w14:paraId="3A4C25EA" w14:textId="16575302" w:rsidR="005E785F" w:rsidRDefault="005E785F">
            <w:pPr>
              <w:pStyle w:val="BodyTextFull"/>
              <w:spacing w:before="0" w:after="0"/>
              <w:jc w:val="left"/>
              <w:rPr>
                <w:rFonts w:ascii="Times New Roman" w:hAnsi="Times New Roman" w:cs="Times New Roman"/>
                <w:lang w:val="en-GB"/>
              </w:rPr>
            </w:pPr>
          </w:p>
          <w:p w14:paraId="2F1834C4" w14:textId="4EAD1027" w:rsidR="005E785F" w:rsidRDefault="005E785F">
            <w:pPr>
              <w:pStyle w:val="BodyTextFull"/>
              <w:spacing w:before="0" w:after="0"/>
              <w:jc w:val="left"/>
              <w:rPr>
                <w:rFonts w:ascii="Times New Roman" w:hAnsi="Times New Roman" w:cs="Times New Roman"/>
                <w:lang w:val="en-GB"/>
              </w:rPr>
            </w:pPr>
          </w:p>
          <w:p w14:paraId="605196E9" w14:textId="35175451" w:rsidR="005E785F" w:rsidRDefault="005E785F">
            <w:pPr>
              <w:pStyle w:val="BodyTextFull"/>
              <w:spacing w:before="0" w:after="0"/>
              <w:jc w:val="left"/>
              <w:rPr>
                <w:rFonts w:ascii="Times New Roman" w:hAnsi="Times New Roman" w:cs="Times New Roman"/>
                <w:lang w:val="en-GB"/>
              </w:rPr>
            </w:pPr>
          </w:p>
          <w:p w14:paraId="5B0A81F0" w14:textId="3D27BE36" w:rsidR="005E785F" w:rsidRDefault="005E785F">
            <w:pPr>
              <w:pStyle w:val="BodyTextFull"/>
              <w:spacing w:before="0" w:after="0"/>
              <w:jc w:val="left"/>
              <w:rPr>
                <w:rFonts w:ascii="Times New Roman" w:hAnsi="Times New Roman" w:cs="Times New Roman"/>
                <w:lang w:val="en-GB"/>
              </w:rPr>
            </w:pPr>
          </w:p>
          <w:p w14:paraId="38B8F848" w14:textId="77777777" w:rsidR="005E785F" w:rsidRDefault="005E785F">
            <w:pPr>
              <w:pStyle w:val="BodyTextFull"/>
              <w:spacing w:before="0" w:after="0"/>
              <w:jc w:val="left"/>
              <w:rPr>
                <w:rFonts w:ascii="Times New Roman" w:hAnsi="Times New Roman" w:cs="Times New Roman"/>
                <w:lang w:val="en-GB"/>
              </w:rPr>
            </w:pPr>
          </w:p>
          <w:p w14:paraId="2FFE75DC" w14:textId="77777777" w:rsidR="005E785F" w:rsidRDefault="003621E8">
            <w:pPr>
              <w:pStyle w:val="BodyTextFull"/>
              <w:spacing w:before="0" w:after="0"/>
              <w:jc w:val="left"/>
              <w:rPr>
                <w:rFonts w:ascii="Times New Roman" w:hAnsi="Times New Roman" w:cs="Times New Roman"/>
                <w:lang w:val="en-GB"/>
              </w:rPr>
            </w:pPr>
            <w:r>
              <w:rPr>
                <w:rFonts w:ascii="Times New Roman" w:hAnsi="Times New Roman" w:cs="Times New Roman"/>
                <w:lang w:val="en-GB"/>
              </w:rPr>
              <w:t>Synopsis &amp; Section 10.6.4 (Administration)</w:t>
            </w:r>
          </w:p>
          <w:p w14:paraId="2B6189D5" w14:textId="77777777" w:rsidR="005E785F" w:rsidRDefault="005E785F">
            <w:pPr>
              <w:pStyle w:val="BodyTextFull"/>
              <w:spacing w:before="0" w:after="0"/>
              <w:jc w:val="left"/>
              <w:rPr>
                <w:rFonts w:ascii="Times New Roman" w:hAnsi="Times New Roman" w:cs="Times New Roman"/>
                <w:lang w:val="en-GB"/>
              </w:rPr>
            </w:pPr>
          </w:p>
          <w:p w14:paraId="01CFD798" w14:textId="68C42BD8" w:rsidR="005E785F" w:rsidRDefault="005E785F">
            <w:pPr>
              <w:pStyle w:val="BodyTextFull"/>
              <w:spacing w:before="0" w:after="0"/>
              <w:jc w:val="left"/>
              <w:rPr>
                <w:rFonts w:ascii="Times New Roman" w:hAnsi="Times New Roman" w:cs="Times New Roman"/>
                <w:lang w:val="en-GB"/>
              </w:rPr>
            </w:pPr>
          </w:p>
          <w:p w14:paraId="48D2EDB6" w14:textId="5EF63CB3" w:rsidR="005E785F" w:rsidRDefault="005E785F">
            <w:pPr>
              <w:pStyle w:val="BodyTextFull"/>
              <w:spacing w:before="0" w:after="0"/>
              <w:jc w:val="left"/>
              <w:rPr>
                <w:rFonts w:ascii="Times New Roman" w:hAnsi="Times New Roman" w:cs="Times New Roman"/>
                <w:lang w:val="en-GB"/>
              </w:rPr>
            </w:pPr>
          </w:p>
          <w:p w14:paraId="27839A36" w14:textId="7EBFD4C4" w:rsidR="005E785F" w:rsidRDefault="005E785F">
            <w:pPr>
              <w:pStyle w:val="BodyTextFull"/>
              <w:spacing w:before="0" w:after="0"/>
              <w:jc w:val="left"/>
              <w:rPr>
                <w:rFonts w:ascii="Times New Roman" w:hAnsi="Times New Roman" w:cs="Times New Roman"/>
                <w:lang w:val="en-GB"/>
              </w:rPr>
            </w:pPr>
          </w:p>
          <w:p w14:paraId="20526A87" w14:textId="14CD7252" w:rsidR="005E785F" w:rsidRDefault="005E785F">
            <w:pPr>
              <w:pStyle w:val="BodyTextFull"/>
              <w:spacing w:before="0" w:after="0"/>
              <w:jc w:val="left"/>
              <w:rPr>
                <w:rFonts w:ascii="Times New Roman" w:hAnsi="Times New Roman" w:cs="Times New Roman"/>
                <w:lang w:val="en-GB"/>
              </w:rPr>
            </w:pPr>
          </w:p>
          <w:p w14:paraId="28A76CE3" w14:textId="3A0903AD" w:rsidR="005E785F" w:rsidRDefault="005E785F">
            <w:pPr>
              <w:pStyle w:val="BodyTextFull"/>
              <w:spacing w:before="0" w:after="0"/>
              <w:jc w:val="left"/>
              <w:rPr>
                <w:rFonts w:ascii="Times New Roman" w:hAnsi="Times New Roman" w:cs="Times New Roman"/>
                <w:lang w:val="en-GB"/>
              </w:rPr>
            </w:pPr>
          </w:p>
          <w:p w14:paraId="06DEDB11" w14:textId="2E86DF23" w:rsidR="005E785F" w:rsidRDefault="005E785F">
            <w:pPr>
              <w:pStyle w:val="BodyTextFull"/>
              <w:spacing w:before="0" w:after="0"/>
              <w:jc w:val="left"/>
              <w:rPr>
                <w:rFonts w:ascii="Times New Roman" w:hAnsi="Times New Roman" w:cs="Times New Roman"/>
                <w:lang w:val="en-GB"/>
              </w:rPr>
            </w:pPr>
          </w:p>
          <w:p w14:paraId="072B11E4" w14:textId="1A5A18F2" w:rsidR="005E785F" w:rsidRDefault="005E785F">
            <w:pPr>
              <w:pStyle w:val="BodyTextFull"/>
              <w:spacing w:before="0" w:after="0"/>
              <w:jc w:val="left"/>
              <w:rPr>
                <w:rFonts w:ascii="Times New Roman" w:hAnsi="Times New Roman" w:cs="Times New Roman"/>
                <w:lang w:val="en-GB"/>
              </w:rPr>
            </w:pPr>
          </w:p>
          <w:p w14:paraId="044F6908" w14:textId="77777777" w:rsidR="005E785F" w:rsidRDefault="005E785F">
            <w:pPr>
              <w:pStyle w:val="BodyTextFull"/>
              <w:spacing w:before="0" w:after="0"/>
              <w:jc w:val="left"/>
              <w:rPr>
                <w:rFonts w:ascii="Times New Roman" w:hAnsi="Times New Roman" w:cs="Times New Roman"/>
                <w:lang w:val="en-GB"/>
              </w:rPr>
            </w:pPr>
          </w:p>
          <w:p w14:paraId="2CB3D053" w14:textId="5A4175E0" w:rsidR="005E785F" w:rsidRDefault="003621E8">
            <w:pPr>
              <w:rPr>
                <w:szCs w:val="18"/>
                <w:lang w:val="en-GB"/>
              </w:rPr>
            </w:pPr>
            <w:r>
              <w:rPr>
                <w:sz w:val="22"/>
                <w:szCs w:val="18"/>
                <w:lang w:val="en-GB"/>
              </w:rPr>
              <w:t>Synopsis &amp; Section 10.7.1 (Efficacy and Safety Measurements Assessed and Flow Chart)</w:t>
            </w:r>
          </w:p>
          <w:p w14:paraId="218B5CFD" w14:textId="77777777" w:rsidR="005E785F" w:rsidRDefault="005E785F">
            <w:pPr>
              <w:pStyle w:val="BodyTextFull"/>
              <w:spacing w:before="0" w:after="0"/>
              <w:jc w:val="left"/>
              <w:rPr>
                <w:rFonts w:ascii="Times New Roman" w:hAnsi="Times New Roman" w:cs="Times New Roman"/>
                <w:lang w:val="en-GB"/>
              </w:rPr>
            </w:pPr>
          </w:p>
          <w:p w14:paraId="179EDF0A" w14:textId="18A8B7D1" w:rsidR="005E785F" w:rsidRDefault="003621E8">
            <w:pPr>
              <w:pStyle w:val="BodyTextFull"/>
              <w:spacing w:before="0" w:after="0"/>
              <w:jc w:val="left"/>
              <w:rPr>
                <w:rFonts w:ascii="Times New Roman" w:hAnsi="Times New Roman" w:cs="Times New Roman"/>
                <w:lang w:val="en-GB"/>
              </w:rPr>
            </w:pPr>
            <w:r>
              <w:rPr>
                <w:rFonts w:ascii="Times New Roman" w:hAnsi="Times New Roman" w:cs="Times New Roman"/>
                <w:lang w:val="en-GB"/>
              </w:rPr>
              <w:t>Section 10.7.2 (Demographics and Background Assessments)</w:t>
            </w:r>
          </w:p>
          <w:p w14:paraId="57F3C406" w14:textId="77777777" w:rsidR="005E785F" w:rsidRDefault="005E785F">
            <w:pPr>
              <w:pStyle w:val="BodyTextFull"/>
              <w:spacing w:before="0" w:after="0"/>
              <w:jc w:val="left"/>
              <w:rPr>
                <w:rFonts w:ascii="Times New Roman" w:hAnsi="Times New Roman" w:cs="Times New Roman"/>
                <w:lang w:val="en-GB"/>
              </w:rPr>
            </w:pPr>
          </w:p>
          <w:p w14:paraId="149A8545" w14:textId="1AF584C9" w:rsidR="005E785F" w:rsidRDefault="003621E8">
            <w:pPr>
              <w:pStyle w:val="BodyTextFull"/>
              <w:spacing w:before="0" w:after="0"/>
              <w:jc w:val="left"/>
              <w:rPr>
                <w:rFonts w:ascii="Times New Roman" w:hAnsi="Times New Roman" w:cs="Times New Roman"/>
                <w:lang w:val="en-GB"/>
              </w:rPr>
            </w:pPr>
            <w:r>
              <w:rPr>
                <w:rFonts w:ascii="Times New Roman" w:hAnsi="Times New Roman" w:cs="Times New Roman"/>
                <w:lang w:val="en-GB"/>
              </w:rPr>
              <w:t>Section 10.7.5 (Appropriateness of Measurements)</w:t>
            </w:r>
          </w:p>
          <w:p w14:paraId="0BDFDE95" w14:textId="77777777" w:rsidR="005E785F" w:rsidRDefault="005E785F">
            <w:pPr>
              <w:pStyle w:val="BodyTextFull"/>
              <w:spacing w:before="0" w:after="0"/>
              <w:jc w:val="left"/>
              <w:rPr>
                <w:rFonts w:ascii="Times New Roman" w:hAnsi="Times New Roman" w:cs="Times New Roman"/>
                <w:lang w:val="en-GB"/>
              </w:rPr>
            </w:pPr>
          </w:p>
          <w:p w14:paraId="44145108" w14:textId="77777777" w:rsidR="005E785F" w:rsidRDefault="005E785F">
            <w:pPr>
              <w:pStyle w:val="BodyTextFull"/>
              <w:spacing w:before="0" w:after="0"/>
              <w:jc w:val="left"/>
              <w:rPr>
                <w:rFonts w:ascii="Times New Roman" w:hAnsi="Times New Roman" w:cs="Times New Roman"/>
                <w:lang w:val="en-GB"/>
              </w:rPr>
            </w:pPr>
          </w:p>
          <w:p w14:paraId="3F667EC5" w14:textId="77777777" w:rsidR="005E785F" w:rsidRDefault="005E785F">
            <w:pPr>
              <w:pStyle w:val="BodyTextFull"/>
              <w:spacing w:before="0" w:after="0"/>
              <w:jc w:val="left"/>
              <w:rPr>
                <w:rFonts w:ascii="Times New Roman" w:hAnsi="Times New Roman" w:cs="Times New Roman"/>
                <w:lang w:val="en-GB"/>
              </w:rPr>
            </w:pPr>
          </w:p>
          <w:p w14:paraId="2D4CB559" w14:textId="70B08836" w:rsidR="005E785F" w:rsidRDefault="003621E8">
            <w:pPr>
              <w:pStyle w:val="BodyTextFull"/>
              <w:spacing w:before="0" w:after="0"/>
              <w:jc w:val="left"/>
              <w:rPr>
                <w:rFonts w:ascii="Times New Roman" w:hAnsi="Times New Roman" w:cs="Times New Roman"/>
                <w:lang w:val="en-GB"/>
              </w:rPr>
            </w:pPr>
            <w:r>
              <w:rPr>
                <w:rFonts w:ascii="Times New Roman" w:hAnsi="Times New Roman" w:cs="Times New Roman"/>
                <w:lang w:val="en-GB"/>
              </w:rPr>
              <w:t>Synopsis &amp; throughout protocol</w:t>
            </w:r>
          </w:p>
          <w:p w14:paraId="68F13E2E" w14:textId="77777777" w:rsidR="005E785F" w:rsidRDefault="005E785F">
            <w:pPr>
              <w:pStyle w:val="BodyTextFull"/>
              <w:spacing w:before="0" w:after="0"/>
              <w:jc w:val="left"/>
              <w:rPr>
                <w:rFonts w:ascii="Times New Roman" w:hAnsi="Times New Roman" w:cs="Times New Roman"/>
                <w:lang w:val="en-GB"/>
              </w:rPr>
            </w:pPr>
          </w:p>
          <w:p w14:paraId="0146145D" w14:textId="22D9FD64" w:rsidR="005E785F" w:rsidRDefault="003621E8">
            <w:pPr>
              <w:pStyle w:val="BodyTextFull"/>
              <w:spacing w:before="0" w:after="0"/>
              <w:jc w:val="left"/>
              <w:rPr>
                <w:rFonts w:ascii="Times New Roman" w:hAnsi="Times New Roman" w:cs="Times New Roman"/>
                <w:lang w:val="en-GB"/>
              </w:rPr>
            </w:pPr>
            <w:r>
              <w:rPr>
                <w:rFonts w:ascii="Times New Roman" w:hAnsi="Times New Roman" w:cs="Times New Roman"/>
                <w:lang w:val="en-GB"/>
              </w:rPr>
              <w:t>Section 11.2 (Protocol Amendment)</w:t>
            </w:r>
          </w:p>
          <w:p w14:paraId="1E064504" w14:textId="77777777" w:rsidR="005E785F" w:rsidRDefault="005E785F">
            <w:pPr>
              <w:spacing w:line="480" w:lineRule="auto"/>
              <w:rPr>
                <w:lang w:val="en-GB"/>
              </w:rPr>
            </w:pPr>
          </w:p>
          <w:p w14:paraId="73FB1DFB" w14:textId="020F3F91" w:rsidR="005E785F" w:rsidRDefault="005E785F">
            <w:pPr>
              <w:spacing w:line="480" w:lineRule="auto"/>
              <w:rPr>
                <w:lang w:val="en-GB"/>
              </w:rPr>
            </w:pPr>
          </w:p>
        </w:tc>
        <w:tc>
          <w:tcPr>
            <w:tcW w:w="3402" w:type="dxa"/>
            <w:tcBorders>
              <w:top w:val="single" w:sz="4" w:space="0" w:color="auto"/>
              <w:left w:val="single" w:sz="4" w:space="0" w:color="auto"/>
              <w:bottom w:val="single" w:sz="4" w:space="0" w:color="auto"/>
              <w:right w:val="single" w:sz="4" w:space="0" w:color="auto"/>
            </w:tcBorders>
          </w:tcPr>
          <w:p w14:paraId="3817BC0E" w14:textId="05CBEBE5" w:rsidR="005E785F" w:rsidRDefault="003621E8">
            <w:pPr>
              <w:pStyle w:val="BodyTextFull"/>
              <w:spacing w:before="0" w:after="0"/>
              <w:rPr>
                <w:rFonts w:ascii="Times New Roman" w:hAnsi="Times New Roman" w:cs="Times New Roman"/>
                <w:szCs w:val="22"/>
                <w:lang w:val="en-GB"/>
              </w:rPr>
            </w:pPr>
            <w:r>
              <w:rPr>
                <w:rFonts w:ascii="Times New Roman" w:hAnsi="Times New Roman" w:cs="Times New Roman"/>
                <w:szCs w:val="22"/>
                <w:lang w:val="en-GB"/>
              </w:rPr>
              <w:lastRenderedPageBreak/>
              <w:t>Address of Statistician.</w:t>
            </w:r>
          </w:p>
          <w:p w14:paraId="7997772F" w14:textId="77777777" w:rsidR="005E785F" w:rsidRDefault="005E785F">
            <w:pPr>
              <w:pStyle w:val="BodyTextFull"/>
              <w:spacing w:before="0" w:after="0"/>
              <w:rPr>
                <w:rFonts w:ascii="Times New Roman" w:hAnsi="Times New Roman" w:cs="Times New Roman"/>
                <w:szCs w:val="22"/>
                <w:lang w:val="en-GB"/>
              </w:rPr>
            </w:pPr>
          </w:p>
          <w:p w14:paraId="5DE47BB8" w14:textId="01962F0B" w:rsidR="005E785F" w:rsidRDefault="003621E8">
            <w:pPr>
              <w:pStyle w:val="BodyTextFull"/>
              <w:spacing w:before="0" w:after="0"/>
              <w:rPr>
                <w:rFonts w:ascii="Times New Roman" w:hAnsi="Times New Roman" w:cs="Times New Roman"/>
                <w:szCs w:val="22"/>
                <w:lang w:val="en-GB"/>
              </w:rPr>
            </w:pPr>
            <w:r>
              <w:rPr>
                <w:rFonts w:ascii="Times New Roman" w:hAnsi="Times New Roman" w:cs="Times New Roman"/>
                <w:szCs w:val="22"/>
                <w:lang w:val="en-GB"/>
              </w:rPr>
              <w:t>Added ‘Follow-up visit (Approximately 6 weeks for each individual, from the screening to post study follow-up).’</w:t>
            </w:r>
          </w:p>
          <w:p w14:paraId="4A1913B8" w14:textId="77777777" w:rsidR="005E785F" w:rsidRDefault="005E785F">
            <w:pPr>
              <w:pStyle w:val="BodyTextFull"/>
              <w:spacing w:before="0" w:after="0"/>
              <w:rPr>
                <w:rFonts w:ascii="Times New Roman" w:hAnsi="Times New Roman" w:cs="Times New Roman"/>
                <w:szCs w:val="22"/>
                <w:lang w:val="en-GB"/>
              </w:rPr>
            </w:pPr>
          </w:p>
          <w:p w14:paraId="1E6912DA" w14:textId="77777777" w:rsidR="005E785F" w:rsidRDefault="003621E8">
            <w:pPr>
              <w:pStyle w:val="BodyTextFull"/>
              <w:spacing w:before="0" w:after="0"/>
              <w:rPr>
                <w:rFonts w:ascii="Times New Roman" w:hAnsi="Times New Roman" w:cs="Times New Roman"/>
                <w:szCs w:val="22"/>
                <w:lang w:val="en-GB"/>
              </w:rPr>
            </w:pPr>
            <w:r>
              <w:rPr>
                <w:rFonts w:ascii="Times New Roman" w:hAnsi="Times New Roman" w:cs="Times New Roman"/>
                <w:szCs w:val="22"/>
                <w:lang w:val="en-GB"/>
              </w:rPr>
              <w:t xml:space="preserve">‘The study will resume after review and approval of an appropriate </w:t>
            </w:r>
            <w:r>
              <w:rPr>
                <w:rFonts w:ascii="Times New Roman" w:hAnsi="Times New Roman" w:cs="Times New Roman"/>
                <w:szCs w:val="22"/>
                <w:lang w:val="en-GB"/>
              </w:rPr>
              <w:lastRenderedPageBreak/>
              <w:t>substantial amendment by the MHRA and REC after review and approval of an appropriate substantial amendment.’ has been reworded to ‘If any of the above criteria are fulfilled, dose escalation will only proceed once an appropriate substantial amendment has received regulatory approval from the MHRA and ethical approval from the ethics committee associated with the study.’</w:t>
            </w:r>
          </w:p>
          <w:p w14:paraId="0A015C45" w14:textId="67975386" w:rsidR="005E785F" w:rsidRDefault="003621E8">
            <w:pPr>
              <w:pStyle w:val="BodyTextFull"/>
              <w:spacing w:before="0" w:after="0"/>
              <w:rPr>
                <w:rFonts w:ascii="Times New Roman" w:hAnsi="Times New Roman" w:cs="Times New Roman"/>
                <w:szCs w:val="22"/>
                <w:lang w:val="en-GB"/>
              </w:rPr>
            </w:pPr>
            <w:r>
              <w:rPr>
                <w:rFonts w:ascii="Times New Roman" w:hAnsi="Times New Roman" w:cs="Times New Roman"/>
                <w:szCs w:val="22"/>
                <w:lang w:val="en-GB"/>
              </w:rPr>
              <w:t>Added ‘Proposed maximum   clinical dose of 180 mg will not be exceeded in this study. If the Sponsor determines that it is appropriate and necessary to exceed the current planned maximum dose of 180 mg, this will not be implemented until a substantial amendment has been submitted and receives approval from both the REC and MHRA.’</w:t>
            </w:r>
          </w:p>
          <w:p w14:paraId="2EC77CE4" w14:textId="77777777" w:rsidR="005E785F" w:rsidRDefault="005E785F">
            <w:pPr>
              <w:spacing w:before="120" w:after="120"/>
              <w:jc w:val="both"/>
              <w:rPr>
                <w:rFonts w:cs="Times New Roman"/>
                <w:sz w:val="22"/>
                <w:szCs w:val="22"/>
                <w:lang w:val="en-GB"/>
              </w:rPr>
            </w:pPr>
          </w:p>
          <w:p w14:paraId="2A20BA8E" w14:textId="2ADDD10A" w:rsidR="005E785F" w:rsidRDefault="003621E8">
            <w:pPr>
              <w:spacing w:before="120" w:after="120"/>
              <w:jc w:val="both"/>
              <w:rPr>
                <w:rFonts w:cs="Times New Roman"/>
                <w:sz w:val="22"/>
                <w:szCs w:val="22"/>
              </w:rPr>
            </w:pPr>
            <w:r>
              <w:rPr>
                <w:rFonts w:cs="Times New Roman"/>
                <w:sz w:val="22"/>
                <w:szCs w:val="22"/>
                <w:lang w:val="en-GB"/>
              </w:rPr>
              <w:t>Amended to</w:t>
            </w:r>
            <w:r>
              <w:rPr>
                <w:rFonts w:cs="Times New Roman"/>
                <w:sz w:val="22"/>
                <w:szCs w:val="22"/>
              </w:rPr>
              <w:t xml:space="preserve"> ‘Dosing will be temporarily stopped (via an initial email notification to Research Ethics Committee (REC)/Medicines and Healthcare products Regulatory Agency (MHRA) and then a temporary halt substantial amendment) pending evaluation of all available data if any of the following criteria are fulfilled:</w:t>
            </w:r>
          </w:p>
          <w:p w14:paraId="48BEA1F3" w14:textId="3F22F542" w:rsidR="005E785F" w:rsidRDefault="003621E8">
            <w:pPr>
              <w:spacing w:before="120" w:after="120"/>
              <w:jc w:val="both"/>
              <w:rPr>
                <w:rFonts w:cs="Times New Roman"/>
                <w:sz w:val="22"/>
                <w:szCs w:val="22"/>
              </w:rPr>
            </w:pPr>
            <w:r>
              <w:rPr>
                <w:rFonts w:cs="Times New Roman"/>
                <w:sz w:val="22"/>
                <w:szCs w:val="22"/>
              </w:rPr>
              <w:t>If any of the above criteria are fulfilled, dose escalation will only proceed once an appropriate substantial amendment has received regulatory approval from the MHRA and ethical approval from the ethics committee associated with the study.’</w:t>
            </w:r>
          </w:p>
          <w:p w14:paraId="57E008CE" w14:textId="77777777" w:rsidR="005E785F" w:rsidRDefault="005E785F">
            <w:pPr>
              <w:pStyle w:val="BodyTextFull"/>
              <w:spacing w:before="0" w:after="0"/>
              <w:rPr>
                <w:rFonts w:ascii="Times New Roman" w:hAnsi="Times New Roman" w:cs="Times New Roman"/>
                <w:szCs w:val="22"/>
                <w:lang w:val="en-GB"/>
              </w:rPr>
            </w:pPr>
          </w:p>
          <w:p w14:paraId="0B416A8F" w14:textId="20241E85" w:rsidR="005E785F" w:rsidRDefault="003621E8">
            <w:pPr>
              <w:pStyle w:val="BodyTextFull"/>
              <w:spacing w:before="0" w:after="0"/>
              <w:rPr>
                <w:rFonts w:ascii="Times New Roman" w:hAnsi="Times New Roman" w:cs="Times New Roman"/>
                <w:szCs w:val="22"/>
                <w:lang w:val="en-GB"/>
              </w:rPr>
            </w:pPr>
            <w:r>
              <w:rPr>
                <w:rFonts w:ascii="Times New Roman" w:hAnsi="Times New Roman" w:cs="Times New Roman"/>
                <w:szCs w:val="22"/>
                <w:lang w:val="en-GB"/>
              </w:rPr>
              <w:t>Systolic blood pressure in inclusion criterion 4 has been amended to ‘blood pressure between ≥ 100   and  ≤ 140 mmHg’.</w:t>
            </w:r>
          </w:p>
          <w:p w14:paraId="7F13BF40" w14:textId="77777777" w:rsidR="005E785F" w:rsidRDefault="005E785F">
            <w:pPr>
              <w:pStyle w:val="BodyTextFull"/>
              <w:spacing w:before="0" w:after="0"/>
              <w:rPr>
                <w:rFonts w:ascii="Times New Roman" w:hAnsi="Times New Roman" w:cs="Times New Roman"/>
                <w:szCs w:val="22"/>
                <w:lang w:val="en-GB"/>
              </w:rPr>
            </w:pPr>
          </w:p>
          <w:p w14:paraId="04A815F7" w14:textId="756558A2" w:rsidR="005E785F" w:rsidRDefault="003621E8">
            <w:pPr>
              <w:pStyle w:val="BodyTextFull"/>
              <w:spacing w:before="0" w:after="0"/>
              <w:rPr>
                <w:rFonts w:ascii="Times New Roman" w:hAnsi="Times New Roman" w:cs="Times New Roman"/>
                <w:szCs w:val="22"/>
                <w:lang w:val="en-GB"/>
              </w:rPr>
            </w:pPr>
            <w:r>
              <w:rPr>
                <w:rFonts w:ascii="Times New Roman" w:hAnsi="Times New Roman" w:cs="Times New Roman"/>
                <w:szCs w:val="22"/>
                <w:lang w:val="en-GB"/>
              </w:rPr>
              <w:lastRenderedPageBreak/>
              <w:t>Exclusion criteria 20 ‘Users of nicotine products i.e., current smokers or ex-smokers who have smoked within the 6 months prior to first dose administration the study medication or users of cigarette replacements (i.e., e-cigarettes, nicotine patches or gums).’ was changed to ‘</w:t>
            </w:r>
            <w:r>
              <w:rPr>
                <w:rFonts w:ascii="Times New Roman" w:hAnsi="Times New Roman" w:cs="Times New Roman"/>
                <w:szCs w:val="22"/>
              </w:rPr>
              <w:t>Users of nicotine products i.e., current smokers or ex-smokers who have smoked within the 6 months prior to Screening or users of cigarette replacements (i.e., e-cigarettes, nicotine patches or gums).</w:t>
            </w:r>
          </w:p>
          <w:p w14:paraId="53BBFA96" w14:textId="77777777" w:rsidR="005E785F" w:rsidRDefault="005E785F">
            <w:pPr>
              <w:pStyle w:val="BodyText"/>
              <w:spacing w:before="40" w:after="40"/>
              <w:rPr>
                <w:bCs/>
                <w:sz w:val="22"/>
                <w:szCs w:val="22"/>
              </w:rPr>
            </w:pPr>
          </w:p>
          <w:p w14:paraId="430EAB5A" w14:textId="77777777" w:rsidR="005E785F" w:rsidRDefault="005E785F">
            <w:pPr>
              <w:pStyle w:val="BodyText"/>
              <w:spacing w:before="40" w:after="40"/>
              <w:rPr>
                <w:bCs/>
                <w:sz w:val="22"/>
                <w:szCs w:val="22"/>
              </w:rPr>
            </w:pPr>
          </w:p>
          <w:p w14:paraId="4909D825" w14:textId="6D89304B" w:rsidR="005E785F" w:rsidRDefault="003621E8">
            <w:pPr>
              <w:pStyle w:val="BodyText"/>
              <w:spacing w:before="40" w:after="40"/>
              <w:rPr>
                <w:bCs/>
                <w:sz w:val="22"/>
                <w:szCs w:val="22"/>
              </w:rPr>
            </w:pPr>
            <w:r>
              <w:rPr>
                <w:bCs/>
                <w:sz w:val="22"/>
                <w:szCs w:val="22"/>
              </w:rPr>
              <w:t>This progression of doses is provided for information. A maximum increase of 3-fold in between cohorts is envisaged based on the dose/concentration-response curves observed in in vitro and in vivo models. This will be decided by the SRC at the end of each cohort.</w:t>
            </w:r>
          </w:p>
          <w:p w14:paraId="5323C139" w14:textId="77777777" w:rsidR="005E785F" w:rsidRDefault="005E785F">
            <w:pPr>
              <w:pStyle w:val="BodyTextFull"/>
              <w:spacing w:before="0" w:after="0"/>
              <w:rPr>
                <w:rFonts w:ascii="Times New Roman" w:hAnsi="Times New Roman" w:cs="Times New Roman"/>
                <w:szCs w:val="22"/>
                <w:lang w:val="en-GB"/>
              </w:rPr>
            </w:pPr>
          </w:p>
          <w:p w14:paraId="63C09571" w14:textId="0F7D4D19" w:rsidR="005E785F" w:rsidRDefault="005E785F">
            <w:pPr>
              <w:pStyle w:val="BodyTextFull"/>
              <w:spacing w:before="0" w:after="0"/>
              <w:rPr>
                <w:rFonts w:ascii="Times New Roman" w:hAnsi="Times New Roman" w:cs="Times New Roman"/>
                <w:szCs w:val="22"/>
                <w:lang w:val="en-GB"/>
              </w:rPr>
            </w:pPr>
          </w:p>
          <w:p w14:paraId="7E018F78" w14:textId="722314BE" w:rsidR="005E785F" w:rsidRDefault="003621E8">
            <w:pPr>
              <w:pStyle w:val="BodyTextFull"/>
              <w:spacing w:before="0" w:after="0"/>
              <w:rPr>
                <w:rFonts w:ascii="Times New Roman" w:hAnsi="Times New Roman" w:cs="Times New Roman"/>
                <w:szCs w:val="22"/>
                <w:lang w:val="en-GB"/>
              </w:rPr>
            </w:pPr>
            <w:r>
              <w:rPr>
                <w:rFonts w:ascii="Times New Roman" w:hAnsi="Times New Roman" w:cs="Times New Roman"/>
                <w:szCs w:val="22"/>
                <w:lang w:val="en-GB"/>
              </w:rPr>
              <w:t>Amended to ‘The average fill volume in a vial is 2.5 mL and the injection volume will be 2.3 mL or less per SC injection site. For doses requiring a volume above the 2.3 mL, or in case the PI considers more appropriate to decrease the volume per injection site due to feasibility constraints, additional injections in different locations can be used for administration.’</w:t>
            </w:r>
          </w:p>
          <w:p w14:paraId="3983E79B" w14:textId="77777777" w:rsidR="005E785F" w:rsidRDefault="005E785F">
            <w:pPr>
              <w:pStyle w:val="BodyTextFull"/>
              <w:spacing w:before="0" w:after="0"/>
              <w:rPr>
                <w:rFonts w:ascii="Times New Roman" w:hAnsi="Times New Roman" w:cs="Times New Roman"/>
                <w:szCs w:val="22"/>
                <w:lang w:val="en-GB"/>
              </w:rPr>
            </w:pPr>
          </w:p>
          <w:p w14:paraId="73D202D0" w14:textId="7F7CA8BC" w:rsidR="005E785F" w:rsidRDefault="003621E8">
            <w:pPr>
              <w:pStyle w:val="BodyTextFull"/>
              <w:spacing w:before="0" w:after="0"/>
              <w:rPr>
                <w:rFonts w:ascii="Times New Roman" w:hAnsi="Times New Roman" w:cs="Times New Roman"/>
                <w:szCs w:val="22"/>
                <w:lang w:val="en-GB"/>
              </w:rPr>
            </w:pPr>
            <w:r>
              <w:rPr>
                <w:rFonts w:ascii="Times New Roman" w:hAnsi="Times New Roman" w:cs="Times New Roman"/>
                <w:szCs w:val="22"/>
                <w:lang w:val="en-GB"/>
              </w:rPr>
              <w:t>Removal of Day 1 pre-dose laboratory safety tests (biochemistry including C-reactive protein, haematology, coagulation, urinalysis and urine microscopy, if needed).</w:t>
            </w:r>
          </w:p>
          <w:p w14:paraId="16822C98" w14:textId="757D0888" w:rsidR="005E785F" w:rsidRDefault="005E785F">
            <w:pPr>
              <w:pStyle w:val="BodyTextFull"/>
              <w:spacing w:before="0" w:after="0"/>
              <w:rPr>
                <w:rFonts w:ascii="Times New Roman" w:hAnsi="Times New Roman" w:cs="Times New Roman"/>
                <w:szCs w:val="22"/>
                <w:lang w:val="en-GB"/>
              </w:rPr>
            </w:pPr>
          </w:p>
          <w:p w14:paraId="58BD4530" w14:textId="77777777" w:rsidR="005E785F" w:rsidRDefault="005E785F">
            <w:pPr>
              <w:pStyle w:val="BodyTextFull"/>
              <w:spacing w:before="0" w:after="0"/>
              <w:rPr>
                <w:rFonts w:ascii="Times New Roman" w:hAnsi="Times New Roman" w:cs="Times New Roman"/>
                <w:szCs w:val="22"/>
                <w:lang w:val="en-GB"/>
              </w:rPr>
            </w:pPr>
          </w:p>
          <w:p w14:paraId="6BFAAE89" w14:textId="6FCC9522" w:rsidR="005E785F" w:rsidRDefault="003621E8">
            <w:pPr>
              <w:pStyle w:val="BodyTextFull"/>
              <w:spacing w:before="0" w:after="0"/>
              <w:rPr>
                <w:rFonts w:ascii="Times New Roman" w:hAnsi="Times New Roman" w:cs="Times New Roman"/>
                <w:szCs w:val="22"/>
                <w:lang w:val="en-GB"/>
              </w:rPr>
            </w:pPr>
            <w:r>
              <w:rPr>
                <w:rFonts w:ascii="Times New Roman" w:hAnsi="Times New Roman" w:cs="Times New Roman"/>
                <w:szCs w:val="22"/>
                <w:lang w:val="en-GB"/>
              </w:rPr>
              <w:t>Added ‘ethnicity’ in demographic data.</w:t>
            </w:r>
          </w:p>
          <w:p w14:paraId="1EC157D2" w14:textId="7A52D79F" w:rsidR="005E785F" w:rsidRDefault="005E785F">
            <w:pPr>
              <w:pStyle w:val="BodyTextFull"/>
              <w:spacing w:before="0" w:after="0"/>
              <w:rPr>
                <w:rFonts w:ascii="Times New Roman" w:hAnsi="Times New Roman" w:cs="Times New Roman"/>
                <w:szCs w:val="22"/>
                <w:lang w:val="en-GB"/>
              </w:rPr>
            </w:pPr>
          </w:p>
          <w:p w14:paraId="5726E1C7" w14:textId="09B0623E" w:rsidR="005E785F" w:rsidRDefault="005E785F">
            <w:pPr>
              <w:pStyle w:val="BodyTextFull"/>
              <w:spacing w:before="0" w:after="0"/>
              <w:rPr>
                <w:rFonts w:ascii="Times New Roman" w:hAnsi="Times New Roman" w:cs="Times New Roman"/>
                <w:szCs w:val="22"/>
                <w:lang w:val="en-GB"/>
              </w:rPr>
            </w:pPr>
          </w:p>
          <w:p w14:paraId="76E7C33B" w14:textId="1458EA3F" w:rsidR="005E785F" w:rsidRDefault="003621E8">
            <w:pPr>
              <w:pStyle w:val="BodyTextFull"/>
              <w:spacing w:before="0" w:after="0"/>
              <w:rPr>
                <w:rFonts w:ascii="Times New Roman" w:hAnsi="Times New Roman" w:cs="Times New Roman"/>
                <w:szCs w:val="22"/>
                <w:lang w:val="en-GB"/>
              </w:rPr>
            </w:pPr>
            <w:r>
              <w:rPr>
                <w:rFonts w:ascii="Times New Roman" w:hAnsi="Times New Roman" w:cs="Times New Roman"/>
                <w:szCs w:val="22"/>
                <w:lang w:val="en-GB"/>
              </w:rPr>
              <w:t>Blood volumes were updated in Table 6 (Summary of Blood Volume) and included 5 mL ESR sample at all haematology timepoints in Table 6.</w:t>
            </w:r>
          </w:p>
          <w:p w14:paraId="2094DB81" w14:textId="77777777" w:rsidR="005E785F" w:rsidRDefault="005E785F">
            <w:pPr>
              <w:pStyle w:val="BodyTextFull"/>
              <w:spacing w:before="0" w:after="0"/>
              <w:rPr>
                <w:rFonts w:ascii="Times New Roman" w:hAnsi="Times New Roman" w:cs="Times New Roman"/>
                <w:szCs w:val="22"/>
                <w:lang w:val="en-GB"/>
              </w:rPr>
            </w:pPr>
          </w:p>
          <w:p w14:paraId="033BCF8E" w14:textId="32A11304" w:rsidR="005E785F" w:rsidRDefault="003621E8">
            <w:pPr>
              <w:pStyle w:val="BodyTextFull"/>
              <w:spacing w:before="0" w:after="0"/>
              <w:rPr>
                <w:rFonts w:ascii="Times New Roman" w:hAnsi="Times New Roman" w:cs="Times New Roman"/>
                <w:szCs w:val="22"/>
                <w:lang w:val="en-GB"/>
              </w:rPr>
            </w:pPr>
            <w:r>
              <w:rPr>
                <w:rFonts w:ascii="Times New Roman" w:hAnsi="Times New Roman" w:cs="Times New Roman"/>
                <w:szCs w:val="22"/>
                <w:lang w:val="en-GB"/>
              </w:rPr>
              <w:t>Baseline for laboratory safety data has been changed to Day -1.</w:t>
            </w:r>
          </w:p>
          <w:p w14:paraId="24918C11" w14:textId="00D29768" w:rsidR="005E785F" w:rsidRDefault="005E785F">
            <w:pPr>
              <w:pStyle w:val="BodyTextFull"/>
              <w:spacing w:before="0" w:after="0"/>
              <w:rPr>
                <w:rFonts w:ascii="Times New Roman" w:hAnsi="Times New Roman" w:cs="Times New Roman"/>
                <w:szCs w:val="22"/>
                <w:lang w:val="en-GB"/>
              </w:rPr>
            </w:pPr>
          </w:p>
          <w:p w14:paraId="39840829" w14:textId="77777777" w:rsidR="005E785F" w:rsidRDefault="005E785F">
            <w:pPr>
              <w:pStyle w:val="BodyTextFull"/>
              <w:spacing w:before="0" w:after="0"/>
              <w:rPr>
                <w:rFonts w:ascii="Times New Roman" w:hAnsi="Times New Roman" w:cs="Times New Roman"/>
                <w:szCs w:val="22"/>
                <w:lang w:val="en-GB"/>
              </w:rPr>
            </w:pPr>
          </w:p>
          <w:p w14:paraId="31603B0F" w14:textId="5A1A2ED8" w:rsidR="005E785F" w:rsidRDefault="003621E8">
            <w:pPr>
              <w:pStyle w:val="BodyTextFull"/>
              <w:spacing w:before="0" w:after="0"/>
              <w:rPr>
                <w:rFonts w:ascii="Times New Roman" w:hAnsi="Times New Roman" w:cs="Times New Roman"/>
                <w:szCs w:val="22"/>
                <w:lang w:val="en-GB"/>
              </w:rPr>
            </w:pPr>
            <w:r>
              <w:rPr>
                <w:rFonts w:ascii="Times New Roman" w:hAnsi="Times New Roman" w:cs="Times New Roman"/>
                <w:szCs w:val="22"/>
                <w:lang w:val="en-GB"/>
              </w:rPr>
              <w:t>Added ‘Increase in dose above 180 mg would be considered substantial.’</w:t>
            </w:r>
          </w:p>
          <w:p w14:paraId="4562E47F" w14:textId="77777777" w:rsidR="005E785F" w:rsidRDefault="005E785F">
            <w:pPr>
              <w:pStyle w:val="BodyTextFull"/>
              <w:spacing w:before="0" w:after="0"/>
              <w:rPr>
                <w:rFonts w:ascii="Times New Roman" w:hAnsi="Times New Roman" w:cs="Times New Roman"/>
                <w:szCs w:val="22"/>
                <w:lang w:val="en-GB"/>
              </w:rPr>
            </w:pPr>
          </w:p>
          <w:p w14:paraId="73FB1DFC" w14:textId="5D05DCF6" w:rsidR="005E785F" w:rsidRDefault="003621E8">
            <w:pPr>
              <w:pStyle w:val="BodyTextFull"/>
              <w:spacing w:before="0" w:after="0"/>
              <w:rPr>
                <w:rFonts w:ascii="Times New Roman" w:hAnsi="Times New Roman" w:cs="Times New Roman"/>
                <w:szCs w:val="22"/>
                <w:lang w:val="en-GB"/>
              </w:rPr>
            </w:pPr>
            <w:r>
              <w:rPr>
                <w:rFonts w:ascii="Times New Roman" w:hAnsi="Times New Roman" w:cs="Times New Roman"/>
                <w:szCs w:val="22"/>
                <w:lang w:val="en-GB"/>
              </w:rPr>
              <w:t xml:space="preserve">Administrative changes were made throughout the main text of the protocol to be consistent with the synopsis. </w:t>
            </w:r>
          </w:p>
        </w:tc>
      </w:tr>
      <w:tr w:rsidR="005E785F" w14:paraId="7E5667A2" w14:textId="77777777">
        <w:trPr>
          <w:trHeight w:val="1119"/>
        </w:trPr>
        <w:tc>
          <w:tcPr>
            <w:tcW w:w="1428" w:type="dxa"/>
            <w:tcBorders>
              <w:top w:val="single" w:sz="4" w:space="0" w:color="auto"/>
              <w:left w:val="single" w:sz="4" w:space="0" w:color="auto"/>
              <w:bottom w:val="single" w:sz="4" w:space="0" w:color="auto"/>
              <w:right w:val="single" w:sz="4" w:space="0" w:color="auto"/>
            </w:tcBorders>
          </w:tcPr>
          <w:p w14:paraId="69102841" w14:textId="27E7409D" w:rsidR="005E785F" w:rsidRDefault="003621E8">
            <w:pPr>
              <w:pStyle w:val="BodyTextFull"/>
              <w:rPr>
                <w:rFonts w:ascii="Times New Roman" w:hAnsi="Times New Roman" w:cs="Times New Roman"/>
                <w:lang w:val="en-GB"/>
              </w:rPr>
            </w:pPr>
            <w:r>
              <w:rPr>
                <w:rFonts w:ascii="Times New Roman" w:hAnsi="Times New Roman" w:cs="Times New Roman"/>
                <w:szCs w:val="22"/>
              </w:rPr>
              <w:lastRenderedPageBreak/>
              <w:t>V4.0/</w:t>
            </w:r>
            <w:r w:rsidR="009C6160">
              <w:rPr>
                <w:rFonts w:ascii="Times New Roman" w:hAnsi="Times New Roman" w:cs="Times New Roman"/>
                <w:szCs w:val="22"/>
              </w:rPr>
              <w:t>2</w:t>
            </w:r>
            <w:r w:rsidR="009B0EBF">
              <w:rPr>
                <w:rFonts w:ascii="Times New Roman" w:hAnsi="Times New Roman" w:cs="Times New Roman"/>
                <w:szCs w:val="22"/>
              </w:rPr>
              <w:t>3</w:t>
            </w:r>
            <w:r>
              <w:rPr>
                <w:rFonts w:ascii="Times New Roman" w:hAnsi="Times New Roman" w:cs="Times New Roman"/>
                <w:szCs w:val="22"/>
              </w:rPr>
              <w:t xml:space="preserve"> June 2021</w:t>
            </w:r>
          </w:p>
        </w:tc>
        <w:tc>
          <w:tcPr>
            <w:tcW w:w="1544" w:type="dxa"/>
            <w:tcBorders>
              <w:top w:val="single" w:sz="4" w:space="0" w:color="auto"/>
              <w:left w:val="single" w:sz="4" w:space="0" w:color="auto"/>
              <w:bottom w:val="single" w:sz="4" w:space="0" w:color="auto"/>
              <w:right w:val="single" w:sz="4" w:space="0" w:color="auto"/>
            </w:tcBorders>
          </w:tcPr>
          <w:p w14:paraId="2BE53482" w14:textId="77777777" w:rsidR="005E785F" w:rsidRDefault="003621E8">
            <w:pPr>
              <w:pStyle w:val="BodyTextFull"/>
              <w:rPr>
                <w:rFonts w:ascii="Times New Roman" w:hAnsi="Times New Roman" w:cs="Times New Roman"/>
                <w:lang w:val="en-GB"/>
              </w:rPr>
            </w:pPr>
            <w:r>
              <w:rPr>
                <w:rFonts w:ascii="Times New Roman" w:hAnsi="Times New Roman" w:cs="Times New Roman"/>
                <w:szCs w:val="22"/>
              </w:rPr>
              <w:t>Non-substantial amendment</w:t>
            </w:r>
          </w:p>
        </w:tc>
        <w:tc>
          <w:tcPr>
            <w:tcW w:w="1701" w:type="dxa"/>
            <w:tcBorders>
              <w:top w:val="single" w:sz="4" w:space="0" w:color="auto"/>
              <w:left w:val="single" w:sz="4" w:space="0" w:color="auto"/>
              <w:bottom w:val="single" w:sz="4" w:space="0" w:color="auto"/>
              <w:right w:val="single" w:sz="4" w:space="0" w:color="auto"/>
            </w:tcBorders>
          </w:tcPr>
          <w:p w14:paraId="439C8A74" w14:textId="77777777" w:rsidR="005E785F" w:rsidRDefault="003621E8">
            <w:pPr>
              <w:pStyle w:val="BodyTextFull"/>
              <w:jc w:val="left"/>
              <w:rPr>
                <w:rFonts w:ascii="Times New Roman" w:hAnsi="Times New Roman" w:cs="Times New Roman"/>
                <w:szCs w:val="22"/>
              </w:rPr>
            </w:pPr>
            <w:r>
              <w:rPr>
                <w:rFonts w:ascii="Times New Roman" w:hAnsi="Times New Roman" w:cs="Times New Roman"/>
                <w:szCs w:val="22"/>
              </w:rPr>
              <w:t>Protocol clarification</w:t>
            </w:r>
          </w:p>
          <w:p w14:paraId="11C28073" w14:textId="6EB2C809" w:rsidR="00815A08" w:rsidRDefault="00815A08">
            <w:pPr>
              <w:pStyle w:val="BodyTextFull"/>
              <w:jc w:val="left"/>
              <w:rPr>
                <w:rFonts w:ascii="Times New Roman" w:hAnsi="Times New Roman" w:cs="Times New Roman"/>
                <w:szCs w:val="22"/>
              </w:rPr>
            </w:pPr>
          </w:p>
          <w:p w14:paraId="5BB0F316" w14:textId="2E6A6989" w:rsidR="00815A08" w:rsidRDefault="00815A08">
            <w:pPr>
              <w:pStyle w:val="BodyTextFull"/>
              <w:jc w:val="left"/>
              <w:rPr>
                <w:rFonts w:ascii="Times New Roman" w:hAnsi="Times New Roman" w:cs="Times New Roman"/>
                <w:szCs w:val="22"/>
              </w:rPr>
            </w:pPr>
          </w:p>
          <w:p w14:paraId="435F7EBE" w14:textId="418E0DEC" w:rsidR="00815A08" w:rsidRDefault="00815A08">
            <w:pPr>
              <w:pStyle w:val="BodyTextFull"/>
              <w:jc w:val="left"/>
              <w:rPr>
                <w:rFonts w:ascii="Times New Roman" w:hAnsi="Times New Roman" w:cs="Times New Roman"/>
                <w:szCs w:val="22"/>
              </w:rPr>
            </w:pPr>
          </w:p>
          <w:p w14:paraId="01B8FAD8" w14:textId="307BD75C" w:rsidR="00815A08" w:rsidRDefault="00815A08">
            <w:pPr>
              <w:pStyle w:val="BodyTextFull"/>
              <w:jc w:val="left"/>
              <w:rPr>
                <w:rFonts w:ascii="Times New Roman" w:hAnsi="Times New Roman" w:cs="Times New Roman"/>
                <w:szCs w:val="22"/>
              </w:rPr>
            </w:pPr>
          </w:p>
          <w:p w14:paraId="1A01A251" w14:textId="4BBCC941" w:rsidR="00815A08" w:rsidRDefault="00815A08">
            <w:pPr>
              <w:pStyle w:val="BodyTextFull"/>
              <w:jc w:val="left"/>
              <w:rPr>
                <w:rFonts w:ascii="Times New Roman" w:hAnsi="Times New Roman" w:cs="Times New Roman"/>
                <w:szCs w:val="22"/>
              </w:rPr>
            </w:pPr>
          </w:p>
          <w:p w14:paraId="24819590" w14:textId="1A536BB7" w:rsidR="00815A08" w:rsidRDefault="00815A08">
            <w:pPr>
              <w:pStyle w:val="BodyTextFull"/>
              <w:jc w:val="left"/>
              <w:rPr>
                <w:rFonts w:ascii="Times New Roman" w:hAnsi="Times New Roman" w:cs="Times New Roman"/>
                <w:szCs w:val="22"/>
              </w:rPr>
            </w:pPr>
          </w:p>
          <w:p w14:paraId="0D57FA04" w14:textId="031F1737" w:rsidR="00815A08" w:rsidRDefault="00815A08">
            <w:pPr>
              <w:pStyle w:val="BodyTextFull"/>
              <w:jc w:val="left"/>
              <w:rPr>
                <w:rFonts w:ascii="Times New Roman" w:hAnsi="Times New Roman" w:cs="Times New Roman"/>
                <w:szCs w:val="22"/>
              </w:rPr>
            </w:pPr>
          </w:p>
          <w:p w14:paraId="5ACA4F74" w14:textId="1E56F102" w:rsidR="00815A08" w:rsidRDefault="00815A08">
            <w:pPr>
              <w:pStyle w:val="BodyTextFull"/>
              <w:jc w:val="left"/>
              <w:rPr>
                <w:rFonts w:ascii="Times New Roman" w:hAnsi="Times New Roman" w:cs="Times New Roman"/>
                <w:szCs w:val="22"/>
              </w:rPr>
            </w:pPr>
          </w:p>
          <w:p w14:paraId="0868985F" w14:textId="2FAA224B" w:rsidR="00815A08" w:rsidRDefault="00815A08">
            <w:pPr>
              <w:pStyle w:val="BodyTextFull"/>
              <w:jc w:val="left"/>
              <w:rPr>
                <w:rFonts w:ascii="Times New Roman" w:hAnsi="Times New Roman" w:cs="Times New Roman"/>
                <w:szCs w:val="22"/>
              </w:rPr>
            </w:pPr>
          </w:p>
          <w:p w14:paraId="2CF2706A" w14:textId="6BCF4BD3" w:rsidR="00815A08" w:rsidRDefault="00815A08">
            <w:pPr>
              <w:pStyle w:val="BodyTextFull"/>
              <w:jc w:val="left"/>
              <w:rPr>
                <w:rFonts w:ascii="Times New Roman" w:hAnsi="Times New Roman" w:cs="Times New Roman"/>
                <w:szCs w:val="22"/>
              </w:rPr>
            </w:pPr>
          </w:p>
          <w:p w14:paraId="0A9CDC23" w14:textId="3EB5CF35" w:rsidR="00815A08" w:rsidRDefault="00815A08">
            <w:pPr>
              <w:pStyle w:val="BodyTextFull"/>
              <w:jc w:val="left"/>
              <w:rPr>
                <w:rFonts w:ascii="Times New Roman" w:hAnsi="Times New Roman" w:cs="Times New Roman"/>
                <w:szCs w:val="22"/>
              </w:rPr>
            </w:pPr>
          </w:p>
          <w:p w14:paraId="5FDAE956" w14:textId="6C367436" w:rsidR="00815A08" w:rsidRDefault="00815A08">
            <w:pPr>
              <w:pStyle w:val="BodyTextFull"/>
              <w:jc w:val="left"/>
              <w:rPr>
                <w:rFonts w:ascii="Times New Roman" w:hAnsi="Times New Roman" w:cs="Times New Roman"/>
                <w:szCs w:val="22"/>
              </w:rPr>
            </w:pPr>
          </w:p>
          <w:p w14:paraId="00153202" w14:textId="482C29E7" w:rsidR="00815A08" w:rsidRDefault="00815A08">
            <w:pPr>
              <w:pStyle w:val="BodyTextFull"/>
              <w:jc w:val="left"/>
              <w:rPr>
                <w:rFonts w:ascii="Times New Roman" w:hAnsi="Times New Roman" w:cs="Times New Roman"/>
                <w:szCs w:val="22"/>
              </w:rPr>
            </w:pPr>
          </w:p>
          <w:p w14:paraId="61505F14" w14:textId="635C79C6" w:rsidR="00815A08" w:rsidRDefault="00815A08">
            <w:pPr>
              <w:pStyle w:val="BodyTextFull"/>
              <w:jc w:val="left"/>
              <w:rPr>
                <w:rFonts w:ascii="Times New Roman" w:hAnsi="Times New Roman" w:cs="Times New Roman"/>
                <w:szCs w:val="22"/>
              </w:rPr>
            </w:pPr>
          </w:p>
          <w:p w14:paraId="6DB89644" w14:textId="5D6999C6" w:rsidR="00815A08" w:rsidRDefault="00815A08">
            <w:pPr>
              <w:pStyle w:val="BodyTextFull"/>
              <w:jc w:val="left"/>
              <w:rPr>
                <w:rFonts w:ascii="Times New Roman" w:hAnsi="Times New Roman" w:cs="Times New Roman"/>
                <w:szCs w:val="22"/>
              </w:rPr>
            </w:pPr>
          </w:p>
          <w:p w14:paraId="373D3080" w14:textId="417A63BC" w:rsidR="00815A08" w:rsidRDefault="00815A08">
            <w:pPr>
              <w:pStyle w:val="BodyTextFull"/>
              <w:jc w:val="left"/>
              <w:rPr>
                <w:rFonts w:ascii="Times New Roman" w:hAnsi="Times New Roman" w:cs="Times New Roman"/>
                <w:szCs w:val="22"/>
              </w:rPr>
            </w:pPr>
          </w:p>
          <w:p w14:paraId="0F50F6D8" w14:textId="301A8440" w:rsidR="00815A08" w:rsidRDefault="00815A08">
            <w:pPr>
              <w:pStyle w:val="BodyTextFull"/>
              <w:jc w:val="left"/>
              <w:rPr>
                <w:rFonts w:ascii="Times New Roman" w:hAnsi="Times New Roman" w:cs="Times New Roman"/>
                <w:szCs w:val="22"/>
              </w:rPr>
            </w:pPr>
          </w:p>
          <w:p w14:paraId="0450658B" w14:textId="77777777" w:rsidR="00815A08" w:rsidRDefault="00815A08">
            <w:pPr>
              <w:pStyle w:val="BodyTextFull"/>
              <w:jc w:val="left"/>
              <w:rPr>
                <w:rFonts w:ascii="Times New Roman" w:hAnsi="Times New Roman" w:cs="Times New Roman"/>
                <w:szCs w:val="22"/>
              </w:rPr>
            </w:pPr>
          </w:p>
          <w:p w14:paraId="131C327A" w14:textId="7CC823B0" w:rsidR="00815A08" w:rsidRDefault="00815A08">
            <w:pPr>
              <w:pStyle w:val="BodyTextFull"/>
              <w:jc w:val="left"/>
              <w:rPr>
                <w:rFonts w:ascii="Times New Roman" w:hAnsi="Times New Roman" w:cs="Times New Roman"/>
                <w:lang w:val="en-GB"/>
              </w:rPr>
            </w:pPr>
          </w:p>
        </w:tc>
        <w:tc>
          <w:tcPr>
            <w:tcW w:w="1843" w:type="dxa"/>
            <w:tcBorders>
              <w:top w:val="single" w:sz="4" w:space="0" w:color="auto"/>
              <w:left w:val="single" w:sz="4" w:space="0" w:color="auto"/>
              <w:bottom w:val="single" w:sz="4" w:space="0" w:color="auto"/>
              <w:right w:val="single" w:sz="4" w:space="0" w:color="auto"/>
            </w:tcBorders>
          </w:tcPr>
          <w:p w14:paraId="1ABDEDC4" w14:textId="4ACA6C15" w:rsidR="00DC36F9" w:rsidRPr="005D7744" w:rsidRDefault="00DC36F9" w:rsidP="00A529B5">
            <w:pPr>
              <w:pStyle w:val="BodyTextFull"/>
              <w:jc w:val="left"/>
              <w:rPr>
                <w:rFonts w:ascii="Times New Roman" w:hAnsi="Times New Roman" w:cs="Times New Roman"/>
                <w:szCs w:val="22"/>
              </w:rPr>
            </w:pPr>
            <w:r w:rsidRPr="005D7744">
              <w:rPr>
                <w:rFonts w:ascii="Times New Roman" w:hAnsi="Times New Roman" w:cs="Times New Roman"/>
                <w:szCs w:val="22"/>
              </w:rPr>
              <w:t xml:space="preserve">Synopsis (Post Study </w:t>
            </w:r>
            <w:r w:rsidRPr="009C6160">
              <w:rPr>
                <w:rFonts w:ascii="Times New Roman" w:hAnsi="Times New Roman" w:cs="Times New Roman"/>
                <w:szCs w:val="22"/>
              </w:rPr>
              <w:t>Follow-up (Day 14 ± 1 Day</w:t>
            </w:r>
            <w:r w:rsidRPr="005D7744">
              <w:rPr>
                <w:rFonts w:ascii="Times New Roman" w:hAnsi="Times New Roman" w:cs="Times New Roman"/>
                <w:szCs w:val="22"/>
              </w:rPr>
              <w:t>)</w:t>
            </w:r>
          </w:p>
          <w:p w14:paraId="4455AB50" w14:textId="3C210E69" w:rsidR="00DC36F9" w:rsidRPr="005D7744" w:rsidRDefault="00DC36F9">
            <w:pPr>
              <w:pStyle w:val="BodyTextFull"/>
              <w:rPr>
                <w:rFonts w:ascii="Times New Roman" w:hAnsi="Times New Roman" w:cs="Times New Roman"/>
                <w:szCs w:val="22"/>
              </w:rPr>
            </w:pPr>
          </w:p>
          <w:p w14:paraId="5B32A863" w14:textId="028F891E" w:rsidR="005D7744" w:rsidRPr="005D7744" w:rsidRDefault="005D7744">
            <w:pPr>
              <w:pStyle w:val="BodyTextFull"/>
              <w:rPr>
                <w:rFonts w:ascii="Times New Roman" w:hAnsi="Times New Roman" w:cs="Times New Roman"/>
                <w:szCs w:val="22"/>
              </w:rPr>
            </w:pPr>
            <w:r w:rsidRPr="005D7744">
              <w:rPr>
                <w:rFonts w:ascii="Times New Roman" w:hAnsi="Times New Roman" w:cs="Times New Roman"/>
                <w:szCs w:val="22"/>
              </w:rPr>
              <w:t>Section 4. Table of Contents</w:t>
            </w:r>
          </w:p>
          <w:p w14:paraId="578BF127" w14:textId="77777777" w:rsidR="005D7744" w:rsidRPr="005D7744" w:rsidRDefault="005D7744">
            <w:pPr>
              <w:pStyle w:val="BodyTextFull"/>
              <w:rPr>
                <w:rFonts w:ascii="Times New Roman" w:hAnsi="Times New Roman" w:cs="Times New Roman"/>
                <w:szCs w:val="22"/>
              </w:rPr>
            </w:pPr>
          </w:p>
          <w:p w14:paraId="1A67B045" w14:textId="6ABFFE18" w:rsidR="000945AB" w:rsidRPr="005D7744" w:rsidRDefault="000945AB" w:rsidP="00A529B5">
            <w:pPr>
              <w:pStyle w:val="BodyTextFull"/>
              <w:jc w:val="left"/>
              <w:rPr>
                <w:rFonts w:ascii="Times New Roman" w:hAnsi="Times New Roman" w:cs="Times New Roman"/>
                <w:szCs w:val="22"/>
              </w:rPr>
            </w:pPr>
            <w:r w:rsidRPr="005D7744">
              <w:rPr>
                <w:rFonts w:ascii="Times New Roman" w:hAnsi="Times New Roman" w:cs="Times New Roman"/>
                <w:szCs w:val="22"/>
              </w:rPr>
              <w:t xml:space="preserve">Section 5, Abbreviations used in the Protocol Text </w:t>
            </w:r>
          </w:p>
          <w:p w14:paraId="6283DC39" w14:textId="77777777" w:rsidR="000945AB" w:rsidRPr="005D7744" w:rsidRDefault="000945AB">
            <w:pPr>
              <w:pStyle w:val="BodyTextFull"/>
              <w:rPr>
                <w:rFonts w:ascii="Times New Roman" w:hAnsi="Times New Roman" w:cs="Times New Roman"/>
                <w:szCs w:val="22"/>
              </w:rPr>
            </w:pPr>
          </w:p>
          <w:p w14:paraId="3BC91E3B" w14:textId="3427C35F" w:rsidR="005E785F" w:rsidRPr="00432BA0" w:rsidRDefault="003621E8" w:rsidP="00A529B5">
            <w:pPr>
              <w:pStyle w:val="BodyTextFull"/>
              <w:spacing w:before="0" w:after="0"/>
              <w:rPr>
                <w:rFonts w:ascii="Times New Roman" w:hAnsi="Times New Roman" w:cs="Times New Roman"/>
                <w:szCs w:val="22"/>
                <w:lang w:val="en-GB"/>
              </w:rPr>
            </w:pPr>
            <w:r w:rsidRPr="005D7744">
              <w:rPr>
                <w:rFonts w:ascii="Times New Roman" w:hAnsi="Times New Roman" w:cs="Times New Roman"/>
                <w:szCs w:val="22"/>
              </w:rPr>
              <w:t>Section 8.4 (Risk-Benefit Assessment)</w:t>
            </w:r>
          </w:p>
          <w:p w14:paraId="0D0CEE4F" w14:textId="77777777" w:rsidR="005E785F" w:rsidRPr="00C87044" w:rsidRDefault="005E785F">
            <w:pPr>
              <w:pStyle w:val="BodyTextFull"/>
              <w:rPr>
                <w:rFonts w:ascii="Times New Roman" w:hAnsi="Times New Roman" w:cs="Times New Roman"/>
                <w:szCs w:val="22"/>
                <w:lang w:val="en-GB"/>
              </w:rPr>
            </w:pPr>
          </w:p>
          <w:p w14:paraId="6B01CC04" w14:textId="77777777" w:rsidR="005E785F" w:rsidRPr="00847207" w:rsidRDefault="005E785F">
            <w:pPr>
              <w:pStyle w:val="BodyTextFull"/>
              <w:rPr>
                <w:rFonts w:ascii="Times New Roman" w:hAnsi="Times New Roman" w:cs="Times New Roman"/>
                <w:szCs w:val="22"/>
                <w:lang w:val="en-GB"/>
              </w:rPr>
            </w:pPr>
          </w:p>
          <w:p w14:paraId="7E47F191" w14:textId="77777777" w:rsidR="005E785F" w:rsidRPr="009B0EBF" w:rsidRDefault="005E785F">
            <w:pPr>
              <w:pStyle w:val="BodyTextFull"/>
              <w:rPr>
                <w:rFonts w:ascii="Times New Roman" w:hAnsi="Times New Roman" w:cs="Times New Roman"/>
                <w:szCs w:val="22"/>
                <w:lang w:val="en-GB"/>
              </w:rPr>
            </w:pPr>
          </w:p>
          <w:p w14:paraId="3135F009" w14:textId="77777777" w:rsidR="005E785F" w:rsidRPr="00227D0F" w:rsidRDefault="005E785F">
            <w:pPr>
              <w:pStyle w:val="BodyTextFull"/>
              <w:rPr>
                <w:rFonts w:ascii="Times New Roman" w:hAnsi="Times New Roman" w:cs="Times New Roman"/>
                <w:szCs w:val="22"/>
                <w:lang w:val="en-GB"/>
              </w:rPr>
            </w:pPr>
          </w:p>
          <w:p w14:paraId="0DFC35E0" w14:textId="77777777" w:rsidR="005E785F" w:rsidRPr="00B62215" w:rsidRDefault="005E785F">
            <w:pPr>
              <w:pStyle w:val="BodyTextFull"/>
              <w:rPr>
                <w:rFonts w:ascii="Times New Roman" w:hAnsi="Times New Roman" w:cs="Times New Roman"/>
                <w:szCs w:val="22"/>
                <w:lang w:val="en-GB"/>
              </w:rPr>
            </w:pPr>
          </w:p>
          <w:p w14:paraId="2D9981D8" w14:textId="77777777" w:rsidR="005E785F" w:rsidRPr="00432BA0" w:rsidRDefault="003621E8">
            <w:pPr>
              <w:pStyle w:val="BodyTextFull"/>
              <w:rPr>
                <w:rFonts w:ascii="Times New Roman" w:hAnsi="Times New Roman" w:cs="Times New Roman"/>
                <w:szCs w:val="22"/>
                <w:lang w:val="en-GB"/>
              </w:rPr>
            </w:pPr>
            <w:r w:rsidRPr="005D7744">
              <w:rPr>
                <w:rFonts w:ascii="Times New Roman" w:hAnsi="Times New Roman" w:cs="Times New Roman"/>
                <w:szCs w:val="22"/>
              </w:rPr>
              <w:t>Section 10.6.11 (Emergency Treatment)</w:t>
            </w:r>
          </w:p>
        </w:tc>
        <w:tc>
          <w:tcPr>
            <w:tcW w:w="3402" w:type="dxa"/>
            <w:tcBorders>
              <w:top w:val="single" w:sz="4" w:space="0" w:color="auto"/>
              <w:left w:val="single" w:sz="4" w:space="0" w:color="auto"/>
              <w:bottom w:val="single" w:sz="4" w:space="0" w:color="auto"/>
              <w:right w:val="single" w:sz="4" w:space="0" w:color="auto"/>
            </w:tcBorders>
          </w:tcPr>
          <w:p w14:paraId="1C0E8C87" w14:textId="73C05272" w:rsidR="00DC36F9" w:rsidRPr="00A529B5" w:rsidRDefault="00DC36F9" w:rsidP="00A529B5">
            <w:pPr>
              <w:autoSpaceDE w:val="0"/>
              <w:autoSpaceDN w:val="0"/>
              <w:adjustRightInd w:val="0"/>
              <w:spacing w:before="120"/>
              <w:rPr>
                <w:rFonts w:cs="Times New Roman"/>
                <w:color w:val="000000"/>
                <w:sz w:val="22"/>
                <w:szCs w:val="22"/>
              </w:rPr>
            </w:pPr>
            <w:r w:rsidRPr="00A529B5">
              <w:rPr>
                <w:rFonts w:cs="Times New Roman"/>
                <w:color w:val="000000"/>
                <w:sz w:val="22"/>
                <w:szCs w:val="22"/>
              </w:rPr>
              <w:t>Added ‘Injection site examination’</w:t>
            </w:r>
          </w:p>
          <w:p w14:paraId="134CD551" w14:textId="77777777" w:rsidR="00DC36F9" w:rsidRPr="00A529B5" w:rsidRDefault="00DC36F9">
            <w:pPr>
              <w:autoSpaceDE w:val="0"/>
              <w:autoSpaceDN w:val="0"/>
              <w:adjustRightInd w:val="0"/>
              <w:jc w:val="both"/>
              <w:rPr>
                <w:rFonts w:cs="Times New Roman"/>
                <w:color w:val="000000"/>
                <w:sz w:val="22"/>
                <w:szCs w:val="22"/>
              </w:rPr>
            </w:pPr>
          </w:p>
          <w:p w14:paraId="7133CC11" w14:textId="77777777" w:rsidR="00DC36F9" w:rsidRPr="00A529B5" w:rsidRDefault="00DC36F9">
            <w:pPr>
              <w:autoSpaceDE w:val="0"/>
              <w:autoSpaceDN w:val="0"/>
              <w:adjustRightInd w:val="0"/>
              <w:jc w:val="both"/>
              <w:rPr>
                <w:rFonts w:cs="Times New Roman"/>
                <w:color w:val="000000"/>
                <w:sz w:val="22"/>
                <w:szCs w:val="22"/>
              </w:rPr>
            </w:pPr>
          </w:p>
          <w:p w14:paraId="1E6C0CE2" w14:textId="794886C5" w:rsidR="005D7744" w:rsidRPr="005D7744" w:rsidRDefault="005D7744">
            <w:pPr>
              <w:autoSpaceDE w:val="0"/>
              <w:autoSpaceDN w:val="0"/>
              <w:adjustRightInd w:val="0"/>
              <w:spacing w:before="120"/>
              <w:jc w:val="both"/>
              <w:rPr>
                <w:rFonts w:cs="Times New Roman"/>
                <w:color w:val="000000"/>
                <w:sz w:val="22"/>
                <w:szCs w:val="22"/>
              </w:rPr>
            </w:pPr>
          </w:p>
          <w:p w14:paraId="538E6074" w14:textId="77777777" w:rsidR="005D7744" w:rsidRDefault="005D7744">
            <w:pPr>
              <w:autoSpaceDE w:val="0"/>
              <w:autoSpaceDN w:val="0"/>
              <w:adjustRightInd w:val="0"/>
              <w:spacing w:before="120"/>
              <w:jc w:val="both"/>
              <w:rPr>
                <w:rFonts w:cs="Times New Roman"/>
                <w:color w:val="000000"/>
                <w:sz w:val="22"/>
                <w:szCs w:val="22"/>
              </w:rPr>
            </w:pPr>
            <w:r w:rsidRPr="005D7744">
              <w:rPr>
                <w:rFonts w:cs="Times New Roman"/>
                <w:color w:val="000000"/>
                <w:sz w:val="22"/>
                <w:szCs w:val="22"/>
              </w:rPr>
              <w:t xml:space="preserve">Updated. </w:t>
            </w:r>
          </w:p>
          <w:p w14:paraId="4AE0EF1D" w14:textId="77777777" w:rsidR="005D7744" w:rsidRDefault="005D7744">
            <w:pPr>
              <w:autoSpaceDE w:val="0"/>
              <w:autoSpaceDN w:val="0"/>
              <w:adjustRightInd w:val="0"/>
              <w:spacing w:before="120"/>
              <w:jc w:val="both"/>
              <w:rPr>
                <w:rFonts w:cs="Times New Roman"/>
                <w:color w:val="000000"/>
                <w:sz w:val="22"/>
                <w:szCs w:val="22"/>
              </w:rPr>
            </w:pPr>
          </w:p>
          <w:p w14:paraId="2859969F" w14:textId="77777777" w:rsidR="005D7744" w:rsidRDefault="005D7744">
            <w:pPr>
              <w:autoSpaceDE w:val="0"/>
              <w:autoSpaceDN w:val="0"/>
              <w:adjustRightInd w:val="0"/>
              <w:spacing w:before="120"/>
              <w:jc w:val="both"/>
              <w:rPr>
                <w:rFonts w:cs="Times New Roman"/>
                <w:color w:val="000000"/>
                <w:sz w:val="22"/>
                <w:szCs w:val="22"/>
              </w:rPr>
            </w:pPr>
          </w:p>
          <w:p w14:paraId="771FEC1B" w14:textId="3241FB7C" w:rsidR="000945AB" w:rsidRPr="00A529B5" w:rsidRDefault="000945AB">
            <w:pPr>
              <w:autoSpaceDE w:val="0"/>
              <w:autoSpaceDN w:val="0"/>
              <w:adjustRightInd w:val="0"/>
              <w:spacing w:before="120"/>
              <w:jc w:val="both"/>
              <w:rPr>
                <w:rFonts w:cs="Times New Roman"/>
                <w:color w:val="000000"/>
                <w:sz w:val="22"/>
                <w:szCs w:val="22"/>
              </w:rPr>
            </w:pPr>
            <w:r w:rsidRPr="00A529B5">
              <w:rPr>
                <w:rFonts w:cs="Times New Roman"/>
                <w:color w:val="000000"/>
                <w:sz w:val="22"/>
                <w:szCs w:val="22"/>
              </w:rPr>
              <w:t xml:space="preserve">Additional abbreviations added. </w:t>
            </w:r>
          </w:p>
          <w:p w14:paraId="1CE116C1" w14:textId="77777777" w:rsidR="000945AB" w:rsidRPr="00A529B5" w:rsidRDefault="000945AB">
            <w:pPr>
              <w:autoSpaceDE w:val="0"/>
              <w:autoSpaceDN w:val="0"/>
              <w:adjustRightInd w:val="0"/>
              <w:spacing w:before="120"/>
              <w:jc w:val="both"/>
              <w:rPr>
                <w:rFonts w:cs="Times New Roman"/>
                <w:color w:val="000000"/>
                <w:sz w:val="22"/>
                <w:szCs w:val="22"/>
              </w:rPr>
            </w:pPr>
          </w:p>
          <w:p w14:paraId="3D6A0BEF" w14:textId="0FF40BAF" w:rsidR="000945AB" w:rsidRDefault="000945AB">
            <w:pPr>
              <w:autoSpaceDE w:val="0"/>
              <w:autoSpaceDN w:val="0"/>
              <w:adjustRightInd w:val="0"/>
              <w:spacing w:before="120"/>
              <w:jc w:val="both"/>
              <w:rPr>
                <w:rFonts w:cs="Times New Roman"/>
                <w:color w:val="000000"/>
                <w:sz w:val="22"/>
                <w:szCs w:val="22"/>
              </w:rPr>
            </w:pPr>
          </w:p>
          <w:p w14:paraId="2070FBB6" w14:textId="77777777" w:rsidR="005D7744" w:rsidRPr="00A529B5" w:rsidRDefault="005D7744">
            <w:pPr>
              <w:autoSpaceDE w:val="0"/>
              <w:autoSpaceDN w:val="0"/>
              <w:adjustRightInd w:val="0"/>
              <w:spacing w:before="120"/>
              <w:jc w:val="both"/>
              <w:rPr>
                <w:rFonts w:cs="Times New Roman"/>
                <w:color w:val="000000"/>
                <w:sz w:val="22"/>
                <w:szCs w:val="22"/>
              </w:rPr>
            </w:pPr>
          </w:p>
          <w:p w14:paraId="75170F16" w14:textId="62BB1037" w:rsidR="005E785F" w:rsidRPr="00A529B5" w:rsidRDefault="003621E8" w:rsidP="00A529B5">
            <w:pPr>
              <w:autoSpaceDE w:val="0"/>
              <w:autoSpaceDN w:val="0"/>
              <w:adjustRightInd w:val="0"/>
              <w:spacing w:before="120"/>
              <w:jc w:val="both"/>
              <w:rPr>
                <w:rFonts w:cs="Times New Roman"/>
                <w:color w:val="000000"/>
                <w:sz w:val="22"/>
                <w:szCs w:val="22"/>
                <w:lang w:val="en-GB"/>
              </w:rPr>
            </w:pPr>
            <w:r w:rsidRPr="00A529B5">
              <w:rPr>
                <w:rFonts w:cs="Times New Roman"/>
                <w:color w:val="000000"/>
                <w:sz w:val="22"/>
                <w:szCs w:val="22"/>
              </w:rPr>
              <w:t xml:space="preserve">Last paragraph has been amended to ‘Coagulation parameters, including aPTT, will be monitored as a standard assessment in the study, and complement evaluation will be triggered in case of </w:t>
            </w:r>
            <w:r w:rsidRPr="00A529B5">
              <w:rPr>
                <w:rFonts w:cs="Times New Roman"/>
                <w:strike/>
                <w:color w:val="000000"/>
                <w:sz w:val="22"/>
                <w:szCs w:val="22"/>
              </w:rPr>
              <w:t>emergency</w:t>
            </w:r>
            <w:r w:rsidRPr="00A529B5">
              <w:rPr>
                <w:rFonts w:cs="Times New Roman"/>
                <w:color w:val="000000"/>
                <w:sz w:val="22"/>
                <w:szCs w:val="22"/>
              </w:rPr>
              <w:t xml:space="preserve"> fever above 38.5°C (see Section 10.6.11).’</w:t>
            </w:r>
          </w:p>
          <w:p w14:paraId="18E0090D" w14:textId="7A2D1631" w:rsidR="005E785F" w:rsidRDefault="005E785F">
            <w:pPr>
              <w:autoSpaceDE w:val="0"/>
              <w:autoSpaceDN w:val="0"/>
              <w:adjustRightInd w:val="0"/>
              <w:jc w:val="both"/>
              <w:rPr>
                <w:rFonts w:cs="Times New Roman"/>
                <w:color w:val="000000"/>
                <w:sz w:val="22"/>
                <w:szCs w:val="22"/>
                <w:lang w:val="en-GB"/>
              </w:rPr>
            </w:pPr>
          </w:p>
          <w:p w14:paraId="2EB96032" w14:textId="18AC2486" w:rsidR="005D7744" w:rsidRDefault="005D7744">
            <w:pPr>
              <w:autoSpaceDE w:val="0"/>
              <w:autoSpaceDN w:val="0"/>
              <w:adjustRightInd w:val="0"/>
              <w:jc w:val="both"/>
              <w:rPr>
                <w:rFonts w:cs="Times New Roman"/>
                <w:color w:val="000000"/>
                <w:sz w:val="22"/>
                <w:szCs w:val="22"/>
                <w:lang w:val="en-GB"/>
              </w:rPr>
            </w:pPr>
          </w:p>
          <w:p w14:paraId="1F01F1AA" w14:textId="28A0B717" w:rsidR="005D7744" w:rsidRDefault="005D7744">
            <w:pPr>
              <w:autoSpaceDE w:val="0"/>
              <w:autoSpaceDN w:val="0"/>
              <w:adjustRightInd w:val="0"/>
              <w:jc w:val="both"/>
              <w:rPr>
                <w:rFonts w:cs="Times New Roman"/>
                <w:color w:val="000000"/>
                <w:sz w:val="22"/>
                <w:szCs w:val="22"/>
                <w:lang w:val="en-GB"/>
              </w:rPr>
            </w:pPr>
          </w:p>
          <w:p w14:paraId="389CA6E7" w14:textId="77777777" w:rsidR="005D7744" w:rsidRPr="00A529B5" w:rsidRDefault="005D7744">
            <w:pPr>
              <w:autoSpaceDE w:val="0"/>
              <w:autoSpaceDN w:val="0"/>
              <w:adjustRightInd w:val="0"/>
              <w:jc w:val="both"/>
              <w:rPr>
                <w:rFonts w:cs="Times New Roman"/>
                <w:color w:val="000000"/>
                <w:sz w:val="22"/>
                <w:szCs w:val="22"/>
                <w:lang w:val="en-GB"/>
              </w:rPr>
            </w:pPr>
          </w:p>
          <w:p w14:paraId="10AAB41C" w14:textId="77777777" w:rsidR="005E785F" w:rsidRPr="00A529B5" w:rsidRDefault="003621E8">
            <w:pPr>
              <w:autoSpaceDE w:val="0"/>
              <w:autoSpaceDN w:val="0"/>
              <w:adjustRightInd w:val="0"/>
              <w:jc w:val="both"/>
              <w:rPr>
                <w:rFonts w:cs="Times New Roman"/>
                <w:color w:val="000000"/>
                <w:sz w:val="22"/>
                <w:szCs w:val="22"/>
                <w:lang w:val="en-GB"/>
              </w:rPr>
            </w:pPr>
            <w:r w:rsidRPr="00A529B5">
              <w:rPr>
                <w:rFonts w:cs="Times New Roman"/>
                <w:color w:val="000000"/>
                <w:sz w:val="22"/>
                <w:szCs w:val="22"/>
              </w:rPr>
              <w:t xml:space="preserve">The following paragraph has been amended from ‘Above 38.5°C, blood specimens should be collected to monitor the immune activation: interleukin-6, complement (CH50, </w:t>
            </w:r>
            <w:r w:rsidRPr="00A529B5">
              <w:rPr>
                <w:rFonts w:cs="Times New Roman"/>
                <w:color w:val="000000"/>
                <w:sz w:val="22"/>
                <w:szCs w:val="22"/>
              </w:rPr>
              <w:lastRenderedPageBreak/>
              <w:t>C4, C5a, and Bb fragments and assayed as soon as possible).’ to ‘</w:t>
            </w:r>
            <w:r w:rsidRPr="00A529B5">
              <w:rPr>
                <w:rFonts w:cs="Times New Roman"/>
                <w:i/>
                <w:color w:val="000000"/>
                <w:sz w:val="22"/>
                <w:szCs w:val="22"/>
              </w:rPr>
              <w:t>For temperatures reported/recorded above 38.5°C, the following blood specimens will be collected as soon as possible to monitor the immune activation: interleukin-6  and complement samples (CH50, C4, C5a, and Bb fragments)</w:t>
            </w:r>
            <w:r w:rsidRPr="00A529B5">
              <w:rPr>
                <w:rFonts w:cs="Times New Roman"/>
                <w:color w:val="000000"/>
                <w:sz w:val="22"/>
                <w:szCs w:val="22"/>
              </w:rPr>
              <w:t>.’</w:t>
            </w:r>
          </w:p>
          <w:p w14:paraId="55E765EB" w14:textId="293DBD9B" w:rsidR="005E785F" w:rsidRPr="00A529B5" w:rsidRDefault="005E785F">
            <w:pPr>
              <w:autoSpaceDE w:val="0"/>
              <w:autoSpaceDN w:val="0"/>
              <w:adjustRightInd w:val="0"/>
              <w:jc w:val="both"/>
              <w:rPr>
                <w:rFonts w:cs="Times New Roman"/>
                <w:color w:val="000000"/>
                <w:sz w:val="22"/>
                <w:szCs w:val="22"/>
                <w:lang w:val="en-GB"/>
              </w:rPr>
            </w:pPr>
          </w:p>
          <w:p w14:paraId="7FCC460C" w14:textId="77777777" w:rsidR="005E785F" w:rsidRPr="00A529B5" w:rsidRDefault="003621E8">
            <w:pPr>
              <w:autoSpaceDE w:val="0"/>
              <w:autoSpaceDN w:val="0"/>
              <w:adjustRightInd w:val="0"/>
              <w:jc w:val="both"/>
              <w:rPr>
                <w:rFonts w:eastAsia="Times New Roman Bold" w:cs="Times New Roman"/>
                <w:color w:val="000000"/>
                <w:sz w:val="22"/>
                <w:szCs w:val="22"/>
                <w:lang w:val="en-GB"/>
              </w:rPr>
            </w:pPr>
            <w:r w:rsidRPr="00A529B5">
              <w:rPr>
                <w:rFonts w:cs="Times New Roman"/>
                <w:color w:val="000000"/>
                <w:sz w:val="22"/>
                <w:szCs w:val="22"/>
              </w:rPr>
              <w:t>The following paragraphs have been added:</w:t>
            </w:r>
          </w:p>
          <w:p w14:paraId="472F4CC6" w14:textId="77777777" w:rsidR="005E785F" w:rsidRPr="00A529B5" w:rsidRDefault="005E785F" w:rsidP="00AC2EEE">
            <w:pPr>
              <w:autoSpaceDE w:val="0"/>
              <w:autoSpaceDN w:val="0"/>
              <w:adjustRightInd w:val="0"/>
              <w:jc w:val="both"/>
              <w:rPr>
                <w:rFonts w:eastAsia="Times New Roman Bold" w:cs="Times New Roman"/>
                <w:color w:val="000000"/>
                <w:sz w:val="22"/>
                <w:szCs w:val="22"/>
                <w:lang w:val="en-GB"/>
              </w:rPr>
            </w:pPr>
          </w:p>
          <w:p w14:paraId="5AA83D2F" w14:textId="77777777" w:rsidR="005E785F" w:rsidRPr="00A529B5" w:rsidRDefault="003621E8">
            <w:pPr>
              <w:numPr>
                <w:ilvl w:val="0"/>
                <w:numId w:val="44"/>
              </w:numPr>
              <w:autoSpaceDE w:val="0"/>
              <w:autoSpaceDN w:val="0"/>
              <w:adjustRightInd w:val="0"/>
              <w:jc w:val="both"/>
              <w:rPr>
                <w:rFonts w:eastAsia="Times New Roman Bold" w:cs="Times New Roman"/>
                <w:color w:val="000000"/>
                <w:sz w:val="22"/>
                <w:szCs w:val="22"/>
                <w:lang w:val="en-GB"/>
              </w:rPr>
            </w:pPr>
            <w:r w:rsidRPr="00A529B5">
              <w:rPr>
                <w:rFonts w:cs="Times New Roman"/>
                <w:color w:val="000000"/>
                <w:sz w:val="22"/>
                <w:szCs w:val="22"/>
              </w:rPr>
              <w:t>Samples for the measurement of interleukin-6 in addition to CRP (as detailed below) will be sent for analysis to an appropriate laboratory and results available within a suitable timeframe in order to determine appropriate management, treatment and care for the participant as critical markers for early indicators of CRS.</w:t>
            </w:r>
          </w:p>
          <w:p w14:paraId="0340139D" w14:textId="1A5C48CE" w:rsidR="005E785F" w:rsidRPr="00A529B5" w:rsidRDefault="003621E8">
            <w:pPr>
              <w:numPr>
                <w:ilvl w:val="0"/>
                <w:numId w:val="44"/>
              </w:numPr>
              <w:autoSpaceDE w:val="0"/>
              <w:autoSpaceDN w:val="0"/>
              <w:adjustRightInd w:val="0"/>
              <w:jc w:val="both"/>
              <w:rPr>
                <w:rFonts w:eastAsia="Times New Roman Bold" w:cs="Times New Roman"/>
                <w:color w:val="000000"/>
                <w:sz w:val="22"/>
                <w:szCs w:val="22"/>
                <w:lang w:val="en-GB"/>
              </w:rPr>
            </w:pPr>
            <w:r w:rsidRPr="00A529B5">
              <w:rPr>
                <w:rFonts w:cs="Times New Roman"/>
                <w:color w:val="000000"/>
                <w:sz w:val="22"/>
                <w:szCs w:val="22"/>
              </w:rPr>
              <w:t>Analysis of complement samples will be undertaken by an appropriate laboratory. The outcome of complement analysis will not be utilised for the purposes of determining appropriate management, treatment and care for the participant; however, results will be used for further understanding of the mechanisms by which CRS may be triggered in the context of this IMP. Therefore, it is not required that results of complement analysis are available to determine participant treatment in the event of potential CRS.</w:t>
            </w:r>
          </w:p>
          <w:p w14:paraId="0D1DE87B" w14:textId="77777777" w:rsidR="00432BA0" w:rsidRDefault="00432BA0">
            <w:pPr>
              <w:autoSpaceDE w:val="0"/>
              <w:autoSpaceDN w:val="0"/>
              <w:adjustRightInd w:val="0"/>
              <w:jc w:val="both"/>
              <w:rPr>
                <w:rFonts w:cs="Times New Roman"/>
                <w:sz w:val="22"/>
                <w:szCs w:val="22"/>
                <w:lang w:val="en-GB"/>
              </w:rPr>
            </w:pPr>
          </w:p>
          <w:p w14:paraId="664178AD" w14:textId="502AE59C" w:rsidR="00092481" w:rsidRDefault="0076689D">
            <w:pPr>
              <w:autoSpaceDE w:val="0"/>
              <w:autoSpaceDN w:val="0"/>
              <w:adjustRightInd w:val="0"/>
              <w:jc w:val="both"/>
              <w:rPr>
                <w:rFonts w:cs="Times New Roman"/>
                <w:color w:val="000000"/>
                <w:sz w:val="22"/>
                <w:szCs w:val="22"/>
              </w:rPr>
            </w:pPr>
            <w:r w:rsidRPr="00A529B5">
              <w:rPr>
                <w:rFonts w:cs="Times New Roman"/>
                <w:sz w:val="22"/>
                <w:szCs w:val="22"/>
                <w:lang w:val="en-GB"/>
              </w:rPr>
              <w:lastRenderedPageBreak/>
              <w:t>Administrative changes were made throughout</w:t>
            </w:r>
            <w:r w:rsidRPr="00A529B5">
              <w:rPr>
                <w:rFonts w:cs="Times New Roman"/>
                <w:color w:val="000000"/>
                <w:sz w:val="22"/>
                <w:szCs w:val="22"/>
              </w:rPr>
              <w:t xml:space="preserve"> protocol.</w:t>
            </w:r>
          </w:p>
          <w:p w14:paraId="665495E9" w14:textId="5178E2AA" w:rsidR="00092481" w:rsidRPr="00A529B5" w:rsidRDefault="00092481" w:rsidP="00A529B5">
            <w:pPr>
              <w:autoSpaceDE w:val="0"/>
              <w:autoSpaceDN w:val="0"/>
              <w:adjustRightInd w:val="0"/>
              <w:jc w:val="both"/>
              <w:rPr>
                <w:rFonts w:eastAsia="Times New Roman Bold" w:cs="Times New Roman"/>
                <w:color w:val="000000"/>
                <w:sz w:val="22"/>
                <w:szCs w:val="22"/>
                <w:lang w:val="en-GB"/>
              </w:rPr>
            </w:pPr>
            <w:r>
              <w:rPr>
                <w:rFonts w:eastAsia="Times New Roman Bold" w:cs="Times New Roman"/>
                <w:color w:val="000000"/>
                <w:sz w:val="22"/>
                <w:szCs w:val="22"/>
                <w:lang w:val="en-GB"/>
              </w:rPr>
              <w:t>Update to protocol template v10.0 (</w:t>
            </w:r>
            <w:r w:rsidRPr="00092481">
              <w:rPr>
                <w:rFonts w:eastAsia="Times New Roman Bold" w:cs="Times New Roman"/>
                <w:color w:val="000000"/>
                <w:sz w:val="22"/>
                <w:szCs w:val="22"/>
                <w:lang w:val="en-GB"/>
              </w:rPr>
              <w:t>28 May 2021</w:t>
            </w:r>
            <w:r>
              <w:rPr>
                <w:rFonts w:eastAsia="Times New Roman Bold" w:cs="Times New Roman"/>
                <w:color w:val="000000"/>
                <w:sz w:val="22"/>
                <w:szCs w:val="22"/>
                <w:lang w:val="en-GB"/>
              </w:rPr>
              <w:t>)</w:t>
            </w:r>
            <w:r w:rsidR="00B62215">
              <w:rPr>
                <w:rFonts w:eastAsia="Times New Roman Bold" w:cs="Times New Roman"/>
                <w:color w:val="000000"/>
                <w:sz w:val="22"/>
                <w:szCs w:val="22"/>
                <w:lang w:val="en-GB"/>
              </w:rPr>
              <w:t xml:space="preserve"> with more abbreviations added</w:t>
            </w:r>
            <w:r w:rsidR="00747B9C">
              <w:rPr>
                <w:rFonts w:eastAsia="Times New Roman Bold" w:cs="Times New Roman"/>
                <w:color w:val="000000"/>
                <w:sz w:val="22"/>
                <w:szCs w:val="22"/>
                <w:lang w:val="en-GB"/>
              </w:rPr>
              <w:t xml:space="preserve"> and Table 7 updated</w:t>
            </w:r>
            <w:r w:rsidR="00B62215">
              <w:rPr>
                <w:rFonts w:eastAsia="Times New Roman Bold" w:cs="Times New Roman"/>
                <w:color w:val="000000"/>
                <w:sz w:val="22"/>
                <w:szCs w:val="22"/>
                <w:lang w:val="en-GB"/>
              </w:rPr>
              <w:t>.</w:t>
            </w:r>
          </w:p>
          <w:p w14:paraId="4AA385F2" w14:textId="0DAFF2E1" w:rsidR="009C6160" w:rsidRPr="00432BA0" w:rsidRDefault="009C6160" w:rsidP="00A529B5">
            <w:pPr>
              <w:autoSpaceDE w:val="0"/>
              <w:autoSpaceDN w:val="0"/>
              <w:adjustRightInd w:val="0"/>
              <w:jc w:val="both"/>
              <w:rPr>
                <w:szCs w:val="22"/>
                <w:lang w:val="en-GB"/>
              </w:rPr>
            </w:pPr>
          </w:p>
        </w:tc>
      </w:tr>
      <w:bookmarkEnd w:id="8"/>
    </w:tbl>
    <w:p w14:paraId="73FB1E03" w14:textId="77777777" w:rsidR="005E785F" w:rsidRDefault="003621E8">
      <w:pPr>
        <w:pStyle w:val="Heading1"/>
      </w:pPr>
      <w:r>
        <w:lastRenderedPageBreak/>
        <w:br w:type="page"/>
      </w:r>
      <w:bookmarkStart w:id="9" w:name="_Toc74904331"/>
      <w:r>
        <w:lastRenderedPageBreak/>
        <w:t>SYNOPSIS</w:t>
      </w:r>
      <w:bookmarkEnd w:id="9"/>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6" w:type="dxa"/>
          <w:right w:w="56" w:type="dxa"/>
        </w:tblCellMar>
        <w:tblLook w:val="0000" w:firstRow="0" w:lastRow="0" w:firstColumn="0" w:lastColumn="0" w:noHBand="0" w:noVBand="0"/>
      </w:tblPr>
      <w:tblGrid>
        <w:gridCol w:w="2787"/>
        <w:gridCol w:w="6210"/>
      </w:tblGrid>
      <w:tr w:rsidR="005E785F" w14:paraId="73FB1E05" w14:textId="77777777">
        <w:tc>
          <w:tcPr>
            <w:tcW w:w="5000" w:type="pct"/>
            <w:gridSpan w:val="2"/>
            <w:tcBorders>
              <w:bottom w:val="single" w:sz="2" w:space="0" w:color="auto"/>
            </w:tcBorders>
          </w:tcPr>
          <w:p w14:paraId="73FB1E04" w14:textId="303AA55D" w:rsidR="005E785F" w:rsidRDefault="003621E8">
            <w:pPr>
              <w:pStyle w:val="BodyText"/>
              <w:spacing w:before="40" w:after="40"/>
              <w:rPr>
                <w:caps/>
                <w:sz w:val="20"/>
              </w:rPr>
            </w:pPr>
            <w:r>
              <w:rPr>
                <w:b/>
                <w:caps/>
                <w:sz w:val="20"/>
              </w:rPr>
              <w:t>NAME OF company:</w:t>
            </w:r>
            <w:r>
              <w:rPr>
                <w:caps/>
                <w:sz w:val="20"/>
              </w:rPr>
              <w:t xml:space="preserve"> DNDi</w:t>
            </w:r>
          </w:p>
        </w:tc>
      </w:tr>
      <w:tr w:rsidR="005E785F" w14:paraId="73FB1E07" w14:textId="77777777">
        <w:tc>
          <w:tcPr>
            <w:tcW w:w="5000" w:type="pct"/>
            <w:gridSpan w:val="2"/>
            <w:tcBorders>
              <w:top w:val="single" w:sz="2" w:space="0" w:color="auto"/>
              <w:bottom w:val="single" w:sz="2" w:space="0" w:color="auto"/>
            </w:tcBorders>
          </w:tcPr>
          <w:p w14:paraId="73FB1E06" w14:textId="24C8FA61" w:rsidR="005E785F" w:rsidRDefault="003621E8">
            <w:pPr>
              <w:pStyle w:val="BodyText"/>
              <w:spacing w:before="40" w:after="40"/>
              <w:jc w:val="left"/>
              <w:rPr>
                <w:b/>
                <w:bCs/>
                <w:caps/>
                <w:color w:val="595959"/>
                <w:sz w:val="20"/>
              </w:rPr>
            </w:pPr>
            <w:r>
              <w:rPr>
                <w:b/>
                <w:bCs/>
                <w:caps/>
                <w:sz w:val="20"/>
              </w:rPr>
              <w:t>NAME OF INVESTIGATIONAL MEDICINAL PRODUCT:</w:t>
            </w:r>
            <w:r>
              <w:rPr>
                <w:caps/>
                <w:sz w:val="20"/>
              </w:rPr>
              <w:t xml:space="preserve"> CpG ODN D35</w:t>
            </w:r>
          </w:p>
        </w:tc>
      </w:tr>
      <w:tr w:rsidR="005E785F" w14:paraId="73FB1E09" w14:textId="77777777">
        <w:tc>
          <w:tcPr>
            <w:tcW w:w="5000" w:type="pct"/>
            <w:gridSpan w:val="2"/>
            <w:tcBorders>
              <w:top w:val="single" w:sz="2" w:space="0" w:color="auto"/>
              <w:bottom w:val="double" w:sz="12" w:space="0" w:color="auto"/>
            </w:tcBorders>
          </w:tcPr>
          <w:p w14:paraId="73FB1E08" w14:textId="76A45C22" w:rsidR="005E785F" w:rsidRDefault="003621E8">
            <w:pPr>
              <w:pStyle w:val="BodyText"/>
              <w:spacing w:before="40" w:after="40"/>
              <w:jc w:val="left"/>
              <w:rPr>
                <w:b/>
                <w:bCs/>
                <w:caps/>
                <w:color w:val="595959"/>
                <w:sz w:val="20"/>
              </w:rPr>
            </w:pPr>
            <w:r>
              <w:rPr>
                <w:b/>
                <w:bCs/>
                <w:caps/>
                <w:sz w:val="20"/>
              </w:rPr>
              <w:t>NAME OF ACTIVE INGREDIENT:</w:t>
            </w:r>
            <w:r>
              <w:rPr>
                <w:caps/>
                <w:sz w:val="20"/>
              </w:rPr>
              <w:t xml:space="preserve"> Oligodeoxynucleotide (ODN)</w:t>
            </w:r>
          </w:p>
        </w:tc>
      </w:tr>
      <w:tr w:rsidR="005E785F" w14:paraId="73FB1E0B" w14:textId="77777777">
        <w:tc>
          <w:tcPr>
            <w:tcW w:w="5000" w:type="pct"/>
            <w:gridSpan w:val="2"/>
            <w:tcBorders>
              <w:top w:val="double" w:sz="12" w:space="0" w:color="auto"/>
            </w:tcBorders>
          </w:tcPr>
          <w:p w14:paraId="73FB1E0A" w14:textId="06C32832" w:rsidR="005E785F" w:rsidRDefault="003621E8">
            <w:pPr>
              <w:pStyle w:val="BodyText"/>
              <w:jc w:val="left"/>
              <w:rPr>
                <w:sz w:val="20"/>
              </w:rPr>
            </w:pPr>
            <w:r>
              <w:rPr>
                <w:b/>
                <w:caps/>
                <w:sz w:val="20"/>
              </w:rPr>
              <w:t>TITLE of STUDY</w:t>
            </w:r>
            <w:r>
              <w:rPr>
                <w:caps/>
                <w:sz w:val="20"/>
              </w:rPr>
              <w:t>:</w:t>
            </w:r>
            <w:r>
              <w:rPr>
                <w:sz w:val="20"/>
              </w:rPr>
              <w:t xml:space="preserve"> A Phase I, Double-blind, Randomised, Single Centre, Parallel-group, Single Ascending dose, Placebo-controlled Study of the Safety, Tolerability, Pharmacokinetics, and Pharmacodynamics of CpG ODN D35 after Subcutaneous Administration in Healthy Male Subjects</w:t>
            </w:r>
          </w:p>
        </w:tc>
      </w:tr>
      <w:tr w:rsidR="005E785F" w14:paraId="73FB1E0D" w14:textId="77777777">
        <w:tc>
          <w:tcPr>
            <w:tcW w:w="5000" w:type="pct"/>
            <w:gridSpan w:val="2"/>
          </w:tcPr>
          <w:p w14:paraId="73FB1E0C" w14:textId="2A0FD6EB" w:rsidR="005E785F" w:rsidRDefault="003621E8">
            <w:pPr>
              <w:pStyle w:val="BodyText"/>
              <w:jc w:val="left"/>
              <w:rPr>
                <w:sz w:val="20"/>
              </w:rPr>
            </w:pPr>
            <w:r>
              <w:rPr>
                <w:b/>
                <w:caps/>
                <w:sz w:val="20"/>
              </w:rPr>
              <w:t>principal INVESTIGATOR:</w:t>
            </w:r>
            <w:r>
              <w:rPr>
                <w:sz w:val="20"/>
              </w:rPr>
              <w:t xml:space="preserve"> Dr Annelize Koch</w:t>
            </w:r>
          </w:p>
        </w:tc>
      </w:tr>
      <w:tr w:rsidR="005E785F" w14:paraId="73FB1E0F" w14:textId="77777777">
        <w:tc>
          <w:tcPr>
            <w:tcW w:w="5000" w:type="pct"/>
            <w:gridSpan w:val="2"/>
          </w:tcPr>
          <w:p w14:paraId="73FB1E0E" w14:textId="18AC4BB9" w:rsidR="005E785F" w:rsidRDefault="003621E8">
            <w:pPr>
              <w:pStyle w:val="BodyText"/>
              <w:ind w:left="1890" w:hanging="1890"/>
              <w:jc w:val="left"/>
              <w:rPr>
                <w:sz w:val="20"/>
              </w:rPr>
            </w:pPr>
            <w:r>
              <w:rPr>
                <w:b/>
                <w:caps/>
                <w:sz w:val="20"/>
              </w:rPr>
              <w:t>Study centre:</w:t>
            </w:r>
            <w:r>
              <w:rPr>
                <w:b/>
                <w:caps/>
                <w:sz w:val="20"/>
              </w:rPr>
              <w:tab/>
            </w:r>
            <w:r>
              <w:rPr>
                <w:sz w:val="20"/>
              </w:rPr>
              <w:t xml:space="preserve">Simbec-Orion Clinical Pharmacology </w:t>
            </w:r>
            <w:r>
              <w:rPr>
                <w:sz w:val="20"/>
              </w:rPr>
              <w:br/>
              <w:t>Merthyr Tydfil, CF48 4DR, UK</w:t>
            </w:r>
          </w:p>
        </w:tc>
      </w:tr>
      <w:tr w:rsidR="005E785F" w14:paraId="73FB1E11" w14:textId="77777777">
        <w:tc>
          <w:tcPr>
            <w:tcW w:w="5000" w:type="pct"/>
            <w:gridSpan w:val="2"/>
          </w:tcPr>
          <w:p w14:paraId="73FB1E10" w14:textId="2E4B70AC" w:rsidR="005E785F" w:rsidRDefault="003621E8">
            <w:pPr>
              <w:pStyle w:val="BodyText"/>
              <w:jc w:val="left"/>
              <w:rPr>
                <w:sz w:val="20"/>
              </w:rPr>
            </w:pPr>
            <w:r>
              <w:rPr>
                <w:b/>
                <w:sz w:val="20"/>
              </w:rPr>
              <w:t>CLINICAL PHASE:</w:t>
            </w:r>
            <w:r>
              <w:rPr>
                <w:sz w:val="20"/>
              </w:rPr>
              <w:t xml:space="preserve"> I (First in Human)</w:t>
            </w:r>
          </w:p>
        </w:tc>
      </w:tr>
      <w:tr w:rsidR="005E785F" w14:paraId="73FB1E14" w14:textId="77777777">
        <w:tc>
          <w:tcPr>
            <w:tcW w:w="5000" w:type="pct"/>
            <w:gridSpan w:val="2"/>
          </w:tcPr>
          <w:p w14:paraId="542B64EB" w14:textId="123C3CF1" w:rsidR="005E785F" w:rsidRDefault="003621E8">
            <w:pPr>
              <w:spacing w:before="120" w:after="120"/>
              <w:rPr>
                <w:b/>
                <w:caps/>
                <w:sz w:val="20"/>
                <w:lang w:val="en-GB"/>
              </w:rPr>
            </w:pPr>
            <w:r>
              <w:rPr>
                <w:b/>
                <w:caps/>
                <w:sz w:val="20"/>
                <w:lang w:val="en-GB"/>
              </w:rPr>
              <w:t>OBJECTIVES:</w:t>
            </w:r>
            <w:r>
              <w:rPr>
                <w:bCs/>
                <w:sz w:val="20"/>
              </w:rPr>
              <w:t xml:space="preserve"> </w:t>
            </w:r>
          </w:p>
          <w:p w14:paraId="5CD36DCD" w14:textId="77777777" w:rsidR="005E785F" w:rsidRDefault="003621E8">
            <w:pPr>
              <w:spacing w:before="120"/>
              <w:rPr>
                <w:b/>
                <w:sz w:val="20"/>
              </w:rPr>
            </w:pPr>
            <w:r>
              <w:rPr>
                <w:b/>
                <w:sz w:val="20"/>
              </w:rPr>
              <w:t>Primary Objective</w:t>
            </w:r>
          </w:p>
          <w:p w14:paraId="36282CA9" w14:textId="4B08C0B3" w:rsidR="005E785F" w:rsidRDefault="003621E8">
            <w:pPr>
              <w:pStyle w:val="ListParagraph"/>
              <w:numPr>
                <w:ilvl w:val="0"/>
                <w:numId w:val="34"/>
              </w:numPr>
              <w:rPr>
                <w:bCs/>
                <w:sz w:val="20"/>
              </w:rPr>
            </w:pPr>
            <w:r>
              <w:rPr>
                <w:bCs/>
                <w:sz w:val="20"/>
              </w:rPr>
              <w:t>To assess the safety and tolerability of a single subcutaneous dose of CpG ODN D35 in healthy male subjects.</w:t>
            </w:r>
          </w:p>
          <w:p w14:paraId="3E462B68" w14:textId="77777777" w:rsidR="005E785F" w:rsidRDefault="003621E8">
            <w:pPr>
              <w:spacing w:before="120"/>
              <w:rPr>
                <w:b/>
                <w:sz w:val="20"/>
              </w:rPr>
            </w:pPr>
            <w:r>
              <w:rPr>
                <w:b/>
                <w:sz w:val="20"/>
              </w:rPr>
              <w:t>Secondary Objectives</w:t>
            </w:r>
          </w:p>
          <w:p w14:paraId="5DFA9D45" w14:textId="77777777" w:rsidR="005E785F" w:rsidRDefault="003621E8">
            <w:pPr>
              <w:pStyle w:val="ListParagraph"/>
              <w:numPr>
                <w:ilvl w:val="0"/>
                <w:numId w:val="34"/>
              </w:numPr>
              <w:rPr>
                <w:bCs/>
                <w:sz w:val="20"/>
              </w:rPr>
            </w:pPr>
            <w:r>
              <w:rPr>
                <w:bCs/>
                <w:sz w:val="20"/>
              </w:rPr>
              <w:t xml:space="preserve">To determine PK parameters of CpG ODN D35 in plasma after single subcutaneous dose in healthy male subjects. </w:t>
            </w:r>
          </w:p>
          <w:p w14:paraId="5178BFB6" w14:textId="399FFD4F" w:rsidR="005E785F" w:rsidRDefault="003621E8">
            <w:pPr>
              <w:spacing w:before="120"/>
              <w:rPr>
                <w:bCs/>
                <w:sz w:val="20"/>
              </w:rPr>
            </w:pPr>
            <w:r>
              <w:rPr>
                <w:b/>
                <w:sz w:val="20"/>
              </w:rPr>
              <w:t>PD and Exploratory Objectives</w:t>
            </w:r>
          </w:p>
          <w:p w14:paraId="08015BF4" w14:textId="679D48AF" w:rsidR="005E785F" w:rsidRDefault="003621E8">
            <w:pPr>
              <w:pStyle w:val="ListParagraph"/>
              <w:numPr>
                <w:ilvl w:val="0"/>
                <w:numId w:val="34"/>
              </w:numPr>
              <w:rPr>
                <w:bCs/>
                <w:sz w:val="20"/>
              </w:rPr>
            </w:pPr>
            <w:bookmarkStart w:id="10" w:name="_Hlk65157380"/>
            <w:r>
              <w:rPr>
                <w:rFonts w:cs="Times New Roman"/>
                <w:sz w:val="20"/>
              </w:rPr>
              <w:t xml:space="preserve">To investigate </w:t>
            </w:r>
            <w:bookmarkStart w:id="11" w:name="_Hlk65169698"/>
            <w:r>
              <w:rPr>
                <w:rFonts w:cs="Times New Roman"/>
                <w:sz w:val="20"/>
              </w:rPr>
              <w:t xml:space="preserve">changes from baseline levels of serum cytokine and chemokine parameters (CXCL10, IFN-γ, IL-6, optional: IFN-α, MIP1α, IL-10, TNFα and/or other parameters) </w:t>
            </w:r>
            <w:bookmarkEnd w:id="11"/>
            <w:r>
              <w:rPr>
                <w:rFonts w:cs="Times New Roman"/>
                <w:sz w:val="20"/>
              </w:rPr>
              <w:t>after a single subcutaneous dose</w:t>
            </w:r>
            <w:r>
              <w:rPr>
                <w:rFonts w:cs="Times New Roman"/>
                <w:szCs w:val="24"/>
              </w:rPr>
              <w:t xml:space="preserve"> </w:t>
            </w:r>
            <w:r>
              <w:rPr>
                <w:rFonts w:cs="Times New Roman"/>
                <w:sz w:val="20"/>
              </w:rPr>
              <w:t>of CpG ODN D35.</w:t>
            </w:r>
          </w:p>
          <w:p w14:paraId="121CF809" w14:textId="64682C9A" w:rsidR="005E785F" w:rsidRDefault="003621E8">
            <w:pPr>
              <w:pStyle w:val="ListParagraph"/>
              <w:numPr>
                <w:ilvl w:val="0"/>
                <w:numId w:val="34"/>
              </w:numPr>
              <w:rPr>
                <w:bCs/>
                <w:sz w:val="20"/>
              </w:rPr>
            </w:pPr>
            <w:r>
              <w:rPr>
                <w:bCs/>
                <w:sz w:val="20"/>
              </w:rPr>
              <w:t>To investigate changes of mRNA markers after a single subcutaneous dose of CpG ODN D35, by exploratory analysis of cytokine and chemokine gene expression.</w:t>
            </w:r>
          </w:p>
          <w:p w14:paraId="028065E6" w14:textId="1093BA08" w:rsidR="005E785F" w:rsidRDefault="003621E8">
            <w:pPr>
              <w:pStyle w:val="ListParagraph"/>
              <w:numPr>
                <w:ilvl w:val="0"/>
                <w:numId w:val="34"/>
              </w:numPr>
              <w:rPr>
                <w:bCs/>
                <w:sz w:val="20"/>
              </w:rPr>
            </w:pPr>
            <w:r>
              <w:rPr>
                <w:rFonts w:cs="Times New Roman"/>
                <w:sz w:val="20"/>
              </w:rPr>
              <w:t>To investigate immunological markers in Peripheral Blood Mononuclear Cells (PBMC) isolate (for example CXCL10, Mx1, CD80, OAS1, IRF7, IFI1 and/or other parameters).</w:t>
            </w:r>
          </w:p>
          <w:bookmarkEnd w:id="10"/>
          <w:p w14:paraId="73FB1E13" w14:textId="03F81070" w:rsidR="005E785F" w:rsidRDefault="005E785F">
            <w:pPr>
              <w:pStyle w:val="ListParagraph"/>
              <w:rPr>
                <w:bCs/>
                <w:sz w:val="20"/>
              </w:rPr>
            </w:pPr>
          </w:p>
        </w:tc>
      </w:tr>
      <w:tr w:rsidR="005E785F" w14:paraId="73FB1E17" w14:textId="77777777">
        <w:tc>
          <w:tcPr>
            <w:tcW w:w="5000" w:type="pct"/>
            <w:gridSpan w:val="2"/>
          </w:tcPr>
          <w:p w14:paraId="395BB9CD" w14:textId="77777777" w:rsidR="005E785F" w:rsidRDefault="003621E8">
            <w:pPr>
              <w:pStyle w:val="BodyText"/>
              <w:spacing w:after="40"/>
              <w:jc w:val="left"/>
              <w:rPr>
                <w:i/>
                <w:color w:val="FF0000"/>
                <w:sz w:val="20"/>
              </w:rPr>
            </w:pPr>
            <w:r>
              <w:rPr>
                <w:b/>
                <w:caps/>
                <w:sz w:val="20"/>
              </w:rPr>
              <w:t>METHODOLOGY:</w:t>
            </w:r>
            <w:r>
              <w:rPr>
                <w:b/>
                <w:sz w:val="20"/>
              </w:rPr>
              <w:t xml:space="preserve"> </w:t>
            </w:r>
          </w:p>
          <w:p w14:paraId="5F6C6041" w14:textId="24866F44" w:rsidR="005E785F" w:rsidRDefault="003621E8">
            <w:pPr>
              <w:pStyle w:val="ExampleText"/>
              <w:spacing w:before="120" w:after="120"/>
              <w:rPr>
                <w:rFonts w:ascii="Times New Roman" w:hAnsi="Times New Roman"/>
                <w:i w:val="0"/>
                <w:color w:val="000000"/>
                <w:sz w:val="20"/>
                <w:szCs w:val="20"/>
                <w:lang w:val="en-US"/>
              </w:rPr>
            </w:pPr>
            <w:r>
              <w:rPr>
                <w:rFonts w:ascii="Times New Roman" w:hAnsi="Times New Roman"/>
                <w:i w:val="0"/>
                <w:color w:val="000000"/>
                <w:sz w:val="20"/>
                <w:szCs w:val="20"/>
                <w:lang w:val="en-US"/>
              </w:rPr>
              <w:t xml:space="preserve">The study is a Phase 1 single centre, double-blind, randomised, placebo-controlled, parallel-group, single ascending dose study of CpG ODN D35 administered subcutaneously in healthy male subjects aged between 18 and 50 years. </w:t>
            </w:r>
          </w:p>
          <w:p w14:paraId="19855E7A" w14:textId="58932413" w:rsidR="005E785F" w:rsidRDefault="003621E8">
            <w:pPr>
              <w:pStyle w:val="BodyText"/>
              <w:rPr>
                <w:sz w:val="20"/>
                <w:lang w:val="en-US"/>
              </w:rPr>
            </w:pPr>
            <w:r>
              <w:rPr>
                <w:sz w:val="20"/>
              </w:rPr>
              <w:t>The study will consist of up to 4 cohorts of 8 male subjects (cohort 4 is optional). Subjects will be randomly assigned to receive a single subcutaneous (SC) dose of CpG ODN D35 (6 subjects) or placebo (2 subjects) in a sequential escalating manner.</w:t>
            </w:r>
          </w:p>
          <w:p w14:paraId="1BE61AAC" w14:textId="1FDBDE45" w:rsidR="005E785F" w:rsidRDefault="003621E8">
            <w:pPr>
              <w:pStyle w:val="BodyText"/>
              <w:rPr>
                <w:sz w:val="20"/>
                <w:lang w:val="en-US"/>
              </w:rPr>
            </w:pPr>
            <w:r>
              <w:rPr>
                <w:sz w:val="20"/>
                <w:lang w:val="en-US"/>
              </w:rPr>
              <w:t xml:space="preserve">Each cohort will follow a sentinel dose escalation schedule. </w:t>
            </w:r>
          </w:p>
          <w:p w14:paraId="2C8636DA" w14:textId="783E86BA" w:rsidR="005E785F" w:rsidRDefault="003621E8">
            <w:pPr>
              <w:pStyle w:val="ListParagraph"/>
              <w:numPr>
                <w:ilvl w:val="0"/>
                <w:numId w:val="37"/>
              </w:numPr>
              <w:rPr>
                <w:sz w:val="20"/>
                <w:lang w:val="en-GB"/>
              </w:rPr>
            </w:pPr>
            <w:r>
              <w:rPr>
                <w:sz w:val="20"/>
              </w:rPr>
              <w:t xml:space="preserve">Two (2) subjects will be dosed in each sentinel group (1 subject on active investigational medicinal product (IMP) and 1 subject on placebo). </w:t>
            </w:r>
          </w:p>
          <w:p w14:paraId="1096ED53" w14:textId="39169AB5" w:rsidR="005E785F" w:rsidRDefault="003621E8">
            <w:pPr>
              <w:pStyle w:val="BodyText"/>
              <w:numPr>
                <w:ilvl w:val="0"/>
                <w:numId w:val="37"/>
              </w:numPr>
              <w:rPr>
                <w:sz w:val="20"/>
                <w:lang w:val="en-US"/>
              </w:rPr>
            </w:pPr>
            <w:r>
              <w:rPr>
                <w:sz w:val="20"/>
              </w:rPr>
              <w:t xml:space="preserve">The 6 remaining subjects will be randomized and split into two sub-groups with 3 subjects in each sub-group. The decision to proceed with the administration of the first sub-group of subjects will be taken by the Investigator based on clinical and biological safety data after at least a 72-hour observation period of the sentinel subjects. The 3 subjects from the second sub-group will be dosed upon </w:t>
            </w:r>
            <w:r>
              <w:rPr>
                <w:sz w:val="20"/>
              </w:rPr>
              <w:lastRenderedPageBreak/>
              <w:t xml:space="preserve">Investigator assessment after approximately a 24-hour observation period of the first subject of the first sub-group.  </w:t>
            </w:r>
          </w:p>
          <w:p w14:paraId="4FCC823C" w14:textId="613464C6" w:rsidR="005E785F" w:rsidRDefault="003621E8">
            <w:pPr>
              <w:pStyle w:val="BodyText"/>
              <w:numPr>
                <w:ilvl w:val="0"/>
                <w:numId w:val="37"/>
              </w:numPr>
              <w:rPr>
                <w:sz w:val="20"/>
                <w:lang w:val="en-US"/>
              </w:rPr>
            </w:pPr>
            <w:r>
              <w:rPr>
                <w:sz w:val="20"/>
                <w:lang w:val="en-US"/>
              </w:rPr>
              <w:t>At the end of each dose level, an interim safety report will be issued by the Investigator, for review by the safety review committee (SRC). No more than 3 subjects will be administered CpG ODN D35 on each day. A minimum interval of 30 minutes between dosing of any 2 subjects will be ensured (not required for sentinels).</w:t>
            </w:r>
          </w:p>
          <w:p w14:paraId="6072B597" w14:textId="5EDCCE6F" w:rsidR="005E785F" w:rsidRDefault="003621E8">
            <w:pPr>
              <w:spacing w:before="120" w:after="120"/>
              <w:jc w:val="both"/>
              <w:rPr>
                <w:rFonts w:cs="Times New Roman"/>
                <w:bCs/>
                <w:sz w:val="20"/>
                <w:lang w:val="en-GB"/>
              </w:rPr>
            </w:pPr>
            <w:r>
              <w:rPr>
                <w:rFonts w:cs="Times New Roman"/>
                <w:bCs/>
                <w:sz w:val="20"/>
                <w:lang w:val="en-GB"/>
              </w:rPr>
              <w:t>Each cohort will follow a Screening Period, Treatment Period and Post Study Follow-up visit (Approximately 6 weeks for each individual, from the screening to post study follow-up).</w:t>
            </w:r>
          </w:p>
          <w:p w14:paraId="5FD63F38" w14:textId="6FE807CF" w:rsidR="005E785F" w:rsidRDefault="003621E8">
            <w:pPr>
              <w:pStyle w:val="ExampleText"/>
              <w:spacing w:before="120" w:after="120"/>
              <w:rPr>
                <w:rFonts w:ascii="Times New Roman" w:hAnsi="Times New Roman"/>
                <w:b/>
                <w:i w:val="0"/>
                <w:sz w:val="20"/>
                <w:szCs w:val="20"/>
                <w:lang w:val="en-US"/>
              </w:rPr>
            </w:pPr>
            <w:r>
              <w:rPr>
                <w:rFonts w:ascii="Times New Roman" w:hAnsi="Times New Roman"/>
                <w:b/>
                <w:i w:val="0"/>
                <w:sz w:val="20"/>
                <w:szCs w:val="20"/>
                <w:lang w:val="en-US"/>
              </w:rPr>
              <w:t>Screening Period (Day -28 to Day -2):</w:t>
            </w:r>
          </w:p>
          <w:p w14:paraId="11AB5E4D" w14:textId="65E9FB0E" w:rsidR="005E785F" w:rsidRDefault="003621E8">
            <w:pPr>
              <w:pStyle w:val="BodyText"/>
              <w:rPr>
                <w:sz w:val="20"/>
                <w:lang w:val="en-US"/>
              </w:rPr>
            </w:pPr>
            <w:r>
              <w:rPr>
                <w:sz w:val="20"/>
                <w:lang w:val="en-US"/>
              </w:rPr>
              <w:t>After signing the informed consent form (ICF), Screening assessments will be performed within 28 days of the planned dose to ensure the eligibility of participants. Screening assessments will include:</w:t>
            </w:r>
          </w:p>
          <w:p w14:paraId="764D5882" w14:textId="0E88C517" w:rsidR="005E785F" w:rsidRDefault="003621E8">
            <w:pPr>
              <w:pStyle w:val="BodyText"/>
              <w:numPr>
                <w:ilvl w:val="0"/>
                <w:numId w:val="38"/>
              </w:numPr>
              <w:spacing w:before="0" w:after="0"/>
              <w:rPr>
                <w:sz w:val="20"/>
                <w:lang w:val="en-US"/>
              </w:rPr>
            </w:pPr>
            <w:r>
              <w:rPr>
                <w:sz w:val="20"/>
                <w:lang w:val="en-US"/>
              </w:rPr>
              <w:t>Medical and surgical history</w:t>
            </w:r>
          </w:p>
          <w:p w14:paraId="10495756" w14:textId="4ADCEC99" w:rsidR="005E785F" w:rsidRDefault="003621E8">
            <w:pPr>
              <w:pStyle w:val="BodyText"/>
              <w:numPr>
                <w:ilvl w:val="0"/>
                <w:numId w:val="38"/>
              </w:numPr>
              <w:spacing w:before="0" w:after="0"/>
              <w:rPr>
                <w:sz w:val="20"/>
                <w:lang w:val="en-US"/>
              </w:rPr>
            </w:pPr>
            <w:r>
              <w:rPr>
                <w:sz w:val="20"/>
                <w:lang w:val="en-US"/>
              </w:rPr>
              <w:t xml:space="preserve">Demographic data </w:t>
            </w:r>
          </w:p>
          <w:p w14:paraId="68A82521" w14:textId="186D8FB6" w:rsidR="005E785F" w:rsidRDefault="003621E8">
            <w:pPr>
              <w:pStyle w:val="BodyText"/>
              <w:numPr>
                <w:ilvl w:val="0"/>
                <w:numId w:val="38"/>
              </w:numPr>
              <w:spacing w:before="0" w:after="0"/>
              <w:rPr>
                <w:sz w:val="20"/>
                <w:lang w:val="en-US"/>
              </w:rPr>
            </w:pPr>
            <w:r>
              <w:rPr>
                <w:sz w:val="20"/>
                <w:lang w:val="en-US"/>
              </w:rPr>
              <w:t xml:space="preserve">Hepatitis/human immunodeficiency virus (HIV) serology </w:t>
            </w:r>
          </w:p>
          <w:p w14:paraId="15A5473F" w14:textId="3E2F02B2" w:rsidR="005E785F" w:rsidRDefault="003621E8">
            <w:pPr>
              <w:pStyle w:val="BodyText"/>
              <w:numPr>
                <w:ilvl w:val="0"/>
                <w:numId w:val="38"/>
              </w:numPr>
              <w:spacing w:before="0" w:after="0"/>
              <w:rPr>
                <w:sz w:val="20"/>
                <w:lang w:val="en-US"/>
              </w:rPr>
            </w:pPr>
            <w:r>
              <w:rPr>
                <w:sz w:val="20"/>
                <w:lang w:val="en-US"/>
              </w:rPr>
              <w:t>Inclusion/Exclusion Criteria</w:t>
            </w:r>
          </w:p>
          <w:p w14:paraId="00AAF0B7" w14:textId="5FDA05E5" w:rsidR="005E785F" w:rsidRDefault="003621E8">
            <w:pPr>
              <w:pStyle w:val="BodyText"/>
              <w:numPr>
                <w:ilvl w:val="0"/>
                <w:numId w:val="38"/>
              </w:numPr>
              <w:spacing w:before="0" w:after="0"/>
              <w:rPr>
                <w:sz w:val="20"/>
                <w:lang w:val="en-US"/>
              </w:rPr>
            </w:pPr>
            <w:r>
              <w:rPr>
                <w:sz w:val="20"/>
                <w:lang w:val="en-US"/>
              </w:rPr>
              <w:t>Weight and height/body mass index (BMI)</w:t>
            </w:r>
          </w:p>
          <w:p w14:paraId="38E15221" w14:textId="5DE48DF6" w:rsidR="005E785F" w:rsidRDefault="003621E8">
            <w:pPr>
              <w:pStyle w:val="BodyText"/>
              <w:numPr>
                <w:ilvl w:val="0"/>
                <w:numId w:val="38"/>
              </w:numPr>
              <w:spacing w:before="0" w:after="0"/>
              <w:rPr>
                <w:sz w:val="20"/>
                <w:lang w:val="en-US"/>
              </w:rPr>
            </w:pPr>
            <w:r>
              <w:rPr>
                <w:sz w:val="20"/>
                <w:lang w:val="en-US"/>
              </w:rPr>
              <w:t>Vein assessment</w:t>
            </w:r>
          </w:p>
          <w:p w14:paraId="371897ED" w14:textId="24270663" w:rsidR="005E785F" w:rsidRDefault="003621E8">
            <w:pPr>
              <w:pStyle w:val="BodyText"/>
              <w:numPr>
                <w:ilvl w:val="0"/>
                <w:numId w:val="38"/>
              </w:numPr>
              <w:spacing w:before="0" w:after="0"/>
              <w:rPr>
                <w:sz w:val="20"/>
                <w:lang w:val="en-US"/>
              </w:rPr>
            </w:pPr>
            <w:r>
              <w:rPr>
                <w:sz w:val="20"/>
                <w:lang w:val="en-US"/>
              </w:rPr>
              <w:t>Urine drugs of abuse (DOA) and alcohol/cotinine screen</w:t>
            </w:r>
          </w:p>
          <w:p w14:paraId="45893F88" w14:textId="1F6329A8" w:rsidR="005E785F" w:rsidRDefault="003621E8">
            <w:pPr>
              <w:pStyle w:val="BodyText"/>
              <w:numPr>
                <w:ilvl w:val="0"/>
                <w:numId w:val="38"/>
              </w:numPr>
              <w:spacing w:before="0" w:after="0"/>
              <w:rPr>
                <w:sz w:val="20"/>
                <w:lang w:val="en-US"/>
              </w:rPr>
            </w:pPr>
            <w:r>
              <w:rPr>
                <w:sz w:val="20"/>
                <w:lang w:val="en-US"/>
              </w:rPr>
              <w:t>Physical examination (full)</w:t>
            </w:r>
          </w:p>
          <w:p w14:paraId="3A41E5BA" w14:textId="21173925" w:rsidR="005E785F" w:rsidRDefault="003621E8">
            <w:pPr>
              <w:pStyle w:val="BodyText"/>
              <w:numPr>
                <w:ilvl w:val="0"/>
                <w:numId w:val="38"/>
              </w:numPr>
              <w:spacing w:before="0" w:after="0"/>
              <w:rPr>
                <w:sz w:val="20"/>
                <w:lang w:val="en-US"/>
              </w:rPr>
            </w:pPr>
            <w:r>
              <w:rPr>
                <w:sz w:val="20"/>
                <w:lang w:val="en-US"/>
              </w:rPr>
              <w:t>Vital signs (supine systolic and diastolic blood pressure, pulse rate, oral temperature and respiration rate)</w:t>
            </w:r>
          </w:p>
          <w:p w14:paraId="3D57157B" w14:textId="4AF92DD4" w:rsidR="005E785F" w:rsidRDefault="003621E8">
            <w:pPr>
              <w:pStyle w:val="BodyText"/>
              <w:numPr>
                <w:ilvl w:val="0"/>
                <w:numId w:val="38"/>
              </w:numPr>
              <w:spacing w:before="0" w:after="0"/>
              <w:rPr>
                <w:sz w:val="20"/>
                <w:lang w:val="en-US"/>
              </w:rPr>
            </w:pPr>
            <w:r>
              <w:rPr>
                <w:sz w:val="20"/>
                <w:lang w:val="en-US"/>
              </w:rPr>
              <w:t>Laboratory safety tests (biochemistry including C-reactive protein, haematology, coagulation, urinalysis and urine microscopy, if needed)</w:t>
            </w:r>
          </w:p>
          <w:p w14:paraId="4EA8D26E" w14:textId="0D7B9A3F" w:rsidR="005E785F" w:rsidRDefault="003621E8">
            <w:pPr>
              <w:pStyle w:val="BodyText"/>
              <w:numPr>
                <w:ilvl w:val="0"/>
                <w:numId w:val="38"/>
              </w:numPr>
              <w:spacing w:before="0" w:after="0"/>
              <w:rPr>
                <w:sz w:val="20"/>
                <w:lang w:val="en-US"/>
              </w:rPr>
            </w:pPr>
            <w:r>
              <w:rPr>
                <w:sz w:val="20"/>
                <w:lang w:val="en-US"/>
              </w:rPr>
              <w:t>Thyroid stimulating hormone</w:t>
            </w:r>
          </w:p>
          <w:p w14:paraId="50DFD7B0" w14:textId="1044C18C" w:rsidR="005E785F" w:rsidRDefault="003621E8">
            <w:pPr>
              <w:pStyle w:val="BodyText"/>
              <w:numPr>
                <w:ilvl w:val="0"/>
                <w:numId w:val="38"/>
              </w:numPr>
              <w:spacing w:before="0" w:after="0"/>
              <w:rPr>
                <w:sz w:val="20"/>
                <w:lang w:val="en-US"/>
              </w:rPr>
            </w:pPr>
            <w:r>
              <w:rPr>
                <w:sz w:val="20"/>
                <w:lang w:val="en-US"/>
              </w:rPr>
              <w:t>12-lead electrocardiogram (ECG)</w:t>
            </w:r>
          </w:p>
          <w:p w14:paraId="788E631B" w14:textId="23A7E85E" w:rsidR="005E785F" w:rsidRDefault="003621E8">
            <w:pPr>
              <w:pStyle w:val="BodyText"/>
              <w:numPr>
                <w:ilvl w:val="0"/>
                <w:numId w:val="38"/>
              </w:numPr>
              <w:spacing w:before="0" w:after="0"/>
              <w:rPr>
                <w:sz w:val="20"/>
                <w:lang w:val="en-US"/>
              </w:rPr>
            </w:pPr>
            <w:r>
              <w:rPr>
                <w:sz w:val="20"/>
                <w:lang w:val="en-US"/>
              </w:rPr>
              <w:t>Adverse event (AE)</w:t>
            </w:r>
          </w:p>
          <w:p w14:paraId="097CEAF6" w14:textId="179DB0DE" w:rsidR="005E785F" w:rsidRDefault="003621E8">
            <w:pPr>
              <w:pStyle w:val="BodyText"/>
              <w:numPr>
                <w:ilvl w:val="0"/>
                <w:numId w:val="38"/>
              </w:numPr>
              <w:spacing w:before="0" w:after="0"/>
              <w:rPr>
                <w:sz w:val="20"/>
                <w:lang w:val="en-US"/>
              </w:rPr>
            </w:pPr>
            <w:r>
              <w:rPr>
                <w:sz w:val="20"/>
                <w:lang w:val="en-US"/>
              </w:rPr>
              <w:t>Serious Adverse Event (SAE)</w:t>
            </w:r>
          </w:p>
          <w:p w14:paraId="33808B9B" w14:textId="60194A32" w:rsidR="005E785F" w:rsidRDefault="003621E8">
            <w:pPr>
              <w:pStyle w:val="BodyText"/>
              <w:numPr>
                <w:ilvl w:val="0"/>
                <w:numId w:val="38"/>
              </w:numPr>
              <w:spacing w:before="0" w:after="0"/>
              <w:rPr>
                <w:sz w:val="20"/>
                <w:lang w:val="en-US"/>
              </w:rPr>
            </w:pPr>
            <w:r>
              <w:rPr>
                <w:sz w:val="20"/>
                <w:lang w:val="en-US"/>
              </w:rPr>
              <w:t>Prior and concomitant medication</w:t>
            </w:r>
          </w:p>
          <w:p w14:paraId="5D103FE3" w14:textId="56B71A27" w:rsidR="005E785F" w:rsidRDefault="003621E8">
            <w:pPr>
              <w:pStyle w:val="BodyText"/>
              <w:rPr>
                <w:b/>
                <w:sz w:val="20"/>
              </w:rPr>
            </w:pPr>
            <w:r>
              <w:rPr>
                <w:b/>
                <w:sz w:val="20"/>
              </w:rPr>
              <w:t>Treatment Period (Day -1 to Day 7):</w:t>
            </w:r>
          </w:p>
          <w:p w14:paraId="5B969667" w14:textId="53F1162A" w:rsidR="005E785F" w:rsidRDefault="003621E8">
            <w:pPr>
              <w:pStyle w:val="BodyText"/>
              <w:rPr>
                <w:bCs/>
                <w:sz w:val="20"/>
              </w:rPr>
            </w:pPr>
            <w:r>
              <w:rPr>
                <w:sz w:val="20"/>
              </w:rPr>
              <w:t>Subjects will be admitted to the clinic on the morning of Day -1 and will remain in the unit until discharge on Day 4 (72 hours post-dose) when all scheduled assessments and procedures have been performed. All subjects will come back on Day 7 for a return-visit.</w:t>
            </w:r>
          </w:p>
          <w:p w14:paraId="01D61952" w14:textId="003A0794" w:rsidR="005E785F" w:rsidRDefault="003621E8">
            <w:pPr>
              <w:pStyle w:val="BodyText"/>
              <w:ind w:left="720"/>
              <w:rPr>
                <w:bCs/>
                <w:sz w:val="20"/>
              </w:rPr>
            </w:pPr>
            <w:r>
              <w:rPr>
                <w:b/>
                <w:sz w:val="20"/>
              </w:rPr>
              <w:t>Day -1:</w:t>
            </w:r>
            <w:r>
              <w:rPr>
                <w:bCs/>
                <w:sz w:val="20"/>
              </w:rPr>
              <w:t xml:space="preserve"> </w:t>
            </w:r>
          </w:p>
          <w:p w14:paraId="2B6FC22E" w14:textId="286A659C" w:rsidR="005E785F" w:rsidRDefault="003621E8">
            <w:pPr>
              <w:pStyle w:val="ListParagraph"/>
              <w:numPr>
                <w:ilvl w:val="1"/>
                <w:numId w:val="38"/>
              </w:numPr>
              <w:rPr>
                <w:rFonts w:cs="Times New Roman"/>
                <w:bCs/>
                <w:sz w:val="20"/>
                <w:lang w:val="en-GB"/>
              </w:rPr>
            </w:pPr>
            <w:r>
              <w:rPr>
                <w:rFonts w:cs="Times New Roman"/>
                <w:bCs/>
                <w:sz w:val="20"/>
                <w:lang w:val="en-GB"/>
              </w:rPr>
              <w:t>Medical and surgical history (update)</w:t>
            </w:r>
          </w:p>
          <w:p w14:paraId="6FCACF46" w14:textId="5AA457D0" w:rsidR="005E785F" w:rsidRDefault="003621E8">
            <w:pPr>
              <w:pStyle w:val="ListParagraph"/>
              <w:numPr>
                <w:ilvl w:val="1"/>
                <w:numId w:val="38"/>
              </w:numPr>
              <w:rPr>
                <w:rFonts w:cs="Times New Roman"/>
                <w:bCs/>
                <w:sz w:val="20"/>
                <w:lang w:val="en-GB"/>
              </w:rPr>
            </w:pPr>
            <w:r>
              <w:rPr>
                <w:rFonts w:cs="Times New Roman"/>
                <w:bCs/>
                <w:sz w:val="20"/>
                <w:lang w:val="en-GB"/>
              </w:rPr>
              <w:t>Polymerase chain reaction (PCR) test for COVID-19</w:t>
            </w:r>
          </w:p>
          <w:p w14:paraId="6A495155" w14:textId="69DEDFA2" w:rsidR="005E785F" w:rsidRDefault="003621E8">
            <w:pPr>
              <w:pStyle w:val="ListParagraph"/>
              <w:numPr>
                <w:ilvl w:val="1"/>
                <w:numId w:val="38"/>
              </w:numPr>
              <w:rPr>
                <w:rFonts w:cs="Times New Roman"/>
                <w:bCs/>
                <w:sz w:val="20"/>
                <w:lang w:val="en-GB"/>
              </w:rPr>
            </w:pPr>
            <w:r>
              <w:rPr>
                <w:rFonts w:cs="Times New Roman"/>
                <w:sz w:val="20"/>
              </w:rPr>
              <w:t>Inclusion/exclusion criteria</w:t>
            </w:r>
          </w:p>
          <w:p w14:paraId="2801B714" w14:textId="19C2122F" w:rsidR="005E785F" w:rsidRDefault="003621E8">
            <w:pPr>
              <w:pStyle w:val="ListParagraph"/>
              <w:numPr>
                <w:ilvl w:val="1"/>
                <w:numId w:val="38"/>
              </w:numPr>
              <w:rPr>
                <w:rFonts w:cs="Times New Roman"/>
                <w:bCs/>
                <w:sz w:val="20"/>
                <w:lang w:val="en-GB"/>
              </w:rPr>
            </w:pPr>
            <w:r>
              <w:rPr>
                <w:rFonts w:cs="Times New Roman"/>
                <w:sz w:val="20"/>
              </w:rPr>
              <w:t>Weight</w:t>
            </w:r>
          </w:p>
          <w:p w14:paraId="1860A9C3" w14:textId="77777777" w:rsidR="005E785F" w:rsidRDefault="003621E8">
            <w:pPr>
              <w:pStyle w:val="ListParagraph"/>
              <w:numPr>
                <w:ilvl w:val="1"/>
                <w:numId w:val="38"/>
              </w:numPr>
              <w:rPr>
                <w:rFonts w:cs="Times New Roman"/>
                <w:bCs/>
                <w:sz w:val="20"/>
                <w:lang w:val="en-GB"/>
              </w:rPr>
            </w:pPr>
            <w:r>
              <w:rPr>
                <w:rFonts w:cs="Times New Roman"/>
                <w:bCs/>
                <w:sz w:val="20"/>
                <w:lang w:val="en-GB"/>
              </w:rPr>
              <w:t>Vein assessment</w:t>
            </w:r>
          </w:p>
          <w:p w14:paraId="79BC9C9D" w14:textId="77777777" w:rsidR="005E785F" w:rsidRDefault="003621E8">
            <w:pPr>
              <w:pStyle w:val="BodyText"/>
              <w:numPr>
                <w:ilvl w:val="1"/>
                <w:numId w:val="38"/>
              </w:numPr>
              <w:spacing w:before="0" w:after="0"/>
              <w:rPr>
                <w:bCs/>
                <w:sz w:val="20"/>
              </w:rPr>
            </w:pPr>
            <w:r>
              <w:rPr>
                <w:bCs/>
                <w:sz w:val="20"/>
              </w:rPr>
              <w:t>Urine DOA and alcohol/cotinine screen</w:t>
            </w:r>
          </w:p>
          <w:p w14:paraId="53D12A65" w14:textId="50724E9B" w:rsidR="005E785F" w:rsidRDefault="003621E8">
            <w:pPr>
              <w:pStyle w:val="BodyText"/>
              <w:numPr>
                <w:ilvl w:val="1"/>
                <w:numId w:val="38"/>
              </w:numPr>
              <w:spacing w:before="0" w:after="0"/>
              <w:rPr>
                <w:bCs/>
                <w:sz w:val="20"/>
              </w:rPr>
            </w:pPr>
            <w:r>
              <w:rPr>
                <w:bCs/>
                <w:sz w:val="20"/>
              </w:rPr>
              <w:t>A brief physical examination</w:t>
            </w:r>
          </w:p>
          <w:p w14:paraId="4B963002" w14:textId="4DD28B6D" w:rsidR="005E785F" w:rsidRDefault="003621E8">
            <w:pPr>
              <w:pStyle w:val="ListParagraph"/>
              <w:numPr>
                <w:ilvl w:val="1"/>
                <w:numId w:val="38"/>
              </w:numPr>
              <w:rPr>
                <w:rFonts w:cs="Times New Roman"/>
                <w:bCs/>
                <w:sz w:val="20"/>
                <w:lang w:val="en-GB"/>
              </w:rPr>
            </w:pPr>
            <w:r>
              <w:rPr>
                <w:rFonts w:cs="Times New Roman"/>
                <w:bCs/>
                <w:sz w:val="20"/>
                <w:lang w:val="en-GB"/>
              </w:rPr>
              <w:t>Vital signs (supine systolic and diastolic blood pressure, pulse rate, oral temperature and respiration rate)</w:t>
            </w:r>
          </w:p>
          <w:p w14:paraId="1A544C2C" w14:textId="51CE7CBA" w:rsidR="005E785F" w:rsidRDefault="003621E8">
            <w:pPr>
              <w:pStyle w:val="BodyText"/>
              <w:numPr>
                <w:ilvl w:val="1"/>
                <w:numId w:val="38"/>
              </w:numPr>
              <w:spacing w:before="0" w:after="0"/>
              <w:rPr>
                <w:bCs/>
                <w:sz w:val="20"/>
              </w:rPr>
            </w:pPr>
            <w:r>
              <w:rPr>
                <w:bCs/>
                <w:sz w:val="20"/>
              </w:rPr>
              <w:t>Laboratory safety tests (biochemistry</w:t>
            </w:r>
            <w:r>
              <w:t xml:space="preserve"> </w:t>
            </w:r>
            <w:r>
              <w:rPr>
                <w:bCs/>
                <w:sz w:val="20"/>
              </w:rPr>
              <w:t>including C-reactive protein, haematology, coagulation, urinalysis and urine microscopy, if needed)</w:t>
            </w:r>
          </w:p>
          <w:p w14:paraId="69AB55C1" w14:textId="22D93247" w:rsidR="005E785F" w:rsidRDefault="003621E8">
            <w:pPr>
              <w:pStyle w:val="BodyText"/>
              <w:numPr>
                <w:ilvl w:val="1"/>
                <w:numId w:val="38"/>
              </w:numPr>
              <w:spacing w:before="0" w:after="0"/>
              <w:rPr>
                <w:bCs/>
                <w:sz w:val="20"/>
              </w:rPr>
            </w:pPr>
            <w:r>
              <w:rPr>
                <w:bCs/>
                <w:sz w:val="20"/>
              </w:rPr>
              <w:t>12-lead ECG</w:t>
            </w:r>
          </w:p>
          <w:p w14:paraId="0F9D30E4" w14:textId="77777777" w:rsidR="005E785F" w:rsidRDefault="003621E8">
            <w:pPr>
              <w:pStyle w:val="BodyText"/>
              <w:numPr>
                <w:ilvl w:val="1"/>
                <w:numId w:val="38"/>
              </w:numPr>
              <w:spacing w:before="0" w:after="0"/>
              <w:rPr>
                <w:bCs/>
                <w:sz w:val="20"/>
              </w:rPr>
            </w:pPr>
            <w:r>
              <w:rPr>
                <w:bCs/>
                <w:sz w:val="20"/>
              </w:rPr>
              <w:t>AE</w:t>
            </w:r>
          </w:p>
          <w:p w14:paraId="1C6949F6" w14:textId="17142EB6" w:rsidR="005E785F" w:rsidRDefault="003621E8">
            <w:pPr>
              <w:pStyle w:val="BodyText"/>
              <w:numPr>
                <w:ilvl w:val="1"/>
                <w:numId w:val="38"/>
              </w:numPr>
              <w:spacing w:before="0" w:after="0"/>
              <w:rPr>
                <w:bCs/>
                <w:sz w:val="20"/>
              </w:rPr>
            </w:pPr>
            <w:r>
              <w:rPr>
                <w:bCs/>
                <w:sz w:val="20"/>
              </w:rPr>
              <w:t xml:space="preserve">SAE </w:t>
            </w:r>
          </w:p>
          <w:p w14:paraId="7C50AADE" w14:textId="0B4F6EC0" w:rsidR="005E785F" w:rsidRDefault="003621E8">
            <w:pPr>
              <w:pStyle w:val="ListParagraph"/>
              <w:numPr>
                <w:ilvl w:val="1"/>
                <w:numId w:val="38"/>
              </w:numPr>
              <w:rPr>
                <w:rFonts w:cs="Times New Roman"/>
                <w:bCs/>
                <w:sz w:val="20"/>
                <w:lang w:val="en-GB"/>
              </w:rPr>
            </w:pPr>
            <w:r>
              <w:rPr>
                <w:rFonts w:cs="Times New Roman"/>
                <w:bCs/>
                <w:sz w:val="20"/>
                <w:lang w:val="en-GB"/>
              </w:rPr>
              <w:t>Prior and concomitant medication</w:t>
            </w:r>
          </w:p>
          <w:p w14:paraId="6D1A469B" w14:textId="0311E863" w:rsidR="005E785F" w:rsidRDefault="003621E8">
            <w:pPr>
              <w:pStyle w:val="BodyText"/>
              <w:rPr>
                <w:b/>
                <w:sz w:val="20"/>
              </w:rPr>
            </w:pPr>
            <w:r>
              <w:rPr>
                <w:b/>
                <w:sz w:val="20"/>
              </w:rPr>
              <w:tab/>
            </w:r>
            <w:r>
              <w:rPr>
                <w:b/>
                <w:sz w:val="20"/>
              </w:rPr>
              <w:tab/>
              <w:t>Day 1:</w:t>
            </w:r>
          </w:p>
          <w:p w14:paraId="64D9559A" w14:textId="4540428E" w:rsidR="005E785F" w:rsidRDefault="003621E8">
            <w:pPr>
              <w:pStyle w:val="BodyText"/>
              <w:ind w:left="720"/>
              <w:rPr>
                <w:bCs/>
                <w:sz w:val="20"/>
              </w:rPr>
            </w:pPr>
            <w:r>
              <w:rPr>
                <w:sz w:val="20"/>
              </w:rPr>
              <w:lastRenderedPageBreak/>
              <w:t>Dose administrations of CpG ODN D35 or placebo will occur in the morning of Day 1 in a randomised, double-blind manner.</w:t>
            </w:r>
          </w:p>
          <w:p w14:paraId="19D86494" w14:textId="64CDF342" w:rsidR="005E785F" w:rsidRDefault="003621E8">
            <w:pPr>
              <w:pStyle w:val="BodyText"/>
              <w:ind w:left="720"/>
              <w:rPr>
                <w:bCs/>
                <w:sz w:val="20"/>
              </w:rPr>
            </w:pPr>
            <w:r>
              <w:rPr>
                <w:bCs/>
                <w:sz w:val="20"/>
              </w:rPr>
              <w:t xml:space="preserve">The following procedures will be performed on </w:t>
            </w:r>
            <w:r>
              <w:rPr>
                <w:b/>
                <w:sz w:val="20"/>
              </w:rPr>
              <w:t>Day 1 pre-dose</w:t>
            </w:r>
            <w:r>
              <w:rPr>
                <w:bCs/>
                <w:sz w:val="20"/>
              </w:rPr>
              <w:t>:</w:t>
            </w:r>
          </w:p>
          <w:p w14:paraId="1D6EA6CB" w14:textId="6C2F4B69" w:rsidR="005E785F" w:rsidRDefault="003621E8">
            <w:pPr>
              <w:pStyle w:val="BodyText"/>
              <w:numPr>
                <w:ilvl w:val="1"/>
                <w:numId w:val="38"/>
              </w:numPr>
              <w:spacing w:before="0" w:after="0"/>
              <w:rPr>
                <w:bCs/>
                <w:sz w:val="20"/>
              </w:rPr>
            </w:pPr>
            <w:r>
              <w:rPr>
                <w:bCs/>
                <w:sz w:val="20"/>
              </w:rPr>
              <w:t>Randomisation</w:t>
            </w:r>
          </w:p>
          <w:p w14:paraId="17900490" w14:textId="267B5D7D" w:rsidR="005E785F" w:rsidRDefault="003621E8">
            <w:pPr>
              <w:pStyle w:val="BodyText"/>
              <w:numPr>
                <w:ilvl w:val="1"/>
                <w:numId w:val="38"/>
              </w:numPr>
              <w:spacing w:before="0" w:after="0"/>
              <w:rPr>
                <w:bCs/>
                <w:sz w:val="20"/>
              </w:rPr>
            </w:pPr>
            <w:r>
              <w:rPr>
                <w:bCs/>
                <w:sz w:val="20"/>
              </w:rPr>
              <w:t>A brief physical examination</w:t>
            </w:r>
          </w:p>
          <w:p w14:paraId="31CD96D3" w14:textId="62791477" w:rsidR="005E785F" w:rsidRDefault="003621E8">
            <w:pPr>
              <w:pStyle w:val="BodyText"/>
              <w:numPr>
                <w:ilvl w:val="1"/>
                <w:numId w:val="38"/>
              </w:numPr>
              <w:spacing w:before="0" w:after="0"/>
              <w:rPr>
                <w:bCs/>
                <w:sz w:val="20"/>
              </w:rPr>
            </w:pPr>
            <w:r>
              <w:rPr>
                <w:bCs/>
                <w:sz w:val="20"/>
              </w:rPr>
              <w:t>Injection site examination</w:t>
            </w:r>
          </w:p>
          <w:p w14:paraId="5A12FF6E" w14:textId="2C0733E0" w:rsidR="005E785F" w:rsidRDefault="003621E8">
            <w:pPr>
              <w:pStyle w:val="BodyText"/>
              <w:numPr>
                <w:ilvl w:val="1"/>
                <w:numId w:val="38"/>
              </w:numPr>
              <w:spacing w:before="0" w:after="0"/>
              <w:rPr>
                <w:bCs/>
                <w:sz w:val="20"/>
              </w:rPr>
            </w:pPr>
            <w:r>
              <w:rPr>
                <w:bCs/>
                <w:sz w:val="20"/>
              </w:rPr>
              <w:t>Vital signs (supine systolic and diastolic blood pressure, pulse rate, oral temperature and</w:t>
            </w:r>
            <w:r>
              <w:t xml:space="preserve"> </w:t>
            </w:r>
            <w:r>
              <w:rPr>
                <w:bCs/>
                <w:sz w:val="20"/>
              </w:rPr>
              <w:t>respiration rate)</w:t>
            </w:r>
          </w:p>
          <w:p w14:paraId="16A80561" w14:textId="5979E60B" w:rsidR="005E785F" w:rsidRDefault="003621E8">
            <w:pPr>
              <w:pStyle w:val="ListParagraph"/>
              <w:numPr>
                <w:ilvl w:val="1"/>
                <w:numId w:val="38"/>
              </w:numPr>
              <w:rPr>
                <w:rFonts w:cs="Times New Roman"/>
                <w:bCs/>
                <w:sz w:val="20"/>
                <w:lang w:val="en-GB"/>
              </w:rPr>
            </w:pPr>
            <w:r>
              <w:rPr>
                <w:rFonts w:cs="Times New Roman"/>
                <w:bCs/>
                <w:sz w:val="20"/>
                <w:lang w:val="en-GB"/>
              </w:rPr>
              <w:t>12-lead ECG (triplicate)</w:t>
            </w:r>
          </w:p>
          <w:p w14:paraId="66424916" w14:textId="2FE18B98" w:rsidR="005E785F" w:rsidRDefault="003621E8">
            <w:pPr>
              <w:pStyle w:val="BodyText"/>
              <w:numPr>
                <w:ilvl w:val="1"/>
                <w:numId w:val="38"/>
              </w:numPr>
              <w:spacing w:before="0" w:after="0"/>
              <w:rPr>
                <w:bCs/>
                <w:sz w:val="20"/>
              </w:rPr>
            </w:pPr>
            <w:r>
              <w:rPr>
                <w:bCs/>
                <w:sz w:val="20"/>
              </w:rPr>
              <w:t>AE</w:t>
            </w:r>
          </w:p>
          <w:p w14:paraId="7AB52513" w14:textId="01587B71" w:rsidR="005E785F" w:rsidRDefault="003621E8">
            <w:pPr>
              <w:pStyle w:val="BodyText"/>
              <w:numPr>
                <w:ilvl w:val="1"/>
                <w:numId w:val="38"/>
              </w:numPr>
              <w:spacing w:before="0" w:after="0"/>
              <w:rPr>
                <w:bCs/>
                <w:sz w:val="20"/>
              </w:rPr>
            </w:pPr>
            <w:r>
              <w:rPr>
                <w:bCs/>
                <w:sz w:val="20"/>
              </w:rPr>
              <w:t>SAE</w:t>
            </w:r>
          </w:p>
          <w:p w14:paraId="04052B82" w14:textId="77777777" w:rsidR="005E785F" w:rsidRDefault="003621E8">
            <w:pPr>
              <w:pStyle w:val="ListParagraph"/>
              <w:numPr>
                <w:ilvl w:val="1"/>
                <w:numId w:val="38"/>
              </w:numPr>
              <w:rPr>
                <w:rFonts w:cs="Times New Roman"/>
                <w:bCs/>
                <w:sz w:val="20"/>
                <w:lang w:val="en-GB"/>
              </w:rPr>
            </w:pPr>
            <w:r>
              <w:rPr>
                <w:rFonts w:cs="Times New Roman"/>
                <w:bCs/>
                <w:sz w:val="20"/>
                <w:lang w:val="en-GB"/>
              </w:rPr>
              <w:t>Prior and concomitant medication</w:t>
            </w:r>
          </w:p>
          <w:p w14:paraId="74ADCBAB" w14:textId="3ECE29DB" w:rsidR="005E785F" w:rsidRDefault="003621E8">
            <w:pPr>
              <w:pStyle w:val="BodyText"/>
              <w:numPr>
                <w:ilvl w:val="1"/>
                <w:numId w:val="38"/>
              </w:numPr>
              <w:spacing w:before="0" w:after="0"/>
              <w:rPr>
                <w:bCs/>
                <w:sz w:val="20"/>
              </w:rPr>
            </w:pPr>
            <w:r>
              <w:rPr>
                <w:bCs/>
                <w:sz w:val="20"/>
              </w:rPr>
              <w:t>PD blood sample for cytokines and chemokines</w:t>
            </w:r>
          </w:p>
          <w:p w14:paraId="4E21E03E" w14:textId="331D0DD2" w:rsidR="005E785F" w:rsidRDefault="003621E8">
            <w:pPr>
              <w:pStyle w:val="BodyText"/>
              <w:numPr>
                <w:ilvl w:val="1"/>
                <w:numId w:val="38"/>
              </w:numPr>
              <w:spacing w:before="0" w:after="0"/>
              <w:rPr>
                <w:bCs/>
                <w:sz w:val="20"/>
              </w:rPr>
            </w:pPr>
            <w:r>
              <w:rPr>
                <w:bCs/>
                <w:sz w:val="20"/>
              </w:rPr>
              <w:t>PK plasma sample for CpG ODN D35</w:t>
            </w:r>
          </w:p>
          <w:p w14:paraId="7CA7FA44" w14:textId="55D4FB6D" w:rsidR="005E785F" w:rsidRDefault="003621E8">
            <w:pPr>
              <w:pStyle w:val="BodyText"/>
              <w:numPr>
                <w:ilvl w:val="1"/>
                <w:numId w:val="38"/>
              </w:numPr>
              <w:spacing w:before="0" w:after="0"/>
              <w:rPr>
                <w:bCs/>
                <w:sz w:val="20"/>
              </w:rPr>
            </w:pPr>
            <w:r>
              <w:rPr>
                <w:bCs/>
                <w:sz w:val="20"/>
              </w:rPr>
              <w:t>Blood sample for mRNA markers</w:t>
            </w:r>
          </w:p>
          <w:p w14:paraId="035576B8" w14:textId="58AF3FF2" w:rsidR="005E785F" w:rsidRDefault="003621E8">
            <w:pPr>
              <w:pStyle w:val="BodyText"/>
              <w:numPr>
                <w:ilvl w:val="1"/>
                <w:numId w:val="38"/>
              </w:numPr>
              <w:spacing w:before="0" w:after="0"/>
              <w:rPr>
                <w:bCs/>
                <w:sz w:val="20"/>
              </w:rPr>
            </w:pPr>
            <w:r>
              <w:rPr>
                <w:bCs/>
                <w:sz w:val="20"/>
              </w:rPr>
              <w:t>Blood sample for PBMC isolate</w:t>
            </w:r>
          </w:p>
          <w:p w14:paraId="4A77EA5D" w14:textId="7C0F26A4" w:rsidR="005E785F" w:rsidRDefault="003621E8">
            <w:pPr>
              <w:pStyle w:val="BodyText"/>
              <w:numPr>
                <w:ilvl w:val="1"/>
                <w:numId w:val="38"/>
              </w:numPr>
              <w:spacing w:before="0" w:after="0"/>
              <w:rPr>
                <w:bCs/>
                <w:sz w:val="20"/>
              </w:rPr>
            </w:pPr>
            <w:r>
              <w:rPr>
                <w:bCs/>
                <w:sz w:val="20"/>
              </w:rPr>
              <w:t xml:space="preserve">Blood sample for titration of autoantibodies </w:t>
            </w:r>
          </w:p>
          <w:p w14:paraId="084C03EC" w14:textId="2E849B9A" w:rsidR="005E785F" w:rsidRDefault="003621E8">
            <w:pPr>
              <w:pStyle w:val="BodyText"/>
              <w:spacing w:after="0"/>
              <w:rPr>
                <w:bCs/>
                <w:sz w:val="20"/>
              </w:rPr>
            </w:pPr>
            <w:r>
              <w:rPr>
                <w:bCs/>
                <w:sz w:val="20"/>
              </w:rPr>
              <w:tab/>
            </w:r>
            <w:r>
              <w:rPr>
                <w:bCs/>
                <w:sz w:val="20"/>
              </w:rPr>
              <w:tab/>
              <w:t xml:space="preserve">Subjects will receive a SC dose of CpG ODN D35 or placebo in the morning. </w:t>
            </w:r>
          </w:p>
          <w:p w14:paraId="7FC23115" w14:textId="56351535" w:rsidR="005E785F" w:rsidRDefault="003621E8">
            <w:pPr>
              <w:pStyle w:val="BodyText"/>
              <w:ind w:left="720"/>
              <w:rPr>
                <w:bCs/>
                <w:sz w:val="20"/>
              </w:rPr>
            </w:pPr>
            <w:r>
              <w:rPr>
                <w:bCs/>
                <w:sz w:val="20"/>
              </w:rPr>
              <w:t xml:space="preserve">The following procedures will be performed on </w:t>
            </w:r>
            <w:r>
              <w:rPr>
                <w:b/>
                <w:sz w:val="20"/>
              </w:rPr>
              <w:t>Day 1, after dosing:</w:t>
            </w:r>
          </w:p>
          <w:p w14:paraId="70583C2E" w14:textId="33B88C1D" w:rsidR="005E785F" w:rsidRDefault="003621E8">
            <w:pPr>
              <w:pStyle w:val="BodyText"/>
              <w:numPr>
                <w:ilvl w:val="1"/>
                <w:numId w:val="38"/>
              </w:numPr>
              <w:spacing w:before="0" w:after="0"/>
              <w:rPr>
                <w:bCs/>
                <w:sz w:val="20"/>
              </w:rPr>
            </w:pPr>
            <w:r>
              <w:rPr>
                <w:sz w:val="20"/>
              </w:rPr>
              <w:t>A brief physical examination: 2 h, 4 h and 8 h post-dose</w:t>
            </w:r>
          </w:p>
          <w:p w14:paraId="551D7B3E" w14:textId="0BF50C75" w:rsidR="005E785F" w:rsidRDefault="003621E8">
            <w:pPr>
              <w:pStyle w:val="BodyText"/>
              <w:numPr>
                <w:ilvl w:val="1"/>
                <w:numId w:val="38"/>
              </w:numPr>
              <w:spacing w:before="0" w:after="0"/>
              <w:rPr>
                <w:bCs/>
                <w:sz w:val="20"/>
              </w:rPr>
            </w:pPr>
            <w:r>
              <w:rPr>
                <w:sz w:val="20"/>
              </w:rPr>
              <w:t>Injection site examination: 2 h, 4 h and 8 h post-dose</w:t>
            </w:r>
          </w:p>
          <w:p w14:paraId="140496AF" w14:textId="5DF2D2AD" w:rsidR="005E785F" w:rsidRDefault="003621E8">
            <w:pPr>
              <w:pStyle w:val="ListParagraph"/>
              <w:numPr>
                <w:ilvl w:val="1"/>
                <w:numId w:val="38"/>
              </w:numPr>
              <w:rPr>
                <w:rFonts w:cs="Times New Roman"/>
                <w:bCs/>
                <w:sz w:val="20"/>
                <w:lang w:val="en-GB"/>
              </w:rPr>
            </w:pPr>
            <w:r>
              <w:rPr>
                <w:rFonts w:cs="Times New Roman"/>
                <w:bCs/>
                <w:sz w:val="20"/>
                <w:lang w:val="en-GB"/>
              </w:rPr>
              <w:t xml:space="preserve">Vital signs (supine systolic and diastolic blood pressure, pulse rate, oral temperature and respiration rate): 15 min, 30 min, 1 h, 2 h, 4 h, 8h and 12 h post-dose </w:t>
            </w:r>
          </w:p>
          <w:p w14:paraId="19751CD2" w14:textId="3B1AE1FE" w:rsidR="005E785F" w:rsidRDefault="003621E8">
            <w:pPr>
              <w:pStyle w:val="BodyText"/>
              <w:numPr>
                <w:ilvl w:val="1"/>
                <w:numId w:val="38"/>
              </w:numPr>
              <w:spacing w:before="0" w:after="0"/>
              <w:rPr>
                <w:bCs/>
                <w:sz w:val="20"/>
              </w:rPr>
            </w:pPr>
            <w:r>
              <w:rPr>
                <w:sz w:val="20"/>
              </w:rPr>
              <w:t>12-lead ECG: 15 min, 30 min, 1 h and 8 h post-dose</w:t>
            </w:r>
          </w:p>
          <w:p w14:paraId="2713BE7C" w14:textId="77777777" w:rsidR="005E785F" w:rsidRDefault="003621E8">
            <w:pPr>
              <w:pStyle w:val="ListParagraph"/>
              <w:numPr>
                <w:ilvl w:val="1"/>
                <w:numId w:val="38"/>
              </w:numPr>
              <w:rPr>
                <w:rFonts w:cs="Times New Roman"/>
                <w:bCs/>
                <w:sz w:val="20"/>
                <w:lang w:val="en-GB"/>
              </w:rPr>
            </w:pPr>
            <w:r>
              <w:rPr>
                <w:rFonts w:cs="Times New Roman"/>
                <w:bCs/>
                <w:sz w:val="20"/>
                <w:lang w:val="en-GB"/>
              </w:rPr>
              <w:t>AE</w:t>
            </w:r>
          </w:p>
          <w:p w14:paraId="3B7F5C76" w14:textId="780868FD" w:rsidR="005E785F" w:rsidRDefault="003621E8">
            <w:pPr>
              <w:pStyle w:val="BodyText"/>
              <w:numPr>
                <w:ilvl w:val="1"/>
                <w:numId w:val="38"/>
              </w:numPr>
              <w:spacing w:before="0" w:after="0"/>
              <w:rPr>
                <w:bCs/>
                <w:sz w:val="20"/>
              </w:rPr>
            </w:pPr>
            <w:r>
              <w:rPr>
                <w:bCs/>
                <w:sz w:val="20"/>
              </w:rPr>
              <w:t xml:space="preserve">SAE </w:t>
            </w:r>
          </w:p>
          <w:p w14:paraId="200AE44D" w14:textId="77777777" w:rsidR="005E785F" w:rsidRDefault="003621E8">
            <w:pPr>
              <w:pStyle w:val="BodyText"/>
              <w:numPr>
                <w:ilvl w:val="1"/>
                <w:numId w:val="38"/>
              </w:numPr>
              <w:spacing w:before="0" w:after="0"/>
              <w:rPr>
                <w:bCs/>
                <w:sz w:val="20"/>
              </w:rPr>
            </w:pPr>
            <w:r>
              <w:rPr>
                <w:bCs/>
                <w:sz w:val="20"/>
              </w:rPr>
              <w:t>Prior and concomitant medication</w:t>
            </w:r>
          </w:p>
          <w:p w14:paraId="7CF98302" w14:textId="6BD55590" w:rsidR="005E785F" w:rsidRDefault="003621E8">
            <w:pPr>
              <w:pStyle w:val="BodyText"/>
              <w:numPr>
                <w:ilvl w:val="1"/>
                <w:numId w:val="38"/>
              </w:numPr>
              <w:spacing w:before="0" w:after="0"/>
              <w:rPr>
                <w:bCs/>
                <w:sz w:val="20"/>
              </w:rPr>
            </w:pPr>
            <w:r>
              <w:rPr>
                <w:bCs/>
                <w:sz w:val="20"/>
              </w:rPr>
              <w:t>PD blood sample for cytokines and chemokines: 8 h and 12 h post-dose</w:t>
            </w:r>
          </w:p>
          <w:p w14:paraId="3CDF640E" w14:textId="77777777" w:rsidR="005E785F" w:rsidRDefault="003621E8">
            <w:pPr>
              <w:pStyle w:val="BodyText"/>
              <w:numPr>
                <w:ilvl w:val="1"/>
                <w:numId w:val="38"/>
              </w:numPr>
              <w:spacing w:before="0" w:after="0"/>
              <w:rPr>
                <w:bCs/>
                <w:sz w:val="20"/>
              </w:rPr>
            </w:pPr>
            <w:r>
              <w:rPr>
                <w:sz w:val="20"/>
              </w:rPr>
              <w:t>PK plasma sample for CpG ODN D35: 10 min, 20 min, 30 min, 45 min, 60 min, 2 h and 4 h post-dose</w:t>
            </w:r>
          </w:p>
          <w:p w14:paraId="7E363332" w14:textId="6C92C45D" w:rsidR="005E785F" w:rsidRDefault="003621E8">
            <w:pPr>
              <w:pStyle w:val="BodyText"/>
              <w:numPr>
                <w:ilvl w:val="1"/>
                <w:numId w:val="38"/>
              </w:numPr>
              <w:spacing w:before="0" w:after="0"/>
              <w:rPr>
                <w:b/>
                <w:sz w:val="20"/>
              </w:rPr>
            </w:pPr>
            <w:r>
              <w:rPr>
                <w:bCs/>
                <w:sz w:val="20"/>
              </w:rPr>
              <w:t>Blood for mRNA markers: 4 h, 8 h and 12 h post-dose</w:t>
            </w:r>
          </w:p>
          <w:p w14:paraId="6BC0300F" w14:textId="7606C011" w:rsidR="005E785F" w:rsidRDefault="003621E8">
            <w:pPr>
              <w:pStyle w:val="BodyText"/>
              <w:rPr>
                <w:b/>
                <w:sz w:val="20"/>
              </w:rPr>
            </w:pPr>
            <w:r>
              <w:rPr>
                <w:b/>
                <w:sz w:val="20"/>
              </w:rPr>
              <w:tab/>
            </w:r>
            <w:r>
              <w:rPr>
                <w:b/>
                <w:sz w:val="20"/>
              </w:rPr>
              <w:tab/>
              <w:t>Day 2:</w:t>
            </w:r>
          </w:p>
          <w:p w14:paraId="16D1FACB" w14:textId="77777777" w:rsidR="005E785F" w:rsidRDefault="003621E8">
            <w:pPr>
              <w:pStyle w:val="ListParagraph"/>
              <w:numPr>
                <w:ilvl w:val="1"/>
                <w:numId w:val="38"/>
              </w:numPr>
              <w:rPr>
                <w:rFonts w:cs="Times New Roman"/>
                <w:bCs/>
                <w:sz w:val="20"/>
                <w:lang w:val="en-GB"/>
              </w:rPr>
            </w:pPr>
            <w:r>
              <w:rPr>
                <w:rFonts w:cs="Times New Roman"/>
                <w:bCs/>
                <w:sz w:val="20"/>
                <w:lang w:val="en-GB"/>
              </w:rPr>
              <w:t>A brief physical examination</w:t>
            </w:r>
          </w:p>
          <w:p w14:paraId="108EFE90" w14:textId="77777777" w:rsidR="005E785F" w:rsidRDefault="003621E8">
            <w:pPr>
              <w:pStyle w:val="ListParagraph"/>
              <w:numPr>
                <w:ilvl w:val="1"/>
                <w:numId w:val="38"/>
              </w:numPr>
              <w:rPr>
                <w:rFonts w:cs="Times New Roman"/>
                <w:bCs/>
                <w:sz w:val="20"/>
                <w:lang w:val="en-GB"/>
              </w:rPr>
            </w:pPr>
            <w:r>
              <w:rPr>
                <w:rFonts w:cs="Times New Roman"/>
                <w:bCs/>
                <w:sz w:val="20"/>
                <w:lang w:val="en-GB"/>
              </w:rPr>
              <w:t>Injection site examination</w:t>
            </w:r>
          </w:p>
          <w:p w14:paraId="58C8925C" w14:textId="27F417BE" w:rsidR="005E785F" w:rsidRDefault="003621E8">
            <w:pPr>
              <w:pStyle w:val="ListParagraph"/>
              <w:numPr>
                <w:ilvl w:val="1"/>
                <w:numId w:val="38"/>
              </w:numPr>
              <w:rPr>
                <w:rFonts w:cs="Times New Roman"/>
                <w:bCs/>
                <w:sz w:val="20"/>
                <w:lang w:val="en-GB"/>
              </w:rPr>
            </w:pPr>
            <w:r>
              <w:rPr>
                <w:rFonts w:cs="Times New Roman"/>
                <w:bCs/>
                <w:sz w:val="20"/>
                <w:lang w:val="en-GB"/>
              </w:rPr>
              <w:t>Vital signs (supine systolic and diastolic blood pressure, pulse rate, oral temperature and respiration rate)</w:t>
            </w:r>
          </w:p>
          <w:p w14:paraId="4DF55672" w14:textId="77777777" w:rsidR="005E785F" w:rsidRDefault="003621E8">
            <w:pPr>
              <w:pStyle w:val="ListParagraph"/>
              <w:numPr>
                <w:ilvl w:val="1"/>
                <w:numId w:val="38"/>
              </w:numPr>
              <w:rPr>
                <w:rStyle w:val="CommentReference"/>
                <w:rFonts w:cs="Times New Roman"/>
                <w:bCs/>
                <w:sz w:val="20"/>
                <w:szCs w:val="20"/>
                <w:lang w:val="en-GB"/>
              </w:rPr>
            </w:pPr>
            <w:r>
              <w:rPr>
                <w:rFonts w:cs="Times New Roman"/>
                <w:bCs/>
                <w:sz w:val="20"/>
                <w:lang w:val="en-GB"/>
              </w:rPr>
              <w:t>Laboratory safety tests (biochemistry including C-reactive protein, haematology, coagulation, urinalysis and urine microscopy, if needed)</w:t>
            </w:r>
          </w:p>
          <w:p w14:paraId="5F8AECEA" w14:textId="6940C93F" w:rsidR="005E785F" w:rsidRDefault="003621E8">
            <w:pPr>
              <w:pStyle w:val="ListParagraph"/>
              <w:numPr>
                <w:ilvl w:val="1"/>
                <w:numId w:val="38"/>
              </w:numPr>
              <w:rPr>
                <w:rFonts w:cs="Times New Roman"/>
                <w:bCs/>
                <w:sz w:val="20"/>
                <w:lang w:val="en-GB"/>
              </w:rPr>
            </w:pPr>
            <w:r>
              <w:rPr>
                <w:rFonts w:cs="Times New Roman"/>
                <w:bCs/>
                <w:sz w:val="20"/>
                <w:lang w:val="en-GB"/>
              </w:rPr>
              <w:t>AE</w:t>
            </w:r>
          </w:p>
          <w:p w14:paraId="6FAFA81E" w14:textId="13F353A3" w:rsidR="005E785F" w:rsidRDefault="003621E8">
            <w:pPr>
              <w:pStyle w:val="ListParagraph"/>
              <w:numPr>
                <w:ilvl w:val="1"/>
                <w:numId w:val="38"/>
              </w:numPr>
              <w:rPr>
                <w:rFonts w:cs="Times New Roman"/>
                <w:bCs/>
                <w:sz w:val="20"/>
                <w:lang w:val="en-GB"/>
              </w:rPr>
            </w:pPr>
            <w:r>
              <w:rPr>
                <w:rFonts w:cs="Times New Roman"/>
                <w:bCs/>
                <w:sz w:val="20"/>
                <w:lang w:val="en-GB"/>
              </w:rPr>
              <w:t>SAE</w:t>
            </w:r>
          </w:p>
          <w:p w14:paraId="4368FAC6" w14:textId="77777777" w:rsidR="005E785F" w:rsidRDefault="003621E8">
            <w:pPr>
              <w:pStyle w:val="ListParagraph"/>
              <w:numPr>
                <w:ilvl w:val="1"/>
                <w:numId w:val="38"/>
              </w:numPr>
              <w:rPr>
                <w:rFonts w:cs="Times New Roman"/>
                <w:bCs/>
                <w:sz w:val="20"/>
                <w:lang w:val="en-GB"/>
              </w:rPr>
            </w:pPr>
            <w:r>
              <w:rPr>
                <w:rFonts w:cs="Times New Roman"/>
                <w:bCs/>
                <w:sz w:val="20"/>
                <w:lang w:val="en-GB"/>
              </w:rPr>
              <w:t>Prior and concomitant medication</w:t>
            </w:r>
          </w:p>
          <w:p w14:paraId="40D1824E" w14:textId="757557AA" w:rsidR="005E785F" w:rsidRDefault="003621E8">
            <w:pPr>
              <w:pStyle w:val="ListParagraph"/>
              <w:numPr>
                <w:ilvl w:val="1"/>
                <w:numId w:val="38"/>
              </w:numPr>
              <w:rPr>
                <w:rFonts w:cs="Times New Roman"/>
                <w:bCs/>
                <w:sz w:val="20"/>
                <w:lang w:val="en-GB"/>
              </w:rPr>
            </w:pPr>
            <w:r>
              <w:rPr>
                <w:rFonts w:cs="Times New Roman"/>
                <w:bCs/>
                <w:sz w:val="20"/>
                <w:lang w:val="en-GB"/>
              </w:rPr>
              <w:t>PD blood sample for cytokines and chemokines</w:t>
            </w:r>
          </w:p>
          <w:p w14:paraId="27E43928" w14:textId="2C8B8DEC" w:rsidR="005E785F" w:rsidRDefault="003621E8">
            <w:pPr>
              <w:pStyle w:val="ListParagraph"/>
              <w:numPr>
                <w:ilvl w:val="1"/>
                <w:numId w:val="38"/>
              </w:numPr>
              <w:rPr>
                <w:rFonts w:cs="Times New Roman"/>
                <w:bCs/>
                <w:sz w:val="20"/>
                <w:lang w:val="en-GB"/>
              </w:rPr>
            </w:pPr>
            <w:r>
              <w:rPr>
                <w:rFonts w:cs="Times New Roman"/>
                <w:bCs/>
                <w:sz w:val="20"/>
                <w:lang w:val="en-GB"/>
              </w:rPr>
              <w:t>Blood sample for mRNA markers</w:t>
            </w:r>
          </w:p>
          <w:p w14:paraId="41FACD9D" w14:textId="07C01AE9" w:rsidR="005E785F" w:rsidRDefault="003621E8">
            <w:pPr>
              <w:pStyle w:val="BodyText"/>
              <w:numPr>
                <w:ilvl w:val="1"/>
                <w:numId w:val="38"/>
              </w:numPr>
              <w:spacing w:before="0" w:after="0"/>
              <w:rPr>
                <w:b/>
                <w:sz w:val="20"/>
              </w:rPr>
            </w:pPr>
            <w:r>
              <w:rPr>
                <w:bCs/>
                <w:sz w:val="20"/>
              </w:rPr>
              <w:t>Blood sample for PBMC isolate</w:t>
            </w:r>
          </w:p>
          <w:p w14:paraId="17D89429" w14:textId="3F64D4F4" w:rsidR="005E785F" w:rsidRDefault="003621E8">
            <w:pPr>
              <w:pStyle w:val="BodyText"/>
              <w:rPr>
                <w:b/>
                <w:sz w:val="20"/>
              </w:rPr>
            </w:pPr>
            <w:r>
              <w:rPr>
                <w:b/>
                <w:sz w:val="20"/>
              </w:rPr>
              <w:tab/>
            </w:r>
            <w:r>
              <w:rPr>
                <w:b/>
                <w:sz w:val="20"/>
              </w:rPr>
              <w:tab/>
              <w:t>Day 3:</w:t>
            </w:r>
          </w:p>
          <w:p w14:paraId="76C3F185" w14:textId="1872C87D" w:rsidR="005E785F" w:rsidRDefault="003621E8">
            <w:pPr>
              <w:pStyle w:val="BodyText"/>
              <w:numPr>
                <w:ilvl w:val="1"/>
                <w:numId w:val="38"/>
              </w:numPr>
              <w:spacing w:before="0" w:after="0"/>
              <w:rPr>
                <w:bCs/>
                <w:sz w:val="20"/>
              </w:rPr>
            </w:pPr>
            <w:r>
              <w:rPr>
                <w:bCs/>
                <w:sz w:val="20"/>
              </w:rPr>
              <w:t>Vital signs (supine systolic and diastolic blood pressure, pulse rate, oral temperature and respiration rate)</w:t>
            </w:r>
          </w:p>
          <w:p w14:paraId="29AAC007" w14:textId="77777777" w:rsidR="005E785F" w:rsidRDefault="003621E8">
            <w:pPr>
              <w:pStyle w:val="BodyText"/>
              <w:numPr>
                <w:ilvl w:val="1"/>
                <w:numId w:val="38"/>
              </w:numPr>
              <w:spacing w:before="0" w:after="0"/>
              <w:rPr>
                <w:bCs/>
                <w:sz w:val="20"/>
              </w:rPr>
            </w:pPr>
            <w:r>
              <w:rPr>
                <w:bCs/>
                <w:sz w:val="20"/>
              </w:rPr>
              <w:t>AE</w:t>
            </w:r>
          </w:p>
          <w:p w14:paraId="16958F28" w14:textId="1BC68026" w:rsidR="005E785F" w:rsidRDefault="003621E8">
            <w:pPr>
              <w:pStyle w:val="BodyText"/>
              <w:numPr>
                <w:ilvl w:val="1"/>
                <w:numId w:val="38"/>
              </w:numPr>
              <w:spacing w:before="0" w:after="0"/>
              <w:rPr>
                <w:bCs/>
                <w:sz w:val="20"/>
              </w:rPr>
            </w:pPr>
            <w:r>
              <w:rPr>
                <w:bCs/>
                <w:sz w:val="20"/>
              </w:rPr>
              <w:t>SAE</w:t>
            </w:r>
          </w:p>
          <w:p w14:paraId="3634DDAB" w14:textId="77777777" w:rsidR="005E785F" w:rsidRDefault="003621E8">
            <w:pPr>
              <w:pStyle w:val="ListParagraph"/>
              <w:numPr>
                <w:ilvl w:val="1"/>
                <w:numId w:val="38"/>
              </w:numPr>
              <w:rPr>
                <w:rFonts w:cs="Times New Roman"/>
                <w:bCs/>
                <w:sz w:val="20"/>
                <w:lang w:val="en-GB"/>
              </w:rPr>
            </w:pPr>
            <w:r>
              <w:rPr>
                <w:rFonts w:cs="Times New Roman"/>
                <w:bCs/>
                <w:sz w:val="20"/>
                <w:lang w:val="en-GB"/>
              </w:rPr>
              <w:t>Prior and concomitant medication</w:t>
            </w:r>
          </w:p>
          <w:p w14:paraId="02A1B75E" w14:textId="31B11689" w:rsidR="005E785F" w:rsidRDefault="003621E8">
            <w:pPr>
              <w:pStyle w:val="BodyText"/>
              <w:numPr>
                <w:ilvl w:val="1"/>
                <w:numId w:val="38"/>
              </w:numPr>
              <w:spacing w:before="0" w:after="0"/>
              <w:rPr>
                <w:bCs/>
                <w:sz w:val="20"/>
              </w:rPr>
            </w:pPr>
            <w:r>
              <w:rPr>
                <w:bCs/>
                <w:sz w:val="20"/>
              </w:rPr>
              <w:t>PD blood sample for cytokines and chemokines</w:t>
            </w:r>
          </w:p>
          <w:p w14:paraId="6D72ECA8" w14:textId="1CA35D08" w:rsidR="005E785F" w:rsidRDefault="003621E8">
            <w:pPr>
              <w:pStyle w:val="BodyText"/>
              <w:numPr>
                <w:ilvl w:val="1"/>
                <w:numId w:val="38"/>
              </w:numPr>
              <w:spacing w:before="0" w:after="0"/>
              <w:rPr>
                <w:bCs/>
                <w:sz w:val="20"/>
              </w:rPr>
            </w:pPr>
            <w:r>
              <w:rPr>
                <w:bCs/>
                <w:sz w:val="20"/>
              </w:rPr>
              <w:lastRenderedPageBreak/>
              <w:t>Blood sample for mRNA markers</w:t>
            </w:r>
          </w:p>
          <w:p w14:paraId="6B7F9A8F" w14:textId="7D4A62C5" w:rsidR="005E785F" w:rsidRDefault="003621E8">
            <w:pPr>
              <w:pStyle w:val="BodyText"/>
              <w:rPr>
                <w:b/>
                <w:sz w:val="20"/>
              </w:rPr>
            </w:pPr>
            <w:r>
              <w:rPr>
                <w:b/>
                <w:sz w:val="20"/>
              </w:rPr>
              <w:tab/>
            </w:r>
            <w:r>
              <w:rPr>
                <w:b/>
                <w:sz w:val="20"/>
              </w:rPr>
              <w:tab/>
              <w:t>Day 4:</w:t>
            </w:r>
          </w:p>
          <w:p w14:paraId="4D218618" w14:textId="3E1EE2D0" w:rsidR="005E785F" w:rsidRDefault="003621E8">
            <w:pPr>
              <w:pStyle w:val="ListParagraph"/>
              <w:numPr>
                <w:ilvl w:val="1"/>
                <w:numId w:val="38"/>
              </w:numPr>
              <w:rPr>
                <w:bCs/>
                <w:sz w:val="20"/>
              </w:rPr>
            </w:pPr>
            <w:r>
              <w:rPr>
                <w:rFonts w:cs="Times New Roman"/>
                <w:bCs/>
                <w:sz w:val="20"/>
                <w:lang w:val="en-GB"/>
              </w:rPr>
              <w:t>A brief physical examination</w:t>
            </w:r>
          </w:p>
          <w:p w14:paraId="11021E75" w14:textId="31DED86C" w:rsidR="005E785F" w:rsidRDefault="003621E8">
            <w:pPr>
              <w:pStyle w:val="BodyText"/>
              <w:numPr>
                <w:ilvl w:val="1"/>
                <w:numId w:val="38"/>
              </w:numPr>
              <w:spacing w:before="0" w:after="0"/>
              <w:rPr>
                <w:bCs/>
                <w:sz w:val="20"/>
              </w:rPr>
            </w:pPr>
            <w:r>
              <w:rPr>
                <w:bCs/>
                <w:sz w:val="20"/>
              </w:rPr>
              <w:t>Injection site examination</w:t>
            </w:r>
          </w:p>
          <w:p w14:paraId="19572607" w14:textId="4654C719" w:rsidR="005E785F" w:rsidRDefault="003621E8">
            <w:pPr>
              <w:pStyle w:val="BodyText"/>
              <w:numPr>
                <w:ilvl w:val="1"/>
                <w:numId w:val="38"/>
              </w:numPr>
              <w:spacing w:before="0" w:after="0"/>
              <w:rPr>
                <w:bCs/>
                <w:sz w:val="20"/>
              </w:rPr>
            </w:pPr>
            <w:r>
              <w:rPr>
                <w:bCs/>
                <w:sz w:val="20"/>
              </w:rPr>
              <w:t>Vital signs (supine systolic and diastolic blood pressure, pulse rate, oral temperature and respiration rate)</w:t>
            </w:r>
          </w:p>
          <w:p w14:paraId="3F5AA4DF" w14:textId="41F01DD4" w:rsidR="005E785F" w:rsidRDefault="003621E8">
            <w:pPr>
              <w:pStyle w:val="BodyText"/>
              <w:numPr>
                <w:ilvl w:val="1"/>
                <w:numId w:val="38"/>
              </w:numPr>
              <w:spacing w:before="0" w:after="0"/>
              <w:rPr>
                <w:bCs/>
                <w:sz w:val="20"/>
              </w:rPr>
            </w:pPr>
            <w:r>
              <w:rPr>
                <w:bCs/>
                <w:sz w:val="20"/>
              </w:rPr>
              <w:t>Laboratory safety tests (biochemistry including C-reactive protein, haematology, coagulation, urinalysis and urine microscopy, if needed)</w:t>
            </w:r>
          </w:p>
          <w:p w14:paraId="33B526CF" w14:textId="2D1AADF7" w:rsidR="005E785F" w:rsidRDefault="003621E8">
            <w:pPr>
              <w:pStyle w:val="BodyText"/>
              <w:numPr>
                <w:ilvl w:val="1"/>
                <w:numId w:val="38"/>
              </w:numPr>
              <w:spacing w:before="0" w:after="0"/>
              <w:rPr>
                <w:bCs/>
                <w:sz w:val="20"/>
              </w:rPr>
            </w:pPr>
            <w:r>
              <w:rPr>
                <w:bCs/>
                <w:sz w:val="20"/>
              </w:rPr>
              <w:t>12-Lead ECG</w:t>
            </w:r>
          </w:p>
          <w:p w14:paraId="5F66E873" w14:textId="77777777" w:rsidR="005E785F" w:rsidRDefault="003621E8">
            <w:pPr>
              <w:pStyle w:val="BodyText"/>
              <w:numPr>
                <w:ilvl w:val="1"/>
                <w:numId w:val="38"/>
              </w:numPr>
              <w:spacing w:before="0" w:after="0"/>
              <w:rPr>
                <w:bCs/>
                <w:sz w:val="20"/>
              </w:rPr>
            </w:pPr>
            <w:r>
              <w:rPr>
                <w:bCs/>
                <w:sz w:val="20"/>
              </w:rPr>
              <w:t>AE</w:t>
            </w:r>
          </w:p>
          <w:p w14:paraId="09F0778C" w14:textId="1DC4D84F" w:rsidR="005E785F" w:rsidRDefault="003621E8">
            <w:pPr>
              <w:pStyle w:val="BodyText"/>
              <w:numPr>
                <w:ilvl w:val="1"/>
                <w:numId w:val="38"/>
              </w:numPr>
              <w:spacing w:before="0" w:after="0"/>
              <w:rPr>
                <w:bCs/>
                <w:sz w:val="20"/>
              </w:rPr>
            </w:pPr>
            <w:r>
              <w:rPr>
                <w:bCs/>
                <w:sz w:val="20"/>
              </w:rPr>
              <w:t>SAE</w:t>
            </w:r>
          </w:p>
          <w:p w14:paraId="23AB16EF" w14:textId="51C29FB0" w:rsidR="005E785F" w:rsidRDefault="003621E8">
            <w:pPr>
              <w:pStyle w:val="ListParagraph"/>
              <w:numPr>
                <w:ilvl w:val="1"/>
                <w:numId w:val="38"/>
              </w:numPr>
              <w:rPr>
                <w:rFonts w:cs="Times New Roman"/>
                <w:bCs/>
                <w:sz w:val="20"/>
                <w:lang w:val="en-GB"/>
              </w:rPr>
            </w:pPr>
            <w:r>
              <w:rPr>
                <w:rFonts w:cs="Times New Roman"/>
                <w:bCs/>
                <w:sz w:val="20"/>
                <w:lang w:val="en-GB"/>
              </w:rPr>
              <w:t>Prior and concomitant medication</w:t>
            </w:r>
          </w:p>
          <w:p w14:paraId="327512BB" w14:textId="4BA8890B" w:rsidR="005E785F" w:rsidRDefault="003621E8">
            <w:pPr>
              <w:pStyle w:val="ListParagraph"/>
              <w:numPr>
                <w:ilvl w:val="1"/>
                <w:numId w:val="38"/>
              </w:numPr>
              <w:rPr>
                <w:rFonts w:cs="Times New Roman"/>
                <w:bCs/>
                <w:sz w:val="20"/>
                <w:lang w:val="en-GB"/>
              </w:rPr>
            </w:pPr>
            <w:r>
              <w:rPr>
                <w:rFonts w:cs="Times New Roman"/>
                <w:bCs/>
                <w:sz w:val="20"/>
                <w:lang w:val="en-GB"/>
              </w:rPr>
              <w:t>Issuing temperature diary (to record oral temperature in the morning and evening at home from Day 4 evening to Day 6 evening)</w:t>
            </w:r>
          </w:p>
          <w:p w14:paraId="6A1518D2" w14:textId="56ED127E" w:rsidR="005E785F" w:rsidRDefault="003621E8">
            <w:pPr>
              <w:pStyle w:val="BodyText"/>
              <w:rPr>
                <w:bCs/>
                <w:sz w:val="20"/>
              </w:rPr>
            </w:pPr>
            <w:r>
              <w:rPr>
                <w:bCs/>
                <w:sz w:val="20"/>
              </w:rPr>
              <w:t xml:space="preserve">If all assessments are satisfactory to the PI (or deputy), subjects will be discharged from clinic after all Day 4 procedures are completed. </w:t>
            </w:r>
          </w:p>
          <w:p w14:paraId="443B45B6" w14:textId="7CB2C648" w:rsidR="005E785F" w:rsidRDefault="003621E8">
            <w:pPr>
              <w:pStyle w:val="BodyText"/>
              <w:ind w:left="720"/>
              <w:rPr>
                <w:b/>
                <w:sz w:val="20"/>
              </w:rPr>
            </w:pPr>
            <w:r>
              <w:rPr>
                <w:b/>
                <w:sz w:val="20"/>
              </w:rPr>
              <w:t>Day 7 (Return-visit):</w:t>
            </w:r>
          </w:p>
          <w:p w14:paraId="628EEB82" w14:textId="77777777" w:rsidR="005E785F" w:rsidRDefault="003621E8">
            <w:pPr>
              <w:pStyle w:val="BodyText"/>
              <w:numPr>
                <w:ilvl w:val="1"/>
                <w:numId w:val="38"/>
              </w:numPr>
              <w:spacing w:before="0" w:after="0"/>
              <w:rPr>
                <w:bCs/>
                <w:sz w:val="20"/>
              </w:rPr>
            </w:pPr>
            <w:r>
              <w:rPr>
                <w:bCs/>
                <w:sz w:val="20"/>
              </w:rPr>
              <w:t>A brief physical examination</w:t>
            </w:r>
          </w:p>
          <w:p w14:paraId="1FEDCA2C" w14:textId="77777777" w:rsidR="005E785F" w:rsidRDefault="003621E8">
            <w:pPr>
              <w:pStyle w:val="BodyText"/>
              <w:numPr>
                <w:ilvl w:val="1"/>
                <w:numId w:val="38"/>
              </w:numPr>
              <w:spacing w:before="0" w:after="0"/>
              <w:rPr>
                <w:bCs/>
                <w:sz w:val="20"/>
              </w:rPr>
            </w:pPr>
            <w:r>
              <w:rPr>
                <w:bCs/>
                <w:sz w:val="20"/>
              </w:rPr>
              <w:t>Injection site examination</w:t>
            </w:r>
          </w:p>
          <w:p w14:paraId="0071BBB3" w14:textId="12094D18" w:rsidR="005E785F" w:rsidRDefault="003621E8">
            <w:pPr>
              <w:pStyle w:val="BodyText"/>
              <w:numPr>
                <w:ilvl w:val="1"/>
                <w:numId w:val="38"/>
              </w:numPr>
              <w:spacing w:before="0" w:after="0"/>
              <w:rPr>
                <w:bCs/>
                <w:sz w:val="20"/>
              </w:rPr>
            </w:pPr>
            <w:r>
              <w:rPr>
                <w:bCs/>
                <w:sz w:val="20"/>
              </w:rPr>
              <w:t>Vital signs (supine systolic and diastolic blood pressure, pulse rate, oral temperature and respiration rate)</w:t>
            </w:r>
          </w:p>
          <w:p w14:paraId="09DF4499" w14:textId="521DE132" w:rsidR="005E785F" w:rsidRDefault="003621E8">
            <w:pPr>
              <w:pStyle w:val="BodyText"/>
              <w:numPr>
                <w:ilvl w:val="1"/>
                <w:numId w:val="38"/>
              </w:numPr>
              <w:spacing w:before="0" w:after="0"/>
              <w:rPr>
                <w:bCs/>
                <w:sz w:val="20"/>
              </w:rPr>
            </w:pPr>
            <w:r>
              <w:rPr>
                <w:bCs/>
                <w:sz w:val="20"/>
              </w:rPr>
              <w:t>Laboratory safety tests (biochemistry including C-reactive protein, haematology, coagulation, urinalysis and urine microscopy, if needed)</w:t>
            </w:r>
          </w:p>
          <w:p w14:paraId="1ACF60EF" w14:textId="77777777" w:rsidR="005E785F" w:rsidRDefault="003621E8">
            <w:pPr>
              <w:pStyle w:val="BodyText"/>
              <w:numPr>
                <w:ilvl w:val="1"/>
                <w:numId w:val="38"/>
              </w:numPr>
              <w:spacing w:before="0" w:after="0"/>
              <w:rPr>
                <w:bCs/>
                <w:sz w:val="20"/>
              </w:rPr>
            </w:pPr>
            <w:r>
              <w:rPr>
                <w:bCs/>
                <w:sz w:val="20"/>
              </w:rPr>
              <w:t>AE</w:t>
            </w:r>
          </w:p>
          <w:p w14:paraId="20C67A4B" w14:textId="4583025A" w:rsidR="005E785F" w:rsidRDefault="003621E8">
            <w:pPr>
              <w:pStyle w:val="BodyText"/>
              <w:numPr>
                <w:ilvl w:val="1"/>
                <w:numId w:val="38"/>
              </w:numPr>
              <w:spacing w:before="0" w:after="0"/>
              <w:rPr>
                <w:bCs/>
                <w:sz w:val="20"/>
              </w:rPr>
            </w:pPr>
            <w:r>
              <w:rPr>
                <w:bCs/>
                <w:sz w:val="20"/>
              </w:rPr>
              <w:t>SAE</w:t>
            </w:r>
          </w:p>
          <w:p w14:paraId="1CD6A44F" w14:textId="77777777" w:rsidR="005E785F" w:rsidRDefault="003621E8">
            <w:pPr>
              <w:pStyle w:val="ListParagraph"/>
              <w:numPr>
                <w:ilvl w:val="1"/>
                <w:numId w:val="38"/>
              </w:numPr>
              <w:rPr>
                <w:rFonts w:cs="Times New Roman"/>
                <w:bCs/>
                <w:sz w:val="20"/>
                <w:lang w:val="en-GB"/>
              </w:rPr>
            </w:pPr>
            <w:r>
              <w:rPr>
                <w:rFonts w:cs="Times New Roman"/>
                <w:bCs/>
                <w:sz w:val="20"/>
                <w:lang w:val="en-GB"/>
              </w:rPr>
              <w:t>Prior and concomitant medication</w:t>
            </w:r>
          </w:p>
          <w:p w14:paraId="794E59AF" w14:textId="5CD67699" w:rsidR="005E785F" w:rsidRDefault="003621E8">
            <w:pPr>
              <w:pStyle w:val="BodyText"/>
              <w:numPr>
                <w:ilvl w:val="1"/>
                <w:numId w:val="38"/>
              </w:numPr>
              <w:spacing w:before="0" w:after="0"/>
              <w:rPr>
                <w:bCs/>
                <w:sz w:val="20"/>
              </w:rPr>
            </w:pPr>
            <w:r>
              <w:rPr>
                <w:bCs/>
                <w:sz w:val="20"/>
              </w:rPr>
              <w:t>PD blood sample for cytokines and chemokines</w:t>
            </w:r>
          </w:p>
          <w:p w14:paraId="47DE4CBA" w14:textId="5CE9C228" w:rsidR="005E785F" w:rsidRDefault="003621E8">
            <w:pPr>
              <w:pStyle w:val="BodyText"/>
              <w:numPr>
                <w:ilvl w:val="1"/>
                <w:numId w:val="38"/>
              </w:numPr>
              <w:spacing w:before="0" w:after="0"/>
              <w:rPr>
                <w:bCs/>
                <w:sz w:val="20"/>
              </w:rPr>
            </w:pPr>
            <w:r>
              <w:rPr>
                <w:bCs/>
                <w:sz w:val="20"/>
              </w:rPr>
              <w:t>Blood sample for PBMC isolate</w:t>
            </w:r>
          </w:p>
          <w:p w14:paraId="0545FBDC" w14:textId="0ECA1C7F" w:rsidR="005E785F" w:rsidRDefault="003621E8">
            <w:pPr>
              <w:pStyle w:val="BodyText"/>
              <w:numPr>
                <w:ilvl w:val="1"/>
                <w:numId w:val="38"/>
              </w:numPr>
              <w:spacing w:before="0" w:after="0"/>
              <w:rPr>
                <w:bCs/>
                <w:sz w:val="20"/>
              </w:rPr>
            </w:pPr>
            <w:r>
              <w:rPr>
                <w:bCs/>
                <w:sz w:val="20"/>
              </w:rPr>
              <w:t>Collect previous temperature diary (Day 4 - Day6)</w:t>
            </w:r>
          </w:p>
          <w:p w14:paraId="7CCA5F39" w14:textId="40E6358E" w:rsidR="005E785F" w:rsidRDefault="003621E8">
            <w:pPr>
              <w:pStyle w:val="BodyText"/>
              <w:numPr>
                <w:ilvl w:val="1"/>
                <w:numId w:val="38"/>
              </w:numPr>
              <w:spacing w:before="0" w:after="0"/>
              <w:rPr>
                <w:bCs/>
                <w:sz w:val="20"/>
              </w:rPr>
            </w:pPr>
            <w:r>
              <w:rPr>
                <w:bCs/>
                <w:sz w:val="20"/>
              </w:rPr>
              <w:t>Issue new temperature diary (to record oral temperature in the morning and evening at home from Day 7 evening to evening before post study)</w:t>
            </w:r>
          </w:p>
          <w:p w14:paraId="2C9D1539" w14:textId="632AABD5" w:rsidR="005E785F" w:rsidRDefault="003621E8">
            <w:pPr>
              <w:pStyle w:val="BodyText"/>
              <w:rPr>
                <w:b/>
                <w:sz w:val="20"/>
              </w:rPr>
            </w:pPr>
            <w:r>
              <w:rPr>
                <w:b/>
                <w:sz w:val="20"/>
              </w:rPr>
              <w:t>Post Study Follow-up (Day 14 ± 1 Day):</w:t>
            </w:r>
          </w:p>
          <w:p w14:paraId="2143E867" w14:textId="458D7867" w:rsidR="005E785F" w:rsidRDefault="003621E8">
            <w:pPr>
              <w:pStyle w:val="BodyText"/>
              <w:rPr>
                <w:bCs/>
                <w:sz w:val="20"/>
              </w:rPr>
            </w:pPr>
            <w:r>
              <w:rPr>
                <w:bCs/>
                <w:sz w:val="20"/>
              </w:rPr>
              <w:t xml:space="preserve">A post study follow-up visit will take place on Day 14 (± 1 Day) to ensure the ongoing wellbeing of the subjects. </w:t>
            </w:r>
          </w:p>
          <w:p w14:paraId="107FC8BC" w14:textId="225F4060" w:rsidR="005E785F" w:rsidRDefault="003621E8">
            <w:pPr>
              <w:pStyle w:val="BodyText"/>
              <w:numPr>
                <w:ilvl w:val="1"/>
                <w:numId w:val="38"/>
              </w:numPr>
              <w:spacing w:before="0" w:after="0"/>
              <w:rPr>
                <w:bCs/>
                <w:sz w:val="20"/>
              </w:rPr>
            </w:pPr>
            <w:r>
              <w:rPr>
                <w:bCs/>
                <w:sz w:val="20"/>
              </w:rPr>
              <w:t>Weight</w:t>
            </w:r>
          </w:p>
          <w:p w14:paraId="79EA0627" w14:textId="2F94BA6D" w:rsidR="005E785F" w:rsidRDefault="003621E8">
            <w:pPr>
              <w:pStyle w:val="BodyText"/>
              <w:numPr>
                <w:ilvl w:val="1"/>
                <w:numId w:val="38"/>
              </w:numPr>
              <w:spacing w:before="0" w:after="0"/>
              <w:rPr>
                <w:bCs/>
                <w:sz w:val="20"/>
              </w:rPr>
            </w:pPr>
            <w:r>
              <w:rPr>
                <w:bCs/>
                <w:sz w:val="20"/>
              </w:rPr>
              <w:t xml:space="preserve">A brief physical examination </w:t>
            </w:r>
          </w:p>
          <w:p w14:paraId="77C0A197" w14:textId="18890EAD" w:rsidR="002610FB" w:rsidRDefault="002610FB">
            <w:pPr>
              <w:pStyle w:val="BodyText"/>
              <w:numPr>
                <w:ilvl w:val="1"/>
                <w:numId w:val="38"/>
              </w:numPr>
              <w:spacing w:before="0" w:after="0"/>
              <w:rPr>
                <w:bCs/>
                <w:sz w:val="20"/>
              </w:rPr>
            </w:pPr>
            <w:r>
              <w:rPr>
                <w:bCs/>
                <w:sz w:val="20"/>
              </w:rPr>
              <w:t>Injection site examination</w:t>
            </w:r>
          </w:p>
          <w:p w14:paraId="21FAFD75" w14:textId="58772ABA" w:rsidR="005E785F" w:rsidRDefault="003621E8">
            <w:pPr>
              <w:pStyle w:val="BodyText"/>
              <w:numPr>
                <w:ilvl w:val="1"/>
                <w:numId w:val="38"/>
              </w:numPr>
              <w:spacing w:before="0" w:after="0"/>
              <w:rPr>
                <w:bCs/>
                <w:sz w:val="20"/>
              </w:rPr>
            </w:pPr>
            <w:r>
              <w:rPr>
                <w:bCs/>
                <w:sz w:val="20"/>
              </w:rPr>
              <w:t>Vital signs (supine systolic and diastolic blood pressure, pulse rate, oral temperature and respiration rate)</w:t>
            </w:r>
          </w:p>
          <w:p w14:paraId="34DA2B93" w14:textId="38202E57" w:rsidR="005E785F" w:rsidRDefault="003621E8">
            <w:pPr>
              <w:pStyle w:val="BodyText"/>
              <w:numPr>
                <w:ilvl w:val="1"/>
                <w:numId w:val="38"/>
              </w:numPr>
              <w:spacing w:before="0" w:after="0"/>
              <w:rPr>
                <w:bCs/>
                <w:sz w:val="20"/>
              </w:rPr>
            </w:pPr>
            <w:r>
              <w:rPr>
                <w:bCs/>
                <w:sz w:val="20"/>
              </w:rPr>
              <w:t>Laboratory safety tests (biochemistry including C-reactive protein, haematology, coagulation, urinalysis and urine microscopy, if needed)</w:t>
            </w:r>
          </w:p>
          <w:p w14:paraId="48E24B54" w14:textId="17CABC0D" w:rsidR="005E785F" w:rsidRDefault="003621E8">
            <w:pPr>
              <w:pStyle w:val="BodyText"/>
              <w:numPr>
                <w:ilvl w:val="1"/>
                <w:numId w:val="38"/>
              </w:numPr>
              <w:spacing w:before="0" w:after="0"/>
              <w:rPr>
                <w:bCs/>
                <w:sz w:val="20"/>
              </w:rPr>
            </w:pPr>
            <w:r>
              <w:rPr>
                <w:bCs/>
                <w:sz w:val="20"/>
              </w:rPr>
              <w:t>Thyroid stimulating hormone</w:t>
            </w:r>
          </w:p>
          <w:p w14:paraId="2C709E59" w14:textId="7AB3FF83" w:rsidR="005E785F" w:rsidRDefault="003621E8">
            <w:pPr>
              <w:pStyle w:val="BodyText"/>
              <w:numPr>
                <w:ilvl w:val="1"/>
                <w:numId w:val="38"/>
              </w:numPr>
              <w:spacing w:before="0" w:after="0"/>
              <w:rPr>
                <w:bCs/>
                <w:sz w:val="20"/>
              </w:rPr>
            </w:pPr>
            <w:r>
              <w:rPr>
                <w:bCs/>
                <w:sz w:val="20"/>
              </w:rPr>
              <w:t>AE</w:t>
            </w:r>
          </w:p>
          <w:p w14:paraId="77778516" w14:textId="77777777" w:rsidR="005E785F" w:rsidRDefault="003621E8">
            <w:pPr>
              <w:pStyle w:val="BodyText"/>
              <w:numPr>
                <w:ilvl w:val="1"/>
                <w:numId w:val="38"/>
              </w:numPr>
              <w:spacing w:before="0" w:after="0"/>
              <w:rPr>
                <w:bCs/>
                <w:sz w:val="20"/>
              </w:rPr>
            </w:pPr>
            <w:r>
              <w:rPr>
                <w:bCs/>
                <w:sz w:val="20"/>
              </w:rPr>
              <w:t>SAE</w:t>
            </w:r>
          </w:p>
          <w:p w14:paraId="0973C0BA" w14:textId="1C0101DF" w:rsidR="005E785F" w:rsidRDefault="003621E8">
            <w:pPr>
              <w:pStyle w:val="BodyText"/>
              <w:numPr>
                <w:ilvl w:val="1"/>
                <w:numId w:val="38"/>
              </w:numPr>
              <w:spacing w:before="0" w:after="0"/>
              <w:rPr>
                <w:bCs/>
                <w:sz w:val="20"/>
              </w:rPr>
            </w:pPr>
            <w:r>
              <w:rPr>
                <w:bCs/>
                <w:sz w:val="20"/>
              </w:rPr>
              <w:t>Prior and concomitant medication</w:t>
            </w:r>
          </w:p>
          <w:p w14:paraId="6DB17AFF" w14:textId="799DA00C" w:rsidR="005E785F" w:rsidRDefault="003621E8">
            <w:pPr>
              <w:pStyle w:val="BodyText"/>
              <w:numPr>
                <w:ilvl w:val="1"/>
                <w:numId w:val="38"/>
              </w:numPr>
              <w:spacing w:before="0" w:after="0"/>
              <w:rPr>
                <w:bCs/>
                <w:sz w:val="20"/>
              </w:rPr>
            </w:pPr>
            <w:r>
              <w:rPr>
                <w:bCs/>
                <w:sz w:val="20"/>
              </w:rPr>
              <w:t>Collecting temperature diary (Day 7 - Day 12/13 – dependent on whether post study is performed on Day 13 or Days 14/15)</w:t>
            </w:r>
          </w:p>
          <w:p w14:paraId="73FB1E16" w14:textId="0B60DA01" w:rsidR="005E785F" w:rsidRDefault="003621E8">
            <w:pPr>
              <w:pStyle w:val="BodyText"/>
              <w:rPr>
                <w:bCs/>
                <w:sz w:val="20"/>
              </w:rPr>
            </w:pPr>
            <w:r>
              <w:rPr>
                <w:bCs/>
                <w:sz w:val="20"/>
              </w:rPr>
              <w:t>If all follow-up assessments are satisfactory to the PI (or deputy), the subject will be discharged from the study. If any AEs are ongoing, or any assessments are not satisfactory, subjects may be recalled to the unit for follow-up assessments until the PI/deputy is satisfied the subject may be discharged from the study. Subjects will be advised to return or contact the unit at any time if they think they may be experiencing any AEs.</w:t>
            </w:r>
          </w:p>
        </w:tc>
      </w:tr>
      <w:tr w:rsidR="005E785F" w14:paraId="3F3588B0" w14:textId="77777777">
        <w:tc>
          <w:tcPr>
            <w:tcW w:w="5000" w:type="pct"/>
            <w:gridSpan w:val="2"/>
          </w:tcPr>
          <w:p w14:paraId="47AA91A8" w14:textId="27253A39" w:rsidR="005E785F" w:rsidRDefault="003621E8">
            <w:pPr>
              <w:spacing w:before="120" w:after="120"/>
              <w:rPr>
                <w:rFonts w:cs="Times New Roman"/>
                <w:b/>
                <w:bCs/>
                <w:sz w:val="20"/>
              </w:rPr>
            </w:pPr>
            <w:r>
              <w:rPr>
                <w:rFonts w:cs="Times New Roman"/>
                <w:b/>
                <w:bCs/>
                <w:sz w:val="20"/>
              </w:rPr>
              <w:lastRenderedPageBreak/>
              <w:t>DOSE ESCALATION AND STOPPING CRITERIA</w:t>
            </w:r>
          </w:p>
          <w:p w14:paraId="047ADDB4" w14:textId="77777777" w:rsidR="005E785F" w:rsidRDefault="003621E8">
            <w:pPr>
              <w:pStyle w:val="BodyText"/>
              <w:rPr>
                <w:sz w:val="20"/>
                <w:lang w:val="en-US"/>
              </w:rPr>
            </w:pPr>
            <w:bookmarkStart w:id="12" w:name="_Hlk65056503"/>
            <w:r>
              <w:rPr>
                <w:sz w:val="20"/>
                <w:lang w:val="en-US"/>
              </w:rPr>
              <w:t xml:space="preserve">For dose escalation to proceed, data from the preceding dose level must be available from a minimum of 6 evaluable subjects who have completed the planned safety assessments up to Day 4 (72h after dosing) and all planned PK assessments after dosing to ensure at least 4 subjects had received active IMP. </w:t>
            </w:r>
          </w:p>
          <w:p w14:paraId="2884CA3B" w14:textId="600BCFE2" w:rsidR="005E785F" w:rsidRDefault="003621E8">
            <w:pPr>
              <w:pStyle w:val="BodyText"/>
              <w:rPr>
                <w:sz w:val="20"/>
              </w:rPr>
            </w:pPr>
            <w:r>
              <w:rPr>
                <w:sz w:val="20"/>
              </w:rPr>
              <w:t xml:space="preserve">All available safety data, including follow-up data from lower/previous dose cohorts, will be reviewed at the time </w:t>
            </w:r>
            <w:r>
              <w:rPr>
                <w:sz w:val="20"/>
                <w:lang w:val="en-US"/>
              </w:rPr>
              <w:t>of dose-escalation.</w:t>
            </w:r>
            <w:r>
              <w:rPr>
                <w:sz w:val="20"/>
              </w:rPr>
              <w:t xml:space="preserve"> Subjects will be deemed as evaluable for dose escalation purposes if they have received the</w:t>
            </w:r>
            <w:r>
              <w:rPr>
                <w:strike/>
                <w:sz w:val="20"/>
              </w:rPr>
              <w:t xml:space="preserve"> </w:t>
            </w:r>
            <w:r>
              <w:rPr>
                <w:sz w:val="20"/>
              </w:rPr>
              <w:t>planned study dose and had sufficient plasma samples collected to estimate, if possible C</w:t>
            </w:r>
            <w:r>
              <w:rPr>
                <w:vertAlign w:val="subscript"/>
              </w:rPr>
              <w:t>max</w:t>
            </w:r>
            <w:r>
              <w:rPr>
                <w:sz w:val="20"/>
              </w:rPr>
              <w:t xml:space="preserve"> and AUC</w:t>
            </w:r>
            <w:r>
              <w:rPr>
                <w:vertAlign w:val="subscript"/>
              </w:rPr>
              <w:t>last</w:t>
            </w:r>
            <w:r>
              <w:rPr>
                <w:sz w:val="20"/>
              </w:rPr>
              <w:t xml:space="preserve"> irrespective of whether they have received active or placebo treatment.</w:t>
            </w:r>
          </w:p>
          <w:p w14:paraId="3710F3B8" w14:textId="78D452D7" w:rsidR="005E785F" w:rsidRDefault="003621E8">
            <w:pPr>
              <w:spacing w:before="120" w:after="120"/>
              <w:jc w:val="both"/>
              <w:rPr>
                <w:rFonts w:cs="Times New Roman"/>
                <w:sz w:val="20"/>
              </w:rPr>
            </w:pPr>
            <w:r>
              <w:rPr>
                <w:rFonts w:cs="Times New Roman"/>
                <w:sz w:val="20"/>
              </w:rPr>
              <w:t xml:space="preserve">The decision must be documented in writing by the SRC at the dose escalation review meeting (DERM) before the next escalated dose level is administered to volunteers. </w:t>
            </w:r>
          </w:p>
          <w:p w14:paraId="660C6BFD" w14:textId="57E2B0FD" w:rsidR="005E785F" w:rsidRDefault="003621E8">
            <w:pPr>
              <w:spacing w:before="120" w:after="120"/>
              <w:jc w:val="both"/>
              <w:rPr>
                <w:rFonts w:cs="Times New Roman"/>
                <w:sz w:val="20"/>
              </w:rPr>
            </w:pPr>
            <w:r>
              <w:rPr>
                <w:rFonts w:cs="Times New Roman"/>
                <w:sz w:val="20"/>
              </w:rPr>
              <w:t>Safety parameters will be graded according to the Toxicity Grading Scale for Healthy Adult and Adolescent Volunteers Enrolled in Preventative Vaccine Clinical Trials</w:t>
            </w:r>
            <w:r>
              <w:rPr>
                <w:rFonts w:cs="Times New Roman"/>
                <w:color w:val="0000FF"/>
                <w:sz w:val="20"/>
                <w:vertAlign w:val="superscript"/>
              </w:rPr>
              <w:t>[0</w:t>
            </w:r>
            <w:r>
              <w:rPr>
                <w:rFonts w:cs="Times New Roman"/>
                <w:color w:val="0000FF"/>
                <w:sz w:val="20"/>
                <w:vertAlign w:val="superscript"/>
              </w:rPr>
              <w:fldChar w:fldCharType="begin"/>
            </w:r>
            <w:r>
              <w:rPr>
                <w:rFonts w:cs="Times New Roman"/>
                <w:color w:val="0000FF"/>
                <w:sz w:val="20"/>
                <w:vertAlign w:val="superscript"/>
              </w:rPr>
              <w:instrText xml:space="preserve"> REF _Ref65269319 \r \h  \* MERGEFORMAT </w:instrText>
            </w:r>
            <w:r>
              <w:rPr>
                <w:rFonts w:cs="Times New Roman"/>
                <w:color w:val="0000FF"/>
                <w:sz w:val="20"/>
                <w:vertAlign w:val="superscript"/>
              </w:rPr>
            </w:r>
            <w:r>
              <w:rPr>
                <w:rFonts w:cs="Times New Roman"/>
                <w:color w:val="0000FF"/>
                <w:sz w:val="20"/>
                <w:vertAlign w:val="superscript"/>
              </w:rPr>
              <w:fldChar w:fldCharType="separate"/>
            </w:r>
            <w:r>
              <w:rPr>
                <w:rFonts w:cs="Times New Roman"/>
                <w:color w:val="0000FF"/>
                <w:sz w:val="20"/>
                <w:vertAlign w:val="superscript"/>
              </w:rPr>
              <w:t>1</w:t>
            </w:r>
            <w:r>
              <w:rPr>
                <w:rFonts w:cs="Times New Roman"/>
                <w:color w:val="0000FF"/>
                <w:sz w:val="20"/>
                <w:vertAlign w:val="superscript"/>
              </w:rPr>
              <w:fldChar w:fldCharType="end"/>
            </w:r>
            <w:r>
              <w:rPr>
                <w:rFonts w:cs="Times New Roman"/>
                <w:color w:val="0000FF"/>
                <w:sz w:val="20"/>
                <w:vertAlign w:val="superscript"/>
              </w:rPr>
              <w:t>]</w:t>
            </w:r>
            <w:r>
              <w:t>.</w:t>
            </w:r>
          </w:p>
          <w:p w14:paraId="291705B6" w14:textId="77777777" w:rsidR="005E785F" w:rsidRDefault="003621E8">
            <w:pPr>
              <w:spacing w:before="120" w:after="120"/>
              <w:rPr>
                <w:rFonts w:cs="Times New Roman"/>
                <w:b/>
                <w:bCs/>
                <w:sz w:val="20"/>
              </w:rPr>
            </w:pPr>
            <w:r>
              <w:rPr>
                <w:rFonts w:cs="Times New Roman"/>
                <w:b/>
                <w:bCs/>
                <w:sz w:val="20"/>
              </w:rPr>
              <w:t>Trial Stopping Criteria</w:t>
            </w:r>
          </w:p>
          <w:p w14:paraId="03358D8A" w14:textId="32D217B6" w:rsidR="005E785F" w:rsidRDefault="003621E8">
            <w:pPr>
              <w:spacing w:before="120" w:after="120"/>
              <w:jc w:val="both"/>
              <w:rPr>
                <w:rFonts w:cs="Times New Roman"/>
                <w:sz w:val="20"/>
              </w:rPr>
            </w:pPr>
            <w:r>
              <w:rPr>
                <w:rFonts w:cs="Times New Roman"/>
                <w:sz w:val="20"/>
              </w:rPr>
              <w:t xml:space="preserve">Dosing will be temporarily stopped (via an initial email notification to Research Ethics Committee (REC)/Medicines and Healthcare products Regulatory Agency (MHRA) and then a temporary halt substantial amendment) pending evaluation of all available data if any of the following criteria are fulfilled: </w:t>
            </w:r>
          </w:p>
          <w:p w14:paraId="684B4DE2" w14:textId="05E67713" w:rsidR="005E785F" w:rsidRDefault="003621E8">
            <w:pPr>
              <w:pStyle w:val="ListParagraph"/>
              <w:widowControl w:val="0"/>
              <w:numPr>
                <w:ilvl w:val="0"/>
                <w:numId w:val="42"/>
              </w:numPr>
              <w:spacing w:before="120" w:after="120"/>
              <w:jc w:val="both"/>
              <w:rPr>
                <w:rFonts w:cs="Times New Roman"/>
                <w:sz w:val="20"/>
              </w:rPr>
            </w:pPr>
            <w:r>
              <w:rPr>
                <w:rFonts w:cs="Times New Roman"/>
                <w:sz w:val="20"/>
              </w:rPr>
              <w:t xml:space="preserve">A serious adverse reaction (SAR) (i.e., a SAE considered at least possibly related to CpG ODN D35) in one subject, or  </w:t>
            </w:r>
          </w:p>
          <w:p w14:paraId="2BF7C852" w14:textId="255335A8" w:rsidR="005E785F" w:rsidRDefault="003621E8">
            <w:pPr>
              <w:pStyle w:val="ListParagraph"/>
              <w:widowControl w:val="0"/>
              <w:numPr>
                <w:ilvl w:val="0"/>
                <w:numId w:val="42"/>
              </w:numPr>
              <w:spacing w:before="120" w:after="120"/>
              <w:jc w:val="both"/>
              <w:rPr>
                <w:rFonts w:cs="Times New Roman"/>
                <w:sz w:val="20"/>
              </w:rPr>
            </w:pPr>
            <w:r>
              <w:rPr>
                <w:rFonts w:cs="Times New Roman"/>
                <w:sz w:val="20"/>
              </w:rPr>
              <w:t>‘Severe’ non‐serious adverse reactions (AR) (i.e., severe non‐serious adverse events) considered as, at least, possibly related to CpG ODN D35 in two subjects in the same cohort, independent of within or not within the same system‐organ class.</w:t>
            </w:r>
          </w:p>
          <w:p w14:paraId="5BCCB6DF" w14:textId="34D23FEB" w:rsidR="005E785F" w:rsidRDefault="003621E8">
            <w:pPr>
              <w:pStyle w:val="ListParagraph"/>
              <w:widowControl w:val="0"/>
              <w:numPr>
                <w:ilvl w:val="0"/>
                <w:numId w:val="42"/>
              </w:numPr>
              <w:spacing w:before="120" w:after="120"/>
              <w:jc w:val="both"/>
              <w:rPr>
                <w:rFonts w:cs="Times New Roman"/>
                <w:sz w:val="20"/>
              </w:rPr>
            </w:pPr>
            <w:r>
              <w:rPr>
                <w:rFonts w:cs="Times New Roman"/>
                <w:sz w:val="20"/>
              </w:rPr>
              <w:t>Any other event deemed to pose an unacceptable risk to individuals by the PI.</w:t>
            </w:r>
          </w:p>
          <w:p w14:paraId="579074FB" w14:textId="1F4A2ABD" w:rsidR="005E785F" w:rsidRDefault="003621E8">
            <w:pPr>
              <w:spacing w:before="120" w:after="120"/>
              <w:jc w:val="both"/>
              <w:rPr>
                <w:rFonts w:cs="Times New Roman"/>
                <w:sz w:val="20"/>
              </w:rPr>
            </w:pPr>
            <w:r>
              <w:rPr>
                <w:rFonts w:cs="Times New Roman"/>
                <w:sz w:val="20"/>
              </w:rPr>
              <w:t>If, after an internal safety review, it is appropriate to restart the trial, a substantial amendment will be submitted to the MHRA and Ethics Committee. The trial will not restart until the amendment has been approved by MHRA and Ethics Committee.</w:t>
            </w:r>
          </w:p>
          <w:p w14:paraId="70633593" w14:textId="1E8D2959" w:rsidR="005E785F" w:rsidRDefault="003621E8">
            <w:pPr>
              <w:spacing w:before="120" w:after="120"/>
              <w:rPr>
                <w:rFonts w:cs="Times New Roman"/>
                <w:b/>
                <w:bCs/>
                <w:sz w:val="20"/>
              </w:rPr>
            </w:pPr>
            <w:r>
              <w:rPr>
                <w:rFonts w:cs="Times New Roman"/>
                <w:b/>
                <w:bCs/>
                <w:sz w:val="20"/>
              </w:rPr>
              <w:t>Dose Escalation Stopping Criteria</w:t>
            </w:r>
          </w:p>
          <w:p w14:paraId="290B4AEE" w14:textId="233A867B" w:rsidR="005E785F" w:rsidRDefault="003621E8">
            <w:pPr>
              <w:spacing w:before="120" w:after="120"/>
              <w:jc w:val="both"/>
              <w:rPr>
                <w:rFonts w:cs="Times New Roman"/>
                <w:sz w:val="20"/>
              </w:rPr>
            </w:pPr>
            <w:r>
              <w:rPr>
                <w:rFonts w:cs="Times New Roman"/>
                <w:sz w:val="20"/>
              </w:rPr>
              <w:t>A dose level will not be repeated, or increased, if the results of safety tests give the Sponsor or Investigator cause for concern, or if:</w:t>
            </w:r>
          </w:p>
          <w:p w14:paraId="3146501F" w14:textId="093AEB6A" w:rsidR="005E785F" w:rsidRDefault="003621E8">
            <w:pPr>
              <w:pStyle w:val="ListParagraph"/>
              <w:widowControl w:val="0"/>
              <w:numPr>
                <w:ilvl w:val="0"/>
                <w:numId w:val="42"/>
              </w:numPr>
              <w:jc w:val="both"/>
              <w:rPr>
                <w:rFonts w:cs="Times New Roman"/>
                <w:sz w:val="20"/>
              </w:rPr>
            </w:pPr>
            <w:r>
              <w:rPr>
                <w:rFonts w:cs="Times New Roman"/>
                <w:sz w:val="20"/>
              </w:rPr>
              <w:t xml:space="preserve">Any of the trial stopping criteria are reached (see above). </w:t>
            </w:r>
          </w:p>
          <w:p w14:paraId="717C8FEC" w14:textId="77777777" w:rsidR="005E785F" w:rsidRDefault="003621E8">
            <w:pPr>
              <w:pStyle w:val="ListParagraph"/>
              <w:numPr>
                <w:ilvl w:val="0"/>
                <w:numId w:val="42"/>
              </w:numPr>
              <w:autoSpaceDE w:val="0"/>
              <w:autoSpaceDN w:val="0"/>
              <w:adjustRightInd w:val="0"/>
              <w:contextualSpacing/>
              <w:jc w:val="both"/>
              <w:rPr>
                <w:rFonts w:cs="Times New Roman"/>
                <w:color w:val="131413"/>
                <w:sz w:val="20"/>
              </w:rPr>
            </w:pPr>
            <w:r>
              <w:rPr>
                <w:rFonts w:cs="Times New Roman"/>
                <w:sz w:val="20"/>
              </w:rPr>
              <w:t>There are clinical indications that could suggest a moderate/severe documented cytokine release syndrome *</w:t>
            </w:r>
          </w:p>
          <w:p w14:paraId="69B3A728" w14:textId="6C4A696C" w:rsidR="005E785F" w:rsidRDefault="003621E8">
            <w:pPr>
              <w:autoSpaceDE w:val="0"/>
              <w:autoSpaceDN w:val="0"/>
              <w:adjustRightInd w:val="0"/>
              <w:spacing w:before="120" w:after="120"/>
              <w:ind w:left="360"/>
              <w:jc w:val="both"/>
              <w:rPr>
                <w:rFonts w:cs="Times New Roman"/>
                <w:color w:val="131413"/>
                <w:sz w:val="20"/>
              </w:rPr>
            </w:pPr>
            <w:r>
              <w:rPr>
                <w:rFonts w:cs="Times New Roman"/>
                <w:sz w:val="20"/>
              </w:rPr>
              <w:t>* Cytokine release syndrome (CRS) can present from mild flu-like syndrome, fever, fatigue, headache, cough, tachypnoea, rash, arthralgia, myalgia, hypotension or high fever and can progress to an uncontrolled systemic inflammatory response with vasopressor-requiring circulatory shock, severe dizziness and confusion, vascular leakage, disseminated intravascular coagulation, multi-organ system failure, acute respiratory distress syndrome, renal failure or signs of cardiac dysfunction with reduced ejection fraction on ultrasound, vascular leakage with peripheral and/or pulmonary oedema. Laboratory abnormalities that are common in patients with CRS include cytopenias, elevated creatinine and liver enzymes, deranged coagulation parameters and a high c-reactive protein (CRP)</w:t>
            </w:r>
            <w:r>
              <w:rPr>
                <w:rFonts w:cs="Times New Roman"/>
                <w:color w:val="131413"/>
                <w:sz w:val="20"/>
              </w:rPr>
              <w:t>.</w:t>
            </w:r>
          </w:p>
          <w:p w14:paraId="29D25B3D" w14:textId="468EA306" w:rsidR="005E785F" w:rsidRDefault="003621E8">
            <w:pPr>
              <w:pStyle w:val="ListParagraph"/>
              <w:widowControl w:val="0"/>
              <w:numPr>
                <w:ilvl w:val="1"/>
                <w:numId w:val="42"/>
              </w:numPr>
              <w:spacing w:before="120" w:after="120"/>
              <w:jc w:val="both"/>
              <w:rPr>
                <w:rFonts w:cs="Times New Roman"/>
                <w:sz w:val="20"/>
              </w:rPr>
            </w:pPr>
            <w:r>
              <w:rPr>
                <w:rFonts w:cs="Times New Roman"/>
                <w:sz w:val="20"/>
              </w:rPr>
              <w:t xml:space="preserve">Two of the subjects report severe flu-like symptoms, high fever, fatigue, headache, cough, tachypnoea, rash, arthralgia, myalgia or hypotension and considered at least possibly related to IMP. </w:t>
            </w:r>
          </w:p>
          <w:p w14:paraId="7C0843DF" w14:textId="353A402C" w:rsidR="005E785F" w:rsidRDefault="003621E8">
            <w:pPr>
              <w:pStyle w:val="ListParagraph"/>
              <w:widowControl w:val="0"/>
              <w:numPr>
                <w:ilvl w:val="1"/>
                <w:numId w:val="42"/>
              </w:numPr>
              <w:spacing w:before="120" w:after="120"/>
              <w:jc w:val="both"/>
              <w:rPr>
                <w:rFonts w:cs="Times New Roman"/>
                <w:sz w:val="20"/>
              </w:rPr>
            </w:pPr>
            <w:r>
              <w:rPr>
                <w:rFonts w:cs="Times New Roman"/>
                <w:sz w:val="20"/>
              </w:rPr>
              <w:t xml:space="preserve">Or if one subjects suffers from circulatory shock, severe dizziness and confusion, vascular leakage, disseminated intravascular coagulation, multi-organ system failure or acute respiratory distress syndrome and considered at least possibly related to IMP. </w:t>
            </w:r>
          </w:p>
          <w:p w14:paraId="6C94933C" w14:textId="7B565612" w:rsidR="005E785F" w:rsidRDefault="003621E8">
            <w:pPr>
              <w:pStyle w:val="CommentText"/>
              <w:widowControl w:val="0"/>
              <w:numPr>
                <w:ilvl w:val="1"/>
                <w:numId w:val="42"/>
              </w:numPr>
              <w:spacing w:before="60"/>
              <w:jc w:val="both"/>
              <w:rPr>
                <w:rFonts w:cs="Times New Roman"/>
                <w:u w:val="single"/>
              </w:rPr>
            </w:pPr>
            <w:r>
              <w:rPr>
                <w:rFonts w:cs="Times New Roman"/>
              </w:rPr>
              <w:lastRenderedPageBreak/>
              <w:t xml:space="preserve">Or if 2 subjects have laboratory abnormalities such as cytopenias, elevated creatinine and liver enzymes, altered coagulation parameters, or elevated CRP levels: AST or ALT &gt; 3ULN (without CPK increase) or ALP &gt; 1.5 ULN or total bilirubin &gt; 1.5 ULN, serum creatinine &gt; 1.5 ULN, platelet count below 100 </w:t>
            </w:r>
            <w:r>
              <w:rPr>
                <w:rFonts w:cs="Times New Roman"/>
                <w:color w:val="000000"/>
              </w:rPr>
              <w:t xml:space="preserve">10^9/L, </w:t>
            </w:r>
            <w:r>
              <w:rPr>
                <w:rFonts w:cs="Times New Roman"/>
              </w:rPr>
              <w:t xml:space="preserve">, lymphocyte count below 0.5 </w:t>
            </w:r>
            <w:r>
              <w:rPr>
                <w:rFonts w:cs="Times New Roman"/>
                <w:color w:val="000000"/>
              </w:rPr>
              <w:t xml:space="preserve">10^9/L, </w:t>
            </w:r>
            <w:r>
              <w:rPr>
                <w:rFonts w:cs="Times New Roman"/>
              </w:rPr>
              <w:t xml:space="preserve"> CRP &gt;20 mg/L, and considered related to the IMP and confirmed 24 to 48 hours later.</w:t>
            </w:r>
          </w:p>
          <w:p w14:paraId="69290D9B" w14:textId="7DD31827" w:rsidR="005E785F" w:rsidRDefault="003621E8">
            <w:pPr>
              <w:pStyle w:val="BodyText"/>
              <w:numPr>
                <w:ilvl w:val="0"/>
                <w:numId w:val="42"/>
              </w:numPr>
              <w:rPr>
                <w:sz w:val="20"/>
              </w:rPr>
            </w:pPr>
            <w:r>
              <w:rPr>
                <w:sz w:val="20"/>
              </w:rPr>
              <w:t>If the dose in a single subject is anticipated to exceed an AUC</w:t>
            </w:r>
            <w:r>
              <w:rPr>
                <w:sz w:val="20"/>
                <w:vertAlign w:val="subscript"/>
              </w:rPr>
              <w:t>last</w:t>
            </w:r>
            <w:r>
              <w:rPr>
                <w:vertAlign w:val="subscript"/>
              </w:rPr>
              <w:t xml:space="preserve"> </w:t>
            </w:r>
            <w:r>
              <w:rPr>
                <w:sz w:val="20"/>
              </w:rPr>
              <w:t>of ≥ 755 ng*h/mL. These limits are based on the exposure observed at the 15.9 mg/kg in cynomolgus monkeys (systemic NOAEL: AUC</w:t>
            </w:r>
            <w:r>
              <w:rPr>
                <w:vertAlign w:val="subscript"/>
              </w:rPr>
              <w:t>last</w:t>
            </w:r>
            <w:r>
              <w:rPr>
                <w:sz w:val="20"/>
              </w:rPr>
              <w:t xml:space="preserve"> of 755.8 ng*h/mL in males).</w:t>
            </w:r>
          </w:p>
          <w:p w14:paraId="52696157" w14:textId="01AE8F6D" w:rsidR="005E785F" w:rsidRDefault="003621E8">
            <w:pPr>
              <w:pStyle w:val="ListParagraph"/>
              <w:numPr>
                <w:ilvl w:val="0"/>
                <w:numId w:val="42"/>
              </w:numPr>
              <w:jc w:val="both"/>
              <w:rPr>
                <w:rFonts w:cs="Times New Roman"/>
                <w:sz w:val="20"/>
              </w:rPr>
            </w:pPr>
            <w:r>
              <w:rPr>
                <w:rFonts w:cs="Times New Roman"/>
                <w:bCs/>
                <w:sz w:val="20"/>
              </w:rPr>
              <w:t>If the dose in a single subject is anticipated to exceed a C</w:t>
            </w:r>
            <w:r>
              <w:rPr>
                <w:rFonts w:cs="Times New Roman"/>
                <w:bCs/>
                <w:sz w:val="20"/>
                <w:vertAlign w:val="subscript"/>
              </w:rPr>
              <w:t>max</w:t>
            </w:r>
            <w:r>
              <w:rPr>
                <w:rFonts w:cs="Times New Roman"/>
                <w:bCs/>
                <w:sz w:val="20"/>
              </w:rPr>
              <w:t xml:space="preserve"> of ≥ 1230 ng/mL. These limits are based on the exposure observed at the 15.9 mg/kg in cynomolgus monkeys (systemic NOAEL: C</w:t>
            </w:r>
            <w:r>
              <w:rPr>
                <w:rFonts w:cs="Times New Roman"/>
                <w:bCs/>
                <w:sz w:val="20"/>
                <w:vertAlign w:val="subscript"/>
              </w:rPr>
              <w:t>max</w:t>
            </w:r>
            <w:r>
              <w:rPr>
                <w:rFonts w:cs="Times New Roman"/>
                <w:bCs/>
                <w:sz w:val="20"/>
              </w:rPr>
              <w:t xml:space="preserve"> of 1230.7 ng/mL in males</w:t>
            </w:r>
            <w:r>
              <w:rPr>
                <w:rFonts w:cs="Times New Roman"/>
                <w:sz w:val="20"/>
              </w:rPr>
              <w:t>).</w:t>
            </w:r>
          </w:p>
          <w:p w14:paraId="20C10AC3" w14:textId="3D775099" w:rsidR="005E785F" w:rsidRDefault="003621E8">
            <w:pPr>
              <w:pStyle w:val="ListParagraph"/>
              <w:numPr>
                <w:ilvl w:val="0"/>
                <w:numId w:val="42"/>
              </w:numPr>
              <w:jc w:val="both"/>
              <w:rPr>
                <w:rFonts w:cs="Times New Roman"/>
                <w:sz w:val="20"/>
              </w:rPr>
            </w:pPr>
            <w:r>
              <w:rPr>
                <w:rFonts w:cs="Times New Roman"/>
                <w:sz w:val="20"/>
              </w:rPr>
              <w:t>If 2 subjects have grade 3 or above injection site reaction which are related to IMP injections.</w:t>
            </w:r>
          </w:p>
          <w:p w14:paraId="2FC8277D" w14:textId="77777777" w:rsidR="005E785F" w:rsidRDefault="003621E8">
            <w:pPr>
              <w:pStyle w:val="BodyText"/>
              <w:numPr>
                <w:ilvl w:val="0"/>
                <w:numId w:val="42"/>
              </w:numPr>
              <w:rPr>
                <w:sz w:val="20"/>
              </w:rPr>
            </w:pPr>
            <w:r>
              <w:rPr>
                <w:sz w:val="20"/>
              </w:rPr>
              <w:t>The Investigator considers the dose level to be not well tolerated.</w:t>
            </w:r>
          </w:p>
          <w:p w14:paraId="673322DE" w14:textId="6E4D1C64" w:rsidR="005E785F" w:rsidRDefault="003621E8">
            <w:pPr>
              <w:spacing w:before="120" w:after="120"/>
              <w:jc w:val="both"/>
              <w:rPr>
                <w:rFonts w:cs="Times New Roman"/>
                <w:sz w:val="20"/>
              </w:rPr>
            </w:pPr>
            <w:r>
              <w:rPr>
                <w:rFonts w:cs="Times New Roman"/>
                <w:sz w:val="20"/>
              </w:rPr>
              <w:t>If any of dose escalation stopping criteria are met, dosing will be halted and the SRC will be convened to explore whether it is reasonable to continue the study  All SAEs, if any, will be reported to the MHRA as per guidance.</w:t>
            </w:r>
          </w:p>
          <w:p w14:paraId="7BA2E1A4" w14:textId="0494E03C" w:rsidR="005E785F" w:rsidRDefault="003621E8">
            <w:pPr>
              <w:spacing w:before="120" w:after="120"/>
              <w:jc w:val="both"/>
              <w:rPr>
                <w:rFonts w:cs="Times New Roman"/>
                <w:sz w:val="20"/>
              </w:rPr>
            </w:pPr>
            <w:r>
              <w:rPr>
                <w:rFonts w:cs="Times New Roman"/>
                <w:sz w:val="20"/>
              </w:rPr>
              <w:t>If any of the above criteria are fulfilled, dose escalation will only proceed once an appropriate substantial amendment has received regulatory approval from the MHRA and ethical approval from the ethics committee associated with the study.</w:t>
            </w:r>
          </w:p>
          <w:bookmarkEnd w:id="12"/>
          <w:p w14:paraId="3ECD3890" w14:textId="6886B17A" w:rsidR="005E785F" w:rsidRDefault="003621E8">
            <w:pPr>
              <w:spacing w:before="120" w:after="120"/>
              <w:jc w:val="both"/>
              <w:rPr>
                <w:rFonts w:cs="Times New Roman"/>
                <w:sz w:val="20"/>
              </w:rPr>
            </w:pPr>
            <w:r>
              <w:rPr>
                <w:rFonts w:cs="Times New Roman"/>
                <w:sz w:val="20"/>
              </w:rPr>
              <w:t>Planned doses may be modified following a review of emerging data. Proposed maximum clinical dose of 180 mg will not be exceeded in this study. If the Sponsor determines that it is appropriate and necessary to exceed the current planned maximum dose of 180 mg, this will not be implemented until a substantial amendment has been submitted and receives approval from both the REC and MHRA.</w:t>
            </w:r>
          </w:p>
          <w:p w14:paraId="2FCD9410" w14:textId="61FFC27A" w:rsidR="005E785F" w:rsidRDefault="003621E8">
            <w:pPr>
              <w:pStyle w:val="BodyTextFull"/>
              <w:rPr>
                <w:rFonts w:ascii="Times New Roman" w:hAnsi="Times New Roman" w:cs="Times New Roman"/>
                <w:sz w:val="20"/>
              </w:rPr>
            </w:pPr>
            <w:r>
              <w:rPr>
                <w:rFonts w:ascii="Times New Roman" w:hAnsi="Times New Roman" w:cs="Times New Roman"/>
                <w:sz w:val="20"/>
              </w:rPr>
              <w:t>Dose escalation will be dependent upon the accrual of acceptable safety (and PK) data. If it is not appropriate to escalate the dose according to the proposed dose escalation schedule, then the same dose (only where no dose escalation stopping rules have been met), an intermediate dose or a lower dose may be given following discussion between the Sponsor and the PI (or deputy).</w:t>
            </w:r>
            <w:r>
              <w:rPr>
                <w:rFonts w:cs="Arial"/>
                <w:szCs w:val="22"/>
              </w:rPr>
              <w:t xml:space="preserve"> </w:t>
            </w:r>
            <w:r>
              <w:rPr>
                <w:rFonts w:ascii="Times New Roman" w:hAnsi="Times New Roman" w:cs="Times New Roman"/>
                <w:sz w:val="20"/>
              </w:rPr>
              <w:t xml:space="preserve">The timing, type and number of safety, PK and PD assessments may be modified. The number and/ or volume of blood samples per assessment may be increased as long as the total volume of blood drawn for a participant does not exceed 10% of the pre-specified total blood volume or surpass 500 mL (except when extra blood samples need to be taken for safety reasons). </w:t>
            </w:r>
          </w:p>
        </w:tc>
      </w:tr>
      <w:tr w:rsidR="005E785F" w14:paraId="73FB1E1A" w14:textId="77777777">
        <w:tc>
          <w:tcPr>
            <w:tcW w:w="5000" w:type="pct"/>
            <w:gridSpan w:val="2"/>
          </w:tcPr>
          <w:p w14:paraId="7533544A" w14:textId="77777777" w:rsidR="005E785F" w:rsidRDefault="003621E8">
            <w:pPr>
              <w:pStyle w:val="BodyText"/>
              <w:spacing w:before="40" w:after="40"/>
              <w:jc w:val="left"/>
              <w:rPr>
                <w:b/>
                <w:sz w:val="20"/>
              </w:rPr>
            </w:pPr>
            <w:r>
              <w:rPr>
                <w:b/>
                <w:caps/>
                <w:sz w:val="20"/>
              </w:rPr>
              <w:lastRenderedPageBreak/>
              <w:t>number of PARTICIPANTs:</w:t>
            </w:r>
            <w:r>
              <w:rPr>
                <w:b/>
                <w:sz w:val="20"/>
              </w:rPr>
              <w:t xml:space="preserve"> </w:t>
            </w:r>
          </w:p>
          <w:p w14:paraId="5F885A23" w14:textId="469CDA65" w:rsidR="005E785F" w:rsidRDefault="003621E8">
            <w:pPr>
              <w:pStyle w:val="BodyText"/>
              <w:numPr>
                <w:ilvl w:val="0"/>
                <w:numId w:val="39"/>
              </w:numPr>
              <w:spacing w:before="40"/>
              <w:jc w:val="left"/>
              <w:rPr>
                <w:sz w:val="20"/>
              </w:rPr>
            </w:pPr>
            <w:r>
              <w:rPr>
                <w:sz w:val="20"/>
              </w:rPr>
              <w:t>4 cohorts of 8 healthy male subjects (cohort 4 is optional).</w:t>
            </w:r>
          </w:p>
          <w:p w14:paraId="73FB1E19" w14:textId="7E7383B3" w:rsidR="005E785F" w:rsidRDefault="003621E8">
            <w:pPr>
              <w:pStyle w:val="BodyText"/>
              <w:spacing w:before="40"/>
              <w:rPr>
                <w:sz w:val="20"/>
              </w:rPr>
            </w:pPr>
            <w:r>
              <w:rPr>
                <w:sz w:val="20"/>
              </w:rPr>
              <w:t>Replacement of subjects is acceptable in case of protocol violations, or withdrawal for personal reasons. Subjects withdrawn for safety reasons after dosing will not be replaced.</w:t>
            </w:r>
          </w:p>
        </w:tc>
      </w:tr>
      <w:tr w:rsidR="005E785F" w14:paraId="73FB1E1D" w14:textId="77777777">
        <w:tc>
          <w:tcPr>
            <w:tcW w:w="5000" w:type="pct"/>
            <w:gridSpan w:val="2"/>
          </w:tcPr>
          <w:p w14:paraId="73FB1E1B" w14:textId="7856FB89" w:rsidR="005E785F" w:rsidRDefault="003621E8">
            <w:pPr>
              <w:pStyle w:val="BodyText"/>
              <w:spacing w:before="40" w:after="40"/>
              <w:jc w:val="left"/>
              <w:rPr>
                <w:b/>
                <w:caps/>
                <w:sz w:val="20"/>
              </w:rPr>
            </w:pPr>
            <w:r>
              <w:rPr>
                <w:b/>
                <w:caps/>
                <w:sz w:val="20"/>
              </w:rPr>
              <w:t xml:space="preserve">main INCLUSION criteria: </w:t>
            </w:r>
          </w:p>
          <w:p w14:paraId="7332BF1C" w14:textId="77777777" w:rsidR="005E785F" w:rsidRDefault="003621E8">
            <w:pPr>
              <w:pStyle w:val="ListNumber"/>
              <w:numPr>
                <w:ilvl w:val="0"/>
                <w:numId w:val="76"/>
              </w:numPr>
              <w:spacing w:before="120" w:after="120"/>
              <w:rPr>
                <w:sz w:val="20"/>
              </w:rPr>
            </w:pPr>
            <w:r>
              <w:rPr>
                <w:sz w:val="20"/>
              </w:rPr>
              <w:t xml:space="preserve">Male healthy subjects 18 to 50 years old at the time of obtaining the informed consent. </w:t>
            </w:r>
          </w:p>
          <w:p w14:paraId="7CDA8DCE" w14:textId="2DCD9CCF" w:rsidR="005E785F" w:rsidRDefault="003621E8">
            <w:pPr>
              <w:pStyle w:val="ListNumber"/>
              <w:numPr>
                <w:ilvl w:val="0"/>
                <w:numId w:val="76"/>
              </w:numPr>
              <w:spacing w:before="120" w:after="120"/>
              <w:rPr>
                <w:sz w:val="20"/>
              </w:rPr>
            </w:pPr>
            <w:bookmarkStart w:id="13" w:name="_Ref529188065"/>
            <w:r>
              <w:rPr>
                <w:sz w:val="20"/>
              </w:rPr>
              <w:t>B</w:t>
            </w:r>
            <w:bookmarkEnd w:id="13"/>
            <w:r>
              <w:rPr>
                <w:sz w:val="20"/>
              </w:rPr>
              <w:t>ody weight ≥ 60 kg to ≤ 90 kg, BMI 18 to 30.1 kg/m</w:t>
            </w:r>
            <w:r>
              <w:rPr>
                <w:sz w:val="20"/>
                <w:vertAlign w:val="superscript"/>
              </w:rPr>
              <w:t>2</w:t>
            </w:r>
            <w:r>
              <w:rPr>
                <w:sz w:val="20"/>
              </w:rPr>
              <w:t>.</w:t>
            </w:r>
            <w:r>
              <w:t xml:space="preserve"> </w:t>
            </w:r>
            <w:r>
              <w:rPr>
                <w:sz w:val="20"/>
              </w:rPr>
              <w:t>BMI = body weight (kg) / [height (m)]</w:t>
            </w:r>
            <w:r>
              <w:rPr>
                <w:sz w:val="20"/>
                <w:vertAlign w:val="superscript"/>
              </w:rPr>
              <w:t>2</w:t>
            </w:r>
          </w:p>
          <w:p w14:paraId="677F02C2" w14:textId="0DF9879F" w:rsidR="005E785F" w:rsidRDefault="003621E8">
            <w:pPr>
              <w:pStyle w:val="ListNumber"/>
              <w:numPr>
                <w:ilvl w:val="0"/>
                <w:numId w:val="76"/>
              </w:numPr>
              <w:spacing w:before="120" w:after="120"/>
              <w:jc w:val="both"/>
              <w:rPr>
                <w:sz w:val="20"/>
              </w:rPr>
            </w:pPr>
            <w:r>
              <w:rPr>
                <w:sz w:val="20"/>
              </w:rPr>
              <w:t>Provision of written informed consent to participate as shown by a signature on the participant information sheet and consent form, after reading the information sheet and consent form, and after having the opportunity to discuss the trial with the Investigator or his/her delegate.</w:t>
            </w:r>
          </w:p>
          <w:p w14:paraId="0E99AE1D" w14:textId="4A14A7A2" w:rsidR="005E785F" w:rsidRDefault="003621E8">
            <w:pPr>
              <w:pStyle w:val="ListNumber"/>
              <w:numPr>
                <w:ilvl w:val="0"/>
                <w:numId w:val="76"/>
              </w:numPr>
              <w:jc w:val="both"/>
              <w:rPr>
                <w:sz w:val="20"/>
              </w:rPr>
            </w:pPr>
            <w:r>
              <w:rPr>
                <w:sz w:val="20"/>
              </w:rPr>
              <w:t>Normal blood pressure: Systolic blood pressure between ≥100 and ≤140 mmHg, Diastolic blood pressure ≤ 90 mmHg, measured after 10 min rest in supine position at Screening, admission, and pre-dose.</w:t>
            </w:r>
          </w:p>
          <w:p w14:paraId="4E2B919A" w14:textId="77777777" w:rsidR="005E785F" w:rsidRDefault="003621E8">
            <w:pPr>
              <w:pStyle w:val="ListNumber"/>
              <w:numPr>
                <w:ilvl w:val="0"/>
                <w:numId w:val="76"/>
              </w:numPr>
              <w:spacing w:before="120" w:after="120"/>
              <w:jc w:val="both"/>
              <w:rPr>
                <w:sz w:val="20"/>
              </w:rPr>
            </w:pPr>
            <w:bookmarkStart w:id="14" w:name="_Ref534818504"/>
            <w:bookmarkStart w:id="15" w:name="_Ref536796571"/>
            <w:r>
              <w:rPr>
                <w:sz w:val="20"/>
              </w:rPr>
              <w:t>A resting heart rate (HR) between ≥45 and ≤90 bpm measured after 10 min rest in supine position</w:t>
            </w:r>
            <w:bookmarkEnd w:id="14"/>
            <w:r>
              <w:rPr>
                <w:sz w:val="20"/>
              </w:rPr>
              <w:t xml:space="preserve"> at Screening, admission, and pre-dose</w:t>
            </w:r>
            <w:bookmarkEnd w:id="15"/>
            <w:r>
              <w:rPr>
                <w:sz w:val="20"/>
              </w:rPr>
              <w:t>.</w:t>
            </w:r>
          </w:p>
          <w:p w14:paraId="1FB388D1" w14:textId="77777777" w:rsidR="005E785F" w:rsidRDefault="003621E8">
            <w:pPr>
              <w:pStyle w:val="ListNumber"/>
              <w:numPr>
                <w:ilvl w:val="0"/>
                <w:numId w:val="76"/>
              </w:numPr>
              <w:spacing w:before="120" w:after="120"/>
              <w:jc w:val="both"/>
              <w:rPr>
                <w:sz w:val="20"/>
              </w:rPr>
            </w:pPr>
            <w:r>
              <w:rPr>
                <w:sz w:val="20"/>
              </w:rPr>
              <w:t>ECG recording without clinically significant abnormality, including a QTcF measure of ≤ 450 msec.</w:t>
            </w:r>
          </w:p>
          <w:p w14:paraId="43B78B0F" w14:textId="156FD6EF" w:rsidR="005E785F" w:rsidRDefault="003621E8">
            <w:pPr>
              <w:pStyle w:val="ListNumber"/>
              <w:numPr>
                <w:ilvl w:val="0"/>
                <w:numId w:val="76"/>
              </w:numPr>
              <w:spacing w:before="120" w:after="120"/>
              <w:jc w:val="both"/>
              <w:rPr>
                <w:sz w:val="20"/>
              </w:rPr>
            </w:pPr>
            <w:r>
              <w:rPr>
                <w:bCs/>
                <w:sz w:val="20"/>
              </w:rPr>
              <w:t xml:space="preserve">Male participant (and partner of childbearing potential) willing to use a highly effective method of contraception (see </w:t>
            </w:r>
            <w:hyperlink w:anchor="_Contraception" w:history="1">
              <w:r>
                <w:rPr>
                  <w:bCs/>
                  <w:sz w:val="20"/>
                </w:rPr>
                <w:t>Section 10.5.1</w:t>
              </w:r>
            </w:hyperlink>
            <w:r>
              <w:rPr>
                <w:bCs/>
                <w:sz w:val="20"/>
              </w:rPr>
              <w:t xml:space="preserve">), if applicable (unless anatomically sterile or where abstaining from </w:t>
            </w:r>
            <w:r>
              <w:rPr>
                <w:bCs/>
                <w:sz w:val="20"/>
              </w:rPr>
              <w:lastRenderedPageBreak/>
              <w:t>sexual intercourse is in line with the preferred and usual lifestyle of the participant) from first dose until 3 months after last dose of IMP.</w:t>
            </w:r>
          </w:p>
          <w:p w14:paraId="04101580" w14:textId="77777777" w:rsidR="005E785F" w:rsidRDefault="003621E8">
            <w:pPr>
              <w:pStyle w:val="ListNumber"/>
              <w:numPr>
                <w:ilvl w:val="0"/>
                <w:numId w:val="76"/>
              </w:numPr>
              <w:spacing w:before="120" w:after="120"/>
              <w:jc w:val="both"/>
              <w:rPr>
                <w:sz w:val="20"/>
              </w:rPr>
            </w:pPr>
            <w:r>
              <w:rPr>
                <w:bCs/>
                <w:sz w:val="20"/>
              </w:rPr>
              <w:t>No clinically significant history of previous allergy / sensitivity to CpG ODN D35 or any of the excipients contained within the IMP(s).</w:t>
            </w:r>
          </w:p>
          <w:p w14:paraId="6956446C" w14:textId="77777777" w:rsidR="005E785F" w:rsidRDefault="003621E8">
            <w:pPr>
              <w:pStyle w:val="ListNumber"/>
              <w:numPr>
                <w:ilvl w:val="0"/>
                <w:numId w:val="76"/>
              </w:numPr>
              <w:spacing w:before="120" w:after="120"/>
              <w:jc w:val="both"/>
              <w:rPr>
                <w:sz w:val="20"/>
              </w:rPr>
            </w:pPr>
            <w:r>
              <w:rPr>
                <w:bCs/>
                <w:sz w:val="20"/>
              </w:rPr>
              <w:t>No clinically significant abnormal test results for serum biochemistry, haematology and/or urine analyses within 28 days before the first dose administration of the IMP.</w:t>
            </w:r>
          </w:p>
          <w:p w14:paraId="34CFB48E" w14:textId="77777777" w:rsidR="005E785F" w:rsidRDefault="003621E8">
            <w:pPr>
              <w:pStyle w:val="ListNumber"/>
              <w:numPr>
                <w:ilvl w:val="0"/>
                <w:numId w:val="76"/>
              </w:numPr>
              <w:spacing w:before="120" w:after="120"/>
              <w:jc w:val="both"/>
              <w:rPr>
                <w:sz w:val="20"/>
              </w:rPr>
            </w:pPr>
            <w:r>
              <w:rPr>
                <w:bCs/>
                <w:sz w:val="20"/>
              </w:rPr>
              <w:t>Participant with a negative urinary drugs of abuse (DOA) screen (including alcohol/cotinine) test results, determined within 28 days before the first dose administration of the IMP (N.B.: A positive test result may be repeated at the Investigator’s discretion).</w:t>
            </w:r>
          </w:p>
          <w:p w14:paraId="127E164E" w14:textId="77777777" w:rsidR="005E785F" w:rsidRDefault="003621E8">
            <w:pPr>
              <w:pStyle w:val="ListNumber"/>
              <w:numPr>
                <w:ilvl w:val="0"/>
                <w:numId w:val="76"/>
              </w:numPr>
              <w:spacing w:before="120" w:after="120"/>
              <w:jc w:val="both"/>
              <w:rPr>
                <w:sz w:val="20"/>
              </w:rPr>
            </w:pPr>
            <w:r>
              <w:rPr>
                <w:bCs/>
                <w:sz w:val="20"/>
              </w:rPr>
              <w:t>Participant must be available to complete the study (including all follow-up visits).</w:t>
            </w:r>
          </w:p>
          <w:p w14:paraId="36F372EA" w14:textId="04497E47" w:rsidR="005E785F" w:rsidRDefault="003621E8">
            <w:pPr>
              <w:pStyle w:val="ListNumber"/>
              <w:numPr>
                <w:ilvl w:val="0"/>
                <w:numId w:val="76"/>
              </w:numPr>
              <w:spacing w:before="120" w:after="120"/>
              <w:jc w:val="both"/>
              <w:rPr>
                <w:sz w:val="20"/>
              </w:rPr>
            </w:pPr>
            <w:r>
              <w:rPr>
                <w:bCs/>
                <w:sz w:val="20"/>
              </w:rPr>
              <w:t>Participant must satisfy an Investigator about his fitness to participate in the study.</w:t>
            </w:r>
          </w:p>
        </w:tc>
      </w:tr>
      <w:tr w:rsidR="005E785F" w14:paraId="4F0A7E1B" w14:textId="77777777">
        <w:tc>
          <w:tcPr>
            <w:tcW w:w="5000" w:type="pct"/>
            <w:gridSpan w:val="2"/>
          </w:tcPr>
          <w:p w14:paraId="2968535D" w14:textId="07E23E17" w:rsidR="005E785F" w:rsidRDefault="003621E8">
            <w:pPr>
              <w:pStyle w:val="BodyText"/>
              <w:spacing w:before="40" w:after="40"/>
              <w:jc w:val="left"/>
              <w:rPr>
                <w:b/>
                <w:caps/>
                <w:sz w:val="20"/>
              </w:rPr>
            </w:pPr>
            <w:r>
              <w:rPr>
                <w:b/>
                <w:caps/>
                <w:sz w:val="20"/>
              </w:rPr>
              <w:lastRenderedPageBreak/>
              <w:t>MAIN Exclusion CRITERIA:</w:t>
            </w:r>
          </w:p>
          <w:p w14:paraId="5DCB6B65" w14:textId="717B5056" w:rsidR="005E785F" w:rsidRDefault="003621E8">
            <w:pPr>
              <w:pStyle w:val="BodyTextFull"/>
              <w:numPr>
                <w:ilvl w:val="0"/>
                <w:numId w:val="79"/>
              </w:numPr>
              <w:rPr>
                <w:rFonts w:ascii="Times New Roman" w:hAnsi="Times New Roman" w:cs="Times New Roman"/>
                <w:sz w:val="20"/>
              </w:rPr>
            </w:pPr>
            <w:r>
              <w:rPr>
                <w:rFonts w:ascii="Times New Roman" w:hAnsi="Times New Roman" w:cs="Times New Roman"/>
                <w:sz w:val="20"/>
              </w:rPr>
              <w:t>Behavioral, cognitive, or psychiatric disease that, in the opinion of the Investigator, affects the ability of the participant to understand and cooperate with the study protocol.</w:t>
            </w:r>
          </w:p>
          <w:p w14:paraId="5BD23795" w14:textId="654651D9" w:rsidR="005E785F" w:rsidRDefault="003621E8">
            <w:pPr>
              <w:pStyle w:val="BodyTextFull"/>
              <w:numPr>
                <w:ilvl w:val="0"/>
                <w:numId w:val="79"/>
              </w:numPr>
              <w:rPr>
                <w:rFonts w:ascii="Times New Roman" w:hAnsi="Times New Roman" w:cs="Times New Roman"/>
                <w:sz w:val="20"/>
              </w:rPr>
            </w:pPr>
            <w:r>
              <w:rPr>
                <w:rFonts w:ascii="Times New Roman" w:hAnsi="Times New Roman" w:cs="Times New Roman"/>
                <w:sz w:val="20"/>
              </w:rPr>
              <w:t xml:space="preserve">History of clinically significant cardiovascular, renal, hepatic, neurological (especially seizures), immunological, psychiatric, myopathies, bleeding tendency, respiratory and particularly GI disease, especially peptic ulceration and chronic gastritis, GI bleeding, ulcerative colitis, Crohn’s Disease or Irritable Bowel Syndrome, as judged by the Investigator. </w:t>
            </w:r>
          </w:p>
          <w:p w14:paraId="43640256" w14:textId="1F3BAC9C" w:rsidR="005E785F" w:rsidRDefault="003621E8">
            <w:pPr>
              <w:pStyle w:val="BodyTextFull"/>
              <w:numPr>
                <w:ilvl w:val="0"/>
                <w:numId w:val="79"/>
              </w:numPr>
              <w:rPr>
                <w:rFonts w:ascii="Times New Roman" w:hAnsi="Times New Roman" w:cs="Times New Roman"/>
                <w:sz w:val="20"/>
              </w:rPr>
            </w:pPr>
            <w:r>
              <w:rPr>
                <w:rFonts w:ascii="Times New Roman" w:hAnsi="Times New Roman" w:cs="Times New Roman"/>
                <w:sz w:val="20"/>
              </w:rPr>
              <w:t>Individual or family history of pre-existing autoimmune or antibody-mediated diseases including (but not limited to): systemic lupus erythematosus, rheumatoid arthritis, multiple sclerosis, Sjögren's syndrome, type 1 diabetes mellitus, auto-immune thyroiditis, Basedow syndrome, autoimmune thrombocytopenia; or proteinuria (greater than trace protein on urine dipstick testing).</w:t>
            </w:r>
          </w:p>
          <w:p w14:paraId="1067B080" w14:textId="77777777" w:rsidR="005E785F" w:rsidRDefault="003621E8">
            <w:pPr>
              <w:pStyle w:val="BodyTextFull"/>
              <w:numPr>
                <w:ilvl w:val="0"/>
                <w:numId w:val="79"/>
              </w:numPr>
              <w:rPr>
                <w:rFonts w:ascii="Times New Roman" w:hAnsi="Times New Roman" w:cs="Times New Roman"/>
                <w:sz w:val="20"/>
              </w:rPr>
            </w:pPr>
            <w:r>
              <w:rPr>
                <w:rFonts w:ascii="Times New Roman" w:hAnsi="Times New Roman" w:cs="Times New Roman"/>
                <w:sz w:val="20"/>
              </w:rPr>
              <w:t>History of allergy, hay fever, intolerance or photosensitivity to any drug or have a history of serious allergy, asthma, allergic skin rash or sensitivity to any drug.</w:t>
            </w:r>
          </w:p>
          <w:p w14:paraId="74EAD9EA" w14:textId="5B6EEF09" w:rsidR="005E785F" w:rsidRDefault="003621E8">
            <w:pPr>
              <w:pStyle w:val="BodyTextFull"/>
              <w:numPr>
                <w:ilvl w:val="0"/>
                <w:numId w:val="79"/>
              </w:numPr>
              <w:rPr>
                <w:rFonts w:ascii="Times New Roman" w:hAnsi="Times New Roman" w:cs="Times New Roman"/>
                <w:sz w:val="20"/>
              </w:rPr>
            </w:pPr>
            <w:r>
              <w:rPr>
                <w:rFonts w:ascii="Times New Roman" w:hAnsi="Times New Roman" w:cs="Times New Roman"/>
                <w:sz w:val="20"/>
              </w:rPr>
              <w:t xml:space="preserve">Subjects who are taking, or have taken, any prescribed or over-the-counter drug (including non-steroidal anti-inflammatory drugs (NSAID)) in the 28 days or 5 half-lives (whichever is longer) before IMP administration. Administration of up to 3 g of paracetamol per day within 7 days of IMP administration is allowed. </w:t>
            </w:r>
          </w:p>
          <w:p w14:paraId="476E2BE5" w14:textId="3A806AA0" w:rsidR="005E785F" w:rsidRDefault="003621E8">
            <w:pPr>
              <w:pStyle w:val="BodyTextFull"/>
              <w:numPr>
                <w:ilvl w:val="0"/>
                <w:numId w:val="79"/>
              </w:numPr>
              <w:rPr>
                <w:rFonts w:ascii="Times New Roman" w:hAnsi="Times New Roman" w:cs="Times New Roman"/>
                <w:sz w:val="20"/>
              </w:rPr>
            </w:pPr>
            <w:r>
              <w:rPr>
                <w:rFonts w:ascii="Times New Roman" w:hAnsi="Times New Roman" w:cs="Times New Roman"/>
                <w:sz w:val="20"/>
              </w:rPr>
              <w:t xml:space="preserve">Subjects who have received any prophylactic vaccine (including COVID-19 vaccine) or immunization within the last 28 days or use of corticosteroids or immunosuppressive drugs within 28 days of IMP administration. </w:t>
            </w:r>
          </w:p>
          <w:p w14:paraId="33E6D493" w14:textId="030B6DB4" w:rsidR="005E785F" w:rsidRDefault="003621E8">
            <w:pPr>
              <w:pStyle w:val="BodyTextFull"/>
              <w:numPr>
                <w:ilvl w:val="0"/>
                <w:numId w:val="79"/>
              </w:numPr>
              <w:rPr>
                <w:rFonts w:ascii="Times New Roman" w:hAnsi="Times New Roman" w:cs="Times New Roman"/>
                <w:sz w:val="20"/>
              </w:rPr>
            </w:pPr>
            <w:r>
              <w:rPr>
                <w:rFonts w:ascii="Times New Roman" w:hAnsi="Times New Roman" w:cs="Times New Roman"/>
                <w:sz w:val="20"/>
              </w:rPr>
              <w:t>Subjects with febrile illness or infectious illness within 2 weeks of IMP administration.</w:t>
            </w:r>
          </w:p>
          <w:p w14:paraId="3975DB0D" w14:textId="687C3754" w:rsidR="005E785F" w:rsidRDefault="003621E8">
            <w:pPr>
              <w:pStyle w:val="BodyTextFull"/>
              <w:numPr>
                <w:ilvl w:val="0"/>
                <w:numId w:val="79"/>
              </w:numPr>
              <w:rPr>
                <w:rFonts w:ascii="Times New Roman" w:hAnsi="Times New Roman" w:cs="Times New Roman"/>
                <w:sz w:val="20"/>
              </w:rPr>
            </w:pPr>
            <w:r>
              <w:rPr>
                <w:rFonts w:ascii="Times New Roman" w:hAnsi="Times New Roman" w:cs="Times New Roman"/>
                <w:sz w:val="20"/>
              </w:rPr>
              <w:t>Subjects with positive hepatitis B surface antigen (HBsAg), hepatitis C virus antibody (HCV Ab) and or human immunodeficiency virus (HIV) tests results at Screening.</w:t>
            </w:r>
          </w:p>
          <w:p w14:paraId="6896B8CB" w14:textId="77777777" w:rsidR="005E785F" w:rsidRDefault="003621E8">
            <w:pPr>
              <w:pStyle w:val="BodyTextFull"/>
              <w:numPr>
                <w:ilvl w:val="0"/>
                <w:numId w:val="79"/>
              </w:numPr>
              <w:rPr>
                <w:rFonts w:ascii="Times New Roman" w:hAnsi="Times New Roman" w:cs="Times New Roman"/>
                <w:sz w:val="20"/>
              </w:rPr>
            </w:pPr>
            <w:r>
              <w:rPr>
                <w:rFonts w:ascii="Times New Roman" w:hAnsi="Times New Roman" w:cs="Times New Roman"/>
                <w:sz w:val="20"/>
              </w:rPr>
              <w:t>Positive RT-PCR COVID-19 test at admission.</w:t>
            </w:r>
          </w:p>
          <w:p w14:paraId="277E0F6D" w14:textId="5FCDDF85" w:rsidR="005E785F" w:rsidRDefault="003621E8">
            <w:pPr>
              <w:pStyle w:val="BodyTextFull"/>
              <w:numPr>
                <w:ilvl w:val="0"/>
                <w:numId w:val="79"/>
              </w:numPr>
              <w:rPr>
                <w:rFonts w:ascii="Times New Roman" w:hAnsi="Times New Roman" w:cs="Times New Roman"/>
                <w:sz w:val="20"/>
              </w:rPr>
            </w:pPr>
            <w:r>
              <w:rPr>
                <w:rFonts w:ascii="Times New Roman" w:hAnsi="Times New Roman" w:cs="Times New Roman"/>
                <w:sz w:val="20"/>
              </w:rPr>
              <w:t>Donation or loss of greater than 500 mL of blood within the previous 3 months prior to IMP administration.</w:t>
            </w:r>
          </w:p>
          <w:p w14:paraId="2A228A50" w14:textId="11988AD1" w:rsidR="005E785F" w:rsidRDefault="003621E8">
            <w:pPr>
              <w:pStyle w:val="BodyTextFull"/>
              <w:numPr>
                <w:ilvl w:val="0"/>
                <w:numId w:val="79"/>
              </w:numPr>
              <w:rPr>
                <w:rFonts w:ascii="Times New Roman" w:hAnsi="Times New Roman" w:cs="Times New Roman"/>
                <w:sz w:val="20"/>
              </w:rPr>
            </w:pPr>
            <w:r>
              <w:rPr>
                <w:rFonts w:ascii="Times New Roman" w:hAnsi="Times New Roman" w:cs="Times New Roman"/>
                <w:sz w:val="20"/>
              </w:rPr>
              <w:t>Major surgery within 12 weeks prior to Screening.</w:t>
            </w:r>
          </w:p>
          <w:p w14:paraId="0A20DE02" w14:textId="24123890" w:rsidR="005E785F" w:rsidRDefault="003621E8">
            <w:pPr>
              <w:pStyle w:val="BodyTextFull"/>
              <w:numPr>
                <w:ilvl w:val="0"/>
                <w:numId w:val="79"/>
              </w:numPr>
              <w:rPr>
                <w:rFonts w:ascii="Times New Roman" w:hAnsi="Times New Roman" w:cs="Times New Roman"/>
                <w:sz w:val="20"/>
              </w:rPr>
            </w:pPr>
            <w:r>
              <w:rPr>
                <w:rFonts w:ascii="Times New Roman" w:hAnsi="Times New Roman" w:cs="Times New Roman"/>
                <w:sz w:val="20"/>
              </w:rPr>
              <w:t>Subjects who are known or suspected alcohol abusers (more than 14 units of alcohol per week, one unit = 8 g or about 10 mL of pure alcohol). Positive alcohol test at Screening or admission.</w:t>
            </w:r>
          </w:p>
          <w:p w14:paraId="05AAD876" w14:textId="77777777" w:rsidR="005E785F" w:rsidRDefault="003621E8">
            <w:pPr>
              <w:pStyle w:val="BodyTextFull"/>
              <w:numPr>
                <w:ilvl w:val="0"/>
                <w:numId w:val="79"/>
              </w:numPr>
              <w:rPr>
                <w:rFonts w:ascii="Times New Roman" w:hAnsi="Times New Roman" w:cs="Times New Roman"/>
                <w:sz w:val="20"/>
              </w:rPr>
            </w:pPr>
            <w:r>
              <w:rPr>
                <w:rFonts w:ascii="Times New Roman" w:hAnsi="Times New Roman" w:cs="Times New Roman"/>
                <w:sz w:val="20"/>
              </w:rPr>
              <w:t>Demonstrating excess in caffeine/xanthine consumption (more than 6 cups of coffee or equivalent a day).</w:t>
            </w:r>
          </w:p>
          <w:p w14:paraId="793C4452" w14:textId="77777777" w:rsidR="005E785F" w:rsidRDefault="003621E8">
            <w:pPr>
              <w:pStyle w:val="BodyTextFull"/>
              <w:numPr>
                <w:ilvl w:val="0"/>
                <w:numId w:val="79"/>
              </w:numPr>
              <w:rPr>
                <w:rFonts w:ascii="Times New Roman" w:hAnsi="Times New Roman" w:cs="Times New Roman"/>
                <w:sz w:val="20"/>
              </w:rPr>
            </w:pPr>
            <w:r>
              <w:rPr>
                <w:rFonts w:ascii="Times New Roman" w:hAnsi="Times New Roman" w:cs="Times New Roman"/>
                <w:sz w:val="20"/>
              </w:rPr>
              <w:t>History of use of drugs of abuse in the past 2 years.</w:t>
            </w:r>
          </w:p>
          <w:p w14:paraId="25A71752" w14:textId="17B6AAA5" w:rsidR="005E785F" w:rsidRDefault="003621E8">
            <w:pPr>
              <w:pStyle w:val="BodyTextFull"/>
              <w:numPr>
                <w:ilvl w:val="0"/>
                <w:numId w:val="79"/>
              </w:numPr>
              <w:rPr>
                <w:rFonts w:ascii="Times New Roman" w:hAnsi="Times New Roman" w:cs="Times New Roman"/>
                <w:sz w:val="20"/>
              </w:rPr>
            </w:pPr>
            <w:r>
              <w:rPr>
                <w:rFonts w:ascii="Times New Roman" w:hAnsi="Times New Roman" w:cs="Times New Roman"/>
                <w:sz w:val="20"/>
              </w:rPr>
              <w:t xml:space="preserve">Subjects who do not have suitable veins for multiple venepunctures/cannulation. </w:t>
            </w:r>
          </w:p>
          <w:p w14:paraId="16366ED2" w14:textId="1802F254" w:rsidR="005E785F" w:rsidRDefault="003621E8">
            <w:pPr>
              <w:pStyle w:val="BodyTextFull"/>
              <w:numPr>
                <w:ilvl w:val="0"/>
                <w:numId w:val="79"/>
              </w:numPr>
              <w:rPr>
                <w:rFonts w:ascii="Times New Roman" w:hAnsi="Times New Roman" w:cs="Times New Roman"/>
                <w:sz w:val="20"/>
              </w:rPr>
            </w:pPr>
            <w:r>
              <w:rPr>
                <w:rFonts w:ascii="Times New Roman" w:hAnsi="Times New Roman" w:cs="Times New Roman"/>
                <w:sz w:val="20"/>
              </w:rPr>
              <w:lastRenderedPageBreak/>
              <w:t>Subjects who have any clinical condition or prior therapy which, in the opinion of the Investigator, could jeopardize the safety or rights of a volunteer participating in the trial or would render them unable to comply with the protocol.</w:t>
            </w:r>
          </w:p>
          <w:p w14:paraId="7F2A9AFE" w14:textId="041839B0" w:rsidR="005E785F" w:rsidRDefault="003621E8">
            <w:pPr>
              <w:pStyle w:val="ListParagraph"/>
              <w:numPr>
                <w:ilvl w:val="0"/>
                <w:numId w:val="79"/>
              </w:numPr>
              <w:rPr>
                <w:rFonts w:eastAsia="Times New Roman Bold" w:cs="Times New Roman"/>
                <w:sz w:val="20"/>
              </w:rPr>
            </w:pPr>
            <w:r>
              <w:rPr>
                <w:rFonts w:eastAsia="Times New Roman Bold" w:cs="Times New Roman"/>
                <w:sz w:val="20"/>
              </w:rPr>
              <w:t>Participation in a non-marketed drug clinical study within 3 months or five half-lives (whichever is longer) or a marketed drug clinical study within 30 days or five half-lives (whichever is longer) before the first dose of IMP (washout period between studies is defined as the period of time elapsed between the last dose of the previous study and the first dose of the next study).</w:t>
            </w:r>
          </w:p>
          <w:p w14:paraId="30D35208" w14:textId="385B1AF4" w:rsidR="005E785F" w:rsidRDefault="003621E8">
            <w:pPr>
              <w:pStyle w:val="BodyTextFull"/>
              <w:numPr>
                <w:ilvl w:val="0"/>
                <w:numId w:val="79"/>
              </w:numPr>
              <w:rPr>
                <w:rFonts w:ascii="Times New Roman" w:hAnsi="Times New Roman" w:cs="Times New Roman"/>
                <w:sz w:val="20"/>
              </w:rPr>
            </w:pPr>
            <w:r>
              <w:rPr>
                <w:rFonts w:ascii="Times New Roman" w:hAnsi="Times New Roman" w:cs="Times New Roman"/>
                <w:sz w:val="20"/>
              </w:rPr>
              <w:t>Subjects who are study site employees, or immediate family members of a study site or sponsor employee.</w:t>
            </w:r>
          </w:p>
          <w:p w14:paraId="49A77CAE" w14:textId="77777777" w:rsidR="005E785F" w:rsidRDefault="003621E8">
            <w:pPr>
              <w:pStyle w:val="BodyTextFull"/>
              <w:numPr>
                <w:ilvl w:val="0"/>
                <w:numId w:val="79"/>
              </w:numPr>
              <w:rPr>
                <w:rFonts w:ascii="Times New Roman" w:hAnsi="Times New Roman" w:cs="Times New Roman"/>
                <w:sz w:val="20"/>
              </w:rPr>
            </w:pPr>
            <w:r>
              <w:rPr>
                <w:rFonts w:ascii="Times New Roman" w:hAnsi="Times New Roman" w:cs="Times New Roman"/>
                <w:sz w:val="20"/>
              </w:rPr>
              <w:t>Inability to communicate well with the Investigators (i.e., language problem, poor mental development, or impaired cerebral function).</w:t>
            </w:r>
          </w:p>
          <w:p w14:paraId="5932B31E" w14:textId="58F5F08A" w:rsidR="005E785F" w:rsidRDefault="003621E8">
            <w:pPr>
              <w:pStyle w:val="BodyTextFull"/>
              <w:numPr>
                <w:ilvl w:val="0"/>
                <w:numId w:val="79"/>
              </w:numPr>
              <w:rPr>
                <w:rFonts w:ascii="Times New Roman" w:hAnsi="Times New Roman" w:cs="Times New Roman"/>
                <w:sz w:val="20"/>
              </w:rPr>
            </w:pPr>
            <w:r>
              <w:rPr>
                <w:rFonts w:ascii="Times New Roman" w:hAnsi="Times New Roman" w:cs="Times New Roman"/>
                <w:sz w:val="20"/>
              </w:rPr>
              <w:t xml:space="preserve">Users of nicotine products i.e., current smokers or ex-smokers who have smoked within the 6 months prior to  </w:t>
            </w:r>
            <w:bookmarkStart w:id="16" w:name="_Hlk69814945"/>
            <w:r>
              <w:rPr>
                <w:rFonts w:ascii="Times New Roman" w:hAnsi="Times New Roman" w:cs="Times New Roman"/>
                <w:sz w:val="20"/>
              </w:rPr>
              <w:t xml:space="preserve">Screening  </w:t>
            </w:r>
            <w:bookmarkEnd w:id="16"/>
            <w:r>
              <w:rPr>
                <w:rFonts w:ascii="Times New Roman" w:hAnsi="Times New Roman" w:cs="Times New Roman"/>
                <w:sz w:val="20"/>
              </w:rPr>
              <w:t>or users of cigarette replacements (i.e., e-cigarettes, nicotine patches or gums).</w:t>
            </w:r>
          </w:p>
        </w:tc>
      </w:tr>
      <w:tr w:rsidR="005E785F" w14:paraId="73FB1E20" w14:textId="77777777">
        <w:tc>
          <w:tcPr>
            <w:tcW w:w="5000" w:type="pct"/>
            <w:gridSpan w:val="2"/>
          </w:tcPr>
          <w:p w14:paraId="08071D0B" w14:textId="52EA1010" w:rsidR="005E785F" w:rsidRDefault="003621E8">
            <w:pPr>
              <w:pStyle w:val="BodyText"/>
              <w:spacing w:before="40" w:after="40"/>
              <w:jc w:val="left"/>
              <w:rPr>
                <w:b/>
                <w:caps/>
                <w:sz w:val="20"/>
              </w:rPr>
            </w:pPr>
            <w:r>
              <w:rPr>
                <w:b/>
                <w:caps/>
                <w:sz w:val="20"/>
              </w:rPr>
              <w:lastRenderedPageBreak/>
              <w:t xml:space="preserve">IMP administration: </w:t>
            </w:r>
          </w:p>
          <w:p w14:paraId="5AC623CB" w14:textId="16DA14D0" w:rsidR="005E785F" w:rsidRDefault="003621E8">
            <w:pPr>
              <w:pStyle w:val="BodyText"/>
              <w:rPr>
                <w:bCs/>
                <w:sz w:val="20"/>
              </w:rPr>
            </w:pPr>
            <w:r>
              <w:rPr>
                <w:bCs/>
                <w:sz w:val="20"/>
              </w:rPr>
              <w:t>The investigational product will be supplied as a solution for SC injection in a sterile 2R Type I vial sealed with ETFE coated bromobutyl stopper and aluminium overseal. Each vial contains 15 mg/mL of CpG ODN D35 as a 2.5 mL single-use solution. The investigational product also contains non-active ingredient trehalose dihydrate (88 mg/mL) as a tonicity agent.</w:t>
            </w:r>
          </w:p>
          <w:p w14:paraId="090E60DD" w14:textId="1DE690DE" w:rsidR="005E785F" w:rsidRDefault="003621E8">
            <w:pPr>
              <w:pStyle w:val="BodyText"/>
              <w:rPr>
                <w:bCs/>
                <w:sz w:val="20"/>
              </w:rPr>
            </w:pPr>
            <w:r>
              <w:rPr>
                <w:sz w:val="20"/>
              </w:rPr>
              <w:t>A placebo for CpG ODN D35 solution for injection will be provided which includes the same non-active excipient trehalose dihydrate (88 mg/mL) as the investigational product. The placebo has no obvious coloration whereas the CpG ODN D35 solution 15 mg/mL has a slight yellow tinge. Therefore, syringes used to administer the drug product to the subjects will be covered prior to their presentation to the Investigator to ensure blinding in clinical trials.</w:t>
            </w:r>
          </w:p>
          <w:p w14:paraId="2ADB72D2" w14:textId="2100AB10" w:rsidR="005E785F" w:rsidRDefault="003621E8">
            <w:pPr>
              <w:pStyle w:val="BodyText"/>
              <w:rPr>
                <w:bCs/>
                <w:sz w:val="20"/>
              </w:rPr>
            </w:pPr>
            <w:r>
              <w:rPr>
                <w:bCs/>
                <w:sz w:val="20"/>
              </w:rPr>
              <w:t>DNDi, Investigators and subjects will be blinded to treatment allocation. The site pharmacist and the analyst at bioanalytical laboratory will be unblinded to treatment allocation.</w:t>
            </w:r>
          </w:p>
          <w:p w14:paraId="67394779" w14:textId="77777777" w:rsidR="005E785F" w:rsidRDefault="003621E8">
            <w:pPr>
              <w:pStyle w:val="BodyText"/>
              <w:spacing w:before="40" w:after="40"/>
              <w:jc w:val="left"/>
              <w:rPr>
                <w:bCs/>
                <w:caps/>
                <w:sz w:val="20"/>
              </w:rPr>
            </w:pPr>
            <w:bookmarkStart w:id="17" w:name="_Hlk66809463"/>
            <w:r>
              <w:rPr>
                <w:bCs/>
                <w:sz w:val="20"/>
              </w:rPr>
              <w:t>The planned doses are presented below:</w:t>
            </w:r>
          </w:p>
          <w:p w14:paraId="34807556" w14:textId="73719ECF" w:rsidR="005E785F" w:rsidRDefault="003621E8">
            <w:pPr>
              <w:pStyle w:val="BodyText"/>
              <w:numPr>
                <w:ilvl w:val="0"/>
                <w:numId w:val="33"/>
              </w:numPr>
              <w:spacing w:before="40" w:after="40"/>
              <w:rPr>
                <w:bCs/>
                <w:sz w:val="20"/>
              </w:rPr>
            </w:pPr>
            <w:r>
              <w:rPr>
                <w:sz w:val="20"/>
              </w:rPr>
              <w:t>Cohort 1: SC injection of 7.5 mg of CpG ODN D35 (6 subjects) or placebo (2 subjects)</w:t>
            </w:r>
          </w:p>
          <w:p w14:paraId="3F222189" w14:textId="68E65A51" w:rsidR="005E785F" w:rsidRDefault="003621E8">
            <w:pPr>
              <w:pStyle w:val="BodyText"/>
              <w:numPr>
                <w:ilvl w:val="0"/>
                <w:numId w:val="33"/>
              </w:numPr>
              <w:spacing w:before="40" w:after="40"/>
              <w:rPr>
                <w:bCs/>
                <w:sz w:val="20"/>
              </w:rPr>
            </w:pPr>
            <w:r>
              <w:rPr>
                <w:sz w:val="20"/>
              </w:rPr>
              <w:t>Cohort 2: SC injection of 22.5 mg of CpG ODN D35 (6 subjects) or placebo (2 subjects)</w:t>
            </w:r>
          </w:p>
          <w:p w14:paraId="1B6D4E94" w14:textId="6823BDA6" w:rsidR="005E785F" w:rsidRDefault="003621E8">
            <w:pPr>
              <w:pStyle w:val="BodyText"/>
              <w:numPr>
                <w:ilvl w:val="0"/>
                <w:numId w:val="33"/>
              </w:numPr>
              <w:spacing w:before="40" w:after="40"/>
              <w:rPr>
                <w:bCs/>
                <w:sz w:val="20"/>
              </w:rPr>
            </w:pPr>
            <w:r>
              <w:rPr>
                <w:sz w:val="20"/>
              </w:rPr>
              <w:t>Cohort 3: SC injection of 67.5 mg of CpG ODN D35 (6 subjects) or placebo (2 subjects)</w:t>
            </w:r>
          </w:p>
          <w:p w14:paraId="4B6C3405" w14:textId="3E2F7C8B" w:rsidR="005E785F" w:rsidRDefault="003621E8">
            <w:pPr>
              <w:pStyle w:val="BodyText"/>
              <w:numPr>
                <w:ilvl w:val="0"/>
                <w:numId w:val="33"/>
              </w:numPr>
              <w:spacing w:before="40" w:after="40"/>
              <w:jc w:val="left"/>
              <w:rPr>
                <w:b/>
                <w:sz w:val="20"/>
              </w:rPr>
            </w:pPr>
            <w:r>
              <w:rPr>
                <w:sz w:val="20"/>
              </w:rPr>
              <w:t>Cohort 4 (optional): SC injection of 180 mg of CpG ODN D35 (6 subjects) or placebo (2 subjects)</w:t>
            </w:r>
          </w:p>
          <w:bookmarkEnd w:id="17"/>
          <w:p w14:paraId="4A13646D" w14:textId="3069BDC6" w:rsidR="005E785F" w:rsidRDefault="003621E8">
            <w:pPr>
              <w:spacing w:before="120" w:after="120"/>
              <w:jc w:val="both"/>
              <w:rPr>
                <w:rFonts w:ascii="Arial" w:hAnsi="Arial"/>
                <w:strike/>
                <w:sz w:val="22"/>
                <w:szCs w:val="22"/>
              </w:rPr>
            </w:pPr>
            <w:r>
              <w:rPr>
                <w:rFonts w:cs="Times New Roman"/>
                <w:sz w:val="20"/>
              </w:rPr>
              <w:t>This progression of doses is provided for information. A maximum increase of 3-fold in between cohorts is envisaged</w:t>
            </w:r>
            <w:r>
              <w:rPr>
                <w:rFonts w:cs="Times New Roman"/>
                <w:szCs w:val="24"/>
              </w:rPr>
              <w:t xml:space="preserve"> </w:t>
            </w:r>
            <w:r>
              <w:rPr>
                <w:rFonts w:cs="Times New Roman"/>
                <w:sz w:val="20"/>
              </w:rPr>
              <w:t xml:space="preserve">based on the dose/concentration-response curves observed in </w:t>
            </w:r>
            <w:r>
              <w:rPr>
                <w:rFonts w:cs="Times New Roman"/>
                <w:i/>
                <w:sz w:val="20"/>
              </w:rPr>
              <w:t>in vitro</w:t>
            </w:r>
            <w:r>
              <w:rPr>
                <w:rFonts w:cs="Times New Roman"/>
                <w:sz w:val="20"/>
              </w:rPr>
              <w:t xml:space="preserve"> and </w:t>
            </w:r>
            <w:r>
              <w:rPr>
                <w:rFonts w:cs="Times New Roman"/>
                <w:i/>
                <w:sz w:val="20"/>
              </w:rPr>
              <w:t>in vivo</w:t>
            </w:r>
            <w:r>
              <w:rPr>
                <w:rFonts w:cs="Times New Roman"/>
                <w:sz w:val="20"/>
              </w:rPr>
              <w:t xml:space="preserve"> models. This will be decided by the SRC at the end of each cohort.</w:t>
            </w:r>
          </w:p>
          <w:p w14:paraId="603DABAB" w14:textId="07CEB9CF" w:rsidR="005E785F" w:rsidRDefault="003621E8">
            <w:pPr>
              <w:pStyle w:val="BodyText"/>
              <w:rPr>
                <w:bCs/>
                <w:sz w:val="20"/>
              </w:rPr>
            </w:pPr>
            <w:r>
              <w:rPr>
                <w:sz w:val="20"/>
              </w:rPr>
              <w:t xml:space="preserve">A single SC injection of IMP or placebo will be administered on the morning on Day 1, according to the randomisation, in semi-supine position after at least 8 hours fasting. </w:t>
            </w:r>
          </w:p>
          <w:p w14:paraId="05CC0025" w14:textId="6F3F919E" w:rsidR="005E785F" w:rsidRDefault="003621E8">
            <w:pPr>
              <w:pStyle w:val="BodyText"/>
              <w:rPr>
                <w:bCs/>
                <w:sz w:val="20"/>
              </w:rPr>
            </w:pPr>
            <w:r>
              <w:rPr>
                <w:bCs/>
                <w:sz w:val="20"/>
              </w:rPr>
              <w:t>The average fill volume in a vial is 2.5 mL and the injection volume will be 2.3 mL or less per SC injection site. For doses requiring a volume above the 2.3 mL, or in case the PI considers more appropriate to decrease the volume per injection site due to feasibility constraints, additional injections in different locations can be used for administration. The location of injection is important for subcutaneous injections. The drug needs to be injected into the fatty tissue just below the skin. Some areas of the body have a more easily accessible layer of tissue, where a needle injected under the skin will not hit muscle, bone, or blood vessels. The most common injection sites are:</w:t>
            </w:r>
          </w:p>
          <w:p w14:paraId="4836EE90" w14:textId="7E6AD649" w:rsidR="005E785F" w:rsidRDefault="003621E8">
            <w:pPr>
              <w:pStyle w:val="BodyText"/>
              <w:numPr>
                <w:ilvl w:val="0"/>
                <w:numId w:val="78"/>
              </w:numPr>
              <w:spacing w:before="0" w:after="0"/>
              <w:rPr>
                <w:bCs/>
                <w:sz w:val="20"/>
              </w:rPr>
            </w:pPr>
            <w:r>
              <w:rPr>
                <w:bCs/>
                <w:sz w:val="20"/>
              </w:rPr>
              <w:t>Abdomen: at or under the level of the belly button, about two inches away from the navel</w:t>
            </w:r>
          </w:p>
          <w:p w14:paraId="7E2E3612" w14:textId="4E4F031A" w:rsidR="005E785F" w:rsidRDefault="003621E8">
            <w:pPr>
              <w:pStyle w:val="BodyText"/>
              <w:numPr>
                <w:ilvl w:val="0"/>
                <w:numId w:val="78"/>
              </w:numPr>
              <w:spacing w:before="0" w:after="0"/>
              <w:rPr>
                <w:bCs/>
                <w:sz w:val="20"/>
              </w:rPr>
            </w:pPr>
            <w:r>
              <w:rPr>
                <w:bCs/>
                <w:sz w:val="20"/>
              </w:rPr>
              <w:t>Arm: back or side of the upper arm.</w:t>
            </w:r>
          </w:p>
          <w:p w14:paraId="4077A34A" w14:textId="3A30BC44" w:rsidR="005E785F" w:rsidRDefault="003621E8">
            <w:pPr>
              <w:pStyle w:val="BodyText"/>
              <w:numPr>
                <w:ilvl w:val="0"/>
                <w:numId w:val="78"/>
              </w:numPr>
              <w:spacing w:before="0" w:after="0"/>
              <w:rPr>
                <w:bCs/>
                <w:sz w:val="20"/>
              </w:rPr>
            </w:pPr>
            <w:r>
              <w:rPr>
                <w:bCs/>
                <w:sz w:val="20"/>
              </w:rPr>
              <w:t>Thigh: front of the thigh.</w:t>
            </w:r>
          </w:p>
          <w:p w14:paraId="5A3C3E49" w14:textId="3A9DE339" w:rsidR="005E785F" w:rsidRDefault="003621E8">
            <w:pPr>
              <w:spacing w:before="120" w:after="120"/>
              <w:jc w:val="both"/>
              <w:rPr>
                <w:sz w:val="20"/>
              </w:rPr>
            </w:pPr>
            <w:r>
              <w:rPr>
                <w:sz w:val="20"/>
              </w:rPr>
              <w:lastRenderedPageBreak/>
              <w:t>The dosing will potentially necessitate several successive injections in different injection sites, given sequentially as soon as possible within a maximum of 3 minutes on Day 1.</w:t>
            </w:r>
          </w:p>
        </w:tc>
      </w:tr>
      <w:tr w:rsidR="005E785F" w14:paraId="73FB1E23" w14:textId="77777777">
        <w:tc>
          <w:tcPr>
            <w:tcW w:w="5000" w:type="pct"/>
            <w:gridSpan w:val="2"/>
          </w:tcPr>
          <w:p w14:paraId="06174EDC" w14:textId="77777777" w:rsidR="005E785F" w:rsidRDefault="003621E8">
            <w:pPr>
              <w:pStyle w:val="BodyText"/>
              <w:spacing w:before="40" w:after="40"/>
              <w:jc w:val="left"/>
              <w:rPr>
                <w:i/>
                <w:color w:val="FF0000"/>
                <w:sz w:val="20"/>
              </w:rPr>
            </w:pPr>
            <w:r>
              <w:rPr>
                <w:b/>
                <w:caps/>
                <w:sz w:val="20"/>
              </w:rPr>
              <w:lastRenderedPageBreak/>
              <w:t>STUDY VARIABLES/ENDPOINTS:</w:t>
            </w:r>
            <w:r>
              <w:rPr>
                <w:i/>
                <w:color w:val="FF0000"/>
                <w:sz w:val="20"/>
              </w:rPr>
              <w:t xml:space="preserve"> </w:t>
            </w:r>
          </w:p>
          <w:p w14:paraId="02C2EB0E" w14:textId="77777777" w:rsidR="005E785F" w:rsidRDefault="003621E8">
            <w:pPr>
              <w:autoSpaceDE w:val="0"/>
              <w:autoSpaceDN w:val="0"/>
              <w:adjustRightInd w:val="0"/>
              <w:spacing w:before="120"/>
              <w:rPr>
                <w:rFonts w:cs="Times New Roman"/>
                <w:b/>
                <w:bCs/>
                <w:sz w:val="20"/>
                <w:u w:val="single"/>
              </w:rPr>
            </w:pPr>
            <w:bookmarkStart w:id="18" w:name="_Hlk65095729"/>
            <w:r>
              <w:rPr>
                <w:rFonts w:cs="Times New Roman"/>
                <w:b/>
                <w:bCs/>
                <w:sz w:val="20"/>
                <w:u w:val="single"/>
              </w:rPr>
              <w:t>Primary Endpoints</w:t>
            </w:r>
          </w:p>
          <w:p w14:paraId="1CC21837" w14:textId="321DBFA6" w:rsidR="005E785F" w:rsidRDefault="003621E8">
            <w:pPr>
              <w:pStyle w:val="ListParagraph"/>
              <w:numPr>
                <w:ilvl w:val="0"/>
                <w:numId w:val="35"/>
              </w:numPr>
              <w:autoSpaceDE w:val="0"/>
              <w:autoSpaceDN w:val="0"/>
              <w:adjustRightInd w:val="0"/>
              <w:spacing w:before="120"/>
              <w:rPr>
                <w:rFonts w:cs="Times New Roman"/>
                <w:sz w:val="20"/>
              </w:rPr>
            </w:pPr>
            <w:r>
              <w:rPr>
                <w:rFonts w:cs="Times New Roman"/>
                <w:sz w:val="20"/>
              </w:rPr>
              <w:t>Number and severity of treatment related adverse events, safety laboratory parameters, vital signs, physical examination including injection site examination, ECG parameters and injection site reactions.</w:t>
            </w:r>
          </w:p>
          <w:p w14:paraId="29CBB6A4" w14:textId="67EE71B3" w:rsidR="005E785F" w:rsidRDefault="003621E8">
            <w:pPr>
              <w:pStyle w:val="ListParagraph"/>
              <w:numPr>
                <w:ilvl w:val="1"/>
                <w:numId w:val="35"/>
              </w:numPr>
              <w:autoSpaceDE w:val="0"/>
              <w:autoSpaceDN w:val="0"/>
              <w:adjustRightInd w:val="0"/>
              <w:spacing w:before="120"/>
              <w:rPr>
                <w:rFonts w:cs="Times New Roman"/>
                <w:sz w:val="20"/>
              </w:rPr>
            </w:pPr>
            <w:r>
              <w:rPr>
                <w:rFonts w:cs="Times New Roman"/>
                <w:sz w:val="20"/>
              </w:rPr>
              <w:t>Systemic adverse events (including, but not limited to: fever, chills, headache, muscle aches, fatigue, nausea, vomiting, diarrhea, and/or joint pain).</w:t>
            </w:r>
          </w:p>
          <w:p w14:paraId="72F665CA" w14:textId="63A4C6B4" w:rsidR="005E785F" w:rsidRDefault="003621E8">
            <w:pPr>
              <w:pStyle w:val="ListParagraph"/>
              <w:numPr>
                <w:ilvl w:val="1"/>
                <w:numId w:val="35"/>
              </w:numPr>
              <w:autoSpaceDE w:val="0"/>
              <w:autoSpaceDN w:val="0"/>
              <w:adjustRightInd w:val="0"/>
              <w:rPr>
                <w:rFonts w:cs="Times New Roman"/>
                <w:sz w:val="20"/>
              </w:rPr>
            </w:pPr>
            <w:r>
              <w:rPr>
                <w:rFonts w:cs="Times New Roman"/>
                <w:sz w:val="20"/>
              </w:rPr>
              <w:t>Safety laboratory parameters (biochemical and haematological parameters, C-reactive protein, urinalysis and coagulation).</w:t>
            </w:r>
          </w:p>
          <w:p w14:paraId="41DFC4D2" w14:textId="21B3E20F" w:rsidR="005E785F" w:rsidRDefault="003621E8">
            <w:pPr>
              <w:pStyle w:val="ListParagraph"/>
              <w:numPr>
                <w:ilvl w:val="1"/>
                <w:numId w:val="35"/>
              </w:numPr>
              <w:autoSpaceDE w:val="0"/>
              <w:autoSpaceDN w:val="0"/>
              <w:adjustRightInd w:val="0"/>
              <w:rPr>
                <w:rFonts w:cs="Times New Roman"/>
                <w:sz w:val="20"/>
              </w:rPr>
            </w:pPr>
            <w:r>
              <w:rPr>
                <w:rFonts w:cs="Times New Roman"/>
                <w:sz w:val="20"/>
              </w:rPr>
              <w:t xml:space="preserve">Vital signs (supine heart rate, systolic and diastolic blood pressure, oral temperature, </w:t>
            </w:r>
            <w:bookmarkStart w:id="19" w:name="_Hlk67132423"/>
            <w:r>
              <w:rPr>
                <w:rFonts w:cs="Times New Roman"/>
                <w:sz w:val="20"/>
              </w:rPr>
              <w:t>respiration rate</w:t>
            </w:r>
            <w:bookmarkEnd w:id="19"/>
            <w:r>
              <w:rPr>
                <w:rFonts w:cs="Times New Roman"/>
                <w:sz w:val="20"/>
              </w:rPr>
              <w:t>).</w:t>
            </w:r>
          </w:p>
          <w:p w14:paraId="2BFF33C2" w14:textId="77777777" w:rsidR="005E785F" w:rsidRDefault="003621E8">
            <w:pPr>
              <w:pStyle w:val="ListParagraph"/>
              <w:numPr>
                <w:ilvl w:val="1"/>
                <w:numId w:val="35"/>
              </w:numPr>
              <w:rPr>
                <w:rFonts w:cs="Times New Roman"/>
                <w:sz w:val="20"/>
              </w:rPr>
            </w:pPr>
            <w:r>
              <w:rPr>
                <w:rFonts w:cs="Times New Roman"/>
                <w:sz w:val="20"/>
              </w:rPr>
              <w:t>Physical examination and injection site examination.</w:t>
            </w:r>
          </w:p>
          <w:p w14:paraId="0A702FD7" w14:textId="02B57AF9" w:rsidR="005E785F" w:rsidRDefault="003621E8">
            <w:pPr>
              <w:pStyle w:val="ListParagraph"/>
              <w:numPr>
                <w:ilvl w:val="1"/>
                <w:numId w:val="35"/>
              </w:numPr>
              <w:autoSpaceDE w:val="0"/>
              <w:autoSpaceDN w:val="0"/>
              <w:adjustRightInd w:val="0"/>
              <w:rPr>
                <w:rFonts w:cs="Times New Roman"/>
                <w:sz w:val="20"/>
              </w:rPr>
            </w:pPr>
            <w:r>
              <w:rPr>
                <w:rFonts w:cs="Times New Roman"/>
                <w:sz w:val="20"/>
              </w:rPr>
              <w:t>12-lead ECG (HR, RR, PR, QRS, QT, QTcF).</w:t>
            </w:r>
          </w:p>
          <w:p w14:paraId="39531D42" w14:textId="0CF41000" w:rsidR="005E785F" w:rsidRDefault="003621E8">
            <w:pPr>
              <w:pStyle w:val="ListParagraph"/>
              <w:numPr>
                <w:ilvl w:val="1"/>
                <w:numId w:val="35"/>
              </w:numPr>
              <w:autoSpaceDE w:val="0"/>
              <w:autoSpaceDN w:val="0"/>
              <w:adjustRightInd w:val="0"/>
              <w:rPr>
                <w:rFonts w:cs="Times New Roman"/>
                <w:sz w:val="20"/>
              </w:rPr>
            </w:pPr>
            <w:r>
              <w:rPr>
                <w:rFonts w:cs="Times New Roman"/>
                <w:sz w:val="20"/>
              </w:rPr>
              <w:t xml:space="preserve">Injection site reactions (redness, swelling, warmth, tenderness and/or pain with arm movement). </w:t>
            </w:r>
          </w:p>
          <w:p w14:paraId="44963B20" w14:textId="0A168C79" w:rsidR="005E785F" w:rsidRDefault="003621E8">
            <w:pPr>
              <w:autoSpaceDE w:val="0"/>
              <w:autoSpaceDN w:val="0"/>
              <w:adjustRightInd w:val="0"/>
              <w:spacing w:before="120"/>
              <w:rPr>
                <w:rFonts w:cs="Times New Roman"/>
                <w:b/>
                <w:bCs/>
                <w:sz w:val="20"/>
                <w:u w:val="single"/>
              </w:rPr>
            </w:pPr>
            <w:r>
              <w:rPr>
                <w:rFonts w:cs="Times New Roman"/>
                <w:b/>
                <w:bCs/>
                <w:sz w:val="20"/>
                <w:u w:val="single"/>
              </w:rPr>
              <w:t xml:space="preserve">Secondary Endpoints </w:t>
            </w:r>
          </w:p>
          <w:p w14:paraId="0F46912D" w14:textId="2340AF95" w:rsidR="005E785F" w:rsidRDefault="003621E8">
            <w:pPr>
              <w:autoSpaceDE w:val="0"/>
              <w:autoSpaceDN w:val="0"/>
              <w:adjustRightInd w:val="0"/>
              <w:spacing w:before="120"/>
              <w:rPr>
                <w:rFonts w:cs="Times New Roman"/>
                <w:b/>
                <w:bCs/>
                <w:sz w:val="20"/>
              </w:rPr>
            </w:pPr>
            <w:r>
              <w:rPr>
                <w:rFonts w:cs="Times New Roman"/>
                <w:sz w:val="20"/>
              </w:rPr>
              <w:t>PK blood samples will be taken on Day 1 pre-dose and 10 min, 20 min, 30 min, 45 min, 60 min, 2 and 4 hours post-dose. Plasma CpG ODN D35 concentrations will be measured using a LC-MS/MS assay method</w:t>
            </w:r>
            <w:r>
              <w:rPr>
                <w:rFonts w:cs="Times New Roman"/>
                <w:b/>
                <w:bCs/>
                <w:sz w:val="20"/>
              </w:rPr>
              <w:t>.</w:t>
            </w:r>
          </w:p>
          <w:p w14:paraId="3C32060D" w14:textId="4B82C5D1" w:rsidR="005E785F" w:rsidRDefault="003621E8">
            <w:pPr>
              <w:autoSpaceDE w:val="0"/>
              <w:autoSpaceDN w:val="0"/>
              <w:adjustRightInd w:val="0"/>
              <w:spacing w:before="120"/>
              <w:rPr>
                <w:rFonts w:cs="Times New Roman"/>
                <w:b/>
                <w:bCs/>
                <w:sz w:val="20"/>
              </w:rPr>
            </w:pPr>
            <w:r>
              <w:rPr>
                <w:rFonts w:cs="Times New Roman"/>
                <w:sz w:val="20"/>
              </w:rPr>
              <w:t>The following PK parameters will be derived from plasma CpG ODN D35 concentrations</w:t>
            </w:r>
            <w:r>
              <w:rPr>
                <w:rFonts w:cs="Times New Roman"/>
                <w:b/>
                <w:bCs/>
                <w:sz w:val="20"/>
              </w:rPr>
              <w:t xml:space="preserve">: </w:t>
            </w:r>
          </w:p>
          <w:p w14:paraId="1B984B42" w14:textId="1948141C" w:rsidR="005E785F" w:rsidRDefault="003621E8">
            <w:pPr>
              <w:pStyle w:val="ListParagraph"/>
              <w:numPr>
                <w:ilvl w:val="0"/>
                <w:numId w:val="35"/>
              </w:numPr>
              <w:autoSpaceDE w:val="0"/>
              <w:autoSpaceDN w:val="0"/>
              <w:adjustRightInd w:val="0"/>
              <w:rPr>
                <w:rFonts w:cs="Times New Roman"/>
                <w:sz w:val="20"/>
              </w:rPr>
            </w:pPr>
            <w:r>
              <w:rPr>
                <w:rFonts w:cs="Times New Roman"/>
                <w:sz w:val="20"/>
              </w:rPr>
              <w:t>C</w:t>
            </w:r>
            <w:r>
              <w:rPr>
                <w:rFonts w:cs="Times New Roman"/>
                <w:sz w:val="20"/>
                <w:vertAlign w:val="subscript"/>
              </w:rPr>
              <w:t>max</w:t>
            </w:r>
            <w:r>
              <w:rPr>
                <w:rFonts w:cs="Times New Roman"/>
                <w:sz w:val="20"/>
              </w:rPr>
              <w:t xml:space="preserve"> (ng/mL): Observed maximum plasma concentration.</w:t>
            </w:r>
          </w:p>
          <w:p w14:paraId="5DE4B6A4" w14:textId="1DFFD32F" w:rsidR="005E785F" w:rsidRDefault="003621E8">
            <w:pPr>
              <w:pStyle w:val="ListParagraph"/>
              <w:numPr>
                <w:ilvl w:val="0"/>
                <w:numId w:val="35"/>
              </w:numPr>
              <w:autoSpaceDE w:val="0"/>
              <w:autoSpaceDN w:val="0"/>
              <w:adjustRightInd w:val="0"/>
              <w:rPr>
                <w:rFonts w:cs="Times New Roman"/>
                <w:sz w:val="20"/>
              </w:rPr>
            </w:pPr>
            <w:r>
              <w:rPr>
                <w:rFonts w:cs="Times New Roman"/>
                <w:sz w:val="20"/>
              </w:rPr>
              <w:t>T</w:t>
            </w:r>
            <w:r>
              <w:rPr>
                <w:rFonts w:cs="Times New Roman"/>
                <w:sz w:val="20"/>
                <w:vertAlign w:val="subscript"/>
              </w:rPr>
              <w:t>max</w:t>
            </w:r>
            <w:r>
              <w:rPr>
                <w:rFonts w:cs="Times New Roman"/>
                <w:sz w:val="20"/>
              </w:rPr>
              <w:t xml:space="preserve"> (h): first time to reach C</w:t>
            </w:r>
            <w:r>
              <w:rPr>
                <w:rFonts w:cs="Times New Roman"/>
                <w:sz w:val="20"/>
                <w:vertAlign w:val="subscript"/>
              </w:rPr>
              <w:t>max</w:t>
            </w:r>
            <w:r>
              <w:rPr>
                <w:rFonts w:cs="Times New Roman"/>
                <w:sz w:val="20"/>
              </w:rPr>
              <w:t>.</w:t>
            </w:r>
          </w:p>
          <w:p w14:paraId="1AADF3DF" w14:textId="77777777" w:rsidR="005E785F" w:rsidRDefault="003621E8">
            <w:pPr>
              <w:pStyle w:val="ListParagraph"/>
              <w:numPr>
                <w:ilvl w:val="0"/>
                <w:numId w:val="35"/>
              </w:numPr>
              <w:autoSpaceDE w:val="0"/>
              <w:autoSpaceDN w:val="0"/>
              <w:adjustRightInd w:val="0"/>
              <w:rPr>
                <w:rFonts w:cs="Times New Roman"/>
                <w:sz w:val="20"/>
              </w:rPr>
            </w:pPr>
            <w:r>
              <w:rPr>
                <w:rFonts w:cs="Times New Roman"/>
                <w:sz w:val="20"/>
              </w:rPr>
              <w:t>λz (1/h): apparent first order terminal elimination rate constant.</w:t>
            </w:r>
          </w:p>
          <w:p w14:paraId="05F81D85" w14:textId="77777777" w:rsidR="005E785F" w:rsidRDefault="003621E8">
            <w:pPr>
              <w:pStyle w:val="ListParagraph"/>
              <w:numPr>
                <w:ilvl w:val="0"/>
                <w:numId w:val="35"/>
              </w:numPr>
              <w:autoSpaceDE w:val="0"/>
              <w:autoSpaceDN w:val="0"/>
              <w:adjustRightInd w:val="0"/>
              <w:rPr>
                <w:rFonts w:cs="Times New Roman"/>
                <w:sz w:val="20"/>
              </w:rPr>
            </w:pPr>
            <w:r>
              <w:rPr>
                <w:rFonts w:cs="Times New Roman"/>
                <w:sz w:val="20"/>
              </w:rPr>
              <w:t>t</w:t>
            </w:r>
            <w:r>
              <w:rPr>
                <w:rFonts w:cs="Times New Roman"/>
                <w:sz w:val="20"/>
                <w:vertAlign w:val="subscript"/>
              </w:rPr>
              <w:t>1/2</w:t>
            </w:r>
            <w:r>
              <w:rPr>
                <w:rFonts w:cs="Times New Roman"/>
                <w:sz w:val="20"/>
              </w:rPr>
              <w:t xml:space="preserve"> (h): plasma elimination half-life.</w:t>
            </w:r>
          </w:p>
          <w:p w14:paraId="298F6C83" w14:textId="77777777" w:rsidR="005E785F" w:rsidRDefault="003621E8">
            <w:pPr>
              <w:pStyle w:val="ListParagraph"/>
              <w:numPr>
                <w:ilvl w:val="0"/>
                <w:numId w:val="35"/>
              </w:numPr>
              <w:autoSpaceDE w:val="0"/>
              <w:autoSpaceDN w:val="0"/>
              <w:adjustRightInd w:val="0"/>
              <w:rPr>
                <w:rFonts w:cs="Times New Roman"/>
                <w:sz w:val="20"/>
              </w:rPr>
            </w:pPr>
            <w:r>
              <w:rPr>
                <w:rFonts w:cs="Times New Roman"/>
                <w:sz w:val="20"/>
              </w:rPr>
              <w:t>AUC</w:t>
            </w:r>
            <w:r>
              <w:rPr>
                <w:rFonts w:cs="Times New Roman"/>
                <w:sz w:val="20"/>
                <w:vertAlign w:val="subscript"/>
              </w:rPr>
              <w:t xml:space="preserve">last </w:t>
            </w:r>
            <w:r>
              <w:rPr>
                <w:rFonts w:cs="Times New Roman"/>
                <w:sz w:val="20"/>
              </w:rPr>
              <w:t>(ng.h/mL): AUC from 0 to the time of the last quantifiable concentration.</w:t>
            </w:r>
          </w:p>
          <w:p w14:paraId="1C2E97E0" w14:textId="77777777" w:rsidR="005E785F" w:rsidRDefault="003621E8">
            <w:pPr>
              <w:pStyle w:val="ListParagraph"/>
              <w:numPr>
                <w:ilvl w:val="0"/>
                <w:numId w:val="35"/>
              </w:numPr>
              <w:autoSpaceDE w:val="0"/>
              <w:autoSpaceDN w:val="0"/>
              <w:adjustRightInd w:val="0"/>
              <w:jc w:val="both"/>
              <w:rPr>
                <w:rFonts w:cs="Times New Roman"/>
                <w:sz w:val="20"/>
              </w:rPr>
            </w:pPr>
            <w:r>
              <w:rPr>
                <w:rFonts w:cs="Times New Roman"/>
                <w:sz w:val="20"/>
              </w:rPr>
              <w:t>AUC</w:t>
            </w:r>
            <w:r>
              <w:rPr>
                <w:rFonts w:cs="Times New Roman"/>
                <w:sz w:val="20"/>
                <w:vertAlign w:val="subscript"/>
              </w:rPr>
              <w:t>all</w:t>
            </w:r>
            <w:r>
              <w:rPr>
                <w:rFonts w:cs="Times New Roman"/>
                <w:sz w:val="20"/>
              </w:rPr>
              <w:t xml:space="preserve"> (ng.h/mL): AUC from 0 to the time of the last observation, regardless of whether the last concentration is measurable or not.</w:t>
            </w:r>
          </w:p>
          <w:p w14:paraId="22AC6AE0" w14:textId="68AE13A8" w:rsidR="005E785F" w:rsidRDefault="003621E8">
            <w:pPr>
              <w:pStyle w:val="ListParagraph"/>
              <w:numPr>
                <w:ilvl w:val="0"/>
                <w:numId w:val="35"/>
              </w:numPr>
              <w:autoSpaceDE w:val="0"/>
              <w:autoSpaceDN w:val="0"/>
              <w:adjustRightInd w:val="0"/>
              <w:rPr>
                <w:rFonts w:cs="Times New Roman"/>
                <w:sz w:val="20"/>
              </w:rPr>
            </w:pPr>
            <w:r>
              <w:rPr>
                <w:rFonts w:cs="Times New Roman"/>
                <w:sz w:val="20"/>
              </w:rPr>
              <w:t>AUC</w:t>
            </w:r>
            <w:r>
              <w:rPr>
                <w:rFonts w:cs="Times New Roman"/>
                <w:sz w:val="20"/>
                <w:vertAlign w:val="subscript"/>
              </w:rPr>
              <w:t>0-inf</w:t>
            </w:r>
            <w:r>
              <w:rPr>
                <w:rFonts w:cs="Times New Roman"/>
                <w:sz w:val="20"/>
              </w:rPr>
              <w:t xml:space="preserve"> (ng.h/mL): AUC extrapolated to infinity. </w:t>
            </w:r>
          </w:p>
          <w:p w14:paraId="7761D4DC" w14:textId="09B9E2D0" w:rsidR="005E785F" w:rsidRDefault="003621E8">
            <w:pPr>
              <w:pStyle w:val="ListParagraph"/>
              <w:numPr>
                <w:ilvl w:val="0"/>
                <w:numId w:val="35"/>
              </w:numPr>
              <w:autoSpaceDE w:val="0"/>
              <w:autoSpaceDN w:val="0"/>
              <w:adjustRightInd w:val="0"/>
              <w:rPr>
                <w:rStyle w:val="CommentReference"/>
                <w:b/>
                <w:bCs/>
                <w:iCs/>
                <w:sz w:val="20"/>
                <w:szCs w:val="20"/>
                <w:u w:val="single"/>
              </w:rPr>
            </w:pPr>
            <w:r>
              <w:rPr>
                <w:rFonts w:cs="Times New Roman"/>
                <w:sz w:val="20"/>
              </w:rPr>
              <w:t>AUC</w:t>
            </w:r>
            <w:r>
              <w:rPr>
                <w:rFonts w:cs="Times New Roman"/>
                <w:sz w:val="20"/>
                <w:vertAlign w:val="subscript"/>
              </w:rPr>
              <w:t>% extrapolated</w:t>
            </w:r>
            <w:r>
              <w:rPr>
                <w:rFonts w:cs="Times New Roman"/>
                <w:sz w:val="20"/>
              </w:rPr>
              <w:t xml:space="preserve"> (%): Residual area.</w:t>
            </w:r>
          </w:p>
          <w:p w14:paraId="48AE4829" w14:textId="079077DF" w:rsidR="005E785F" w:rsidRDefault="003621E8">
            <w:pPr>
              <w:autoSpaceDE w:val="0"/>
              <w:autoSpaceDN w:val="0"/>
              <w:adjustRightInd w:val="0"/>
              <w:spacing w:before="120" w:after="120"/>
              <w:rPr>
                <w:b/>
                <w:bCs/>
                <w:iCs/>
                <w:sz w:val="20"/>
                <w:u w:val="single"/>
              </w:rPr>
            </w:pPr>
            <w:r>
              <w:rPr>
                <w:b/>
                <w:bCs/>
                <w:iCs/>
                <w:sz w:val="20"/>
                <w:u w:val="single"/>
              </w:rPr>
              <w:t>PD and Exploratory Endpoints</w:t>
            </w:r>
          </w:p>
          <w:p w14:paraId="720C6FA9" w14:textId="47DE8F05" w:rsidR="005E785F" w:rsidRDefault="003621E8">
            <w:pPr>
              <w:pStyle w:val="ListParagraph"/>
              <w:numPr>
                <w:ilvl w:val="0"/>
                <w:numId w:val="36"/>
              </w:numPr>
              <w:autoSpaceDE w:val="0"/>
              <w:autoSpaceDN w:val="0"/>
              <w:adjustRightInd w:val="0"/>
              <w:spacing w:before="120"/>
              <w:rPr>
                <w:rFonts w:cs="Times New Roman"/>
                <w:sz w:val="20"/>
                <w:u w:val="single"/>
              </w:rPr>
            </w:pPr>
            <w:r>
              <w:rPr>
                <w:rFonts w:cs="Times New Roman"/>
                <w:sz w:val="20"/>
              </w:rPr>
              <w:t xml:space="preserve">PD endpoints: </w:t>
            </w:r>
          </w:p>
          <w:p w14:paraId="0DEC7D9B" w14:textId="4367D011" w:rsidR="005E785F" w:rsidRDefault="003621E8">
            <w:pPr>
              <w:pStyle w:val="ListParagraph"/>
              <w:numPr>
                <w:ilvl w:val="1"/>
                <w:numId w:val="36"/>
              </w:numPr>
              <w:autoSpaceDE w:val="0"/>
              <w:autoSpaceDN w:val="0"/>
              <w:adjustRightInd w:val="0"/>
              <w:jc w:val="both"/>
              <w:rPr>
                <w:rFonts w:cs="Times New Roman"/>
                <w:sz w:val="20"/>
                <w:u w:val="single"/>
              </w:rPr>
            </w:pPr>
            <w:r>
              <w:rPr>
                <w:rFonts w:cs="Times New Roman"/>
                <w:sz w:val="20"/>
              </w:rPr>
              <w:t xml:space="preserve">Explore changes from baseline levels of serum cytokine and chemokine parameters (CXCL10, IFN-γ, IL-6) in serum at pre-dose, and 8 h, 12 h, 24 h, 48 h post-dose and on Day 7. </w:t>
            </w:r>
          </w:p>
          <w:p w14:paraId="449B5AE8" w14:textId="74C25E7E" w:rsidR="005E785F" w:rsidRDefault="003621E8">
            <w:pPr>
              <w:pStyle w:val="ListParagraph"/>
              <w:numPr>
                <w:ilvl w:val="1"/>
                <w:numId w:val="36"/>
              </w:numPr>
              <w:autoSpaceDE w:val="0"/>
              <w:autoSpaceDN w:val="0"/>
              <w:adjustRightInd w:val="0"/>
              <w:jc w:val="both"/>
              <w:rPr>
                <w:rFonts w:cs="Times New Roman"/>
                <w:sz w:val="20"/>
                <w:u w:val="single"/>
              </w:rPr>
            </w:pPr>
            <w:r>
              <w:rPr>
                <w:rFonts w:cs="Times New Roman"/>
                <w:sz w:val="20"/>
              </w:rPr>
              <w:t>Other relevant cytokines/chemokines may be assessed if a multiplex assay can be implemented (IFN-α, MIP1α, IL-10, TNFα and/or other parameters) at pre-dose, and 8 h, 12h, 24 h, 48 h post-dose and on Day 7.</w:t>
            </w:r>
          </w:p>
          <w:p w14:paraId="6F054185" w14:textId="77777777" w:rsidR="005E785F" w:rsidRDefault="003621E8">
            <w:pPr>
              <w:pStyle w:val="ListParagraph"/>
              <w:numPr>
                <w:ilvl w:val="0"/>
                <w:numId w:val="36"/>
              </w:numPr>
              <w:autoSpaceDE w:val="0"/>
              <w:autoSpaceDN w:val="0"/>
              <w:adjustRightInd w:val="0"/>
              <w:spacing w:before="120"/>
              <w:jc w:val="both"/>
              <w:rPr>
                <w:rFonts w:cs="Times New Roman"/>
                <w:sz w:val="20"/>
                <w:u w:val="single"/>
              </w:rPr>
            </w:pPr>
            <w:r>
              <w:rPr>
                <w:rFonts w:cs="Times New Roman"/>
                <w:sz w:val="20"/>
              </w:rPr>
              <w:t>PBMC samples:</w:t>
            </w:r>
          </w:p>
          <w:p w14:paraId="0E7CA9DB" w14:textId="2AF511B2" w:rsidR="005E785F" w:rsidRDefault="003621E8">
            <w:pPr>
              <w:pStyle w:val="ListParagraph"/>
              <w:numPr>
                <w:ilvl w:val="1"/>
                <w:numId w:val="36"/>
              </w:numPr>
              <w:autoSpaceDE w:val="0"/>
              <w:autoSpaceDN w:val="0"/>
              <w:adjustRightInd w:val="0"/>
              <w:jc w:val="both"/>
              <w:rPr>
                <w:rFonts w:cs="Times New Roman"/>
                <w:sz w:val="20"/>
                <w:u w:val="single"/>
              </w:rPr>
            </w:pPr>
            <w:r>
              <w:rPr>
                <w:rFonts w:cs="Times New Roman"/>
                <w:sz w:val="20"/>
              </w:rPr>
              <w:t>Blood samples at pre-dose, Day 2 and Day 7 will be used to isolate PBMCs that will further be sent to the University of Tokyo for exploratory PD investigations.</w:t>
            </w:r>
          </w:p>
          <w:p w14:paraId="40665A1E" w14:textId="77777777" w:rsidR="005E785F" w:rsidRDefault="003621E8">
            <w:pPr>
              <w:pStyle w:val="ListParagraph"/>
              <w:numPr>
                <w:ilvl w:val="0"/>
                <w:numId w:val="36"/>
              </w:numPr>
              <w:autoSpaceDE w:val="0"/>
              <w:autoSpaceDN w:val="0"/>
              <w:adjustRightInd w:val="0"/>
              <w:spacing w:before="120"/>
              <w:jc w:val="both"/>
              <w:rPr>
                <w:rFonts w:cs="Times New Roman"/>
                <w:sz w:val="20"/>
                <w:u w:val="single"/>
              </w:rPr>
            </w:pPr>
            <w:r>
              <w:rPr>
                <w:rFonts w:cs="Times New Roman"/>
                <w:sz w:val="20"/>
              </w:rPr>
              <w:t>mRNA markers:</w:t>
            </w:r>
          </w:p>
          <w:p w14:paraId="49641A5F" w14:textId="48613DA5" w:rsidR="005E785F" w:rsidRDefault="003621E8">
            <w:pPr>
              <w:pStyle w:val="ListParagraph"/>
              <w:numPr>
                <w:ilvl w:val="1"/>
                <w:numId w:val="36"/>
              </w:numPr>
              <w:autoSpaceDE w:val="0"/>
              <w:autoSpaceDN w:val="0"/>
              <w:adjustRightInd w:val="0"/>
              <w:jc w:val="both"/>
              <w:rPr>
                <w:rFonts w:cs="Times New Roman"/>
                <w:sz w:val="20"/>
              </w:rPr>
            </w:pPr>
            <w:r>
              <w:rPr>
                <w:rFonts w:cs="Times New Roman"/>
                <w:sz w:val="20"/>
              </w:rPr>
              <w:t>Blood sample for mRNA markers will be collected on Day 1 at pre-dose, 4 h, 8 h, 12 h, 24 h and 48 h post-dose and will be stored for subsequent exploratory analysis on cytokine and chemokine gene expression</w:t>
            </w:r>
            <w:r>
              <w:rPr>
                <w:rFonts w:cs="Times New Roman"/>
                <w:b/>
                <w:bCs/>
                <w:sz w:val="20"/>
              </w:rPr>
              <w:t>.</w:t>
            </w:r>
            <w:bookmarkEnd w:id="18"/>
          </w:p>
        </w:tc>
      </w:tr>
      <w:tr w:rsidR="005E785F" w14:paraId="73FB1E26" w14:textId="77777777">
        <w:tc>
          <w:tcPr>
            <w:tcW w:w="5000" w:type="pct"/>
            <w:gridSpan w:val="2"/>
          </w:tcPr>
          <w:p w14:paraId="73FB1E24" w14:textId="7FDAADD3" w:rsidR="005E785F" w:rsidRDefault="003621E8">
            <w:pPr>
              <w:pStyle w:val="BodyText"/>
              <w:spacing w:before="40" w:after="40"/>
              <w:jc w:val="left"/>
              <w:rPr>
                <w:b/>
                <w:sz w:val="20"/>
              </w:rPr>
            </w:pPr>
            <w:r>
              <w:rPr>
                <w:b/>
                <w:caps/>
                <w:sz w:val="20"/>
              </w:rPr>
              <w:t>STATISTICAL METHODS:</w:t>
            </w:r>
          </w:p>
          <w:p w14:paraId="7464C53A" w14:textId="77777777" w:rsidR="005E785F" w:rsidRDefault="003621E8">
            <w:pPr>
              <w:pStyle w:val="BodyText"/>
              <w:rPr>
                <w:b/>
                <w:sz w:val="20"/>
              </w:rPr>
            </w:pPr>
            <w:r>
              <w:rPr>
                <w:b/>
                <w:sz w:val="20"/>
              </w:rPr>
              <w:lastRenderedPageBreak/>
              <w:t xml:space="preserve">Safety data: </w:t>
            </w:r>
          </w:p>
          <w:p w14:paraId="301AFAF8" w14:textId="28090AB3" w:rsidR="005E785F" w:rsidRDefault="003621E8">
            <w:pPr>
              <w:pStyle w:val="BodyText"/>
              <w:numPr>
                <w:ilvl w:val="0"/>
                <w:numId w:val="47"/>
              </w:numPr>
              <w:spacing w:before="0" w:after="0"/>
              <w:rPr>
                <w:sz w:val="20"/>
              </w:rPr>
            </w:pPr>
            <w:r>
              <w:rPr>
                <w:b/>
                <w:bCs/>
                <w:sz w:val="20"/>
              </w:rPr>
              <w:t>AEs:</w:t>
            </w:r>
            <w:r>
              <w:rPr>
                <w:sz w:val="20"/>
              </w:rPr>
              <w:t xml:space="preserve"> All AEs will be coded using the Medical Dictionary for Regulatory Activities (MedDRA dictionary). The most up to date version that is available at the time of database build will be used and will be listed in the data management plan (DMP). The MedDRA dictionary will not be updated during the course of the study. Only treatment emergent adverse events (TEAEs), </w:t>
            </w:r>
            <w:r>
              <w:rPr>
                <w:iCs/>
                <w:sz w:val="20"/>
              </w:rPr>
              <w:t>i.e.,</w:t>
            </w:r>
            <w:r>
              <w:rPr>
                <w:sz w:val="20"/>
              </w:rPr>
              <w:t xml:space="preserve"> existing conditions that worsen or events that occur during the course of the study after administration of IMP, will be included within the summary tables.</w:t>
            </w:r>
          </w:p>
          <w:p w14:paraId="372223B9" w14:textId="5FB010F7" w:rsidR="005E785F" w:rsidRDefault="003621E8">
            <w:pPr>
              <w:pStyle w:val="BodyText"/>
              <w:numPr>
                <w:ilvl w:val="0"/>
                <w:numId w:val="47"/>
              </w:numPr>
              <w:spacing w:before="0" w:after="0"/>
              <w:rPr>
                <w:sz w:val="20"/>
              </w:rPr>
            </w:pPr>
            <w:r>
              <w:rPr>
                <w:b/>
                <w:bCs/>
                <w:sz w:val="20"/>
              </w:rPr>
              <w:t>Laboratory Safety</w:t>
            </w:r>
            <w:r>
              <w:rPr>
                <w:sz w:val="20"/>
              </w:rPr>
              <w:t>: Biochemistry, haematology, coagulation and urinalysis parameters will be listed with any out of normal range values flagged. Laboratory test results which are out of normal range will also be presented separately along with normal reference ranges. Descriptive statistics (N, n, mean, SD, minimum, median and maximum) of absolute and change from baseline (Day -1) values at each protocol-defined time point will be tabulated.</w:t>
            </w:r>
          </w:p>
          <w:p w14:paraId="6E42715C" w14:textId="79441A0E" w:rsidR="005E785F" w:rsidRDefault="003621E8">
            <w:pPr>
              <w:pStyle w:val="BodyText"/>
              <w:numPr>
                <w:ilvl w:val="0"/>
                <w:numId w:val="47"/>
              </w:numPr>
              <w:spacing w:before="0" w:after="0"/>
              <w:rPr>
                <w:sz w:val="20"/>
              </w:rPr>
            </w:pPr>
            <w:r>
              <w:rPr>
                <w:b/>
                <w:bCs/>
                <w:sz w:val="20"/>
              </w:rPr>
              <w:t>Vital Signs</w:t>
            </w:r>
            <w:r>
              <w:rPr>
                <w:sz w:val="20"/>
              </w:rPr>
              <w:t xml:space="preserve">: Vital signs parameters will be listed with any out of normal range values flagged.  Descriptive statistics (N, n, mean, standard deviation (SD), minimum, median and maximum) of absolute and change from baseline (Day 1 pre-dose) values at each time point will be tabulated.  </w:t>
            </w:r>
          </w:p>
          <w:p w14:paraId="30B542B9" w14:textId="192719B3" w:rsidR="005E785F" w:rsidRDefault="003621E8">
            <w:pPr>
              <w:pStyle w:val="BodyText"/>
              <w:numPr>
                <w:ilvl w:val="0"/>
                <w:numId w:val="47"/>
              </w:numPr>
              <w:spacing w:before="0" w:after="0"/>
              <w:rPr>
                <w:sz w:val="20"/>
              </w:rPr>
            </w:pPr>
            <w:r>
              <w:rPr>
                <w:b/>
                <w:bCs/>
                <w:sz w:val="20"/>
              </w:rPr>
              <w:t>12 Lead ECG:</w:t>
            </w:r>
            <w:r>
              <w:rPr>
                <w:sz w:val="20"/>
              </w:rPr>
              <w:t xml:space="preserve"> 12-Lead ECG parameters will be listed with any out of normal range values flagged.  Descriptive statistics (N, n, mean, SD, minimum, median and maximum) of absolute and change from baseline (Day 1 pre-dose) values at each time point will be tabulated. Additionally, the frequency (number and % of subjects) for absolute and change from baseline QTcF values will be summarised. </w:t>
            </w:r>
          </w:p>
          <w:p w14:paraId="522D2BC8" w14:textId="07DBD831" w:rsidR="005E785F" w:rsidRDefault="003621E8">
            <w:pPr>
              <w:pStyle w:val="BodyText"/>
              <w:numPr>
                <w:ilvl w:val="0"/>
                <w:numId w:val="47"/>
              </w:numPr>
              <w:spacing w:before="0" w:after="0"/>
            </w:pPr>
            <w:r>
              <w:rPr>
                <w:b/>
                <w:bCs/>
                <w:sz w:val="20"/>
              </w:rPr>
              <w:t>Inject site examination</w:t>
            </w:r>
            <w:r>
              <w:rPr>
                <w:sz w:val="20"/>
              </w:rPr>
              <w:t xml:space="preserve">: </w:t>
            </w:r>
            <w:bookmarkStart w:id="20" w:name="_Hlk66786768"/>
            <w:r>
              <w:rPr>
                <w:sz w:val="20"/>
              </w:rPr>
              <w:t xml:space="preserve">Injection site reactions (redness, swelling, warmth, tenderness, pain) </w:t>
            </w:r>
            <w:bookmarkEnd w:id="20"/>
            <w:r>
              <w:rPr>
                <w:sz w:val="20"/>
              </w:rPr>
              <w:t>will be</w:t>
            </w:r>
            <w:r>
              <w:rPr>
                <w:szCs w:val="24"/>
              </w:rPr>
              <w:t xml:space="preserve"> </w:t>
            </w:r>
            <w:r>
              <w:rPr>
                <w:sz w:val="20"/>
              </w:rPr>
              <w:t xml:space="preserve">assessed during the study, according to the assessment scaled in </w:t>
            </w:r>
            <w:r>
              <w:rPr>
                <w:color w:val="0000FF"/>
                <w:sz w:val="20"/>
              </w:rPr>
              <w:fldChar w:fldCharType="begin"/>
            </w:r>
            <w:r>
              <w:rPr>
                <w:color w:val="0000FF"/>
                <w:sz w:val="20"/>
              </w:rPr>
              <w:instrText xml:space="preserve"> REF _Ref67033060 \h  \* MERGEFORMAT </w:instrText>
            </w:r>
            <w:r>
              <w:rPr>
                <w:color w:val="0000FF"/>
                <w:sz w:val="20"/>
              </w:rPr>
            </w:r>
            <w:r>
              <w:rPr>
                <w:color w:val="0000FF"/>
                <w:sz w:val="20"/>
              </w:rPr>
              <w:fldChar w:fldCharType="separate"/>
            </w:r>
            <w:r>
              <w:rPr>
                <w:color w:val="0000FF"/>
                <w:sz w:val="20"/>
              </w:rPr>
              <w:t>Appendix 3</w:t>
            </w:r>
            <w:r>
              <w:rPr>
                <w:color w:val="0000FF"/>
                <w:sz w:val="20"/>
              </w:rPr>
              <w:fldChar w:fldCharType="end"/>
            </w:r>
            <w:r>
              <w:rPr>
                <w:sz w:val="20"/>
              </w:rPr>
              <w:t>, listed and summarised using frequencies (number and % of participants).</w:t>
            </w:r>
          </w:p>
          <w:p w14:paraId="76CFC821" w14:textId="77777777" w:rsidR="005E785F" w:rsidRDefault="003621E8">
            <w:pPr>
              <w:pStyle w:val="BodyText"/>
              <w:rPr>
                <w:sz w:val="20"/>
              </w:rPr>
            </w:pPr>
            <w:r>
              <w:rPr>
                <w:b/>
                <w:sz w:val="20"/>
              </w:rPr>
              <w:t>Pharmacokinetic data</w:t>
            </w:r>
            <w:r>
              <w:rPr>
                <w:sz w:val="20"/>
              </w:rPr>
              <w:t>:</w:t>
            </w:r>
          </w:p>
          <w:p w14:paraId="78A10EA9" w14:textId="361F2DB4" w:rsidR="005E785F" w:rsidRDefault="003621E8">
            <w:pPr>
              <w:spacing w:before="120" w:after="120"/>
              <w:jc w:val="both"/>
              <w:rPr>
                <w:rFonts w:cs="Times New Roman"/>
                <w:sz w:val="20"/>
              </w:rPr>
            </w:pPr>
            <w:r>
              <w:rPr>
                <w:rFonts w:cs="Times New Roman"/>
                <w:b/>
                <w:bCs/>
                <w:i/>
                <w:color w:val="000000"/>
                <w:sz w:val="20"/>
              </w:rPr>
              <w:t>Concentration-Time data:</w:t>
            </w:r>
            <w:r>
              <w:rPr>
                <w:rFonts w:cs="Times New Roman"/>
                <w:color w:val="000000"/>
                <w:sz w:val="20"/>
              </w:rPr>
              <w:t xml:space="preserve"> Individual plasma </w:t>
            </w:r>
            <w:r>
              <w:rPr>
                <w:rFonts w:cs="Times New Roman"/>
                <w:sz w:val="20"/>
              </w:rPr>
              <w:t>CpG ODN D35 concentration</w:t>
            </w:r>
            <w:r>
              <w:rPr>
                <w:rFonts w:cs="Times New Roman"/>
                <w:sz w:val="20"/>
              </w:rPr>
              <w:noBreakHyphen/>
              <w:t xml:space="preserve">time data </w:t>
            </w:r>
            <w:r>
              <w:rPr>
                <w:rFonts w:cs="Times New Roman"/>
                <w:color w:val="000000"/>
                <w:sz w:val="20"/>
              </w:rPr>
              <w:t>will be listed and summarised. Individual and geometric mean concentration</w:t>
            </w:r>
            <w:r>
              <w:rPr>
                <w:rFonts w:cs="Times New Roman"/>
                <w:color w:val="000000"/>
                <w:sz w:val="20"/>
              </w:rPr>
              <w:noBreakHyphen/>
              <w:t>time data will also be plotted on both linear and semi</w:t>
            </w:r>
            <w:r>
              <w:rPr>
                <w:rFonts w:cs="Times New Roman"/>
                <w:color w:val="000000"/>
                <w:sz w:val="20"/>
              </w:rPr>
              <w:noBreakHyphen/>
              <w:t>logarithmic scales.</w:t>
            </w:r>
          </w:p>
          <w:p w14:paraId="7FA7DA45" w14:textId="6D4DBFBF" w:rsidR="005E785F" w:rsidRDefault="003621E8">
            <w:pPr>
              <w:spacing w:before="120" w:after="120"/>
              <w:jc w:val="both"/>
              <w:rPr>
                <w:rFonts w:cs="Times New Roman"/>
                <w:sz w:val="20"/>
              </w:rPr>
            </w:pPr>
            <w:r>
              <w:rPr>
                <w:rFonts w:cs="Times New Roman"/>
                <w:b/>
                <w:i/>
                <w:sz w:val="20"/>
              </w:rPr>
              <w:t>Derived PK data:</w:t>
            </w:r>
            <w:r>
              <w:rPr>
                <w:rFonts w:cs="Times New Roman"/>
                <w:sz w:val="20"/>
              </w:rPr>
              <w:t xml:space="preserve"> The following PK endpoints will be derived from plasma CpG ODN D35 concentration time data following administration of CpG ODN D35 using Phoenix WinNonlin 8.0 or higher. For the final PK calculations, concentration values below the limit of quantification (BLQ) will be assigned a value of zero and the actual time of sample collection will be used.</w:t>
            </w:r>
          </w:p>
          <w:p w14:paraId="55BC5AC3" w14:textId="156E15B2" w:rsidR="005E785F" w:rsidRDefault="003621E8">
            <w:pPr>
              <w:numPr>
                <w:ilvl w:val="0"/>
                <w:numId w:val="46"/>
              </w:numPr>
              <w:spacing w:before="120" w:after="120"/>
              <w:jc w:val="both"/>
              <w:rPr>
                <w:rFonts w:cs="Times New Roman"/>
                <w:sz w:val="20"/>
              </w:rPr>
            </w:pPr>
            <w:r>
              <w:rPr>
                <w:rFonts w:cs="Times New Roman"/>
                <w:b/>
                <w:bCs/>
                <w:i/>
                <w:sz w:val="20"/>
              </w:rPr>
              <w:t>PK Variables following single SC dose administration</w:t>
            </w:r>
            <w:r>
              <w:rPr>
                <w:rFonts w:cs="Times New Roman"/>
                <w:b/>
                <w:bCs/>
                <w:sz w:val="20"/>
              </w:rPr>
              <w:t>:</w:t>
            </w:r>
            <w:r>
              <w:rPr>
                <w:rFonts w:cs="Times New Roman"/>
                <w:sz w:val="20"/>
              </w:rPr>
              <w:t xml:space="preserve"> Maximum concentration (C</w:t>
            </w:r>
            <w:r>
              <w:rPr>
                <w:rFonts w:cs="Times New Roman"/>
                <w:vertAlign w:val="subscript"/>
              </w:rPr>
              <w:t>max</w:t>
            </w:r>
            <w:r>
              <w:rPr>
                <w:rFonts w:cs="Times New Roman"/>
                <w:sz w:val="20"/>
              </w:rPr>
              <w:t>), time to C</w:t>
            </w:r>
            <w:r>
              <w:rPr>
                <w:rFonts w:cs="Times New Roman"/>
                <w:vertAlign w:val="subscript"/>
              </w:rPr>
              <w:t>max</w:t>
            </w:r>
            <w:r>
              <w:rPr>
                <w:rFonts w:cs="Times New Roman"/>
                <w:sz w:val="20"/>
              </w:rPr>
              <w:t xml:space="preserve"> (T</w:t>
            </w:r>
            <w:r>
              <w:rPr>
                <w:rFonts w:cs="Times New Roman"/>
                <w:vertAlign w:val="subscript"/>
              </w:rPr>
              <w:t>max</w:t>
            </w:r>
            <w:r>
              <w:rPr>
                <w:rFonts w:cs="Times New Roman"/>
                <w:sz w:val="20"/>
              </w:rPr>
              <w:t>), terminal elimination half-life (t</w:t>
            </w:r>
            <w:r>
              <w:rPr>
                <w:rFonts w:cs="Times New Roman"/>
                <w:vertAlign w:val="subscript"/>
              </w:rPr>
              <w:t>1/2</w:t>
            </w:r>
            <w:r>
              <w:rPr>
                <w:rFonts w:cs="Times New Roman"/>
                <w:sz w:val="20"/>
              </w:rPr>
              <w:t>), apparent first order terminal elimination rate constant (λz), area under the concentration-time curve (AUC) from time of dosing to last measurable concentration (AUC</w:t>
            </w:r>
            <w:r>
              <w:rPr>
                <w:rFonts w:cs="Times New Roman"/>
                <w:vertAlign w:val="subscript"/>
              </w:rPr>
              <w:t>last</w:t>
            </w:r>
            <w:r>
              <w:rPr>
                <w:rFonts w:cs="Times New Roman"/>
                <w:sz w:val="20"/>
              </w:rPr>
              <w:t>), AUC</w:t>
            </w:r>
            <w:r>
              <w:rPr>
                <w:rFonts w:cs="Times New Roman"/>
                <w:vertAlign w:val="subscript"/>
              </w:rPr>
              <w:t>all</w:t>
            </w:r>
            <w:r>
              <w:rPr>
                <w:rFonts w:cs="Times New Roman"/>
                <w:sz w:val="20"/>
              </w:rPr>
              <w:t>, AUC extrapolated to infinity (AUC</w:t>
            </w:r>
            <w:r>
              <w:rPr>
                <w:rFonts w:cs="Times New Roman"/>
                <w:vertAlign w:val="subscript"/>
              </w:rPr>
              <w:t>0-inf</w:t>
            </w:r>
            <w:r>
              <w:rPr>
                <w:rFonts w:cs="Times New Roman"/>
                <w:sz w:val="20"/>
              </w:rPr>
              <w:t>), residual AUC (AUC</w:t>
            </w:r>
            <w:r>
              <w:rPr>
                <w:rFonts w:cs="Times New Roman"/>
                <w:vertAlign w:val="subscript"/>
              </w:rPr>
              <w:t>% extrapolated</w:t>
            </w:r>
            <w:r>
              <w:rPr>
                <w:rFonts w:cs="Times New Roman"/>
                <w:sz w:val="20"/>
              </w:rPr>
              <w:t>). Additional parameters may be reported, as appropriate.</w:t>
            </w:r>
          </w:p>
          <w:p w14:paraId="51FFE565" w14:textId="52C0B1CA" w:rsidR="005E785F" w:rsidRDefault="003621E8">
            <w:pPr>
              <w:pStyle w:val="BodyText"/>
              <w:rPr>
                <w:sz w:val="20"/>
              </w:rPr>
            </w:pPr>
            <w:r>
              <w:rPr>
                <w:b/>
                <w:sz w:val="20"/>
              </w:rPr>
              <w:t>Dose proportionality</w:t>
            </w:r>
            <w:r>
              <w:rPr>
                <w:sz w:val="20"/>
              </w:rPr>
              <w:t xml:space="preserve">: </w:t>
            </w:r>
          </w:p>
          <w:p w14:paraId="35F2BDF0" w14:textId="2FA7F04C" w:rsidR="005E785F" w:rsidRDefault="003621E8">
            <w:pPr>
              <w:spacing w:before="120" w:after="120"/>
              <w:jc w:val="both"/>
              <w:rPr>
                <w:rFonts w:cs="Times New Roman"/>
                <w:sz w:val="20"/>
              </w:rPr>
            </w:pPr>
            <w:r>
              <w:rPr>
                <w:rFonts w:cs="Times New Roman"/>
                <w:sz w:val="20"/>
              </w:rPr>
              <w:t>Dose proportionality will be assessed by performing a regression analysis of the log-transformed Cmax, AUClast, and AUC0-inf values versus the log-transformed dose using the power model. For each parameter, a point estimate and 95% confidence interval (CI) will be calculated for the slope of the regression line. The Cmax,  AUClast and AUC0-inf values will also be presented graphically.</w:t>
            </w:r>
          </w:p>
          <w:p w14:paraId="47C328A5" w14:textId="7F78CA68" w:rsidR="005E785F" w:rsidRDefault="003621E8">
            <w:pPr>
              <w:pStyle w:val="BodyText"/>
              <w:rPr>
                <w:b/>
                <w:sz w:val="20"/>
              </w:rPr>
            </w:pPr>
            <w:r>
              <w:rPr>
                <w:b/>
                <w:sz w:val="20"/>
              </w:rPr>
              <w:t>PD and Exploratory data:</w:t>
            </w:r>
          </w:p>
          <w:p w14:paraId="6B21BC1D" w14:textId="5A864CE8" w:rsidR="005E785F" w:rsidRDefault="003621E8">
            <w:pPr>
              <w:pStyle w:val="BodyText"/>
              <w:spacing w:before="0" w:after="0"/>
              <w:jc w:val="left"/>
              <w:rPr>
                <w:sz w:val="20"/>
              </w:rPr>
            </w:pPr>
            <w:r>
              <w:rPr>
                <w:sz w:val="20"/>
              </w:rPr>
              <w:t>PD analysis will be detailed in statistical analysis plan (SAP) and exploratory data will be analysed and reported separately.</w:t>
            </w:r>
          </w:p>
          <w:p w14:paraId="73FB1E25" w14:textId="5F5F6E92" w:rsidR="005E785F" w:rsidRDefault="005E785F">
            <w:pPr>
              <w:pStyle w:val="BodyText"/>
              <w:spacing w:before="0" w:after="0"/>
              <w:jc w:val="left"/>
              <w:rPr>
                <w:sz w:val="20"/>
              </w:rPr>
            </w:pPr>
          </w:p>
        </w:tc>
      </w:tr>
      <w:tr w:rsidR="005E785F" w14:paraId="73FB1E29" w14:textId="77777777">
        <w:tc>
          <w:tcPr>
            <w:tcW w:w="1549" w:type="pct"/>
          </w:tcPr>
          <w:p w14:paraId="73FB1E27" w14:textId="77777777" w:rsidR="005E785F" w:rsidRDefault="003621E8">
            <w:pPr>
              <w:pStyle w:val="BodyText"/>
              <w:rPr>
                <w:b/>
                <w:sz w:val="20"/>
              </w:rPr>
            </w:pPr>
            <w:r>
              <w:rPr>
                <w:b/>
                <w:caps/>
                <w:sz w:val="20"/>
              </w:rPr>
              <w:lastRenderedPageBreak/>
              <w:t>duration of study:</w:t>
            </w:r>
          </w:p>
        </w:tc>
        <w:tc>
          <w:tcPr>
            <w:tcW w:w="3451" w:type="pct"/>
          </w:tcPr>
          <w:p w14:paraId="73FB1E28" w14:textId="0087C40D" w:rsidR="005E785F" w:rsidRDefault="003621E8">
            <w:pPr>
              <w:pStyle w:val="BodyText"/>
              <w:rPr>
                <w:sz w:val="20"/>
              </w:rPr>
            </w:pPr>
            <w:r>
              <w:rPr>
                <w:sz w:val="20"/>
              </w:rPr>
              <w:t>Approximately 6 weeks for each individual (from the Screening to post study follow-up).</w:t>
            </w:r>
          </w:p>
        </w:tc>
      </w:tr>
    </w:tbl>
    <w:p w14:paraId="73FB1E2A" w14:textId="77777777" w:rsidR="005E785F" w:rsidRDefault="005E785F">
      <w:pPr>
        <w:pStyle w:val="BodyText"/>
      </w:pPr>
    </w:p>
    <w:p w14:paraId="73FB1E2B" w14:textId="77777777" w:rsidR="005E785F" w:rsidRDefault="003621E8">
      <w:pPr>
        <w:pStyle w:val="Heading1"/>
      </w:pPr>
      <w:bookmarkStart w:id="21" w:name="_Toc200273905"/>
      <w:bookmarkEnd w:id="6"/>
      <w:bookmarkEnd w:id="21"/>
      <w:r>
        <w:br w:type="page"/>
      </w:r>
      <w:bookmarkStart w:id="22" w:name="_Toc74904332"/>
      <w:r>
        <w:lastRenderedPageBreak/>
        <w:t>TABLE OF CONTENTS</w:t>
      </w:r>
      <w:bookmarkEnd w:id="22"/>
    </w:p>
    <w:p w14:paraId="00470B1D" w14:textId="184E696A" w:rsidR="00AA0C2A" w:rsidRDefault="003621E8">
      <w:pPr>
        <w:pStyle w:val="TOC1"/>
        <w:rPr>
          <w:rFonts w:asciiTheme="minorHAnsi" w:eastAsiaTheme="minorEastAsia" w:hAnsiTheme="minorHAnsi" w:cstheme="minorBidi"/>
          <w:caps w:val="0"/>
          <w:noProof/>
          <w:sz w:val="22"/>
          <w:szCs w:val="22"/>
          <w:lang w:val="en-GB" w:eastAsia="en-GB"/>
        </w:rPr>
      </w:pPr>
      <w:r>
        <w:rPr>
          <w:lang w:val="en-GB"/>
        </w:rPr>
        <w:fldChar w:fldCharType="begin"/>
      </w:r>
      <w:r>
        <w:rPr>
          <w:lang w:val="en-GB"/>
        </w:rPr>
        <w:instrText xml:space="preserve"> TOC \o "1-5" \h \z </w:instrText>
      </w:r>
      <w:r>
        <w:rPr>
          <w:lang w:val="en-GB"/>
        </w:rPr>
        <w:fldChar w:fldCharType="separate"/>
      </w:r>
      <w:hyperlink w:anchor="_Toc74904329" w:history="1">
        <w:r w:rsidR="00AA0C2A" w:rsidRPr="00A30B1E">
          <w:rPr>
            <w:rStyle w:val="Hyperlink"/>
            <w:noProof/>
          </w:rPr>
          <w:t>1.</w:t>
        </w:r>
        <w:r w:rsidR="00AA0C2A">
          <w:rPr>
            <w:rFonts w:asciiTheme="minorHAnsi" w:eastAsiaTheme="minorEastAsia" w:hAnsiTheme="minorHAnsi" w:cstheme="minorBidi"/>
            <w:caps w:val="0"/>
            <w:noProof/>
            <w:sz w:val="22"/>
            <w:szCs w:val="22"/>
            <w:lang w:val="en-GB" w:eastAsia="en-GB"/>
          </w:rPr>
          <w:tab/>
        </w:r>
        <w:r w:rsidR="00AA0C2A" w:rsidRPr="00A30B1E">
          <w:rPr>
            <w:rStyle w:val="Hyperlink"/>
            <w:noProof/>
          </w:rPr>
          <w:t>SIGNATURE PAGE</w:t>
        </w:r>
        <w:r w:rsidR="00AA0C2A">
          <w:rPr>
            <w:noProof/>
            <w:webHidden/>
          </w:rPr>
          <w:tab/>
        </w:r>
        <w:r w:rsidR="00AA0C2A">
          <w:rPr>
            <w:noProof/>
            <w:webHidden/>
          </w:rPr>
          <w:fldChar w:fldCharType="begin"/>
        </w:r>
        <w:r w:rsidR="00AA0C2A">
          <w:rPr>
            <w:noProof/>
            <w:webHidden/>
          </w:rPr>
          <w:instrText xml:space="preserve"> PAGEREF _Toc74904329 \h </w:instrText>
        </w:r>
        <w:r w:rsidR="00AA0C2A">
          <w:rPr>
            <w:noProof/>
            <w:webHidden/>
          </w:rPr>
        </w:r>
        <w:r w:rsidR="00AA0C2A">
          <w:rPr>
            <w:noProof/>
            <w:webHidden/>
          </w:rPr>
          <w:fldChar w:fldCharType="separate"/>
        </w:r>
        <w:r w:rsidR="00AA0C2A">
          <w:rPr>
            <w:noProof/>
            <w:webHidden/>
          </w:rPr>
          <w:t>3</w:t>
        </w:r>
        <w:r w:rsidR="00AA0C2A">
          <w:rPr>
            <w:noProof/>
            <w:webHidden/>
          </w:rPr>
          <w:fldChar w:fldCharType="end"/>
        </w:r>
      </w:hyperlink>
    </w:p>
    <w:p w14:paraId="4081FC40" w14:textId="74B1752B" w:rsidR="00AA0C2A" w:rsidRDefault="00AA0C2A">
      <w:pPr>
        <w:pStyle w:val="TOC1"/>
        <w:rPr>
          <w:rFonts w:asciiTheme="minorHAnsi" w:eastAsiaTheme="minorEastAsia" w:hAnsiTheme="minorHAnsi" w:cstheme="minorBidi"/>
          <w:caps w:val="0"/>
          <w:noProof/>
          <w:sz w:val="22"/>
          <w:szCs w:val="22"/>
          <w:lang w:val="en-GB" w:eastAsia="en-GB"/>
        </w:rPr>
      </w:pPr>
      <w:hyperlink w:anchor="_Toc74904330" w:history="1">
        <w:r w:rsidRPr="00A30B1E">
          <w:rPr>
            <w:rStyle w:val="Hyperlink"/>
            <w:noProof/>
          </w:rPr>
          <w:t>2.</w:t>
        </w:r>
        <w:r>
          <w:rPr>
            <w:rFonts w:asciiTheme="minorHAnsi" w:eastAsiaTheme="minorEastAsia" w:hAnsiTheme="minorHAnsi" w:cstheme="minorBidi"/>
            <w:caps w:val="0"/>
            <w:noProof/>
            <w:sz w:val="22"/>
            <w:szCs w:val="22"/>
            <w:lang w:val="en-GB" w:eastAsia="en-GB"/>
          </w:rPr>
          <w:tab/>
        </w:r>
        <w:r w:rsidRPr="00A30B1E">
          <w:rPr>
            <w:rStyle w:val="Hyperlink"/>
            <w:noProof/>
          </w:rPr>
          <w:t>PROTOCOL AMENDMENT/REVISION HISTORY</w:t>
        </w:r>
        <w:r>
          <w:rPr>
            <w:noProof/>
            <w:webHidden/>
          </w:rPr>
          <w:tab/>
        </w:r>
        <w:r>
          <w:rPr>
            <w:noProof/>
            <w:webHidden/>
          </w:rPr>
          <w:fldChar w:fldCharType="begin"/>
        </w:r>
        <w:r>
          <w:rPr>
            <w:noProof/>
            <w:webHidden/>
          </w:rPr>
          <w:instrText xml:space="preserve"> PAGEREF _Toc74904330 \h </w:instrText>
        </w:r>
        <w:r>
          <w:rPr>
            <w:noProof/>
            <w:webHidden/>
          </w:rPr>
        </w:r>
        <w:r>
          <w:rPr>
            <w:noProof/>
            <w:webHidden/>
          </w:rPr>
          <w:fldChar w:fldCharType="separate"/>
        </w:r>
        <w:r>
          <w:rPr>
            <w:noProof/>
            <w:webHidden/>
          </w:rPr>
          <w:t>5</w:t>
        </w:r>
        <w:r>
          <w:rPr>
            <w:noProof/>
            <w:webHidden/>
          </w:rPr>
          <w:fldChar w:fldCharType="end"/>
        </w:r>
      </w:hyperlink>
    </w:p>
    <w:p w14:paraId="55B6FD3D" w14:textId="0995E969" w:rsidR="00AA0C2A" w:rsidRDefault="00AA0C2A">
      <w:pPr>
        <w:pStyle w:val="TOC1"/>
        <w:rPr>
          <w:rFonts w:asciiTheme="minorHAnsi" w:eastAsiaTheme="minorEastAsia" w:hAnsiTheme="minorHAnsi" w:cstheme="minorBidi"/>
          <w:caps w:val="0"/>
          <w:noProof/>
          <w:sz w:val="22"/>
          <w:szCs w:val="22"/>
          <w:lang w:val="en-GB" w:eastAsia="en-GB"/>
        </w:rPr>
      </w:pPr>
      <w:hyperlink w:anchor="_Toc74904331" w:history="1">
        <w:r w:rsidRPr="00A30B1E">
          <w:rPr>
            <w:rStyle w:val="Hyperlink"/>
            <w:noProof/>
          </w:rPr>
          <w:t>3.</w:t>
        </w:r>
        <w:r>
          <w:rPr>
            <w:rFonts w:asciiTheme="minorHAnsi" w:eastAsiaTheme="minorEastAsia" w:hAnsiTheme="minorHAnsi" w:cstheme="minorBidi"/>
            <w:caps w:val="0"/>
            <w:noProof/>
            <w:sz w:val="22"/>
            <w:szCs w:val="22"/>
            <w:lang w:val="en-GB" w:eastAsia="en-GB"/>
          </w:rPr>
          <w:tab/>
        </w:r>
        <w:r w:rsidRPr="00A30B1E">
          <w:rPr>
            <w:rStyle w:val="Hyperlink"/>
            <w:noProof/>
          </w:rPr>
          <w:t>SYNOPSIS</w:t>
        </w:r>
        <w:r>
          <w:rPr>
            <w:noProof/>
            <w:webHidden/>
          </w:rPr>
          <w:tab/>
        </w:r>
        <w:r>
          <w:rPr>
            <w:noProof/>
            <w:webHidden/>
          </w:rPr>
          <w:fldChar w:fldCharType="begin"/>
        </w:r>
        <w:r>
          <w:rPr>
            <w:noProof/>
            <w:webHidden/>
          </w:rPr>
          <w:instrText xml:space="preserve"> PAGEREF _Toc74904331 \h </w:instrText>
        </w:r>
        <w:r>
          <w:rPr>
            <w:noProof/>
            <w:webHidden/>
          </w:rPr>
        </w:r>
        <w:r>
          <w:rPr>
            <w:noProof/>
            <w:webHidden/>
          </w:rPr>
          <w:fldChar w:fldCharType="separate"/>
        </w:r>
        <w:r>
          <w:rPr>
            <w:noProof/>
            <w:webHidden/>
          </w:rPr>
          <w:t>10</w:t>
        </w:r>
        <w:r>
          <w:rPr>
            <w:noProof/>
            <w:webHidden/>
          </w:rPr>
          <w:fldChar w:fldCharType="end"/>
        </w:r>
      </w:hyperlink>
    </w:p>
    <w:p w14:paraId="681DFB27" w14:textId="23A9C8FF" w:rsidR="00AA0C2A" w:rsidRDefault="00AA0C2A">
      <w:pPr>
        <w:pStyle w:val="TOC1"/>
        <w:rPr>
          <w:rFonts w:asciiTheme="minorHAnsi" w:eastAsiaTheme="minorEastAsia" w:hAnsiTheme="minorHAnsi" w:cstheme="minorBidi"/>
          <w:caps w:val="0"/>
          <w:noProof/>
          <w:sz w:val="22"/>
          <w:szCs w:val="22"/>
          <w:lang w:val="en-GB" w:eastAsia="en-GB"/>
        </w:rPr>
      </w:pPr>
      <w:hyperlink w:anchor="_Toc74904332" w:history="1">
        <w:r w:rsidRPr="00A30B1E">
          <w:rPr>
            <w:rStyle w:val="Hyperlink"/>
            <w:noProof/>
          </w:rPr>
          <w:t>4.</w:t>
        </w:r>
        <w:r>
          <w:rPr>
            <w:rFonts w:asciiTheme="minorHAnsi" w:eastAsiaTheme="minorEastAsia" w:hAnsiTheme="minorHAnsi" w:cstheme="minorBidi"/>
            <w:caps w:val="0"/>
            <w:noProof/>
            <w:sz w:val="22"/>
            <w:szCs w:val="22"/>
            <w:lang w:val="en-GB" w:eastAsia="en-GB"/>
          </w:rPr>
          <w:tab/>
        </w:r>
        <w:r w:rsidRPr="00A30B1E">
          <w:rPr>
            <w:rStyle w:val="Hyperlink"/>
            <w:noProof/>
          </w:rPr>
          <w:t>TABLE OF CONTENTS</w:t>
        </w:r>
        <w:r>
          <w:rPr>
            <w:noProof/>
            <w:webHidden/>
          </w:rPr>
          <w:tab/>
        </w:r>
        <w:r>
          <w:rPr>
            <w:noProof/>
            <w:webHidden/>
          </w:rPr>
          <w:fldChar w:fldCharType="begin"/>
        </w:r>
        <w:r>
          <w:rPr>
            <w:noProof/>
            <w:webHidden/>
          </w:rPr>
          <w:instrText xml:space="preserve"> PAGEREF _Toc74904332 \h </w:instrText>
        </w:r>
        <w:r>
          <w:rPr>
            <w:noProof/>
            <w:webHidden/>
          </w:rPr>
        </w:r>
        <w:r>
          <w:rPr>
            <w:noProof/>
            <w:webHidden/>
          </w:rPr>
          <w:fldChar w:fldCharType="separate"/>
        </w:r>
        <w:r>
          <w:rPr>
            <w:noProof/>
            <w:webHidden/>
          </w:rPr>
          <w:t>20</w:t>
        </w:r>
        <w:r>
          <w:rPr>
            <w:noProof/>
            <w:webHidden/>
          </w:rPr>
          <w:fldChar w:fldCharType="end"/>
        </w:r>
      </w:hyperlink>
    </w:p>
    <w:p w14:paraId="6138F9E2" w14:textId="28D5B866" w:rsidR="00AA0C2A" w:rsidRDefault="00AA0C2A">
      <w:pPr>
        <w:pStyle w:val="TOC1"/>
        <w:rPr>
          <w:rFonts w:asciiTheme="minorHAnsi" w:eastAsiaTheme="minorEastAsia" w:hAnsiTheme="minorHAnsi" w:cstheme="minorBidi"/>
          <w:caps w:val="0"/>
          <w:noProof/>
          <w:sz w:val="22"/>
          <w:szCs w:val="22"/>
          <w:lang w:val="en-GB" w:eastAsia="en-GB"/>
        </w:rPr>
      </w:pPr>
      <w:hyperlink w:anchor="_Toc74904333" w:history="1">
        <w:r w:rsidRPr="00A30B1E">
          <w:rPr>
            <w:rStyle w:val="Hyperlink"/>
            <w:noProof/>
          </w:rPr>
          <w:t>5.</w:t>
        </w:r>
        <w:r>
          <w:rPr>
            <w:rFonts w:asciiTheme="minorHAnsi" w:eastAsiaTheme="minorEastAsia" w:hAnsiTheme="minorHAnsi" w:cstheme="minorBidi"/>
            <w:caps w:val="0"/>
            <w:noProof/>
            <w:sz w:val="22"/>
            <w:szCs w:val="22"/>
            <w:lang w:val="en-GB" w:eastAsia="en-GB"/>
          </w:rPr>
          <w:tab/>
        </w:r>
        <w:r w:rsidRPr="00A30B1E">
          <w:rPr>
            <w:rStyle w:val="Hyperlink"/>
            <w:noProof/>
          </w:rPr>
          <w:t>ABBREVIATIONS USED IN THE PROTOCOL TEXT</w:t>
        </w:r>
        <w:r>
          <w:rPr>
            <w:noProof/>
            <w:webHidden/>
          </w:rPr>
          <w:tab/>
        </w:r>
        <w:r>
          <w:rPr>
            <w:noProof/>
            <w:webHidden/>
          </w:rPr>
          <w:fldChar w:fldCharType="begin"/>
        </w:r>
        <w:r>
          <w:rPr>
            <w:noProof/>
            <w:webHidden/>
          </w:rPr>
          <w:instrText xml:space="preserve"> PAGEREF _Toc74904333 \h </w:instrText>
        </w:r>
        <w:r>
          <w:rPr>
            <w:noProof/>
            <w:webHidden/>
          </w:rPr>
        </w:r>
        <w:r>
          <w:rPr>
            <w:noProof/>
            <w:webHidden/>
          </w:rPr>
          <w:fldChar w:fldCharType="separate"/>
        </w:r>
        <w:r>
          <w:rPr>
            <w:noProof/>
            <w:webHidden/>
          </w:rPr>
          <w:t>26</w:t>
        </w:r>
        <w:r>
          <w:rPr>
            <w:noProof/>
            <w:webHidden/>
          </w:rPr>
          <w:fldChar w:fldCharType="end"/>
        </w:r>
      </w:hyperlink>
    </w:p>
    <w:p w14:paraId="61D73076" w14:textId="32A252A0" w:rsidR="00AA0C2A" w:rsidRDefault="00AA0C2A">
      <w:pPr>
        <w:pStyle w:val="TOC1"/>
        <w:rPr>
          <w:rFonts w:asciiTheme="minorHAnsi" w:eastAsiaTheme="minorEastAsia" w:hAnsiTheme="minorHAnsi" w:cstheme="minorBidi"/>
          <w:caps w:val="0"/>
          <w:noProof/>
          <w:sz w:val="22"/>
          <w:szCs w:val="22"/>
          <w:lang w:val="en-GB" w:eastAsia="en-GB"/>
        </w:rPr>
      </w:pPr>
      <w:hyperlink w:anchor="_Toc74904334" w:history="1">
        <w:r w:rsidRPr="00A30B1E">
          <w:rPr>
            <w:rStyle w:val="Hyperlink"/>
            <w:noProof/>
          </w:rPr>
          <w:t>6.</w:t>
        </w:r>
        <w:r>
          <w:rPr>
            <w:rFonts w:asciiTheme="minorHAnsi" w:eastAsiaTheme="minorEastAsia" w:hAnsiTheme="minorHAnsi" w:cstheme="minorBidi"/>
            <w:caps w:val="0"/>
            <w:noProof/>
            <w:sz w:val="22"/>
            <w:szCs w:val="22"/>
            <w:lang w:val="en-GB" w:eastAsia="en-GB"/>
          </w:rPr>
          <w:tab/>
        </w:r>
        <w:r w:rsidRPr="00A30B1E">
          <w:rPr>
            <w:rStyle w:val="Hyperlink"/>
            <w:noProof/>
          </w:rPr>
          <w:t>ETHICS</w:t>
        </w:r>
        <w:r>
          <w:rPr>
            <w:noProof/>
            <w:webHidden/>
          </w:rPr>
          <w:tab/>
        </w:r>
        <w:r>
          <w:rPr>
            <w:noProof/>
            <w:webHidden/>
          </w:rPr>
          <w:fldChar w:fldCharType="begin"/>
        </w:r>
        <w:r>
          <w:rPr>
            <w:noProof/>
            <w:webHidden/>
          </w:rPr>
          <w:instrText xml:space="preserve"> PAGEREF _Toc74904334 \h </w:instrText>
        </w:r>
        <w:r>
          <w:rPr>
            <w:noProof/>
            <w:webHidden/>
          </w:rPr>
        </w:r>
        <w:r>
          <w:rPr>
            <w:noProof/>
            <w:webHidden/>
          </w:rPr>
          <w:fldChar w:fldCharType="separate"/>
        </w:r>
        <w:r>
          <w:rPr>
            <w:noProof/>
            <w:webHidden/>
          </w:rPr>
          <w:t>29</w:t>
        </w:r>
        <w:r>
          <w:rPr>
            <w:noProof/>
            <w:webHidden/>
          </w:rPr>
          <w:fldChar w:fldCharType="end"/>
        </w:r>
      </w:hyperlink>
    </w:p>
    <w:p w14:paraId="176B0526" w14:textId="36CBF622" w:rsidR="00AA0C2A" w:rsidRDefault="00AA0C2A">
      <w:pPr>
        <w:pStyle w:val="TOC2"/>
        <w:rPr>
          <w:rFonts w:asciiTheme="minorHAnsi" w:eastAsiaTheme="minorEastAsia" w:hAnsiTheme="minorHAnsi" w:cstheme="minorBidi"/>
          <w:noProof/>
          <w:sz w:val="22"/>
          <w:szCs w:val="22"/>
          <w:lang w:val="en-GB" w:eastAsia="en-GB"/>
        </w:rPr>
      </w:pPr>
      <w:hyperlink w:anchor="_Toc74904335" w:history="1">
        <w:r w:rsidRPr="00A30B1E">
          <w:rPr>
            <w:rStyle w:val="Hyperlink"/>
            <w:noProof/>
          </w:rPr>
          <w:t>6.1</w:t>
        </w:r>
        <w:r>
          <w:rPr>
            <w:rFonts w:asciiTheme="minorHAnsi" w:eastAsiaTheme="minorEastAsia" w:hAnsiTheme="minorHAnsi" w:cstheme="minorBidi"/>
            <w:noProof/>
            <w:sz w:val="22"/>
            <w:szCs w:val="22"/>
            <w:lang w:val="en-GB" w:eastAsia="en-GB"/>
          </w:rPr>
          <w:tab/>
        </w:r>
        <w:r w:rsidRPr="00A30B1E">
          <w:rPr>
            <w:rStyle w:val="Hyperlink"/>
            <w:noProof/>
          </w:rPr>
          <w:t>Research Ethics Committee or Institutional Review Board</w:t>
        </w:r>
        <w:r>
          <w:rPr>
            <w:noProof/>
            <w:webHidden/>
          </w:rPr>
          <w:tab/>
        </w:r>
        <w:r>
          <w:rPr>
            <w:noProof/>
            <w:webHidden/>
          </w:rPr>
          <w:fldChar w:fldCharType="begin"/>
        </w:r>
        <w:r>
          <w:rPr>
            <w:noProof/>
            <w:webHidden/>
          </w:rPr>
          <w:instrText xml:space="preserve"> PAGEREF _Toc74904335 \h </w:instrText>
        </w:r>
        <w:r>
          <w:rPr>
            <w:noProof/>
            <w:webHidden/>
          </w:rPr>
        </w:r>
        <w:r>
          <w:rPr>
            <w:noProof/>
            <w:webHidden/>
          </w:rPr>
          <w:fldChar w:fldCharType="separate"/>
        </w:r>
        <w:r>
          <w:rPr>
            <w:noProof/>
            <w:webHidden/>
          </w:rPr>
          <w:t>29</w:t>
        </w:r>
        <w:r>
          <w:rPr>
            <w:noProof/>
            <w:webHidden/>
          </w:rPr>
          <w:fldChar w:fldCharType="end"/>
        </w:r>
      </w:hyperlink>
    </w:p>
    <w:p w14:paraId="7FB133F4" w14:textId="3259FFD2" w:rsidR="00AA0C2A" w:rsidRDefault="00AA0C2A">
      <w:pPr>
        <w:pStyle w:val="TOC2"/>
        <w:rPr>
          <w:rFonts w:asciiTheme="minorHAnsi" w:eastAsiaTheme="minorEastAsia" w:hAnsiTheme="minorHAnsi" w:cstheme="minorBidi"/>
          <w:noProof/>
          <w:sz w:val="22"/>
          <w:szCs w:val="22"/>
          <w:lang w:val="en-GB" w:eastAsia="en-GB"/>
        </w:rPr>
      </w:pPr>
      <w:hyperlink w:anchor="_Toc74904336" w:history="1">
        <w:r w:rsidRPr="00A30B1E">
          <w:rPr>
            <w:rStyle w:val="Hyperlink"/>
            <w:noProof/>
          </w:rPr>
          <w:t>6.2</w:t>
        </w:r>
        <w:r>
          <w:rPr>
            <w:rFonts w:asciiTheme="minorHAnsi" w:eastAsiaTheme="minorEastAsia" w:hAnsiTheme="minorHAnsi" w:cstheme="minorBidi"/>
            <w:noProof/>
            <w:sz w:val="22"/>
            <w:szCs w:val="22"/>
            <w:lang w:val="en-GB" w:eastAsia="en-GB"/>
          </w:rPr>
          <w:tab/>
        </w:r>
        <w:r w:rsidRPr="00A30B1E">
          <w:rPr>
            <w:rStyle w:val="Hyperlink"/>
            <w:noProof/>
          </w:rPr>
          <w:t>Ethical Conduct of the Study</w:t>
        </w:r>
        <w:r>
          <w:rPr>
            <w:noProof/>
            <w:webHidden/>
          </w:rPr>
          <w:tab/>
        </w:r>
        <w:r>
          <w:rPr>
            <w:noProof/>
            <w:webHidden/>
          </w:rPr>
          <w:fldChar w:fldCharType="begin"/>
        </w:r>
        <w:r>
          <w:rPr>
            <w:noProof/>
            <w:webHidden/>
          </w:rPr>
          <w:instrText xml:space="preserve"> PAGEREF _Toc74904336 \h </w:instrText>
        </w:r>
        <w:r>
          <w:rPr>
            <w:noProof/>
            <w:webHidden/>
          </w:rPr>
        </w:r>
        <w:r>
          <w:rPr>
            <w:noProof/>
            <w:webHidden/>
          </w:rPr>
          <w:fldChar w:fldCharType="separate"/>
        </w:r>
        <w:r>
          <w:rPr>
            <w:noProof/>
            <w:webHidden/>
          </w:rPr>
          <w:t>29</w:t>
        </w:r>
        <w:r>
          <w:rPr>
            <w:noProof/>
            <w:webHidden/>
          </w:rPr>
          <w:fldChar w:fldCharType="end"/>
        </w:r>
      </w:hyperlink>
    </w:p>
    <w:p w14:paraId="4C231DD6" w14:textId="3C972710" w:rsidR="00AA0C2A" w:rsidRDefault="00AA0C2A">
      <w:pPr>
        <w:pStyle w:val="TOC2"/>
        <w:rPr>
          <w:rFonts w:asciiTheme="minorHAnsi" w:eastAsiaTheme="minorEastAsia" w:hAnsiTheme="minorHAnsi" w:cstheme="minorBidi"/>
          <w:noProof/>
          <w:sz w:val="22"/>
          <w:szCs w:val="22"/>
          <w:lang w:val="en-GB" w:eastAsia="en-GB"/>
        </w:rPr>
      </w:pPr>
      <w:hyperlink w:anchor="_Toc74904337" w:history="1">
        <w:r w:rsidRPr="00A30B1E">
          <w:rPr>
            <w:rStyle w:val="Hyperlink"/>
            <w:noProof/>
          </w:rPr>
          <w:t>6.3</w:t>
        </w:r>
        <w:r>
          <w:rPr>
            <w:rFonts w:asciiTheme="minorHAnsi" w:eastAsiaTheme="minorEastAsia" w:hAnsiTheme="minorHAnsi" w:cstheme="minorBidi"/>
            <w:noProof/>
            <w:sz w:val="22"/>
            <w:szCs w:val="22"/>
            <w:lang w:val="en-GB" w:eastAsia="en-GB"/>
          </w:rPr>
          <w:tab/>
        </w:r>
        <w:r w:rsidRPr="00A30B1E">
          <w:rPr>
            <w:rStyle w:val="Hyperlink"/>
            <w:noProof/>
          </w:rPr>
          <w:t>Participant Information and Consent</w:t>
        </w:r>
        <w:r>
          <w:rPr>
            <w:noProof/>
            <w:webHidden/>
          </w:rPr>
          <w:tab/>
        </w:r>
        <w:r>
          <w:rPr>
            <w:noProof/>
            <w:webHidden/>
          </w:rPr>
          <w:fldChar w:fldCharType="begin"/>
        </w:r>
        <w:r>
          <w:rPr>
            <w:noProof/>
            <w:webHidden/>
          </w:rPr>
          <w:instrText xml:space="preserve"> PAGEREF _Toc74904337 \h </w:instrText>
        </w:r>
        <w:r>
          <w:rPr>
            <w:noProof/>
            <w:webHidden/>
          </w:rPr>
        </w:r>
        <w:r>
          <w:rPr>
            <w:noProof/>
            <w:webHidden/>
          </w:rPr>
          <w:fldChar w:fldCharType="separate"/>
        </w:r>
        <w:r>
          <w:rPr>
            <w:noProof/>
            <w:webHidden/>
          </w:rPr>
          <w:t>29</w:t>
        </w:r>
        <w:r>
          <w:rPr>
            <w:noProof/>
            <w:webHidden/>
          </w:rPr>
          <w:fldChar w:fldCharType="end"/>
        </w:r>
      </w:hyperlink>
    </w:p>
    <w:p w14:paraId="7A3C80DE" w14:textId="7988CE65" w:rsidR="00AA0C2A" w:rsidRDefault="00AA0C2A">
      <w:pPr>
        <w:pStyle w:val="TOC1"/>
        <w:rPr>
          <w:rFonts w:asciiTheme="minorHAnsi" w:eastAsiaTheme="minorEastAsia" w:hAnsiTheme="minorHAnsi" w:cstheme="minorBidi"/>
          <w:caps w:val="0"/>
          <w:noProof/>
          <w:sz w:val="22"/>
          <w:szCs w:val="22"/>
          <w:lang w:val="en-GB" w:eastAsia="en-GB"/>
        </w:rPr>
      </w:pPr>
      <w:hyperlink w:anchor="_Toc74904338" w:history="1">
        <w:r w:rsidRPr="00A30B1E">
          <w:rPr>
            <w:rStyle w:val="Hyperlink"/>
            <w:noProof/>
          </w:rPr>
          <w:t>7.</w:t>
        </w:r>
        <w:r>
          <w:rPr>
            <w:rFonts w:asciiTheme="minorHAnsi" w:eastAsiaTheme="minorEastAsia" w:hAnsiTheme="minorHAnsi" w:cstheme="minorBidi"/>
            <w:caps w:val="0"/>
            <w:noProof/>
            <w:sz w:val="22"/>
            <w:szCs w:val="22"/>
            <w:lang w:val="en-GB" w:eastAsia="en-GB"/>
          </w:rPr>
          <w:tab/>
        </w:r>
        <w:r w:rsidRPr="00A30B1E">
          <w:rPr>
            <w:rStyle w:val="Hyperlink"/>
            <w:noProof/>
          </w:rPr>
          <w:t>INVESTIGATORS AND STUDY ADMINISTRATIVE STRUCTURE</w:t>
        </w:r>
        <w:r>
          <w:rPr>
            <w:noProof/>
            <w:webHidden/>
          </w:rPr>
          <w:tab/>
        </w:r>
        <w:r>
          <w:rPr>
            <w:noProof/>
            <w:webHidden/>
          </w:rPr>
          <w:fldChar w:fldCharType="begin"/>
        </w:r>
        <w:r>
          <w:rPr>
            <w:noProof/>
            <w:webHidden/>
          </w:rPr>
          <w:instrText xml:space="preserve"> PAGEREF _Toc74904338 \h </w:instrText>
        </w:r>
        <w:r>
          <w:rPr>
            <w:noProof/>
            <w:webHidden/>
          </w:rPr>
        </w:r>
        <w:r>
          <w:rPr>
            <w:noProof/>
            <w:webHidden/>
          </w:rPr>
          <w:fldChar w:fldCharType="separate"/>
        </w:r>
        <w:r>
          <w:rPr>
            <w:noProof/>
            <w:webHidden/>
          </w:rPr>
          <w:t>31</w:t>
        </w:r>
        <w:r>
          <w:rPr>
            <w:noProof/>
            <w:webHidden/>
          </w:rPr>
          <w:fldChar w:fldCharType="end"/>
        </w:r>
      </w:hyperlink>
    </w:p>
    <w:p w14:paraId="7E28B496" w14:textId="583F8AAC" w:rsidR="00AA0C2A" w:rsidRDefault="00AA0C2A">
      <w:pPr>
        <w:pStyle w:val="TOC2"/>
        <w:rPr>
          <w:rFonts w:asciiTheme="minorHAnsi" w:eastAsiaTheme="minorEastAsia" w:hAnsiTheme="minorHAnsi" w:cstheme="minorBidi"/>
          <w:noProof/>
          <w:sz w:val="22"/>
          <w:szCs w:val="22"/>
          <w:lang w:val="en-GB" w:eastAsia="en-GB"/>
        </w:rPr>
      </w:pPr>
      <w:hyperlink w:anchor="_Toc74904339" w:history="1">
        <w:r w:rsidRPr="00A30B1E">
          <w:rPr>
            <w:rStyle w:val="Hyperlink"/>
            <w:noProof/>
          </w:rPr>
          <w:t>7.1</w:t>
        </w:r>
        <w:r>
          <w:rPr>
            <w:rFonts w:asciiTheme="minorHAnsi" w:eastAsiaTheme="minorEastAsia" w:hAnsiTheme="minorHAnsi" w:cstheme="minorBidi"/>
            <w:noProof/>
            <w:sz w:val="22"/>
            <w:szCs w:val="22"/>
            <w:lang w:val="en-GB" w:eastAsia="en-GB"/>
          </w:rPr>
          <w:tab/>
        </w:r>
        <w:r w:rsidRPr="00A30B1E">
          <w:rPr>
            <w:rStyle w:val="Hyperlink"/>
            <w:noProof/>
          </w:rPr>
          <w:t>Study Personnel</w:t>
        </w:r>
        <w:r>
          <w:rPr>
            <w:noProof/>
            <w:webHidden/>
          </w:rPr>
          <w:tab/>
        </w:r>
        <w:r>
          <w:rPr>
            <w:noProof/>
            <w:webHidden/>
          </w:rPr>
          <w:fldChar w:fldCharType="begin"/>
        </w:r>
        <w:r>
          <w:rPr>
            <w:noProof/>
            <w:webHidden/>
          </w:rPr>
          <w:instrText xml:space="preserve"> PAGEREF _Toc74904339 \h </w:instrText>
        </w:r>
        <w:r>
          <w:rPr>
            <w:noProof/>
            <w:webHidden/>
          </w:rPr>
        </w:r>
        <w:r>
          <w:rPr>
            <w:noProof/>
            <w:webHidden/>
          </w:rPr>
          <w:fldChar w:fldCharType="separate"/>
        </w:r>
        <w:r>
          <w:rPr>
            <w:noProof/>
            <w:webHidden/>
          </w:rPr>
          <w:t>31</w:t>
        </w:r>
        <w:r>
          <w:rPr>
            <w:noProof/>
            <w:webHidden/>
          </w:rPr>
          <w:fldChar w:fldCharType="end"/>
        </w:r>
      </w:hyperlink>
    </w:p>
    <w:p w14:paraId="7AA4ED14" w14:textId="586919A2" w:rsidR="00AA0C2A" w:rsidRDefault="00AA0C2A">
      <w:pPr>
        <w:pStyle w:val="TOC2"/>
        <w:rPr>
          <w:rFonts w:asciiTheme="minorHAnsi" w:eastAsiaTheme="minorEastAsia" w:hAnsiTheme="minorHAnsi" w:cstheme="minorBidi"/>
          <w:noProof/>
          <w:sz w:val="22"/>
          <w:szCs w:val="22"/>
          <w:lang w:val="en-GB" w:eastAsia="en-GB"/>
        </w:rPr>
      </w:pPr>
      <w:hyperlink w:anchor="_Toc74904340" w:history="1">
        <w:r w:rsidRPr="00A30B1E">
          <w:rPr>
            <w:rStyle w:val="Hyperlink"/>
            <w:noProof/>
          </w:rPr>
          <w:t>7.2</w:t>
        </w:r>
        <w:r>
          <w:rPr>
            <w:rFonts w:asciiTheme="minorHAnsi" w:eastAsiaTheme="minorEastAsia" w:hAnsiTheme="minorHAnsi" w:cstheme="minorBidi"/>
            <w:noProof/>
            <w:sz w:val="22"/>
            <w:szCs w:val="22"/>
            <w:lang w:val="en-GB" w:eastAsia="en-GB"/>
          </w:rPr>
          <w:tab/>
        </w:r>
        <w:r w:rsidRPr="00A30B1E">
          <w:rPr>
            <w:rStyle w:val="Hyperlink"/>
            <w:noProof/>
          </w:rPr>
          <w:t>Indemnity Arrangements</w:t>
        </w:r>
        <w:r>
          <w:rPr>
            <w:noProof/>
            <w:webHidden/>
          </w:rPr>
          <w:tab/>
        </w:r>
        <w:r>
          <w:rPr>
            <w:noProof/>
            <w:webHidden/>
          </w:rPr>
          <w:fldChar w:fldCharType="begin"/>
        </w:r>
        <w:r>
          <w:rPr>
            <w:noProof/>
            <w:webHidden/>
          </w:rPr>
          <w:instrText xml:space="preserve"> PAGEREF _Toc74904340 \h </w:instrText>
        </w:r>
        <w:r>
          <w:rPr>
            <w:noProof/>
            <w:webHidden/>
          </w:rPr>
        </w:r>
        <w:r>
          <w:rPr>
            <w:noProof/>
            <w:webHidden/>
          </w:rPr>
          <w:fldChar w:fldCharType="separate"/>
        </w:r>
        <w:r>
          <w:rPr>
            <w:noProof/>
            <w:webHidden/>
          </w:rPr>
          <w:t>31</w:t>
        </w:r>
        <w:r>
          <w:rPr>
            <w:noProof/>
            <w:webHidden/>
          </w:rPr>
          <w:fldChar w:fldCharType="end"/>
        </w:r>
      </w:hyperlink>
    </w:p>
    <w:p w14:paraId="24280B95" w14:textId="030D4FBB" w:rsidR="00AA0C2A" w:rsidRDefault="00AA0C2A">
      <w:pPr>
        <w:pStyle w:val="TOC1"/>
        <w:rPr>
          <w:rFonts w:asciiTheme="minorHAnsi" w:eastAsiaTheme="minorEastAsia" w:hAnsiTheme="minorHAnsi" w:cstheme="minorBidi"/>
          <w:caps w:val="0"/>
          <w:noProof/>
          <w:sz w:val="22"/>
          <w:szCs w:val="22"/>
          <w:lang w:val="en-GB" w:eastAsia="en-GB"/>
        </w:rPr>
      </w:pPr>
      <w:hyperlink w:anchor="_Toc74904341" w:history="1">
        <w:r w:rsidRPr="00A30B1E">
          <w:rPr>
            <w:rStyle w:val="Hyperlink"/>
            <w:noProof/>
          </w:rPr>
          <w:t>8.</w:t>
        </w:r>
        <w:r>
          <w:rPr>
            <w:rFonts w:asciiTheme="minorHAnsi" w:eastAsiaTheme="minorEastAsia" w:hAnsiTheme="minorHAnsi" w:cstheme="minorBidi"/>
            <w:caps w:val="0"/>
            <w:noProof/>
            <w:sz w:val="22"/>
            <w:szCs w:val="22"/>
            <w:lang w:val="en-GB" w:eastAsia="en-GB"/>
          </w:rPr>
          <w:tab/>
        </w:r>
        <w:r w:rsidRPr="00A30B1E">
          <w:rPr>
            <w:rStyle w:val="Hyperlink"/>
            <w:noProof/>
          </w:rPr>
          <w:t>INTRODUCTION</w:t>
        </w:r>
        <w:r>
          <w:rPr>
            <w:noProof/>
            <w:webHidden/>
          </w:rPr>
          <w:tab/>
        </w:r>
        <w:r>
          <w:rPr>
            <w:noProof/>
            <w:webHidden/>
          </w:rPr>
          <w:fldChar w:fldCharType="begin"/>
        </w:r>
        <w:r>
          <w:rPr>
            <w:noProof/>
            <w:webHidden/>
          </w:rPr>
          <w:instrText xml:space="preserve"> PAGEREF _Toc74904341 \h </w:instrText>
        </w:r>
        <w:r>
          <w:rPr>
            <w:noProof/>
            <w:webHidden/>
          </w:rPr>
        </w:r>
        <w:r>
          <w:rPr>
            <w:noProof/>
            <w:webHidden/>
          </w:rPr>
          <w:fldChar w:fldCharType="separate"/>
        </w:r>
        <w:r>
          <w:rPr>
            <w:noProof/>
            <w:webHidden/>
          </w:rPr>
          <w:t>33</w:t>
        </w:r>
        <w:r>
          <w:rPr>
            <w:noProof/>
            <w:webHidden/>
          </w:rPr>
          <w:fldChar w:fldCharType="end"/>
        </w:r>
      </w:hyperlink>
    </w:p>
    <w:p w14:paraId="2F511B96" w14:textId="0E69CB8A" w:rsidR="00AA0C2A" w:rsidRDefault="00AA0C2A">
      <w:pPr>
        <w:pStyle w:val="TOC2"/>
        <w:rPr>
          <w:rFonts w:asciiTheme="minorHAnsi" w:eastAsiaTheme="minorEastAsia" w:hAnsiTheme="minorHAnsi" w:cstheme="minorBidi"/>
          <w:noProof/>
          <w:sz w:val="22"/>
          <w:szCs w:val="22"/>
          <w:lang w:val="en-GB" w:eastAsia="en-GB"/>
        </w:rPr>
      </w:pPr>
      <w:hyperlink w:anchor="_Toc74904342" w:history="1">
        <w:r w:rsidRPr="00A30B1E">
          <w:rPr>
            <w:rStyle w:val="Hyperlink"/>
            <w:noProof/>
          </w:rPr>
          <w:t>8.1</w:t>
        </w:r>
        <w:r>
          <w:rPr>
            <w:rFonts w:asciiTheme="minorHAnsi" w:eastAsiaTheme="minorEastAsia" w:hAnsiTheme="minorHAnsi" w:cstheme="minorBidi"/>
            <w:noProof/>
            <w:sz w:val="22"/>
            <w:szCs w:val="22"/>
            <w:lang w:val="en-GB" w:eastAsia="en-GB"/>
          </w:rPr>
          <w:tab/>
        </w:r>
        <w:r w:rsidRPr="00A30B1E">
          <w:rPr>
            <w:rStyle w:val="Hyperlink"/>
            <w:noProof/>
          </w:rPr>
          <w:t>Physical, Chemical, Pharmaceutical Properties and Formulation</w:t>
        </w:r>
        <w:r>
          <w:rPr>
            <w:noProof/>
            <w:webHidden/>
          </w:rPr>
          <w:tab/>
        </w:r>
        <w:r>
          <w:rPr>
            <w:noProof/>
            <w:webHidden/>
          </w:rPr>
          <w:fldChar w:fldCharType="begin"/>
        </w:r>
        <w:r>
          <w:rPr>
            <w:noProof/>
            <w:webHidden/>
          </w:rPr>
          <w:instrText xml:space="preserve"> PAGEREF _Toc74904342 \h </w:instrText>
        </w:r>
        <w:r>
          <w:rPr>
            <w:noProof/>
            <w:webHidden/>
          </w:rPr>
        </w:r>
        <w:r>
          <w:rPr>
            <w:noProof/>
            <w:webHidden/>
          </w:rPr>
          <w:fldChar w:fldCharType="separate"/>
        </w:r>
        <w:r>
          <w:rPr>
            <w:noProof/>
            <w:webHidden/>
          </w:rPr>
          <w:t>33</w:t>
        </w:r>
        <w:r>
          <w:rPr>
            <w:noProof/>
            <w:webHidden/>
          </w:rPr>
          <w:fldChar w:fldCharType="end"/>
        </w:r>
      </w:hyperlink>
    </w:p>
    <w:p w14:paraId="559C15C5" w14:textId="436D27F6" w:rsidR="00AA0C2A" w:rsidRDefault="00AA0C2A">
      <w:pPr>
        <w:pStyle w:val="TOC2"/>
        <w:rPr>
          <w:rFonts w:asciiTheme="minorHAnsi" w:eastAsiaTheme="minorEastAsia" w:hAnsiTheme="minorHAnsi" w:cstheme="minorBidi"/>
          <w:noProof/>
          <w:sz w:val="22"/>
          <w:szCs w:val="22"/>
          <w:lang w:val="en-GB" w:eastAsia="en-GB"/>
        </w:rPr>
      </w:pPr>
      <w:hyperlink w:anchor="_Toc74904343" w:history="1">
        <w:r w:rsidRPr="00A30B1E">
          <w:rPr>
            <w:rStyle w:val="Hyperlink"/>
            <w:noProof/>
          </w:rPr>
          <w:t>8.2</w:t>
        </w:r>
        <w:r>
          <w:rPr>
            <w:rFonts w:asciiTheme="minorHAnsi" w:eastAsiaTheme="minorEastAsia" w:hAnsiTheme="minorHAnsi" w:cstheme="minorBidi"/>
            <w:noProof/>
            <w:sz w:val="22"/>
            <w:szCs w:val="22"/>
            <w:lang w:val="en-GB" w:eastAsia="en-GB"/>
          </w:rPr>
          <w:tab/>
        </w:r>
        <w:r w:rsidRPr="00A30B1E">
          <w:rPr>
            <w:rStyle w:val="Hyperlink"/>
            <w:noProof/>
          </w:rPr>
          <w:t>Nonclinical Studies</w:t>
        </w:r>
        <w:r>
          <w:rPr>
            <w:noProof/>
            <w:webHidden/>
          </w:rPr>
          <w:tab/>
        </w:r>
        <w:r>
          <w:rPr>
            <w:noProof/>
            <w:webHidden/>
          </w:rPr>
          <w:fldChar w:fldCharType="begin"/>
        </w:r>
        <w:r>
          <w:rPr>
            <w:noProof/>
            <w:webHidden/>
          </w:rPr>
          <w:instrText xml:space="preserve"> PAGEREF _Toc74904343 \h </w:instrText>
        </w:r>
        <w:r>
          <w:rPr>
            <w:noProof/>
            <w:webHidden/>
          </w:rPr>
        </w:r>
        <w:r>
          <w:rPr>
            <w:noProof/>
            <w:webHidden/>
          </w:rPr>
          <w:fldChar w:fldCharType="separate"/>
        </w:r>
        <w:r>
          <w:rPr>
            <w:noProof/>
            <w:webHidden/>
          </w:rPr>
          <w:t>34</w:t>
        </w:r>
        <w:r>
          <w:rPr>
            <w:noProof/>
            <w:webHidden/>
          </w:rPr>
          <w:fldChar w:fldCharType="end"/>
        </w:r>
      </w:hyperlink>
    </w:p>
    <w:p w14:paraId="5FFBFCF5" w14:textId="7CE5A873" w:rsidR="00AA0C2A" w:rsidRDefault="00AA0C2A">
      <w:pPr>
        <w:pStyle w:val="TOC3"/>
        <w:rPr>
          <w:rFonts w:asciiTheme="minorHAnsi" w:eastAsiaTheme="minorEastAsia" w:hAnsiTheme="minorHAnsi" w:cstheme="minorBidi"/>
          <w:noProof/>
          <w:sz w:val="22"/>
          <w:szCs w:val="22"/>
          <w:lang w:val="en-GB" w:eastAsia="en-GB"/>
        </w:rPr>
      </w:pPr>
      <w:hyperlink w:anchor="_Toc74904344" w:history="1">
        <w:r w:rsidRPr="00A30B1E">
          <w:rPr>
            <w:rStyle w:val="Hyperlink"/>
            <w:noProof/>
          </w:rPr>
          <w:t>8.2.1</w:t>
        </w:r>
        <w:r>
          <w:rPr>
            <w:rFonts w:asciiTheme="minorHAnsi" w:eastAsiaTheme="minorEastAsia" w:hAnsiTheme="minorHAnsi" w:cstheme="minorBidi"/>
            <w:noProof/>
            <w:sz w:val="22"/>
            <w:szCs w:val="22"/>
            <w:lang w:val="en-GB" w:eastAsia="en-GB"/>
          </w:rPr>
          <w:tab/>
        </w:r>
        <w:r w:rsidRPr="00A30B1E">
          <w:rPr>
            <w:rStyle w:val="Hyperlink"/>
            <w:noProof/>
          </w:rPr>
          <w:t>Nonclinical Pharmacology</w:t>
        </w:r>
        <w:r>
          <w:rPr>
            <w:noProof/>
            <w:webHidden/>
          </w:rPr>
          <w:tab/>
        </w:r>
        <w:r>
          <w:rPr>
            <w:noProof/>
            <w:webHidden/>
          </w:rPr>
          <w:fldChar w:fldCharType="begin"/>
        </w:r>
        <w:r>
          <w:rPr>
            <w:noProof/>
            <w:webHidden/>
          </w:rPr>
          <w:instrText xml:space="preserve"> PAGEREF _Toc74904344 \h </w:instrText>
        </w:r>
        <w:r>
          <w:rPr>
            <w:noProof/>
            <w:webHidden/>
          </w:rPr>
        </w:r>
        <w:r>
          <w:rPr>
            <w:noProof/>
            <w:webHidden/>
          </w:rPr>
          <w:fldChar w:fldCharType="separate"/>
        </w:r>
        <w:r>
          <w:rPr>
            <w:noProof/>
            <w:webHidden/>
          </w:rPr>
          <w:t>34</w:t>
        </w:r>
        <w:r>
          <w:rPr>
            <w:noProof/>
            <w:webHidden/>
          </w:rPr>
          <w:fldChar w:fldCharType="end"/>
        </w:r>
      </w:hyperlink>
    </w:p>
    <w:p w14:paraId="61242D66" w14:textId="3608EFB1" w:rsidR="00AA0C2A" w:rsidRDefault="00AA0C2A">
      <w:pPr>
        <w:pStyle w:val="TOC4"/>
        <w:rPr>
          <w:rFonts w:asciiTheme="minorHAnsi" w:eastAsiaTheme="minorEastAsia" w:hAnsiTheme="minorHAnsi" w:cstheme="minorBidi"/>
          <w:noProof/>
          <w:sz w:val="22"/>
          <w:szCs w:val="22"/>
          <w:lang w:val="en-GB" w:eastAsia="en-GB"/>
        </w:rPr>
      </w:pPr>
      <w:hyperlink w:anchor="_Toc74904345" w:history="1">
        <w:r w:rsidRPr="00A30B1E">
          <w:rPr>
            <w:rStyle w:val="Hyperlink"/>
            <w:noProof/>
          </w:rPr>
          <w:t>8.2.1.1</w:t>
        </w:r>
        <w:r>
          <w:rPr>
            <w:rFonts w:asciiTheme="minorHAnsi" w:eastAsiaTheme="minorEastAsia" w:hAnsiTheme="minorHAnsi" w:cstheme="minorBidi"/>
            <w:noProof/>
            <w:sz w:val="22"/>
            <w:szCs w:val="22"/>
            <w:lang w:val="en-GB" w:eastAsia="en-GB"/>
          </w:rPr>
          <w:tab/>
        </w:r>
        <w:r w:rsidRPr="00A30B1E">
          <w:rPr>
            <w:rStyle w:val="Hyperlink"/>
            <w:noProof/>
          </w:rPr>
          <w:t>Primary Pharmacodynamics</w:t>
        </w:r>
        <w:r>
          <w:rPr>
            <w:noProof/>
            <w:webHidden/>
          </w:rPr>
          <w:tab/>
        </w:r>
        <w:r>
          <w:rPr>
            <w:noProof/>
            <w:webHidden/>
          </w:rPr>
          <w:fldChar w:fldCharType="begin"/>
        </w:r>
        <w:r>
          <w:rPr>
            <w:noProof/>
            <w:webHidden/>
          </w:rPr>
          <w:instrText xml:space="preserve"> PAGEREF _Toc74904345 \h </w:instrText>
        </w:r>
        <w:r>
          <w:rPr>
            <w:noProof/>
            <w:webHidden/>
          </w:rPr>
        </w:r>
        <w:r>
          <w:rPr>
            <w:noProof/>
            <w:webHidden/>
          </w:rPr>
          <w:fldChar w:fldCharType="separate"/>
        </w:r>
        <w:r>
          <w:rPr>
            <w:noProof/>
            <w:webHidden/>
          </w:rPr>
          <w:t>34</w:t>
        </w:r>
        <w:r>
          <w:rPr>
            <w:noProof/>
            <w:webHidden/>
          </w:rPr>
          <w:fldChar w:fldCharType="end"/>
        </w:r>
      </w:hyperlink>
    </w:p>
    <w:p w14:paraId="43EE9F8F" w14:textId="56E91171" w:rsidR="00AA0C2A" w:rsidRDefault="00AA0C2A">
      <w:pPr>
        <w:pStyle w:val="TOC4"/>
        <w:rPr>
          <w:rFonts w:asciiTheme="minorHAnsi" w:eastAsiaTheme="minorEastAsia" w:hAnsiTheme="minorHAnsi" w:cstheme="minorBidi"/>
          <w:noProof/>
          <w:sz w:val="22"/>
          <w:szCs w:val="22"/>
          <w:lang w:val="en-GB" w:eastAsia="en-GB"/>
        </w:rPr>
      </w:pPr>
      <w:hyperlink w:anchor="_Toc74904346" w:history="1">
        <w:r w:rsidRPr="00A30B1E">
          <w:rPr>
            <w:rStyle w:val="Hyperlink"/>
            <w:noProof/>
          </w:rPr>
          <w:t>8.2.1.2</w:t>
        </w:r>
        <w:r>
          <w:rPr>
            <w:rFonts w:asciiTheme="minorHAnsi" w:eastAsiaTheme="minorEastAsia" w:hAnsiTheme="minorHAnsi" w:cstheme="minorBidi"/>
            <w:noProof/>
            <w:sz w:val="22"/>
            <w:szCs w:val="22"/>
            <w:lang w:val="en-GB" w:eastAsia="en-GB"/>
          </w:rPr>
          <w:tab/>
        </w:r>
        <w:r w:rsidRPr="00A30B1E">
          <w:rPr>
            <w:rStyle w:val="Hyperlink"/>
            <w:noProof/>
          </w:rPr>
          <w:t>Safety Pharmacology</w:t>
        </w:r>
        <w:r>
          <w:rPr>
            <w:noProof/>
            <w:webHidden/>
          </w:rPr>
          <w:tab/>
        </w:r>
        <w:r>
          <w:rPr>
            <w:noProof/>
            <w:webHidden/>
          </w:rPr>
          <w:fldChar w:fldCharType="begin"/>
        </w:r>
        <w:r>
          <w:rPr>
            <w:noProof/>
            <w:webHidden/>
          </w:rPr>
          <w:instrText xml:space="preserve"> PAGEREF _Toc74904346 \h </w:instrText>
        </w:r>
        <w:r>
          <w:rPr>
            <w:noProof/>
            <w:webHidden/>
          </w:rPr>
        </w:r>
        <w:r>
          <w:rPr>
            <w:noProof/>
            <w:webHidden/>
          </w:rPr>
          <w:fldChar w:fldCharType="separate"/>
        </w:r>
        <w:r>
          <w:rPr>
            <w:noProof/>
            <w:webHidden/>
          </w:rPr>
          <w:t>35</w:t>
        </w:r>
        <w:r>
          <w:rPr>
            <w:noProof/>
            <w:webHidden/>
          </w:rPr>
          <w:fldChar w:fldCharType="end"/>
        </w:r>
      </w:hyperlink>
    </w:p>
    <w:p w14:paraId="346C144E" w14:textId="63CC3C26" w:rsidR="00AA0C2A" w:rsidRDefault="00AA0C2A">
      <w:pPr>
        <w:pStyle w:val="TOC4"/>
        <w:rPr>
          <w:rFonts w:asciiTheme="minorHAnsi" w:eastAsiaTheme="minorEastAsia" w:hAnsiTheme="minorHAnsi" w:cstheme="minorBidi"/>
          <w:noProof/>
          <w:sz w:val="22"/>
          <w:szCs w:val="22"/>
          <w:lang w:val="en-GB" w:eastAsia="en-GB"/>
        </w:rPr>
      </w:pPr>
      <w:hyperlink w:anchor="_Toc74904347" w:history="1">
        <w:r w:rsidRPr="00A30B1E">
          <w:rPr>
            <w:rStyle w:val="Hyperlink"/>
            <w:noProof/>
          </w:rPr>
          <w:t>8.2.1.3</w:t>
        </w:r>
        <w:r>
          <w:rPr>
            <w:rFonts w:asciiTheme="minorHAnsi" w:eastAsiaTheme="minorEastAsia" w:hAnsiTheme="minorHAnsi" w:cstheme="minorBidi"/>
            <w:noProof/>
            <w:sz w:val="22"/>
            <w:szCs w:val="22"/>
            <w:lang w:val="en-GB" w:eastAsia="en-GB"/>
          </w:rPr>
          <w:tab/>
        </w:r>
        <w:r w:rsidRPr="00A30B1E">
          <w:rPr>
            <w:rStyle w:val="Hyperlink"/>
            <w:noProof/>
          </w:rPr>
          <w:t>Pharmacodynamic Drug Interaction</w:t>
        </w:r>
        <w:r>
          <w:rPr>
            <w:noProof/>
            <w:webHidden/>
          </w:rPr>
          <w:tab/>
        </w:r>
        <w:r>
          <w:rPr>
            <w:noProof/>
            <w:webHidden/>
          </w:rPr>
          <w:fldChar w:fldCharType="begin"/>
        </w:r>
        <w:r>
          <w:rPr>
            <w:noProof/>
            <w:webHidden/>
          </w:rPr>
          <w:instrText xml:space="preserve"> PAGEREF _Toc74904347 \h </w:instrText>
        </w:r>
        <w:r>
          <w:rPr>
            <w:noProof/>
            <w:webHidden/>
          </w:rPr>
        </w:r>
        <w:r>
          <w:rPr>
            <w:noProof/>
            <w:webHidden/>
          </w:rPr>
          <w:fldChar w:fldCharType="separate"/>
        </w:r>
        <w:r>
          <w:rPr>
            <w:noProof/>
            <w:webHidden/>
          </w:rPr>
          <w:t>35</w:t>
        </w:r>
        <w:r>
          <w:rPr>
            <w:noProof/>
            <w:webHidden/>
          </w:rPr>
          <w:fldChar w:fldCharType="end"/>
        </w:r>
      </w:hyperlink>
    </w:p>
    <w:p w14:paraId="3153C8A2" w14:textId="6F689168" w:rsidR="00AA0C2A" w:rsidRDefault="00AA0C2A">
      <w:pPr>
        <w:pStyle w:val="TOC3"/>
        <w:rPr>
          <w:rFonts w:asciiTheme="minorHAnsi" w:eastAsiaTheme="minorEastAsia" w:hAnsiTheme="minorHAnsi" w:cstheme="minorBidi"/>
          <w:noProof/>
          <w:sz w:val="22"/>
          <w:szCs w:val="22"/>
          <w:lang w:val="en-GB" w:eastAsia="en-GB"/>
        </w:rPr>
      </w:pPr>
      <w:hyperlink w:anchor="_Toc74904348" w:history="1">
        <w:r w:rsidRPr="00A30B1E">
          <w:rPr>
            <w:rStyle w:val="Hyperlink"/>
            <w:noProof/>
          </w:rPr>
          <w:t>8.2.2</w:t>
        </w:r>
        <w:r>
          <w:rPr>
            <w:rFonts w:asciiTheme="minorHAnsi" w:eastAsiaTheme="minorEastAsia" w:hAnsiTheme="minorHAnsi" w:cstheme="minorBidi"/>
            <w:noProof/>
            <w:sz w:val="22"/>
            <w:szCs w:val="22"/>
            <w:lang w:val="en-GB" w:eastAsia="en-GB"/>
          </w:rPr>
          <w:tab/>
        </w:r>
        <w:r w:rsidRPr="00A30B1E">
          <w:rPr>
            <w:rStyle w:val="Hyperlink"/>
            <w:noProof/>
          </w:rPr>
          <w:t>Nonclinical Pharmacokinetics and Metabolism</w:t>
        </w:r>
        <w:r>
          <w:rPr>
            <w:noProof/>
            <w:webHidden/>
          </w:rPr>
          <w:tab/>
        </w:r>
        <w:r>
          <w:rPr>
            <w:noProof/>
            <w:webHidden/>
          </w:rPr>
          <w:fldChar w:fldCharType="begin"/>
        </w:r>
        <w:r>
          <w:rPr>
            <w:noProof/>
            <w:webHidden/>
          </w:rPr>
          <w:instrText xml:space="preserve"> PAGEREF _Toc74904348 \h </w:instrText>
        </w:r>
        <w:r>
          <w:rPr>
            <w:noProof/>
            <w:webHidden/>
          </w:rPr>
        </w:r>
        <w:r>
          <w:rPr>
            <w:noProof/>
            <w:webHidden/>
          </w:rPr>
          <w:fldChar w:fldCharType="separate"/>
        </w:r>
        <w:r>
          <w:rPr>
            <w:noProof/>
            <w:webHidden/>
          </w:rPr>
          <w:t>35</w:t>
        </w:r>
        <w:r>
          <w:rPr>
            <w:noProof/>
            <w:webHidden/>
          </w:rPr>
          <w:fldChar w:fldCharType="end"/>
        </w:r>
      </w:hyperlink>
    </w:p>
    <w:p w14:paraId="7644AF96" w14:textId="0280C55A" w:rsidR="00AA0C2A" w:rsidRDefault="00AA0C2A">
      <w:pPr>
        <w:pStyle w:val="TOC3"/>
        <w:rPr>
          <w:rFonts w:asciiTheme="minorHAnsi" w:eastAsiaTheme="minorEastAsia" w:hAnsiTheme="minorHAnsi" w:cstheme="minorBidi"/>
          <w:noProof/>
          <w:sz w:val="22"/>
          <w:szCs w:val="22"/>
          <w:lang w:val="en-GB" w:eastAsia="en-GB"/>
        </w:rPr>
      </w:pPr>
      <w:hyperlink w:anchor="_Toc74904349" w:history="1">
        <w:r w:rsidRPr="00A30B1E">
          <w:rPr>
            <w:rStyle w:val="Hyperlink"/>
            <w:noProof/>
          </w:rPr>
          <w:t>8.2.3</w:t>
        </w:r>
        <w:r>
          <w:rPr>
            <w:rFonts w:asciiTheme="minorHAnsi" w:eastAsiaTheme="minorEastAsia" w:hAnsiTheme="minorHAnsi" w:cstheme="minorBidi"/>
            <w:noProof/>
            <w:sz w:val="22"/>
            <w:szCs w:val="22"/>
            <w:lang w:val="en-GB" w:eastAsia="en-GB"/>
          </w:rPr>
          <w:tab/>
        </w:r>
        <w:r w:rsidRPr="00A30B1E">
          <w:rPr>
            <w:rStyle w:val="Hyperlink"/>
            <w:noProof/>
          </w:rPr>
          <w:t>Toxicology</w:t>
        </w:r>
        <w:r>
          <w:rPr>
            <w:noProof/>
            <w:webHidden/>
          </w:rPr>
          <w:tab/>
        </w:r>
        <w:r>
          <w:rPr>
            <w:noProof/>
            <w:webHidden/>
          </w:rPr>
          <w:fldChar w:fldCharType="begin"/>
        </w:r>
        <w:r>
          <w:rPr>
            <w:noProof/>
            <w:webHidden/>
          </w:rPr>
          <w:instrText xml:space="preserve"> PAGEREF _Toc74904349 \h </w:instrText>
        </w:r>
        <w:r>
          <w:rPr>
            <w:noProof/>
            <w:webHidden/>
          </w:rPr>
        </w:r>
        <w:r>
          <w:rPr>
            <w:noProof/>
            <w:webHidden/>
          </w:rPr>
          <w:fldChar w:fldCharType="separate"/>
        </w:r>
        <w:r>
          <w:rPr>
            <w:noProof/>
            <w:webHidden/>
          </w:rPr>
          <w:t>36</w:t>
        </w:r>
        <w:r>
          <w:rPr>
            <w:noProof/>
            <w:webHidden/>
          </w:rPr>
          <w:fldChar w:fldCharType="end"/>
        </w:r>
      </w:hyperlink>
    </w:p>
    <w:p w14:paraId="44110B4C" w14:textId="7085BFC5" w:rsidR="00AA0C2A" w:rsidRDefault="00AA0C2A">
      <w:pPr>
        <w:pStyle w:val="TOC2"/>
        <w:rPr>
          <w:rFonts w:asciiTheme="minorHAnsi" w:eastAsiaTheme="minorEastAsia" w:hAnsiTheme="minorHAnsi" w:cstheme="minorBidi"/>
          <w:noProof/>
          <w:sz w:val="22"/>
          <w:szCs w:val="22"/>
          <w:lang w:val="en-GB" w:eastAsia="en-GB"/>
        </w:rPr>
      </w:pPr>
      <w:hyperlink w:anchor="_Toc74904350" w:history="1">
        <w:r w:rsidRPr="00A30B1E">
          <w:rPr>
            <w:rStyle w:val="Hyperlink"/>
            <w:noProof/>
          </w:rPr>
          <w:t>8.3</w:t>
        </w:r>
        <w:r>
          <w:rPr>
            <w:rFonts w:asciiTheme="minorHAnsi" w:eastAsiaTheme="minorEastAsia" w:hAnsiTheme="minorHAnsi" w:cstheme="minorBidi"/>
            <w:noProof/>
            <w:sz w:val="22"/>
            <w:szCs w:val="22"/>
            <w:lang w:val="en-GB" w:eastAsia="en-GB"/>
          </w:rPr>
          <w:tab/>
        </w:r>
        <w:r w:rsidRPr="00A30B1E">
          <w:rPr>
            <w:rStyle w:val="Hyperlink"/>
            <w:noProof/>
          </w:rPr>
          <w:t>Effects in Humans</w:t>
        </w:r>
        <w:r>
          <w:rPr>
            <w:noProof/>
            <w:webHidden/>
          </w:rPr>
          <w:tab/>
        </w:r>
        <w:r>
          <w:rPr>
            <w:noProof/>
            <w:webHidden/>
          </w:rPr>
          <w:fldChar w:fldCharType="begin"/>
        </w:r>
        <w:r>
          <w:rPr>
            <w:noProof/>
            <w:webHidden/>
          </w:rPr>
          <w:instrText xml:space="preserve"> PAGEREF _Toc74904350 \h </w:instrText>
        </w:r>
        <w:r>
          <w:rPr>
            <w:noProof/>
            <w:webHidden/>
          </w:rPr>
        </w:r>
        <w:r>
          <w:rPr>
            <w:noProof/>
            <w:webHidden/>
          </w:rPr>
          <w:fldChar w:fldCharType="separate"/>
        </w:r>
        <w:r>
          <w:rPr>
            <w:noProof/>
            <w:webHidden/>
          </w:rPr>
          <w:t>38</w:t>
        </w:r>
        <w:r>
          <w:rPr>
            <w:noProof/>
            <w:webHidden/>
          </w:rPr>
          <w:fldChar w:fldCharType="end"/>
        </w:r>
      </w:hyperlink>
    </w:p>
    <w:p w14:paraId="5CEB3B8C" w14:textId="67469DB4" w:rsidR="00AA0C2A" w:rsidRDefault="00AA0C2A">
      <w:pPr>
        <w:pStyle w:val="TOC2"/>
        <w:rPr>
          <w:rFonts w:asciiTheme="minorHAnsi" w:eastAsiaTheme="minorEastAsia" w:hAnsiTheme="minorHAnsi" w:cstheme="minorBidi"/>
          <w:noProof/>
          <w:sz w:val="22"/>
          <w:szCs w:val="22"/>
          <w:lang w:val="en-GB" w:eastAsia="en-GB"/>
        </w:rPr>
      </w:pPr>
      <w:hyperlink w:anchor="_Toc74904351" w:history="1">
        <w:r w:rsidRPr="00A30B1E">
          <w:rPr>
            <w:rStyle w:val="Hyperlink"/>
            <w:noProof/>
          </w:rPr>
          <w:t>8.4</w:t>
        </w:r>
        <w:r>
          <w:rPr>
            <w:rFonts w:asciiTheme="minorHAnsi" w:eastAsiaTheme="minorEastAsia" w:hAnsiTheme="minorHAnsi" w:cstheme="minorBidi"/>
            <w:noProof/>
            <w:sz w:val="22"/>
            <w:szCs w:val="22"/>
            <w:lang w:val="en-GB" w:eastAsia="en-GB"/>
          </w:rPr>
          <w:tab/>
        </w:r>
        <w:r w:rsidRPr="00A30B1E">
          <w:rPr>
            <w:rStyle w:val="Hyperlink"/>
            <w:noProof/>
          </w:rPr>
          <w:t>Risk-Benefit Assessment</w:t>
        </w:r>
        <w:r>
          <w:rPr>
            <w:noProof/>
            <w:webHidden/>
          </w:rPr>
          <w:tab/>
        </w:r>
        <w:r>
          <w:rPr>
            <w:noProof/>
            <w:webHidden/>
          </w:rPr>
          <w:fldChar w:fldCharType="begin"/>
        </w:r>
        <w:r>
          <w:rPr>
            <w:noProof/>
            <w:webHidden/>
          </w:rPr>
          <w:instrText xml:space="preserve"> PAGEREF _Toc74904351 \h </w:instrText>
        </w:r>
        <w:r>
          <w:rPr>
            <w:noProof/>
            <w:webHidden/>
          </w:rPr>
        </w:r>
        <w:r>
          <w:rPr>
            <w:noProof/>
            <w:webHidden/>
          </w:rPr>
          <w:fldChar w:fldCharType="separate"/>
        </w:r>
        <w:r>
          <w:rPr>
            <w:noProof/>
            <w:webHidden/>
          </w:rPr>
          <w:t>38</w:t>
        </w:r>
        <w:r>
          <w:rPr>
            <w:noProof/>
            <w:webHidden/>
          </w:rPr>
          <w:fldChar w:fldCharType="end"/>
        </w:r>
      </w:hyperlink>
    </w:p>
    <w:p w14:paraId="47585B00" w14:textId="2E899889" w:rsidR="00AA0C2A" w:rsidRDefault="00AA0C2A">
      <w:pPr>
        <w:pStyle w:val="TOC2"/>
        <w:rPr>
          <w:rFonts w:asciiTheme="minorHAnsi" w:eastAsiaTheme="minorEastAsia" w:hAnsiTheme="minorHAnsi" w:cstheme="minorBidi"/>
          <w:noProof/>
          <w:sz w:val="22"/>
          <w:szCs w:val="22"/>
          <w:lang w:val="en-GB" w:eastAsia="en-GB"/>
        </w:rPr>
      </w:pPr>
      <w:hyperlink w:anchor="_Toc74904352" w:history="1">
        <w:r w:rsidRPr="00A30B1E">
          <w:rPr>
            <w:rStyle w:val="Hyperlink"/>
            <w:noProof/>
          </w:rPr>
          <w:t>8.5</w:t>
        </w:r>
        <w:r>
          <w:rPr>
            <w:rFonts w:asciiTheme="minorHAnsi" w:eastAsiaTheme="minorEastAsia" w:hAnsiTheme="minorHAnsi" w:cstheme="minorBidi"/>
            <w:noProof/>
            <w:sz w:val="22"/>
            <w:szCs w:val="22"/>
            <w:lang w:val="en-GB" w:eastAsia="en-GB"/>
          </w:rPr>
          <w:tab/>
        </w:r>
        <w:r w:rsidRPr="00A30B1E">
          <w:rPr>
            <w:rStyle w:val="Hyperlink"/>
            <w:noProof/>
          </w:rPr>
          <w:t>Coronavirus Disease 2019 (COVID-19) Risk/Benefit Assessment</w:t>
        </w:r>
        <w:r>
          <w:rPr>
            <w:noProof/>
            <w:webHidden/>
          </w:rPr>
          <w:tab/>
        </w:r>
        <w:r>
          <w:rPr>
            <w:noProof/>
            <w:webHidden/>
          </w:rPr>
          <w:fldChar w:fldCharType="begin"/>
        </w:r>
        <w:r>
          <w:rPr>
            <w:noProof/>
            <w:webHidden/>
          </w:rPr>
          <w:instrText xml:space="preserve"> PAGEREF _Toc74904352 \h </w:instrText>
        </w:r>
        <w:r>
          <w:rPr>
            <w:noProof/>
            <w:webHidden/>
          </w:rPr>
        </w:r>
        <w:r>
          <w:rPr>
            <w:noProof/>
            <w:webHidden/>
          </w:rPr>
          <w:fldChar w:fldCharType="separate"/>
        </w:r>
        <w:r>
          <w:rPr>
            <w:noProof/>
            <w:webHidden/>
          </w:rPr>
          <w:t>40</w:t>
        </w:r>
        <w:r>
          <w:rPr>
            <w:noProof/>
            <w:webHidden/>
          </w:rPr>
          <w:fldChar w:fldCharType="end"/>
        </w:r>
      </w:hyperlink>
    </w:p>
    <w:p w14:paraId="23A7F37B" w14:textId="7D3CA3AB" w:rsidR="00AA0C2A" w:rsidRDefault="00AA0C2A">
      <w:pPr>
        <w:pStyle w:val="TOC1"/>
        <w:rPr>
          <w:rFonts w:asciiTheme="minorHAnsi" w:eastAsiaTheme="minorEastAsia" w:hAnsiTheme="minorHAnsi" w:cstheme="minorBidi"/>
          <w:caps w:val="0"/>
          <w:noProof/>
          <w:sz w:val="22"/>
          <w:szCs w:val="22"/>
          <w:lang w:val="en-GB" w:eastAsia="en-GB"/>
        </w:rPr>
      </w:pPr>
      <w:hyperlink w:anchor="_Toc74904353" w:history="1">
        <w:r w:rsidRPr="00A30B1E">
          <w:rPr>
            <w:rStyle w:val="Hyperlink"/>
            <w:noProof/>
          </w:rPr>
          <w:t>9.</w:t>
        </w:r>
        <w:r>
          <w:rPr>
            <w:rFonts w:asciiTheme="minorHAnsi" w:eastAsiaTheme="minorEastAsia" w:hAnsiTheme="minorHAnsi" w:cstheme="minorBidi"/>
            <w:caps w:val="0"/>
            <w:noProof/>
            <w:sz w:val="22"/>
            <w:szCs w:val="22"/>
            <w:lang w:val="en-GB" w:eastAsia="en-GB"/>
          </w:rPr>
          <w:tab/>
        </w:r>
        <w:r w:rsidRPr="00A30B1E">
          <w:rPr>
            <w:rStyle w:val="Hyperlink"/>
            <w:noProof/>
          </w:rPr>
          <w:t>STUDY OBJECTIVES</w:t>
        </w:r>
        <w:r>
          <w:rPr>
            <w:noProof/>
            <w:webHidden/>
          </w:rPr>
          <w:tab/>
        </w:r>
        <w:r>
          <w:rPr>
            <w:noProof/>
            <w:webHidden/>
          </w:rPr>
          <w:fldChar w:fldCharType="begin"/>
        </w:r>
        <w:r>
          <w:rPr>
            <w:noProof/>
            <w:webHidden/>
          </w:rPr>
          <w:instrText xml:space="preserve"> PAGEREF _Toc74904353 \h </w:instrText>
        </w:r>
        <w:r>
          <w:rPr>
            <w:noProof/>
            <w:webHidden/>
          </w:rPr>
        </w:r>
        <w:r>
          <w:rPr>
            <w:noProof/>
            <w:webHidden/>
          </w:rPr>
          <w:fldChar w:fldCharType="separate"/>
        </w:r>
        <w:r>
          <w:rPr>
            <w:noProof/>
            <w:webHidden/>
          </w:rPr>
          <w:t>42</w:t>
        </w:r>
        <w:r>
          <w:rPr>
            <w:noProof/>
            <w:webHidden/>
          </w:rPr>
          <w:fldChar w:fldCharType="end"/>
        </w:r>
      </w:hyperlink>
    </w:p>
    <w:p w14:paraId="7D347F69" w14:textId="558A3060" w:rsidR="00AA0C2A" w:rsidRDefault="00AA0C2A">
      <w:pPr>
        <w:pStyle w:val="TOC2"/>
        <w:rPr>
          <w:rFonts w:asciiTheme="minorHAnsi" w:eastAsiaTheme="minorEastAsia" w:hAnsiTheme="minorHAnsi" w:cstheme="minorBidi"/>
          <w:noProof/>
          <w:sz w:val="22"/>
          <w:szCs w:val="22"/>
          <w:lang w:val="en-GB" w:eastAsia="en-GB"/>
        </w:rPr>
      </w:pPr>
      <w:hyperlink w:anchor="_Toc74904354" w:history="1">
        <w:r w:rsidRPr="00A30B1E">
          <w:rPr>
            <w:rStyle w:val="Hyperlink"/>
            <w:noProof/>
          </w:rPr>
          <w:t>9.1</w:t>
        </w:r>
        <w:r>
          <w:rPr>
            <w:rFonts w:asciiTheme="minorHAnsi" w:eastAsiaTheme="minorEastAsia" w:hAnsiTheme="minorHAnsi" w:cstheme="minorBidi"/>
            <w:noProof/>
            <w:sz w:val="22"/>
            <w:szCs w:val="22"/>
            <w:lang w:val="en-GB" w:eastAsia="en-GB"/>
          </w:rPr>
          <w:tab/>
        </w:r>
        <w:r w:rsidRPr="00A30B1E">
          <w:rPr>
            <w:rStyle w:val="Hyperlink"/>
            <w:noProof/>
          </w:rPr>
          <w:t>Primary Objective</w:t>
        </w:r>
        <w:r>
          <w:rPr>
            <w:noProof/>
            <w:webHidden/>
          </w:rPr>
          <w:tab/>
        </w:r>
        <w:r>
          <w:rPr>
            <w:noProof/>
            <w:webHidden/>
          </w:rPr>
          <w:fldChar w:fldCharType="begin"/>
        </w:r>
        <w:r>
          <w:rPr>
            <w:noProof/>
            <w:webHidden/>
          </w:rPr>
          <w:instrText xml:space="preserve"> PAGEREF _Toc74904354 \h </w:instrText>
        </w:r>
        <w:r>
          <w:rPr>
            <w:noProof/>
            <w:webHidden/>
          </w:rPr>
        </w:r>
        <w:r>
          <w:rPr>
            <w:noProof/>
            <w:webHidden/>
          </w:rPr>
          <w:fldChar w:fldCharType="separate"/>
        </w:r>
        <w:r>
          <w:rPr>
            <w:noProof/>
            <w:webHidden/>
          </w:rPr>
          <w:t>42</w:t>
        </w:r>
        <w:r>
          <w:rPr>
            <w:noProof/>
            <w:webHidden/>
          </w:rPr>
          <w:fldChar w:fldCharType="end"/>
        </w:r>
      </w:hyperlink>
    </w:p>
    <w:p w14:paraId="6208D528" w14:textId="022ADCB2" w:rsidR="00AA0C2A" w:rsidRDefault="00AA0C2A">
      <w:pPr>
        <w:pStyle w:val="TOC2"/>
        <w:rPr>
          <w:rFonts w:asciiTheme="minorHAnsi" w:eastAsiaTheme="minorEastAsia" w:hAnsiTheme="minorHAnsi" w:cstheme="minorBidi"/>
          <w:noProof/>
          <w:sz w:val="22"/>
          <w:szCs w:val="22"/>
          <w:lang w:val="en-GB" w:eastAsia="en-GB"/>
        </w:rPr>
      </w:pPr>
      <w:hyperlink w:anchor="_Toc74904355" w:history="1">
        <w:r w:rsidRPr="00A30B1E">
          <w:rPr>
            <w:rStyle w:val="Hyperlink"/>
            <w:noProof/>
          </w:rPr>
          <w:t>9.2</w:t>
        </w:r>
        <w:r>
          <w:rPr>
            <w:rFonts w:asciiTheme="minorHAnsi" w:eastAsiaTheme="minorEastAsia" w:hAnsiTheme="minorHAnsi" w:cstheme="minorBidi"/>
            <w:noProof/>
            <w:sz w:val="22"/>
            <w:szCs w:val="22"/>
            <w:lang w:val="en-GB" w:eastAsia="en-GB"/>
          </w:rPr>
          <w:tab/>
        </w:r>
        <w:r w:rsidRPr="00A30B1E">
          <w:rPr>
            <w:rStyle w:val="Hyperlink"/>
            <w:noProof/>
          </w:rPr>
          <w:t>Secondary Objectives</w:t>
        </w:r>
        <w:r>
          <w:rPr>
            <w:noProof/>
            <w:webHidden/>
          </w:rPr>
          <w:tab/>
        </w:r>
        <w:r>
          <w:rPr>
            <w:noProof/>
            <w:webHidden/>
          </w:rPr>
          <w:fldChar w:fldCharType="begin"/>
        </w:r>
        <w:r>
          <w:rPr>
            <w:noProof/>
            <w:webHidden/>
          </w:rPr>
          <w:instrText xml:space="preserve"> PAGEREF _Toc74904355 \h </w:instrText>
        </w:r>
        <w:r>
          <w:rPr>
            <w:noProof/>
            <w:webHidden/>
          </w:rPr>
        </w:r>
        <w:r>
          <w:rPr>
            <w:noProof/>
            <w:webHidden/>
          </w:rPr>
          <w:fldChar w:fldCharType="separate"/>
        </w:r>
        <w:r>
          <w:rPr>
            <w:noProof/>
            <w:webHidden/>
          </w:rPr>
          <w:t>42</w:t>
        </w:r>
        <w:r>
          <w:rPr>
            <w:noProof/>
            <w:webHidden/>
          </w:rPr>
          <w:fldChar w:fldCharType="end"/>
        </w:r>
      </w:hyperlink>
    </w:p>
    <w:p w14:paraId="07E63CAC" w14:textId="26503592" w:rsidR="00AA0C2A" w:rsidRDefault="00AA0C2A">
      <w:pPr>
        <w:pStyle w:val="TOC2"/>
        <w:rPr>
          <w:rFonts w:asciiTheme="minorHAnsi" w:eastAsiaTheme="minorEastAsia" w:hAnsiTheme="minorHAnsi" w:cstheme="minorBidi"/>
          <w:noProof/>
          <w:sz w:val="22"/>
          <w:szCs w:val="22"/>
          <w:lang w:val="en-GB" w:eastAsia="en-GB"/>
        </w:rPr>
      </w:pPr>
      <w:hyperlink w:anchor="_Toc74904356" w:history="1">
        <w:r w:rsidRPr="00A30B1E">
          <w:rPr>
            <w:rStyle w:val="Hyperlink"/>
            <w:noProof/>
          </w:rPr>
          <w:t>9.3</w:t>
        </w:r>
        <w:r>
          <w:rPr>
            <w:rFonts w:asciiTheme="minorHAnsi" w:eastAsiaTheme="minorEastAsia" w:hAnsiTheme="minorHAnsi" w:cstheme="minorBidi"/>
            <w:noProof/>
            <w:sz w:val="22"/>
            <w:szCs w:val="22"/>
            <w:lang w:val="en-GB" w:eastAsia="en-GB"/>
          </w:rPr>
          <w:tab/>
        </w:r>
        <w:r w:rsidRPr="00A30B1E">
          <w:rPr>
            <w:rStyle w:val="Hyperlink"/>
            <w:noProof/>
          </w:rPr>
          <w:t>PD and Exploratory Objectives</w:t>
        </w:r>
        <w:r>
          <w:rPr>
            <w:noProof/>
            <w:webHidden/>
          </w:rPr>
          <w:tab/>
        </w:r>
        <w:r>
          <w:rPr>
            <w:noProof/>
            <w:webHidden/>
          </w:rPr>
          <w:fldChar w:fldCharType="begin"/>
        </w:r>
        <w:r>
          <w:rPr>
            <w:noProof/>
            <w:webHidden/>
          </w:rPr>
          <w:instrText xml:space="preserve"> PAGEREF _Toc74904356 \h </w:instrText>
        </w:r>
        <w:r>
          <w:rPr>
            <w:noProof/>
            <w:webHidden/>
          </w:rPr>
        </w:r>
        <w:r>
          <w:rPr>
            <w:noProof/>
            <w:webHidden/>
          </w:rPr>
          <w:fldChar w:fldCharType="separate"/>
        </w:r>
        <w:r>
          <w:rPr>
            <w:noProof/>
            <w:webHidden/>
          </w:rPr>
          <w:t>42</w:t>
        </w:r>
        <w:r>
          <w:rPr>
            <w:noProof/>
            <w:webHidden/>
          </w:rPr>
          <w:fldChar w:fldCharType="end"/>
        </w:r>
      </w:hyperlink>
    </w:p>
    <w:p w14:paraId="26B23D7F" w14:textId="1321403D" w:rsidR="00AA0C2A" w:rsidRDefault="00AA0C2A">
      <w:pPr>
        <w:pStyle w:val="TOC1"/>
        <w:rPr>
          <w:rFonts w:asciiTheme="minorHAnsi" w:eastAsiaTheme="minorEastAsia" w:hAnsiTheme="minorHAnsi" w:cstheme="minorBidi"/>
          <w:caps w:val="0"/>
          <w:noProof/>
          <w:sz w:val="22"/>
          <w:szCs w:val="22"/>
          <w:lang w:val="en-GB" w:eastAsia="en-GB"/>
        </w:rPr>
      </w:pPr>
      <w:hyperlink w:anchor="_Toc74904357" w:history="1">
        <w:r w:rsidRPr="00A30B1E">
          <w:rPr>
            <w:rStyle w:val="Hyperlink"/>
            <w:noProof/>
          </w:rPr>
          <w:t>10.</w:t>
        </w:r>
        <w:r>
          <w:rPr>
            <w:rFonts w:asciiTheme="minorHAnsi" w:eastAsiaTheme="minorEastAsia" w:hAnsiTheme="minorHAnsi" w:cstheme="minorBidi"/>
            <w:caps w:val="0"/>
            <w:noProof/>
            <w:sz w:val="22"/>
            <w:szCs w:val="22"/>
            <w:lang w:val="en-GB" w:eastAsia="en-GB"/>
          </w:rPr>
          <w:tab/>
        </w:r>
        <w:r w:rsidRPr="00A30B1E">
          <w:rPr>
            <w:rStyle w:val="Hyperlink"/>
            <w:noProof/>
          </w:rPr>
          <w:t>INVESTIGATIONAL PLAN</w:t>
        </w:r>
        <w:r>
          <w:rPr>
            <w:noProof/>
            <w:webHidden/>
          </w:rPr>
          <w:tab/>
        </w:r>
        <w:r>
          <w:rPr>
            <w:noProof/>
            <w:webHidden/>
          </w:rPr>
          <w:fldChar w:fldCharType="begin"/>
        </w:r>
        <w:r>
          <w:rPr>
            <w:noProof/>
            <w:webHidden/>
          </w:rPr>
          <w:instrText xml:space="preserve"> PAGEREF _Toc74904357 \h </w:instrText>
        </w:r>
        <w:r>
          <w:rPr>
            <w:noProof/>
            <w:webHidden/>
          </w:rPr>
        </w:r>
        <w:r>
          <w:rPr>
            <w:noProof/>
            <w:webHidden/>
          </w:rPr>
          <w:fldChar w:fldCharType="separate"/>
        </w:r>
        <w:r>
          <w:rPr>
            <w:noProof/>
            <w:webHidden/>
          </w:rPr>
          <w:t>43</w:t>
        </w:r>
        <w:r>
          <w:rPr>
            <w:noProof/>
            <w:webHidden/>
          </w:rPr>
          <w:fldChar w:fldCharType="end"/>
        </w:r>
      </w:hyperlink>
    </w:p>
    <w:p w14:paraId="1EEDEEA8" w14:textId="3D665433" w:rsidR="00AA0C2A" w:rsidRDefault="00AA0C2A">
      <w:pPr>
        <w:pStyle w:val="TOC2"/>
        <w:rPr>
          <w:rFonts w:asciiTheme="minorHAnsi" w:eastAsiaTheme="minorEastAsia" w:hAnsiTheme="minorHAnsi" w:cstheme="minorBidi"/>
          <w:noProof/>
          <w:sz w:val="22"/>
          <w:szCs w:val="22"/>
          <w:lang w:val="en-GB" w:eastAsia="en-GB"/>
        </w:rPr>
      </w:pPr>
      <w:hyperlink w:anchor="_Toc74904358" w:history="1">
        <w:r w:rsidRPr="00A30B1E">
          <w:rPr>
            <w:rStyle w:val="Hyperlink"/>
            <w:noProof/>
          </w:rPr>
          <w:t>10.1</w:t>
        </w:r>
        <w:r>
          <w:rPr>
            <w:rFonts w:asciiTheme="minorHAnsi" w:eastAsiaTheme="minorEastAsia" w:hAnsiTheme="minorHAnsi" w:cstheme="minorBidi"/>
            <w:noProof/>
            <w:sz w:val="22"/>
            <w:szCs w:val="22"/>
            <w:lang w:val="en-GB" w:eastAsia="en-GB"/>
          </w:rPr>
          <w:tab/>
        </w:r>
        <w:r w:rsidRPr="00A30B1E">
          <w:rPr>
            <w:rStyle w:val="Hyperlink"/>
            <w:noProof/>
          </w:rPr>
          <w:t>Overall Study Design and Plan</w:t>
        </w:r>
        <w:r>
          <w:rPr>
            <w:noProof/>
            <w:webHidden/>
          </w:rPr>
          <w:tab/>
        </w:r>
        <w:r>
          <w:rPr>
            <w:noProof/>
            <w:webHidden/>
          </w:rPr>
          <w:fldChar w:fldCharType="begin"/>
        </w:r>
        <w:r>
          <w:rPr>
            <w:noProof/>
            <w:webHidden/>
          </w:rPr>
          <w:instrText xml:space="preserve"> PAGEREF _Toc74904358 \h </w:instrText>
        </w:r>
        <w:r>
          <w:rPr>
            <w:noProof/>
            <w:webHidden/>
          </w:rPr>
        </w:r>
        <w:r>
          <w:rPr>
            <w:noProof/>
            <w:webHidden/>
          </w:rPr>
          <w:fldChar w:fldCharType="separate"/>
        </w:r>
        <w:r>
          <w:rPr>
            <w:noProof/>
            <w:webHidden/>
          </w:rPr>
          <w:t>43</w:t>
        </w:r>
        <w:r>
          <w:rPr>
            <w:noProof/>
            <w:webHidden/>
          </w:rPr>
          <w:fldChar w:fldCharType="end"/>
        </w:r>
      </w:hyperlink>
    </w:p>
    <w:p w14:paraId="28E95B61" w14:textId="477D5FB7" w:rsidR="00AA0C2A" w:rsidRDefault="00AA0C2A">
      <w:pPr>
        <w:pStyle w:val="TOC2"/>
        <w:rPr>
          <w:rFonts w:asciiTheme="minorHAnsi" w:eastAsiaTheme="minorEastAsia" w:hAnsiTheme="minorHAnsi" w:cstheme="minorBidi"/>
          <w:noProof/>
          <w:sz w:val="22"/>
          <w:szCs w:val="22"/>
          <w:lang w:val="en-GB" w:eastAsia="en-GB"/>
        </w:rPr>
      </w:pPr>
      <w:hyperlink w:anchor="_Toc74904359" w:history="1">
        <w:r w:rsidRPr="00A30B1E">
          <w:rPr>
            <w:rStyle w:val="Hyperlink"/>
            <w:noProof/>
          </w:rPr>
          <w:t>10.2</w:t>
        </w:r>
        <w:r>
          <w:rPr>
            <w:rFonts w:asciiTheme="minorHAnsi" w:eastAsiaTheme="minorEastAsia" w:hAnsiTheme="minorHAnsi" w:cstheme="minorBidi"/>
            <w:noProof/>
            <w:sz w:val="22"/>
            <w:szCs w:val="22"/>
            <w:lang w:val="en-GB" w:eastAsia="en-GB"/>
          </w:rPr>
          <w:tab/>
        </w:r>
        <w:r w:rsidRPr="00A30B1E">
          <w:rPr>
            <w:rStyle w:val="Hyperlink"/>
            <w:noProof/>
          </w:rPr>
          <w:t>Dose Escalation Procedures and Stopping Criteria</w:t>
        </w:r>
        <w:r>
          <w:rPr>
            <w:noProof/>
            <w:webHidden/>
          </w:rPr>
          <w:tab/>
        </w:r>
        <w:r>
          <w:rPr>
            <w:noProof/>
            <w:webHidden/>
          </w:rPr>
          <w:fldChar w:fldCharType="begin"/>
        </w:r>
        <w:r>
          <w:rPr>
            <w:noProof/>
            <w:webHidden/>
          </w:rPr>
          <w:instrText xml:space="preserve"> PAGEREF _Toc74904359 \h </w:instrText>
        </w:r>
        <w:r>
          <w:rPr>
            <w:noProof/>
            <w:webHidden/>
          </w:rPr>
        </w:r>
        <w:r>
          <w:rPr>
            <w:noProof/>
            <w:webHidden/>
          </w:rPr>
          <w:fldChar w:fldCharType="separate"/>
        </w:r>
        <w:r>
          <w:rPr>
            <w:noProof/>
            <w:webHidden/>
          </w:rPr>
          <w:t>44</w:t>
        </w:r>
        <w:r>
          <w:rPr>
            <w:noProof/>
            <w:webHidden/>
          </w:rPr>
          <w:fldChar w:fldCharType="end"/>
        </w:r>
      </w:hyperlink>
    </w:p>
    <w:p w14:paraId="1B63627F" w14:textId="57F24330" w:rsidR="00AA0C2A" w:rsidRDefault="00AA0C2A">
      <w:pPr>
        <w:pStyle w:val="TOC3"/>
        <w:rPr>
          <w:rFonts w:asciiTheme="minorHAnsi" w:eastAsiaTheme="minorEastAsia" w:hAnsiTheme="minorHAnsi" w:cstheme="minorBidi"/>
          <w:noProof/>
          <w:sz w:val="22"/>
          <w:szCs w:val="22"/>
          <w:lang w:val="en-GB" w:eastAsia="en-GB"/>
        </w:rPr>
      </w:pPr>
      <w:hyperlink w:anchor="_Toc74904360" w:history="1">
        <w:r w:rsidRPr="00A30B1E">
          <w:rPr>
            <w:rStyle w:val="Hyperlink"/>
            <w:noProof/>
          </w:rPr>
          <w:t>10.2.1</w:t>
        </w:r>
        <w:r>
          <w:rPr>
            <w:rFonts w:asciiTheme="minorHAnsi" w:eastAsiaTheme="minorEastAsia" w:hAnsiTheme="minorHAnsi" w:cstheme="minorBidi"/>
            <w:noProof/>
            <w:sz w:val="22"/>
            <w:szCs w:val="22"/>
            <w:lang w:val="en-GB" w:eastAsia="en-GB"/>
          </w:rPr>
          <w:tab/>
        </w:r>
        <w:r w:rsidRPr="00A30B1E">
          <w:rPr>
            <w:rStyle w:val="Hyperlink"/>
            <w:noProof/>
          </w:rPr>
          <w:t>Dose Escalation Procedures</w:t>
        </w:r>
        <w:r>
          <w:rPr>
            <w:noProof/>
            <w:webHidden/>
          </w:rPr>
          <w:tab/>
        </w:r>
        <w:r>
          <w:rPr>
            <w:noProof/>
            <w:webHidden/>
          </w:rPr>
          <w:fldChar w:fldCharType="begin"/>
        </w:r>
        <w:r>
          <w:rPr>
            <w:noProof/>
            <w:webHidden/>
          </w:rPr>
          <w:instrText xml:space="preserve"> PAGEREF _Toc74904360 \h </w:instrText>
        </w:r>
        <w:r>
          <w:rPr>
            <w:noProof/>
            <w:webHidden/>
          </w:rPr>
        </w:r>
        <w:r>
          <w:rPr>
            <w:noProof/>
            <w:webHidden/>
          </w:rPr>
          <w:fldChar w:fldCharType="separate"/>
        </w:r>
        <w:r>
          <w:rPr>
            <w:noProof/>
            <w:webHidden/>
          </w:rPr>
          <w:t>44</w:t>
        </w:r>
        <w:r>
          <w:rPr>
            <w:noProof/>
            <w:webHidden/>
          </w:rPr>
          <w:fldChar w:fldCharType="end"/>
        </w:r>
      </w:hyperlink>
    </w:p>
    <w:p w14:paraId="4EC655D6" w14:textId="5E5979E1" w:rsidR="00AA0C2A" w:rsidRDefault="00AA0C2A">
      <w:pPr>
        <w:pStyle w:val="TOC3"/>
        <w:rPr>
          <w:rFonts w:asciiTheme="minorHAnsi" w:eastAsiaTheme="minorEastAsia" w:hAnsiTheme="minorHAnsi" w:cstheme="minorBidi"/>
          <w:noProof/>
          <w:sz w:val="22"/>
          <w:szCs w:val="22"/>
          <w:lang w:val="en-GB" w:eastAsia="en-GB"/>
        </w:rPr>
      </w:pPr>
      <w:hyperlink w:anchor="_Toc74904361" w:history="1">
        <w:r w:rsidRPr="00A30B1E">
          <w:rPr>
            <w:rStyle w:val="Hyperlink"/>
            <w:noProof/>
          </w:rPr>
          <w:t>10.2.2</w:t>
        </w:r>
        <w:r>
          <w:rPr>
            <w:rFonts w:asciiTheme="minorHAnsi" w:eastAsiaTheme="minorEastAsia" w:hAnsiTheme="minorHAnsi" w:cstheme="minorBidi"/>
            <w:noProof/>
            <w:sz w:val="22"/>
            <w:szCs w:val="22"/>
            <w:lang w:val="en-GB" w:eastAsia="en-GB"/>
          </w:rPr>
          <w:tab/>
        </w:r>
        <w:r w:rsidRPr="00A30B1E">
          <w:rPr>
            <w:rStyle w:val="Hyperlink"/>
            <w:noProof/>
          </w:rPr>
          <w:t>Trial Stopping Criteria</w:t>
        </w:r>
        <w:r>
          <w:rPr>
            <w:noProof/>
            <w:webHidden/>
          </w:rPr>
          <w:tab/>
        </w:r>
        <w:r>
          <w:rPr>
            <w:noProof/>
            <w:webHidden/>
          </w:rPr>
          <w:fldChar w:fldCharType="begin"/>
        </w:r>
        <w:r>
          <w:rPr>
            <w:noProof/>
            <w:webHidden/>
          </w:rPr>
          <w:instrText xml:space="preserve"> PAGEREF _Toc74904361 \h </w:instrText>
        </w:r>
        <w:r>
          <w:rPr>
            <w:noProof/>
            <w:webHidden/>
          </w:rPr>
        </w:r>
        <w:r>
          <w:rPr>
            <w:noProof/>
            <w:webHidden/>
          </w:rPr>
          <w:fldChar w:fldCharType="separate"/>
        </w:r>
        <w:r>
          <w:rPr>
            <w:noProof/>
            <w:webHidden/>
          </w:rPr>
          <w:t>45</w:t>
        </w:r>
        <w:r>
          <w:rPr>
            <w:noProof/>
            <w:webHidden/>
          </w:rPr>
          <w:fldChar w:fldCharType="end"/>
        </w:r>
      </w:hyperlink>
    </w:p>
    <w:p w14:paraId="29D7D952" w14:textId="6692A119" w:rsidR="00AA0C2A" w:rsidRDefault="00AA0C2A">
      <w:pPr>
        <w:pStyle w:val="TOC3"/>
        <w:rPr>
          <w:rFonts w:asciiTheme="minorHAnsi" w:eastAsiaTheme="minorEastAsia" w:hAnsiTheme="minorHAnsi" w:cstheme="minorBidi"/>
          <w:noProof/>
          <w:sz w:val="22"/>
          <w:szCs w:val="22"/>
          <w:lang w:val="en-GB" w:eastAsia="en-GB"/>
        </w:rPr>
      </w:pPr>
      <w:hyperlink w:anchor="_Toc74904362" w:history="1">
        <w:r w:rsidRPr="00A30B1E">
          <w:rPr>
            <w:rStyle w:val="Hyperlink"/>
            <w:noProof/>
          </w:rPr>
          <w:t>10.2.3</w:t>
        </w:r>
        <w:r>
          <w:rPr>
            <w:rFonts w:asciiTheme="minorHAnsi" w:eastAsiaTheme="minorEastAsia" w:hAnsiTheme="minorHAnsi" w:cstheme="minorBidi"/>
            <w:noProof/>
            <w:sz w:val="22"/>
            <w:szCs w:val="22"/>
            <w:lang w:val="en-GB" w:eastAsia="en-GB"/>
          </w:rPr>
          <w:tab/>
        </w:r>
        <w:r w:rsidRPr="00A30B1E">
          <w:rPr>
            <w:rStyle w:val="Hyperlink"/>
            <w:noProof/>
          </w:rPr>
          <w:t>Dose Escalation Stopping Criteria</w:t>
        </w:r>
        <w:r>
          <w:rPr>
            <w:noProof/>
            <w:webHidden/>
          </w:rPr>
          <w:tab/>
        </w:r>
        <w:r>
          <w:rPr>
            <w:noProof/>
            <w:webHidden/>
          </w:rPr>
          <w:fldChar w:fldCharType="begin"/>
        </w:r>
        <w:r>
          <w:rPr>
            <w:noProof/>
            <w:webHidden/>
          </w:rPr>
          <w:instrText xml:space="preserve"> PAGEREF _Toc74904362 \h </w:instrText>
        </w:r>
        <w:r>
          <w:rPr>
            <w:noProof/>
            <w:webHidden/>
          </w:rPr>
        </w:r>
        <w:r>
          <w:rPr>
            <w:noProof/>
            <w:webHidden/>
          </w:rPr>
          <w:fldChar w:fldCharType="separate"/>
        </w:r>
        <w:r>
          <w:rPr>
            <w:noProof/>
            <w:webHidden/>
          </w:rPr>
          <w:t>45</w:t>
        </w:r>
        <w:r>
          <w:rPr>
            <w:noProof/>
            <w:webHidden/>
          </w:rPr>
          <w:fldChar w:fldCharType="end"/>
        </w:r>
      </w:hyperlink>
    </w:p>
    <w:p w14:paraId="58B8EBD0" w14:textId="48E7553C" w:rsidR="00AA0C2A" w:rsidRDefault="00AA0C2A">
      <w:pPr>
        <w:pStyle w:val="TOC2"/>
        <w:rPr>
          <w:rFonts w:asciiTheme="minorHAnsi" w:eastAsiaTheme="minorEastAsia" w:hAnsiTheme="minorHAnsi" w:cstheme="minorBidi"/>
          <w:noProof/>
          <w:sz w:val="22"/>
          <w:szCs w:val="22"/>
          <w:lang w:val="en-GB" w:eastAsia="en-GB"/>
        </w:rPr>
      </w:pPr>
      <w:hyperlink w:anchor="_Toc74904363" w:history="1">
        <w:r w:rsidRPr="00A30B1E">
          <w:rPr>
            <w:rStyle w:val="Hyperlink"/>
            <w:noProof/>
          </w:rPr>
          <w:t>10.3</w:t>
        </w:r>
        <w:r>
          <w:rPr>
            <w:rFonts w:asciiTheme="minorHAnsi" w:eastAsiaTheme="minorEastAsia" w:hAnsiTheme="minorHAnsi" w:cstheme="minorBidi"/>
            <w:noProof/>
            <w:sz w:val="22"/>
            <w:szCs w:val="22"/>
            <w:lang w:val="en-GB" w:eastAsia="en-GB"/>
          </w:rPr>
          <w:tab/>
        </w:r>
        <w:r w:rsidRPr="00A30B1E">
          <w:rPr>
            <w:rStyle w:val="Hyperlink"/>
            <w:noProof/>
          </w:rPr>
          <w:t>Discussion of Study Design, including the Choice of Control Groups</w:t>
        </w:r>
        <w:r>
          <w:rPr>
            <w:noProof/>
            <w:webHidden/>
          </w:rPr>
          <w:tab/>
        </w:r>
        <w:r>
          <w:rPr>
            <w:noProof/>
            <w:webHidden/>
          </w:rPr>
          <w:fldChar w:fldCharType="begin"/>
        </w:r>
        <w:r>
          <w:rPr>
            <w:noProof/>
            <w:webHidden/>
          </w:rPr>
          <w:instrText xml:space="preserve"> PAGEREF _Toc74904363 \h </w:instrText>
        </w:r>
        <w:r>
          <w:rPr>
            <w:noProof/>
            <w:webHidden/>
          </w:rPr>
        </w:r>
        <w:r>
          <w:rPr>
            <w:noProof/>
            <w:webHidden/>
          </w:rPr>
          <w:fldChar w:fldCharType="separate"/>
        </w:r>
        <w:r>
          <w:rPr>
            <w:noProof/>
            <w:webHidden/>
          </w:rPr>
          <w:t>47</w:t>
        </w:r>
        <w:r>
          <w:rPr>
            <w:noProof/>
            <w:webHidden/>
          </w:rPr>
          <w:fldChar w:fldCharType="end"/>
        </w:r>
      </w:hyperlink>
    </w:p>
    <w:p w14:paraId="493B8046" w14:textId="6E0B815A" w:rsidR="00AA0C2A" w:rsidRDefault="00AA0C2A">
      <w:pPr>
        <w:pStyle w:val="TOC2"/>
        <w:rPr>
          <w:rFonts w:asciiTheme="minorHAnsi" w:eastAsiaTheme="minorEastAsia" w:hAnsiTheme="minorHAnsi" w:cstheme="minorBidi"/>
          <w:noProof/>
          <w:sz w:val="22"/>
          <w:szCs w:val="22"/>
          <w:lang w:val="en-GB" w:eastAsia="en-GB"/>
        </w:rPr>
      </w:pPr>
      <w:hyperlink w:anchor="_Toc74904364" w:history="1">
        <w:r w:rsidRPr="00A30B1E">
          <w:rPr>
            <w:rStyle w:val="Hyperlink"/>
            <w:noProof/>
          </w:rPr>
          <w:t>10.4</w:t>
        </w:r>
        <w:r>
          <w:rPr>
            <w:rFonts w:asciiTheme="minorHAnsi" w:eastAsiaTheme="minorEastAsia" w:hAnsiTheme="minorHAnsi" w:cstheme="minorBidi"/>
            <w:noProof/>
            <w:sz w:val="22"/>
            <w:szCs w:val="22"/>
            <w:lang w:val="en-GB" w:eastAsia="en-GB"/>
          </w:rPr>
          <w:tab/>
        </w:r>
        <w:r w:rsidRPr="00A30B1E">
          <w:rPr>
            <w:rStyle w:val="Hyperlink"/>
            <w:noProof/>
          </w:rPr>
          <w:t>Selection of Study Population</w:t>
        </w:r>
        <w:r>
          <w:rPr>
            <w:noProof/>
            <w:webHidden/>
          </w:rPr>
          <w:tab/>
        </w:r>
        <w:r>
          <w:rPr>
            <w:noProof/>
            <w:webHidden/>
          </w:rPr>
          <w:fldChar w:fldCharType="begin"/>
        </w:r>
        <w:r>
          <w:rPr>
            <w:noProof/>
            <w:webHidden/>
          </w:rPr>
          <w:instrText xml:space="preserve"> PAGEREF _Toc74904364 \h </w:instrText>
        </w:r>
        <w:r>
          <w:rPr>
            <w:noProof/>
            <w:webHidden/>
          </w:rPr>
        </w:r>
        <w:r>
          <w:rPr>
            <w:noProof/>
            <w:webHidden/>
          </w:rPr>
          <w:fldChar w:fldCharType="separate"/>
        </w:r>
        <w:r>
          <w:rPr>
            <w:noProof/>
            <w:webHidden/>
          </w:rPr>
          <w:t>47</w:t>
        </w:r>
        <w:r>
          <w:rPr>
            <w:noProof/>
            <w:webHidden/>
          </w:rPr>
          <w:fldChar w:fldCharType="end"/>
        </w:r>
      </w:hyperlink>
    </w:p>
    <w:p w14:paraId="0AB4E4FC" w14:textId="0E536770" w:rsidR="00AA0C2A" w:rsidRDefault="00AA0C2A">
      <w:pPr>
        <w:pStyle w:val="TOC3"/>
        <w:rPr>
          <w:rFonts w:asciiTheme="minorHAnsi" w:eastAsiaTheme="minorEastAsia" w:hAnsiTheme="minorHAnsi" w:cstheme="minorBidi"/>
          <w:noProof/>
          <w:sz w:val="22"/>
          <w:szCs w:val="22"/>
          <w:lang w:val="en-GB" w:eastAsia="en-GB"/>
        </w:rPr>
      </w:pPr>
      <w:hyperlink w:anchor="_Toc74904365" w:history="1">
        <w:r w:rsidRPr="00A30B1E">
          <w:rPr>
            <w:rStyle w:val="Hyperlink"/>
            <w:noProof/>
          </w:rPr>
          <w:t>10.4.1</w:t>
        </w:r>
        <w:r>
          <w:rPr>
            <w:rFonts w:asciiTheme="minorHAnsi" w:eastAsiaTheme="minorEastAsia" w:hAnsiTheme="minorHAnsi" w:cstheme="minorBidi"/>
            <w:noProof/>
            <w:sz w:val="22"/>
            <w:szCs w:val="22"/>
            <w:lang w:val="en-GB" w:eastAsia="en-GB"/>
          </w:rPr>
          <w:tab/>
        </w:r>
        <w:r w:rsidRPr="00A30B1E">
          <w:rPr>
            <w:rStyle w:val="Hyperlink"/>
            <w:noProof/>
          </w:rPr>
          <w:t>Inclusion Criteria</w:t>
        </w:r>
        <w:r>
          <w:rPr>
            <w:noProof/>
            <w:webHidden/>
          </w:rPr>
          <w:tab/>
        </w:r>
        <w:r>
          <w:rPr>
            <w:noProof/>
            <w:webHidden/>
          </w:rPr>
          <w:fldChar w:fldCharType="begin"/>
        </w:r>
        <w:r>
          <w:rPr>
            <w:noProof/>
            <w:webHidden/>
          </w:rPr>
          <w:instrText xml:space="preserve"> PAGEREF _Toc74904365 \h </w:instrText>
        </w:r>
        <w:r>
          <w:rPr>
            <w:noProof/>
            <w:webHidden/>
          </w:rPr>
        </w:r>
        <w:r>
          <w:rPr>
            <w:noProof/>
            <w:webHidden/>
          </w:rPr>
          <w:fldChar w:fldCharType="separate"/>
        </w:r>
        <w:r>
          <w:rPr>
            <w:noProof/>
            <w:webHidden/>
          </w:rPr>
          <w:t>48</w:t>
        </w:r>
        <w:r>
          <w:rPr>
            <w:noProof/>
            <w:webHidden/>
          </w:rPr>
          <w:fldChar w:fldCharType="end"/>
        </w:r>
      </w:hyperlink>
    </w:p>
    <w:p w14:paraId="58C14C12" w14:textId="4276DD4B" w:rsidR="00AA0C2A" w:rsidRDefault="00AA0C2A">
      <w:pPr>
        <w:pStyle w:val="TOC3"/>
        <w:rPr>
          <w:rFonts w:asciiTheme="minorHAnsi" w:eastAsiaTheme="minorEastAsia" w:hAnsiTheme="minorHAnsi" w:cstheme="minorBidi"/>
          <w:noProof/>
          <w:sz w:val="22"/>
          <w:szCs w:val="22"/>
          <w:lang w:val="en-GB" w:eastAsia="en-GB"/>
        </w:rPr>
      </w:pPr>
      <w:hyperlink w:anchor="_Toc74904366" w:history="1">
        <w:r w:rsidRPr="00A30B1E">
          <w:rPr>
            <w:rStyle w:val="Hyperlink"/>
            <w:noProof/>
          </w:rPr>
          <w:t>10.4.2</w:t>
        </w:r>
        <w:r>
          <w:rPr>
            <w:rFonts w:asciiTheme="minorHAnsi" w:eastAsiaTheme="minorEastAsia" w:hAnsiTheme="minorHAnsi" w:cstheme="minorBidi"/>
            <w:noProof/>
            <w:sz w:val="22"/>
            <w:szCs w:val="22"/>
            <w:lang w:val="en-GB" w:eastAsia="en-GB"/>
          </w:rPr>
          <w:tab/>
        </w:r>
        <w:r w:rsidRPr="00A30B1E">
          <w:rPr>
            <w:rStyle w:val="Hyperlink"/>
            <w:noProof/>
          </w:rPr>
          <w:t>Exclusion Criteria</w:t>
        </w:r>
        <w:r>
          <w:rPr>
            <w:noProof/>
            <w:webHidden/>
          </w:rPr>
          <w:tab/>
        </w:r>
        <w:r>
          <w:rPr>
            <w:noProof/>
            <w:webHidden/>
          </w:rPr>
          <w:fldChar w:fldCharType="begin"/>
        </w:r>
        <w:r>
          <w:rPr>
            <w:noProof/>
            <w:webHidden/>
          </w:rPr>
          <w:instrText xml:space="preserve"> PAGEREF _Toc74904366 \h </w:instrText>
        </w:r>
        <w:r>
          <w:rPr>
            <w:noProof/>
            <w:webHidden/>
          </w:rPr>
        </w:r>
        <w:r>
          <w:rPr>
            <w:noProof/>
            <w:webHidden/>
          </w:rPr>
          <w:fldChar w:fldCharType="separate"/>
        </w:r>
        <w:r>
          <w:rPr>
            <w:noProof/>
            <w:webHidden/>
          </w:rPr>
          <w:t>49</w:t>
        </w:r>
        <w:r>
          <w:rPr>
            <w:noProof/>
            <w:webHidden/>
          </w:rPr>
          <w:fldChar w:fldCharType="end"/>
        </w:r>
      </w:hyperlink>
    </w:p>
    <w:p w14:paraId="0A90350B" w14:textId="0E6228BF" w:rsidR="00AA0C2A" w:rsidRDefault="00AA0C2A">
      <w:pPr>
        <w:pStyle w:val="TOC2"/>
        <w:rPr>
          <w:rFonts w:asciiTheme="minorHAnsi" w:eastAsiaTheme="minorEastAsia" w:hAnsiTheme="minorHAnsi" w:cstheme="minorBidi"/>
          <w:noProof/>
          <w:sz w:val="22"/>
          <w:szCs w:val="22"/>
          <w:lang w:val="en-GB" w:eastAsia="en-GB"/>
        </w:rPr>
      </w:pPr>
      <w:hyperlink w:anchor="_Toc74904367" w:history="1">
        <w:r w:rsidRPr="00A30B1E">
          <w:rPr>
            <w:rStyle w:val="Hyperlink"/>
            <w:noProof/>
          </w:rPr>
          <w:t>10.5</w:t>
        </w:r>
        <w:r>
          <w:rPr>
            <w:rFonts w:asciiTheme="minorHAnsi" w:eastAsiaTheme="minorEastAsia" w:hAnsiTheme="minorHAnsi" w:cstheme="minorBidi"/>
            <w:noProof/>
            <w:sz w:val="22"/>
            <w:szCs w:val="22"/>
            <w:lang w:val="en-GB" w:eastAsia="en-GB"/>
          </w:rPr>
          <w:tab/>
        </w:r>
        <w:r w:rsidRPr="00A30B1E">
          <w:rPr>
            <w:rStyle w:val="Hyperlink"/>
            <w:noProof/>
          </w:rPr>
          <w:t>Additional Advice and Restrictions for Study Population</w:t>
        </w:r>
        <w:r>
          <w:rPr>
            <w:noProof/>
            <w:webHidden/>
          </w:rPr>
          <w:tab/>
        </w:r>
        <w:r>
          <w:rPr>
            <w:noProof/>
            <w:webHidden/>
          </w:rPr>
          <w:fldChar w:fldCharType="begin"/>
        </w:r>
        <w:r>
          <w:rPr>
            <w:noProof/>
            <w:webHidden/>
          </w:rPr>
          <w:instrText xml:space="preserve"> PAGEREF _Toc74904367 \h </w:instrText>
        </w:r>
        <w:r>
          <w:rPr>
            <w:noProof/>
            <w:webHidden/>
          </w:rPr>
        </w:r>
        <w:r>
          <w:rPr>
            <w:noProof/>
            <w:webHidden/>
          </w:rPr>
          <w:fldChar w:fldCharType="separate"/>
        </w:r>
        <w:r>
          <w:rPr>
            <w:noProof/>
            <w:webHidden/>
          </w:rPr>
          <w:t>50</w:t>
        </w:r>
        <w:r>
          <w:rPr>
            <w:noProof/>
            <w:webHidden/>
          </w:rPr>
          <w:fldChar w:fldCharType="end"/>
        </w:r>
      </w:hyperlink>
    </w:p>
    <w:p w14:paraId="594FAD0E" w14:textId="55A23CF5" w:rsidR="00AA0C2A" w:rsidRDefault="00AA0C2A">
      <w:pPr>
        <w:pStyle w:val="TOC3"/>
        <w:rPr>
          <w:rFonts w:asciiTheme="minorHAnsi" w:eastAsiaTheme="minorEastAsia" w:hAnsiTheme="minorHAnsi" w:cstheme="minorBidi"/>
          <w:noProof/>
          <w:sz w:val="22"/>
          <w:szCs w:val="22"/>
          <w:lang w:val="en-GB" w:eastAsia="en-GB"/>
        </w:rPr>
      </w:pPr>
      <w:hyperlink w:anchor="_Toc74904368" w:history="1">
        <w:r w:rsidRPr="00A30B1E">
          <w:rPr>
            <w:rStyle w:val="Hyperlink"/>
            <w:noProof/>
          </w:rPr>
          <w:t>10.5.1</w:t>
        </w:r>
        <w:r>
          <w:rPr>
            <w:rFonts w:asciiTheme="minorHAnsi" w:eastAsiaTheme="minorEastAsia" w:hAnsiTheme="minorHAnsi" w:cstheme="minorBidi"/>
            <w:noProof/>
            <w:sz w:val="22"/>
            <w:szCs w:val="22"/>
            <w:lang w:val="en-GB" w:eastAsia="en-GB"/>
          </w:rPr>
          <w:tab/>
        </w:r>
        <w:r w:rsidRPr="00A30B1E">
          <w:rPr>
            <w:rStyle w:val="Hyperlink"/>
            <w:noProof/>
          </w:rPr>
          <w:t>Contraception</w:t>
        </w:r>
        <w:r>
          <w:rPr>
            <w:noProof/>
            <w:webHidden/>
          </w:rPr>
          <w:tab/>
        </w:r>
        <w:r>
          <w:rPr>
            <w:noProof/>
            <w:webHidden/>
          </w:rPr>
          <w:fldChar w:fldCharType="begin"/>
        </w:r>
        <w:r>
          <w:rPr>
            <w:noProof/>
            <w:webHidden/>
          </w:rPr>
          <w:instrText xml:space="preserve"> PAGEREF _Toc74904368 \h </w:instrText>
        </w:r>
        <w:r>
          <w:rPr>
            <w:noProof/>
            <w:webHidden/>
          </w:rPr>
        </w:r>
        <w:r>
          <w:rPr>
            <w:noProof/>
            <w:webHidden/>
          </w:rPr>
          <w:fldChar w:fldCharType="separate"/>
        </w:r>
        <w:r>
          <w:rPr>
            <w:noProof/>
            <w:webHidden/>
          </w:rPr>
          <w:t>50</w:t>
        </w:r>
        <w:r>
          <w:rPr>
            <w:noProof/>
            <w:webHidden/>
          </w:rPr>
          <w:fldChar w:fldCharType="end"/>
        </w:r>
      </w:hyperlink>
    </w:p>
    <w:p w14:paraId="60AEC58E" w14:textId="4D774895" w:rsidR="00AA0C2A" w:rsidRDefault="00AA0C2A">
      <w:pPr>
        <w:pStyle w:val="TOC3"/>
        <w:rPr>
          <w:rFonts w:asciiTheme="minorHAnsi" w:eastAsiaTheme="minorEastAsia" w:hAnsiTheme="minorHAnsi" w:cstheme="minorBidi"/>
          <w:noProof/>
          <w:sz w:val="22"/>
          <w:szCs w:val="22"/>
          <w:lang w:val="en-GB" w:eastAsia="en-GB"/>
        </w:rPr>
      </w:pPr>
      <w:hyperlink w:anchor="_Toc74904369" w:history="1">
        <w:r w:rsidRPr="00A30B1E">
          <w:rPr>
            <w:rStyle w:val="Hyperlink"/>
            <w:noProof/>
          </w:rPr>
          <w:t>10.5.2</w:t>
        </w:r>
        <w:r>
          <w:rPr>
            <w:rFonts w:asciiTheme="minorHAnsi" w:eastAsiaTheme="minorEastAsia" w:hAnsiTheme="minorHAnsi" w:cstheme="minorBidi"/>
            <w:noProof/>
            <w:sz w:val="22"/>
            <w:szCs w:val="22"/>
            <w:lang w:val="en-GB" w:eastAsia="en-GB"/>
          </w:rPr>
          <w:tab/>
        </w:r>
        <w:r w:rsidRPr="00A30B1E">
          <w:rPr>
            <w:rStyle w:val="Hyperlink"/>
            <w:noProof/>
          </w:rPr>
          <w:t>Sperm Donation</w:t>
        </w:r>
        <w:r>
          <w:rPr>
            <w:noProof/>
            <w:webHidden/>
          </w:rPr>
          <w:tab/>
        </w:r>
        <w:r>
          <w:rPr>
            <w:noProof/>
            <w:webHidden/>
          </w:rPr>
          <w:fldChar w:fldCharType="begin"/>
        </w:r>
        <w:r>
          <w:rPr>
            <w:noProof/>
            <w:webHidden/>
          </w:rPr>
          <w:instrText xml:space="preserve"> PAGEREF _Toc74904369 \h </w:instrText>
        </w:r>
        <w:r>
          <w:rPr>
            <w:noProof/>
            <w:webHidden/>
          </w:rPr>
        </w:r>
        <w:r>
          <w:rPr>
            <w:noProof/>
            <w:webHidden/>
          </w:rPr>
          <w:fldChar w:fldCharType="separate"/>
        </w:r>
        <w:r>
          <w:rPr>
            <w:noProof/>
            <w:webHidden/>
          </w:rPr>
          <w:t>51</w:t>
        </w:r>
        <w:r>
          <w:rPr>
            <w:noProof/>
            <w:webHidden/>
          </w:rPr>
          <w:fldChar w:fldCharType="end"/>
        </w:r>
      </w:hyperlink>
    </w:p>
    <w:p w14:paraId="2BDDBFC4" w14:textId="0AAF9423" w:rsidR="00AA0C2A" w:rsidRDefault="00AA0C2A">
      <w:pPr>
        <w:pStyle w:val="TOC3"/>
        <w:rPr>
          <w:rFonts w:asciiTheme="minorHAnsi" w:eastAsiaTheme="minorEastAsia" w:hAnsiTheme="minorHAnsi" w:cstheme="minorBidi"/>
          <w:noProof/>
          <w:sz w:val="22"/>
          <w:szCs w:val="22"/>
          <w:lang w:val="en-GB" w:eastAsia="en-GB"/>
        </w:rPr>
      </w:pPr>
      <w:hyperlink w:anchor="_Toc74904370" w:history="1">
        <w:r w:rsidRPr="00A30B1E">
          <w:rPr>
            <w:rStyle w:val="Hyperlink"/>
            <w:noProof/>
          </w:rPr>
          <w:t>10.5.3</w:t>
        </w:r>
        <w:r>
          <w:rPr>
            <w:rFonts w:asciiTheme="minorHAnsi" w:eastAsiaTheme="minorEastAsia" w:hAnsiTheme="minorHAnsi" w:cstheme="minorBidi"/>
            <w:noProof/>
            <w:sz w:val="22"/>
            <w:szCs w:val="22"/>
            <w:lang w:val="en-GB" w:eastAsia="en-GB"/>
          </w:rPr>
          <w:tab/>
        </w:r>
        <w:r w:rsidRPr="00A30B1E">
          <w:rPr>
            <w:rStyle w:val="Hyperlink"/>
            <w:noProof/>
          </w:rPr>
          <w:t>Diet and Fluid Restrictions</w:t>
        </w:r>
        <w:r>
          <w:rPr>
            <w:noProof/>
            <w:webHidden/>
          </w:rPr>
          <w:tab/>
        </w:r>
        <w:r>
          <w:rPr>
            <w:noProof/>
            <w:webHidden/>
          </w:rPr>
          <w:fldChar w:fldCharType="begin"/>
        </w:r>
        <w:r>
          <w:rPr>
            <w:noProof/>
            <w:webHidden/>
          </w:rPr>
          <w:instrText xml:space="preserve"> PAGEREF _Toc74904370 \h </w:instrText>
        </w:r>
        <w:r>
          <w:rPr>
            <w:noProof/>
            <w:webHidden/>
          </w:rPr>
        </w:r>
        <w:r>
          <w:rPr>
            <w:noProof/>
            <w:webHidden/>
          </w:rPr>
          <w:fldChar w:fldCharType="separate"/>
        </w:r>
        <w:r>
          <w:rPr>
            <w:noProof/>
            <w:webHidden/>
          </w:rPr>
          <w:t>51</w:t>
        </w:r>
        <w:r>
          <w:rPr>
            <w:noProof/>
            <w:webHidden/>
          </w:rPr>
          <w:fldChar w:fldCharType="end"/>
        </w:r>
      </w:hyperlink>
    </w:p>
    <w:p w14:paraId="75127A3F" w14:textId="28C476ED" w:rsidR="00AA0C2A" w:rsidRDefault="00AA0C2A">
      <w:pPr>
        <w:pStyle w:val="TOC4"/>
        <w:rPr>
          <w:rFonts w:asciiTheme="minorHAnsi" w:eastAsiaTheme="minorEastAsia" w:hAnsiTheme="minorHAnsi" w:cstheme="minorBidi"/>
          <w:noProof/>
          <w:sz w:val="22"/>
          <w:szCs w:val="22"/>
          <w:lang w:val="en-GB" w:eastAsia="en-GB"/>
        </w:rPr>
      </w:pPr>
      <w:hyperlink w:anchor="_Toc74904371" w:history="1">
        <w:r w:rsidRPr="00A30B1E">
          <w:rPr>
            <w:rStyle w:val="Hyperlink"/>
            <w:noProof/>
          </w:rPr>
          <w:t>10.5.3.1</w:t>
        </w:r>
        <w:r>
          <w:rPr>
            <w:rFonts w:asciiTheme="minorHAnsi" w:eastAsiaTheme="minorEastAsia" w:hAnsiTheme="minorHAnsi" w:cstheme="minorBidi"/>
            <w:noProof/>
            <w:sz w:val="22"/>
            <w:szCs w:val="22"/>
            <w:lang w:val="en-GB" w:eastAsia="en-GB"/>
          </w:rPr>
          <w:tab/>
        </w:r>
        <w:r w:rsidRPr="00A30B1E">
          <w:rPr>
            <w:rStyle w:val="Hyperlink"/>
            <w:noProof/>
          </w:rPr>
          <w:t>Mealtimes/Fasts</w:t>
        </w:r>
        <w:r>
          <w:rPr>
            <w:noProof/>
            <w:webHidden/>
          </w:rPr>
          <w:tab/>
        </w:r>
        <w:r>
          <w:rPr>
            <w:noProof/>
            <w:webHidden/>
          </w:rPr>
          <w:fldChar w:fldCharType="begin"/>
        </w:r>
        <w:r>
          <w:rPr>
            <w:noProof/>
            <w:webHidden/>
          </w:rPr>
          <w:instrText xml:space="preserve"> PAGEREF _Toc74904371 \h </w:instrText>
        </w:r>
        <w:r>
          <w:rPr>
            <w:noProof/>
            <w:webHidden/>
          </w:rPr>
        </w:r>
        <w:r>
          <w:rPr>
            <w:noProof/>
            <w:webHidden/>
          </w:rPr>
          <w:fldChar w:fldCharType="separate"/>
        </w:r>
        <w:r>
          <w:rPr>
            <w:noProof/>
            <w:webHidden/>
          </w:rPr>
          <w:t>51</w:t>
        </w:r>
        <w:r>
          <w:rPr>
            <w:noProof/>
            <w:webHidden/>
          </w:rPr>
          <w:fldChar w:fldCharType="end"/>
        </w:r>
      </w:hyperlink>
    </w:p>
    <w:p w14:paraId="60E8BDFE" w14:textId="339F726C" w:rsidR="00AA0C2A" w:rsidRDefault="00AA0C2A">
      <w:pPr>
        <w:pStyle w:val="TOC4"/>
        <w:rPr>
          <w:rFonts w:asciiTheme="minorHAnsi" w:eastAsiaTheme="minorEastAsia" w:hAnsiTheme="minorHAnsi" w:cstheme="minorBidi"/>
          <w:noProof/>
          <w:sz w:val="22"/>
          <w:szCs w:val="22"/>
          <w:lang w:val="en-GB" w:eastAsia="en-GB"/>
        </w:rPr>
      </w:pPr>
      <w:hyperlink w:anchor="_Toc74904372" w:history="1">
        <w:r w:rsidRPr="00A30B1E">
          <w:rPr>
            <w:rStyle w:val="Hyperlink"/>
            <w:noProof/>
          </w:rPr>
          <w:t>10.5.3.2</w:t>
        </w:r>
        <w:r>
          <w:rPr>
            <w:rFonts w:asciiTheme="minorHAnsi" w:eastAsiaTheme="minorEastAsia" w:hAnsiTheme="minorHAnsi" w:cstheme="minorBidi"/>
            <w:noProof/>
            <w:sz w:val="22"/>
            <w:szCs w:val="22"/>
            <w:lang w:val="en-GB" w:eastAsia="en-GB"/>
          </w:rPr>
          <w:tab/>
        </w:r>
        <w:r w:rsidRPr="00A30B1E">
          <w:rPr>
            <w:rStyle w:val="Hyperlink"/>
            <w:noProof/>
          </w:rPr>
          <w:t>Fluid Intake</w:t>
        </w:r>
        <w:r>
          <w:rPr>
            <w:noProof/>
            <w:webHidden/>
          </w:rPr>
          <w:tab/>
        </w:r>
        <w:r>
          <w:rPr>
            <w:noProof/>
            <w:webHidden/>
          </w:rPr>
          <w:fldChar w:fldCharType="begin"/>
        </w:r>
        <w:r>
          <w:rPr>
            <w:noProof/>
            <w:webHidden/>
          </w:rPr>
          <w:instrText xml:space="preserve"> PAGEREF _Toc74904372 \h </w:instrText>
        </w:r>
        <w:r>
          <w:rPr>
            <w:noProof/>
            <w:webHidden/>
          </w:rPr>
        </w:r>
        <w:r>
          <w:rPr>
            <w:noProof/>
            <w:webHidden/>
          </w:rPr>
          <w:fldChar w:fldCharType="separate"/>
        </w:r>
        <w:r>
          <w:rPr>
            <w:noProof/>
            <w:webHidden/>
          </w:rPr>
          <w:t>51</w:t>
        </w:r>
        <w:r>
          <w:rPr>
            <w:noProof/>
            <w:webHidden/>
          </w:rPr>
          <w:fldChar w:fldCharType="end"/>
        </w:r>
      </w:hyperlink>
    </w:p>
    <w:p w14:paraId="5BCDA3E5" w14:textId="66A753A4" w:rsidR="00AA0C2A" w:rsidRDefault="00AA0C2A">
      <w:pPr>
        <w:pStyle w:val="TOC4"/>
        <w:rPr>
          <w:rFonts w:asciiTheme="minorHAnsi" w:eastAsiaTheme="minorEastAsia" w:hAnsiTheme="minorHAnsi" w:cstheme="minorBidi"/>
          <w:noProof/>
          <w:sz w:val="22"/>
          <w:szCs w:val="22"/>
          <w:lang w:val="en-GB" w:eastAsia="en-GB"/>
        </w:rPr>
      </w:pPr>
      <w:hyperlink w:anchor="_Toc74904373" w:history="1">
        <w:r w:rsidRPr="00A30B1E">
          <w:rPr>
            <w:rStyle w:val="Hyperlink"/>
            <w:noProof/>
          </w:rPr>
          <w:t>10.5.3.3</w:t>
        </w:r>
        <w:r>
          <w:rPr>
            <w:rFonts w:asciiTheme="minorHAnsi" w:eastAsiaTheme="minorEastAsia" w:hAnsiTheme="minorHAnsi" w:cstheme="minorBidi"/>
            <w:noProof/>
            <w:sz w:val="22"/>
            <w:szCs w:val="22"/>
            <w:lang w:val="en-GB" w:eastAsia="en-GB"/>
          </w:rPr>
          <w:tab/>
        </w:r>
        <w:r w:rsidRPr="00A30B1E">
          <w:rPr>
            <w:rStyle w:val="Hyperlink"/>
            <w:noProof/>
          </w:rPr>
          <w:t>Alcohol Intake</w:t>
        </w:r>
        <w:r>
          <w:rPr>
            <w:noProof/>
            <w:webHidden/>
          </w:rPr>
          <w:tab/>
        </w:r>
        <w:r>
          <w:rPr>
            <w:noProof/>
            <w:webHidden/>
          </w:rPr>
          <w:fldChar w:fldCharType="begin"/>
        </w:r>
        <w:r>
          <w:rPr>
            <w:noProof/>
            <w:webHidden/>
          </w:rPr>
          <w:instrText xml:space="preserve"> PAGEREF _Toc74904373 \h </w:instrText>
        </w:r>
        <w:r>
          <w:rPr>
            <w:noProof/>
            <w:webHidden/>
          </w:rPr>
        </w:r>
        <w:r>
          <w:rPr>
            <w:noProof/>
            <w:webHidden/>
          </w:rPr>
          <w:fldChar w:fldCharType="separate"/>
        </w:r>
        <w:r>
          <w:rPr>
            <w:noProof/>
            <w:webHidden/>
          </w:rPr>
          <w:t>52</w:t>
        </w:r>
        <w:r>
          <w:rPr>
            <w:noProof/>
            <w:webHidden/>
          </w:rPr>
          <w:fldChar w:fldCharType="end"/>
        </w:r>
      </w:hyperlink>
    </w:p>
    <w:p w14:paraId="7B15743C" w14:textId="358A4AB9" w:rsidR="00AA0C2A" w:rsidRDefault="00AA0C2A">
      <w:pPr>
        <w:pStyle w:val="TOC4"/>
        <w:rPr>
          <w:rFonts w:asciiTheme="minorHAnsi" w:eastAsiaTheme="minorEastAsia" w:hAnsiTheme="minorHAnsi" w:cstheme="minorBidi"/>
          <w:noProof/>
          <w:sz w:val="22"/>
          <w:szCs w:val="22"/>
          <w:lang w:val="en-GB" w:eastAsia="en-GB"/>
        </w:rPr>
      </w:pPr>
      <w:hyperlink w:anchor="_Toc74904374" w:history="1">
        <w:r w:rsidRPr="00A30B1E">
          <w:rPr>
            <w:rStyle w:val="Hyperlink"/>
            <w:noProof/>
          </w:rPr>
          <w:t>10.5.3.4</w:t>
        </w:r>
        <w:r>
          <w:rPr>
            <w:rFonts w:asciiTheme="minorHAnsi" w:eastAsiaTheme="minorEastAsia" w:hAnsiTheme="minorHAnsi" w:cstheme="minorBidi"/>
            <w:noProof/>
            <w:sz w:val="22"/>
            <w:szCs w:val="22"/>
            <w:lang w:val="en-GB" w:eastAsia="en-GB"/>
          </w:rPr>
          <w:tab/>
        </w:r>
        <w:r w:rsidRPr="00A30B1E">
          <w:rPr>
            <w:rStyle w:val="Hyperlink"/>
            <w:noProof/>
          </w:rPr>
          <w:t>Caffeine</w:t>
        </w:r>
        <w:r>
          <w:rPr>
            <w:noProof/>
            <w:webHidden/>
          </w:rPr>
          <w:tab/>
        </w:r>
        <w:r>
          <w:rPr>
            <w:noProof/>
            <w:webHidden/>
          </w:rPr>
          <w:fldChar w:fldCharType="begin"/>
        </w:r>
        <w:r>
          <w:rPr>
            <w:noProof/>
            <w:webHidden/>
          </w:rPr>
          <w:instrText xml:space="preserve"> PAGEREF _Toc74904374 \h </w:instrText>
        </w:r>
        <w:r>
          <w:rPr>
            <w:noProof/>
            <w:webHidden/>
          </w:rPr>
        </w:r>
        <w:r>
          <w:rPr>
            <w:noProof/>
            <w:webHidden/>
          </w:rPr>
          <w:fldChar w:fldCharType="separate"/>
        </w:r>
        <w:r>
          <w:rPr>
            <w:noProof/>
            <w:webHidden/>
          </w:rPr>
          <w:t>52</w:t>
        </w:r>
        <w:r>
          <w:rPr>
            <w:noProof/>
            <w:webHidden/>
          </w:rPr>
          <w:fldChar w:fldCharType="end"/>
        </w:r>
      </w:hyperlink>
    </w:p>
    <w:p w14:paraId="01191F28" w14:textId="3B235483" w:rsidR="00AA0C2A" w:rsidRDefault="00AA0C2A">
      <w:pPr>
        <w:pStyle w:val="TOC4"/>
        <w:rPr>
          <w:rFonts w:asciiTheme="minorHAnsi" w:eastAsiaTheme="minorEastAsia" w:hAnsiTheme="minorHAnsi" w:cstheme="minorBidi"/>
          <w:noProof/>
          <w:sz w:val="22"/>
          <w:szCs w:val="22"/>
          <w:lang w:val="en-GB" w:eastAsia="en-GB"/>
        </w:rPr>
      </w:pPr>
      <w:hyperlink w:anchor="_Toc74904375" w:history="1">
        <w:r w:rsidRPr="00A30B1E">
          <w:rPr>
            <w:rStyle w:val="Hyperlink"/>
            <w:noProof/>
          </w:rPr>
          <w:t>10.5.3.5</w:t>
        </w:r>
        <w:r>
          <w:rPr>
            <w:rFonts w:asciiTheme="minorHAnsi" w:eastAsiaTheme="minorEastAsia" w:hAnsiTheme="minorHAnsi" w:cstheme="minorBidi"/>
            <w:noProof/>
            <w:sz w:val="22"/>
            <w:szCs w:val="22"/>
            <w:lang w:val="en-GB" w:eastAsia="en-GB"/>
          </w:rPr>
          <w:tab/>
        </w:r>
        <w:r w:rsidRPr="00A30B1E">
          <w:rPr>
            <w:rStyle w:val="Hyperlink"/>
            <w:noProof/>
          </w:rPr>
          <w:t>Poppy and Sesame Seeds</w:t>
        </w:r>
        <w:r>
          <w:rPr>
            <w:noProof/>
            <w:webHidden/>
          </w:rPr>
          <w:tab/>
        </w:r>
        <w:r>
          <w:rPr>
            <w:noProof/>
            <w:webHidden/>
          </w:rPr>
          <w:fldChar w:fldCharType="begin"/>
        </w:r>
        <w:r>
          <w:rPr>
            <w:noProof/>
            <w:webHidden/>
          </w:rPr>
          <w:instrText xml:space="preserve"> PAGEREF _Toc74904375 \h </w:instrText>
        </w:r>
        <w:r>
          <w:rPr>
            <w:noProof/>
            <w:webHidden/>
          </w:rPr>
        </w:r>
        <w:r>
          <w:rPr>
            <w:noProof/>
            <w:webHidden/>
          </w:rPr>
          <w:fldChar w:fldCharType="separate"/>
        </w:r>
        <w:r>
          <w:rPr>
            <w:noProof/>
            <w:webHidden/>
          </w:rPr>
          <w:t>52</w:t>
        </w:r>
        <w:r>
          <w:rPr>
            <w:noProof/>
            <w:webHidden/>
          </w:rPr>
          <w:fldChar w:fldCharType="end"/>
        </w:r>
      </w:hyperlink>
    </w:p>
    <w:p w14:paraId="3BCCF0A9" w14:textId="161AC4C7" w:rsidR="00AA0C2A" w:rsidRDefault="00AA0C2A">
      <w:pPr>
        <w:pStyle w:val="TOC3"/>
        <w:rPr>
          <w:rFonts w:asciiTheme="minorHAnsi" w:eastAsiaTheme="minorEastAsia" w:hAnsiTheme="minorHAnsi" w:cstheme="minorBidi"/>
          <w:noProof/>
          <w:sz w:val="22"/>
          <w:szCs w:val="22"/>
          <w:lang w:val="en-GB" w:eastAsia="en-GB"/>
        </w:rPr>
      </w:pPr>
      <w:hyperlink w:anchor="_Toc74904376" w:history="1">
        <w:r w:rsidRPr="00A30B1E">
          <w:rPr>
            <w:rStyle w:val="Hyperlink"/>
            <w:noProof/>
          </w:rPr>
          <w:t>10.5.4</w:t>
        </w:r>
        <w:r>
          <w:rPr>
            <w:rFonts w:asciiTheme="minorHAnsi" w:eastAsiaTheme="minorEastAsia" w:hAnsiTheme="minorHAnsi" w:cstheme="minorBidi"/>
            <w:noProof/>
            <w:sz w:val="22"/>
            <w:szCs w:val="22"/>
            <w:lang w:val="en-GB" w:eastAsia="en-GB"/>
          </w:rPr>
          <w:tab/>
        </w:r>
        <w:r w:rsidRPr="00A30B1E">
          <w:rPr>
            <w:rStyle w:val="Hyperlink"/>
            <w:noProof/>
          </w:rPr>
          <w:t>Other Life-Style Restrictions</w:t>
        </w:r>
        <w:r>
          <w:rPr>
            <w:noProof/>
            <w:webHidden/>
          </w:rPr>
          <w:tab/>
        </w:r>
        <w:r>
          <w:rPr>
            <w:noProof/>
            <w:webHidden/>
          </w:rPr>
          <w:fldChar w:fldCharType="begin"/>
        </w:r>
        <w:r>
          <w:rPr>
            <w:noProof/>
            <w:webHidden/>
          </w:rPr>
          <w:instrText xml:space="preserve"> PAGEREF _Toc74904376 \h </w:instrText>
        </w:r>
        <w:r>
          <w:rPr>
            <w:noProof/>
            <w:webHidden/>
          </w:rPr>
        </w:r>
        <w:r>
          <w:rPr>
            <w:noProof/>
            <w:webHidden/>
          </w:rPr>
          <w:fldChar w:fldCharType="separate"/>
        </w:r>
        <w:r>
          <w:rPr>
            <w:noProof/>
            <w:webHidden/>
          </w:rPr>
          <w:t>52</w:t>
        </w:r>
        <w:r>
          <w:rPr>
            <w:noProof/>
            <w:webHidden/>
          </w:rPr>
          <w:fldChar w:fldCharType="end"/>
        </w:r>
      </w:hyperlink>
    </w:p>
    <w:p w14:paraId="403966E7" w14:textId="5998711D" w:rsidR="00AA0C2A" w:rsidRDefault="00AA0C2A">
      <w:pPr>
        <w:pStyle w:val="TOC4"/>
        <w:rPr>
          <w:rFonts w:asciiTheme="minorHAnsi" w:eastAsiaTheme="minorEastAsia" w:hAnsiTheme="minorHAnsi" w:cstheme="minorBidi"/>
          <w:noProof/>
          <w:sz w:val="22"/>
          <w:szCs w:val="22"/>
          <w:lang w:val="en-GB" w:eastAsia="en-GB"/>
        </w:rPr>
      </w:pPr>
      <w:hyperlink w:anchor="_Toc74904377" w:history="1">
        <w:r w:rsidRPr="00A30B1E">
          <w:rPr>
            <w:rStyle w:val="Hyperlink"/>
            <w:noProof/>
          </w:rPr>
          <w:t>10.5.4.1</w:t>
        </w:r>
        <w:r>
          <w:rPr>
            <w:rFonts w:asciiTheme="minorHAnsi" w:eastAsiaTheme="minorEastAsia" w:hAnsiTheme="minorHAnsi" w:cstheme="minorBidi"/>
            <w:noProof/>
            <w:sz w:val="22"/>
            <w:szCs w:val="22"/>
            <w:lang w:val="en-GB" w:eastAsia="en-GB"/>
          </w:rPr>
          <w:tab/>
        </w:r>
        <w:r w:rsidRPr="00A30B1E">
          <w:rPr>
            <w:rStyle w:val="Hyperlink"/>
            <w:noProof/>
          </w:rPr>
          <w:t>Strenuous Exercise</w:t>
        </w:r>
        <w:r>
          <w:rPr>
            <w:noProof/>
            <w:webHidden/>
          </w:rPr>
          <w:tab/>
        </w:r>
        <w:r>
          <w:rPr>
            <w:noProof/>
            <w:webHidden/>
          </w:rPr>
          <w:fldChar w:fldCharType="begin"/>
        </w:r>
        <w:r>
          <w:rPr>
            <w:noProof/>
            <w:webHidden/>
          </w:rPr>
          <w:instrText xml:space="preserve"> PAGEREF _Toc74904377 \h </w:instrText>
        </w:r>
        <w:r>
          <w:rPr>
            <w:noProof/>
            <w:webHidden/>
          </w:rPr>
        </w:r>
        <w:r>
          <w:rPr>
            <w:noProof/>
            <w:webHidden/>
          </w:rPr>
          <w:fldChar w:fldCharType="separate"/>
        </w:r>
        <w:r>
          <w:rPr>
            <w:noProof/>
            <w:webHidden/>
          </w:rPr>
          <w:t>52</w:t>
        </w:r>
        <w:r>
          <w:rPr>
            <w:noProof/>
            <w:webHidden/>
          </w:rPr>
          <w:fldChar w:fldCharType="end"/>
        </w:r>
      </w:hyperlink>
    </w:p>
    <w:p w14:paraId="752D733F" w14:textId="271CF619" w:rsidR="00AA0C2A" w:rsidRDefault="00AA0C2A">
      <w:pPr>
        <w:pStyle w:val="TOC4"/>
        <w:rPr>
          <w:rFonts w:asciiTheme="minorHAnsi" w:eastAsiaTheme="minorEastAsia" w:hAnsiTheme="minorHAnsi" w:cstheme="minorBidi"/>
          <w:noProof/>
          <w:sz w:val="22"/>
          <w:szCs w:val="22"/>
          <w:lang w:val="en-GB" w:eastAsia="en-GB"/>
        </w:rPr>
      </w:pPr>
      <w:hyperlink w:anchor="_Toc74904378" w:history="1">
        <w:r w:rsidRPr="00A30B1E">
          <w:rPr>
            <w:rStyle w:val="Hyperlink"/>
            <w:noProof/>
          </w:rPr>
          <w:t>10.5.4.2</w:t>
        </w:r>
        <w:r>
          <w:rPr>
            <w:rFonts w:asciiTheme="minorHAnsi" w:eastAsiaTheme="minorEastAsia" w:hAnsiTheme="minorHAnsi" w:cstheme="minorBidi"/>
            <w:noProof/>
            <w:sz w:val="22"/>
            <w:szCs w:val="22"/>
            <w:lang w:val="en-GB" w:eastAsia="en-GB"/>
          </w:rPr>
          <w:tab/>
        </w:r>
        <w:r w:rsidRPr="00A30B1E">
          <w:rPr>
            <w:rStyle w:val="Hyperlink"/>
            <w:noProof/>
          </w:rPr>
          <w:t>Blood Donation</w:t>
        </w:r>
        <w:r>
          <w:rPr>
            <w:noProof/>
            <w:webHidden/>
          </w:rPr>
          <w:tab/>
        </w:r>
        <w:r>
          <w:rPr>
            <w:noProof/>
            <w:webHidden/>
          </w:rPr>
          <w:fldChar w:fldCharType="begin"/>
        </w:r>
        <w:r>
          <w:rPr>
            <w:noProof/>
            <w:webHidden/>
          </w:rPr>
          <w:instrText xml:space="preserve"> PAGEREF _Toc74904378 \h </w:instrText>
        </w:r>
        <w:r>
          <w:rPr>
            <w:noProof/>
            <w:webHidden/>
          </w:rPr>
        </w:r>
        <w:r>
          <w:rPr>
            <w:noProof/>
            <w:webHidden/>
          </w:rPr>
          <w:fldChar w:fldCharType="separate"/>
        </w:r>
        <w:r>
          <w:rPr>
            <w:noProof/>
            <w:webHidden/>
          </w:rPr>
          <w:t>52</w:t>
        </w:r>
        <w:r>
          <w:rPr>
            <w:noProof/>
            <w:webHidden/>
          </w:rPr>
          <w:fldChar w:fldCharType="end"/>
        </w:r>
      </w:hyperlink>
    </w:p>
    <w:p w14:paraId="6BAB3517" w14:textId="7C84FD84" w:rsidR="00AA0C2A" w:rsidRDefault="00AA0C2A">
      <w:pPr>
        <w:pStyle w:val="TOC4"/>
        <w:rPr>
          <w:rFonts w:asciiTheme="minorHAnsi" w:eastAsiaTheme="minorEastAsia" w:hAnsiTheme="minorHAnsi" w:cstheme="minorBidi"/>
          <w:noProof/>
          <w:sz w:val="22"/>
          <w:szCs w:val="22"/>
          <w:lang w:val="en-GB" w:eastAsia="en-GB"/>
        </w:rPr>
      </w:pPr>
      <w:hyperlink w:anchor="_Toc74904379" w:history="1">
        <w:r w:rsidRPr="00A30B1E">
          <w:rPr>
            <w:rStyle w:val="Hyperlink"/>
            <w:noProof/>
          </w:rPr>
          <w:t>10.5.4.3</w:t>
        </w:r>
        <w:r>
          <w:rPr>
            <w:rFonts w:asciiTheme="minorHAnsi" w:eastAsiaTheme="minorEastAsia" w:hAnsiTheme="minorHAnsi" w:cstheme="minorBidi"/>
            <w:noProof/>
            <w:sz w:val="22"/>
            <w:szCs w:val="22"/>
            <w:lang w:val="en-GB" w:eastAsia="en-GB"/>
          </w:rPr>
          <w:tab/>
        </w:r>
        <w:r w:rsidRPr="00A30B1E">
          <w:rPr>
            <w:rStyle w:val="Hyperlink"/>
            <w:noProof/>
          </w:rPr>
          <w:t>Phototoxicity</w:t>
        </w:r>
        <w:r>
          <w:rPr>
            <w:noProof/>
            <w:webHidden/>
          </w:rPr>
          <w:tab/>
        </w:r>
        <w:r>
          <w:rPr>
            <w:noProof/>
            <w:webHidden/>
          </w:rPr>
          <w:fldChar w:fldCharType="begin"/>
        </w:r>
        <w:r>
          <w:rPr>
            <w:noProof/>
            <w:webHidden/>
          </w:rPr>
          <w:instrText xml:space="preserve"> PAGEREF _Toc74904379 \h </w:instrText>
        </w:r>
        <w:r>
          <w:rPr>
            <w:noProof/>
            <w:webHidden/>
          </w:rPr>
        </w:r>
        <w:r>
          <w:rPr>
            <w:noProof/>
            <w:webHidden/>
          </w:rPr>
          <w:fldChar w:fldCharType="separate"/>
        </w:r>
        <w:r>
          <w:rPr>
            <w:noProof/>
            <w:webHidden/>
          </w:rPr>
          <w:t>52</w:t>
        </w:r>
        <w:r>
          <w:rPr>
            <w:noProof/>
            <w:webHidden/>
          </w:rPr>
          <w:fldChar w:fldCharType="end"/>
        </w:r>
      </w:hyperlink>
    </w:p>
    <w:p w14:paraId="2220A147" w14:textId="0D6A62FA" w:rsidR="00AA0C2A" w:rsidRDefault="00AA0C2A">
      <w:pPr>
        <w:pStyle w:val="TOC3"/>
        <w:rPr>
          <w:rFonts w:asciiTheme="minorHAnsi" w:eastAsiaTheme="minorEastAsia" w:hAnsiTheme="minorHAnsi" w:cstheme="minorBidi"/>
          <w:noProof/>
          <w:sz w:val="22"/>
          <w:szCs w:val="22"/>
          <w:lang w:val="en-GB" w:eastAsia="en-GB"/>
        </w:rPr>
      </w:pPr>
      <w:hyperlink w:anchor="_Toc74904380" w:history="1">
        <w:r w:rsidRPr="00A30B1E">
          <w:rPr>
            <w:rStyle w:val="Hyperlink"/>
            <w:noProof/>
          </w:rPr>
          <w:t>10.5.5</w:t>
        </w:r>
        <w:r>
          <w:rPr>
            <w:rFonts w:asciiTheme="minorHAnsi" w:eastAsiaTheme="minorEastAsia" w:hAnsiTheme="minorHAnsi" w:cstheme="minorBidi"/>
            <w:noProof/>
            <w:sz w:val="22"/>
            <w:szCs w:val="22"/>
            <w:lang w:val="en-GB" w:eastAsia="en-GB"/>
          </w:rPr>
          <w:tab/>
        </w:r>
        <w:r w:rsidRPr="00A30B1E">
          <w:rPr>
            <w:rStyle w:val="Hyperlink"/>
            <w:noProof/>
          </w:rPr>
          <w:t>Removal of Participants from Therapy or Assessment</w:t>
        </w:r>
        <w:r>
          <w:rPr>
            <w:noProof/>
            <w:webHidden/>
          </w:rPr>
          <w:tab/>
        </w:r>
        <w:r>
          <w:rPr>
            <w:noProof/>
            <w:webHidden/>
          </w:rPr>
          <w:fldChar w:fldCharType="begin"/>
        </w:r>
        <w:r>
          <w:rPr>
            <w:noProof/>
            <w:webHidden/>
          </w:rPr>
          <w:instrText xml:space="preserve"> PAGEREF _Toc74904380 \h </w:instrText>
        </w:r>
        <w:r>
          <w:rPr>
            <w:noProof/>
            <w:webHidden/>
          </w:rPr>
        </w:r>
        <w:r>
          <w:rPr>
            <w:noProof/>
            <w:webHidden/>
          </w:rPr>
          <w:fldChar w:fldCharType="separate"/>
        </w:r>
        <w:r>
          <w:rPr>
            <w:noProof/>
            <w:webHidden/>
          </w:rPr>
          <w:t>52</w:t>
        </w:r>
        <w:r>
          <w:rPr>
            <w:noProof/>
            <w:webHidden/>
          </w:rPr>
          <w:fldChar w:fldCharType="end"/>
        </w:r>
      </w:hyperlink>
    </w:p>
    <w:p w14:paraId="58D7E640" w14:textId="60B4CEC0" w:rsidR="00AA0C2A" w:rsidRDefault="00AA0C2A">
      <w:pPr>
        <w:pStyle w:val="TOC2"/>
        <w:rPr>
          <w:rFonts w:asciiTheme="minorHAnsi" w:eastAsiaTheme="minorEastAsia" w:hAnsiTheme="minorHAnsi" w:cstheme="minorBidi"/>
          <w:noProof/>
          <w:sz w:val="22"/>
          <w:szCs w:val="22"/>
          <w:lang w:val="en-GB" w:eastAsia="en-GB"/>
        </w:rPr>
      </w:pPr>
      <w:hyperlink w:anchor="_Toc74904381" w:history="1">
        <w:r w:rsidRPr="00A30B1E">
          <w:rPr>
            <w:rStyle w:val="Hyperlink"/>
            <w:noProof/>
          </w:rPr>
          <w:t>10.6</w:t>
        </w:r>
        <w:r>
          <w:rPr>
            <w:rFonts w:asciiTheme="minorHAnsi" w:eastAsiaTheme="minorEastAsia" w:hAnsiTheme="minorHAnsi" w:cstheme="minorBidi"/>
            <w:noProof/>
            <w:sz w:val="22"/>
            <w:szCs w:val="22"/>
            <w:lang w:val="en-GB" w:eastAsia="en-GB"/>
          </w:rPr>
          <w:tab/>
        </w:r>
        <w:r w:rsidRPr="00A30B1E">
          <w:rPr>
            <w:rStyle w:val="Hyperlink"/>
            <w:noProof/>
          </w:rPr>
          <w:t>Investigational Medicinal Product</w:t>
        </w:r>
        <w:r>
          <w:rPr>
            <w:noProof/>
            <w:webHidden/>
          </w:rPr>
          <w:tab/>
        </w:r>
        <w:r>
          <w:rPr>
            <w:noProof/>
            <w:webHidden/>
          </w:rPr>
          <w:fldChar w:fldCharType="begin"/>
        </w:r>
        <w:r>
          <w:rPr>
            <w:noProof/>
            <w:webHidden/>
          </w:rPr>
          <w:instrText xml:space="preserve"> PAGEREF _Toc74904381 \h </w:instrText>
        </w:r>
        <w:r>
          <w:rPr>
            <w:noProof/>
            <w:webHidden/>
          </w:rPr>
        </w:r>
        <w:r>
          <w:rPr>
            <w:noProof/>
            <w:webHidden/>
          </w:rPr>
          <w:fldChar w:fldCharType="separate"/>
        </w:r>
        <w:r>
          <w:rPr>
            <w:noProof/>
            <w:webHidden/>
          </w:rPr>
          <w:t>53</w:t>
        </w:r>
        <w:r>
          <w:rPr>
            <w:noProof/>
            <w:webHidden/>
          </w:rPr>
          <w:fldChar w:fldCharType="end"/>
        </w:r>
      </w:hyperlink>
    </w:p>
    <w:p w14:paraId="6DA90DB3" w14:textId="58681DEA" w:rsidR="00AA0C2A" w:rsidRDefault="00AA0C2A">
      <w:pPr>
        <w:pStyle w:val="TOC3"/>
        <w:rPr>
          <w:rFonts w:asciiTheme="minorHAnsi" w:eastAsiaTheme="minorEastAsia" w:hAnsiTheme="minorHAnsi" w:cstheme="minorBidi"/>
          <w:noProof/>
          <w:sz w:val="22"/>
          <w:szCs w:val="22"/>
          <w:lang w:val="en-GB" w:eastAsia="en-GB"/>
        </w:rPr>
      </w:pPr>
      <w:hyperlink w:anchor="_Toc74904382" w:history="1">
        <w:r w:rsidRPr="00A30B1E">
          <w:rPr>
            <w:rStyle w:val="Hyperlink"/>
            <w:noProof/>
          </w:rPr>
          <w:t>10.6.1</w:t>
        </w:r>
        <w:r>
          <w:rPr>
            <w:rFonts w:asciiTheme="minorHAnsi" w:eastAsiaTheme="minorEastAsia" w:hAnsiTheme="minorHAnsi" w:cstheme="minorBidi"/>
            <w:noProof/>
            <w:sz w:val="22"/>
            <w:szCs w:val="22"/>
            <w:lang w:val="en-GB" w:eastAsia="en-GB"/>
          </w:rPr>
          <w:tab/>
        </w:r>
        <w:r w:rsidRPr="00A30B1E">
          <w:rPr>
            <w:rStyle w:val="Hyperlink"/>
            <w:noProof/>
          </w:rPr>
          <w:t>Identity</w:t>
        </w:r>
        <w:r>
          <w:rPr>
            <w:noProof/>
            <w:webHidden/>
          </w:rPr>
          <w:tab/>
        </w:r>
        <w:r>
          <w:rPr>
            <w:noProof/>
            <w:webHidden/>
          </w:rPr>
          <w:fldChar w:fldCharType="begin"/>
        </w:r>
        <w:r>
          <w:rPr>
            <w:noProof/>
            <w:webHidden/>
          </w:rPr>
          <w:instrText xml:space="preserve"> PAGEREF _Toc74904382 \h </w:instrText>
        </w:r>
        <w:r>
          <w:rPr>
            <w:noProof/>
            <w:webHidden/>
          </w:rPr>
        </w:r>
        <w:r>
          <w:rPr>
            <w:noProof/>
            <w:webHidden/>
          </w:rPr>
          <w:fldChar w:fldCharType="separate"/>
        </w:r>
        <w:r>
          <w:rPr>
            <w:noProof/>
            <w:webHidden/>
          </w:rPr>
          <w:t>53</w:t>
        </w:r>
        <w:r>
          <w:rPr>
            <w:noProof/>
            <w:webHidden/>
          </w:rPr>
          <w:fldChar w:fldCharType="end"/>
        </w:r>
      </w:hyperlink>
    </w:p>
    <w:p w14:paraId="097F6DD0" w14:textId="0A6C7011" w:rsidR="00AA0C2A" w:rsidRDefault="00AA0C2A">
      <w:pPr>
        <w:pStyle w:val="TOC3"/>
        <w:rPr>
          <w:rFonts w:asciiTheme="minorHAnsi" w:eastAsiaTheme="minorEastAsia" w:hAnsiTheme="minorHAnsi" w:cstheme="minorBidi"/>
          <w:noProof/>
          <w:sz w:val="22"/>
          <w:szCs w:val="22"/>
          <w:lang w:val="en-GB" w:eastAsia="en-GB"/>
        </w:rPr>
      </w:pPr>
      <w:hyperlink w:anchor="_Toc74904383" w:history="1">
        <w:r w:rsidRPr="00A30B1E">
          <w:rPr>
            <w:rStyle w:val="Hyperlink"/>
            <w:noProof/>
          </w:rPr>
          <w:t>10.6.2</w:t>
        </w:r>
        <w:r>
          <w:rPr>
            <w:rFonts w:asciiTheme="minorHAnsi" w:eastAsiaTheme="minorEastAsia" w:hAnsiTheme="minorHAnsi" w:cstheme="minorBidi"/>
            <w:noProof/>
            <w:sz w:val="22"/>
            <w:szCs w:val="22"/>
            <w:lang w:val="en-GB" w:eastAsia="en-GB"/>
          </w:rPr>
          <w:tab/>
        </w:r>
        <w:r w:rsidRPr="00A30B1E">
          <w:rPr>
            <w:rStyle w:val="Hyperlink"/>
            <w:noProof/>
          </w:rPr>
          <w:t>Receipt and Storage</w:t>
        </w:r>
        <w:r>
          <w:rPr>
            <w:noProof/>
            <w:webHidden/>
          </w:rPr>
          <w:tab/>
        </w:r>
        <w:r>
          <w:rPr>
            <w:noProof/>
            <w:webHidden/>
          </w:rPr>
          <w:fldChar w:fldCharType="begin"/>
        </w:r>
        <w:r>
          <w:rPr>
            <w:noProof/>
            <w:webHidden/>
          </w:rPr>
          <w:instrText xml:space="preserve"> PAGEREF _Toc74904383 \h </w:instrText>
        </w:r>
        <w:r>
          <w:rPr>
            <w:noProof/>
            <w:webHidden/>
          </w:rPr>
        </w:r>
        <w:r>
          <w:rPr>
            <w:noProof/>
            <w:webHidden/>
          </w:rPr>
          <w:fldChar w:fldCharType="separate"/>
        </w:r>
        <w:r>
          <w:rPr>
            <w:noProof/>
            <w:webHidden/>
          </w:rPr>
          <w:t>54</w:t>
        </w:r>
        <w:r>
          <w:rPr>
            <w:noProof/>
            <w:webHidden/>
          </w:rPr>
          <w:fldChar w:fldCharType="end"/>
        </w:r>
      </w:hyperlink>
    </w:p>
    <w:p w14:paraId="78A479AF" w14:textId="4074EB67" w:rsidR="00AA0C2A" w:rsidRDefault="00AA0C2A">
      <w:pPr>
        <w:pStyle w:val="TOC3"/>
        <w:rPr>
          <w:rFonts w:asciiTheme="minorHAnsi" w:eastAsiaTheme="minorEastAsia" w:hAnsiTheme="minorHAnsi" w:cstheme="minorBidi"/>
          <w:noProof/>
          <w:sz w:val="22"/>
          <w:szCs w:val="22"/>
          <w:lang w:val="en-GB" w:eastAsia="en-GB"/>
        </w:rPr>
      </w:pPr>
      <w:hyperlink w:anchor="_Toc74904384" w:history="1">
        <w:r w:rsidRPr="00A30B1E">
          <w:rPr>
            <w:rStyle w:val="Hyperlink"/>
            <w:noProof/>
          </w:rPr>
          <w:t>10.6.3</w:t>
        </w:r>
        <w:r>
          <w:rPr>
            <w:rFonts w:asciiTheme="minorHAnsi" w:eastAsiaTheme="minorEastAsia" w:hAnsiTheme="minorHAnsi" w:cstheme="minorBidi"/>
            <w:noProof/>
            <w:sz w:val="22"/>
            <w:szCs w:val="22"/>
            <w:lang w:val="en-GB" w:eastAsia="en-GB"/>
          </w:rPr>
          <w:tab/>
        </w:r>
        <w:r w:rsidRPr="00A30B1E">
          <w:rPr>
            <w:rStyle w:val="Hyperlink"/>
            <w:bCs/>
            <w:noProof/>
          </w:rPr>
          <w:t>Manufacture and Release</w:t>
        </w:r>
        <w:r>
          <w:rPr>
            <w:noProof/>
            <w:webHidden/>
          </w:rPr>
          <w:tab/>
        </w:r>
        <w:r>
          <w:rPr>
            <w:noProof/>
            <w:webHidden/>
          </w:rPr>
          <w:fldChar w:fldCharType="begin"/>
        </w:r>
        <w:r>
          <w:rPr>
            <w:noProof/>
            <w:webHidden/>
          </w:rPr>
          <w:instrText xml:space="preserve"> PAGEREF _Toc74904384 \h </w:instrText>
        </w:r>
        <w:r>
          <w:rPr>
            <w:noProof/>
            <w:webHidden/>
          </w:rPr>
        </w:r>
        <w:r>
          <w:rPr>
            <w:noProof/>
            <w:webHidden/>
          </w:rPr>
          <w:fldChar w:fldCharType="separate"/>
        </w:r>
        <w:r>
          <w:rPr>
            <w:noProof/>
            <w:webHidden/>
          </w:rPr>
          <w:t>54</w:t>
        </w:r>
        <w:r>
          <w:rPr>
            <w:noProof/>
            <w:webHidden/>
          </w:rPr>
          <w:fldChar w:fldCharType="end"/>
        </w:r>
      </w:hyperlink>
    </w:p>
    <w:p w14:paraId="58DD2675" w14:textId="1FBED4E2" w:rsidR="00AA0C2A" w:rsidRDefault="00AA0C2A">
      <w:pPr>
        <w:pStyle w:val="TOC3"/>
        <w:rPr>
          <w:rFonts w:asciiTheme="minorHAnsi" w:eastAsiaTheme="minorEastAsia" w:hAnsiTheme="minorHAnsi" w:cstheme="minorBidi"/>
          <w:noProof/>
          <w:sz w:val="22"/>
          <w:szCs w:val="22"/>
          <w:lang w:val="en-GB" w:eastAsia="en-GB"/>
        </w:rPr>
      </w:pPr>
      <w:hyperlink w:anchor="_Toc74904385" w:history="1">
        <w:r w:rsidRPr="00A30B1E">
          <w:rPr>
            <w:rStyle w:val="Hyperlink"/>
            <w:noProof/>
          </w:rPr>
          <w:t>10.6.4</w:t>
        </w:r>
        <w:r>
          <w:rPr>
            <w:rFonts w:asciiTheme="minorHAnsi" w:eastAsiaTheme="minorEastAsia" w:hAnsiTheme="minorHAnsi" w:cstheme="minorBidi"/>
            <w:noProof/>
            <w:sz w:val="22"/>
            <w:szCs w:val="22"/>
            <w:lang w:val="en-GB" w:eastAsia="en-GB"/>
          </w:rPr>
          <w:tab/>
        </w:r>
        <w:r w:rsidRPr="00A30B1E">
          <w:rPr>
            <w:rStyle w:val="Hyperlink"/>
            <w:noProof/>
          </w:rPr>
          <w:t>Administration</w:t>
        </w:r>
        <w:r>
          <w:rPr>
            <w:noProof/>
            <w:webHidden/>
          </w:rPr>
          <w:tab/>
        </w:r>
        <w:r>
          <w:rPr>
            <w:noProof/>
            <w:webHidden/>
          </w:rPr>
          <w:fldChar w:fldCharType="begin"/>
        </w:r>
        <w:r>
          <w:rPr>
            <w:noProof/>
            <w:webHidden/>
          </w:rPr>
          <w:instrText xml:space="preserve"> PAGEREF _Toc74904385 \h </w:instrText>
        </w:r>
        <w:r>
          <w:rPr>
            <w:noProof/>
            <w:webHidden/>
          </w:rPr>
        </w:r>
        <w:r>
          <w:rPr>
            <w:noProof/>
            <w:webHidden/>
          </w:rPr>
          <w:fldChar w:fldCharType="separate"/>
        </w:r>
        <w:r>
          <w:rPr>
            <w:noProof/>
            <w:webHidden/>
          </w:rPr>
          <w:t>55</w:t>
        </w:r>
        <w:r>
          <w:rPr>
            <w:noProof/>
            <w:webHidden/>
          </w:rPr>
          <w:fldChar w:fldCharType="end"/>
        </w:r>
      </w:hyperlink>
    </w:p>
    <w:p w14:paraId="37194852" w14:textId="62E2831D" w:rsidR="00AA0C2A" w:rsidRDefault="00AA0C2A">
      <w:pPr>
        <w:pStyle w:val="TOC3"/>
        <w:rPr>
          <w:rFonts w:asciiTheme="minorHAnsi" w:eastAsiaTheme="minorEastAsia" w:hAnsiTheme="minorHAnsi" w:cstheme="minorBidi"/>
          <w:noProof/>
          <w:sz w:val="22"/>
          <w:szCs w:val="22"/>
          <w:lang w:val="en-GB" w:eastAsia="en-GB"/>
        </w:rPr>
      </w:pPr>
      <w:hyperlink w:anchor="_Toc74904386" w:history="1">
        <w:r w:rsidRPr="00A30B1E">
          <w:rPr>
            <w:rStyle w:val="Hyperlink"/>
            <w:noProof/>
          </w:rPr>
          <w:t>10.6.5</w:t>
        </w:r>
        <w:r>
          <w:rPr>
            <w:rFonts w:asciiTheme="minorHAnsi" w:eastAsiaTheme="minorEastAsia" w:hAnsiTheme="minorHAnsi" w:cstheme="minorBidi"/>
            <w:noProof/>
            <w:sz w:val="22"/>
            <w:szCs w:val="22"/>
            <w:lang w:val="en-GB" w:eastAsia="en-GB"/>
          </w:rPr>
          <w:tab/>
        </w:r>
        <w:r w:rsidRPr="00A30B1E">
          <w:rPr>
            <w:rStyle w:val="Hyperlink"/>
            <w:noProof/>
          </w:rPr>
          <w:t>Return/Destruction</w:t>
        </w:r>
        <w:r>
          <w:rPr>
            <w:noProof/>
            <w:webHidden/>
          </w:rPr>
          <w:tab/>
        </w:r>
        <w:r>
          <w:rPr>
            <w:noProof/>
            <w:webHidden/>
          </w:rPr>
          <w:fldChar w:fldCharType="begin"/>
        </w:r>
        <w:r>
          <w:rPr>
            <w:noProof/>
            <w:webHidden/>
          </w:rPr>
          <w:instrText xml:space="preserve"> PAGEREF _Toc74904386 \h </w:instrText>
        </w:r>
        <w:r>
          <w:rPr>
            <w:noProof/>
            <w:webHidden/>
          </w:rPr>
        </w:r>
        <w:r>
          <w:rPr>
            <w:noProof/>
            <w:webHidden/>
          </w:rPr>
          <w:fldChar w:fldCharType="separate"/>
        </w:r>
        <w:r>
          <w:rPr>
            <w:noProof/>
            <w:webHidden/>
          </w:rPr>
          <w:t>55</w:t>
        </w:r>
        <w:r>
          <w:rPr>
            <w:noProof/>
            <w:webHidden/>
          </w:rPr>
          <w:fldChar w:fldCharType="end"/>
        </w:r>
      </w:hyperlink>
    </w:p>
    <w:p w14:paraId="5FF84841" w14:textId="6F9A1A3C" w:rsidR="00AA0C2A" w:rsidRDefault="00AA0C2A">
      <w:pPr>
        <w:pStyle w:val="TOC3"/>
        <w:rPr>
          <w:rFonts w:asciiTheme="minorHAnsi" w:eastAsiaTheme="minorEastAsia" w:hAnsiTheme="minorHAnsi" w:cstheme="minorBidi"/>
          <w:noProof/>
          <w:sz w:val="22"/>
          <w:szCs w:val="22"/>
          <w:lang w:val="en-GB" w:eastAsia="en-GB"/>
        </w:rPr>
      </w:pPr>
      <w:hyperlink w:anchor="_Toc74904387" w:history="1">
        <w:r w:rsidRPr="00A30B1E">
          <w:rPr>
            <w:rStyle w:val="Hyperlink"/>
            <w:noProof/>
          </w:rPr>
          <w:t>10.6.6</w:t>
        </w:r>
        <w:r>
          <w:rPr>
            <w:rFonts w:asciiTheme="minorHAnsi" w:eastAsiaTheme="minorEastAsia" w:hAnsiTheme="minorHAnsi" w:cstheme="minorBidi"/>
            <w:noProof/>
            <w:sz w:val="22"/>
            <w:szCs w:val="22"/>
            <w:lang w:val="en-GB" w:eastAsia="en-GB"/>
          </w:rPr>
          <w:tab/>
        </w:r>
        <w:r w:rsidRPr="00A30B1E">
          <w:rPr>
            <w:rStyle w:val="Hyperlink"/>
            <w:noProof/>
          </w:rPr>
          <w:t>Method of Assigning Participants to Treatment Groups</w:t>
        </w:r>
        <w:r>
          <w:rPr>
            <w:noProof/>
            <w:webHidden/>
          </w:rPr>
          <w:tab/>
        </w:r>
        <w:r>
          <w:rPr>
            <w:noProof/>
            <w:webHidden/>
          </w:rPr>
          <w:fldChar w:fldCharType="begin"/>
        </w:r>
        <w:r>
          <w:rPr>
            <w:noProof/>
            <w:webHidden/>
          </w:rPr>
          <w:instrText xml:space="preserve"> PAGEREF _Toc74904387 \h </w:instrText>
        </w:r>
        <w:r>
          <w:rPr>
            <w:noProof/>
            <w:webHidden/>
          </w:rPr>
        </w:r>
        <w:r>
          <w:rPr>
            <w:noProof/>
            <w:webHidden/>
          </w:rPr>
          <w:fldChar w:fldCharType="separate"/>
        </w:r>
        <w:r>
          <w:rPr>
            <w:noProof/>
            <w:webHidden/>
          </w:rPr>
          <w:t>55</w:t>
        </w:r>
        <w:r>
          <w:rPr>
            <w:noProof/>
            <w:webHidden/>
          </w:rPr>
          <w:fldChar w:fldCharType="end"/>
        </w:r>
      </w:hyperlink>
    </w:p>
    <w:p w14:paraId="52F8D6FB" w14:textId="35D25BFD" w:rsidR="00AA0C2A" w:rsidRDefault="00AA0C2A">
      <w:pPr>
        <w:pStyle w:val="TOC3"/>
        <w:rPr>
          <w:rFonts w:asciiTheme="minorHAnsi" w:eastAsiaTheme="minorEastAsia" w:hAnsiTheme="minorHAnsi" w:cstheme="minorBidi"/>
          <w:noProof/>
          <w:sz w:val="22"/>
          <w:szCs w:val="22"/>
          <w:lang w:val="en-GB" w:eastAsia="en-GB"/>
        </w:rPr>
      </w:pPr>
      <w:hyperlink w:anchor="_Toc74904388" w:history="1">
        <w:r w:rsidRPr="00A30B1E">
          <w:rPr>
            <w:rStyle w:val="Hyperlink"/>
            <w:noProof/>
          </w:rPr>
          <w:t>10.6.7</w:t>
        </w:r>
        <w:r>
          <w:rPr>
            <w:rFonts w:asciiTheme="minorHAnsi" w:eastAsiaTheme="minorEastAsia" w:hAnsiTheme="minorHAnsi" w:cstheme="minorBidi"/>
            <w:noProof/>
            <w:sz w:val="22"/>
            <w:szCs w:val="22"/>
            <w:lang w:val="en-GB" w:eastAsia="en-GB"/>
          </w:rPr>
          <w:tab/>
        </w:r>
        <w:r w:rsidRPr="00A30B1E">
          <w:rPr>
            <w:rStyle w:val="Hyperlink"/>
            <w:noProof/>
          </w:rPr>
          <w:t>Selection of Doses in the Study</w:t>
        </w:r>
        <w:r>
          <w:rPr>
            <w:noProof/>
            <w:webHidden/>
          </w:rPr>
          <w:tab/>
        </w:r>
        <w:r>
          <w:rPr>
            <w:noProof/>
            <w:webHidden/>
          </w:rPr>
          <w:fldChar w:fldCharType="begin"/>
        </w:r>
        <w:r>
          <w:rPr>
            <w:noProof/>
            <w:webHidden/>
          </w:rPr>
          <w:instrText xml:space="preserve"> PAGEREF _Toc74904388 \h </w:instrText>
        </w:r>
        <w:r>
          <w:rPr>
            <w:noProof/>
            <w:webHidden/>
          </w:rPr>
        </w:r>
        <w:r>
          <w:rPr>
            <w:noProof/>
            <w:webHidden/>
          </w:rPr>
          <w:fldChar w:fldCharType="separate"/>
        </w:r>
        <w:r>
          <w:rPr>
            <w:noProof/>
            <w:webHidden/>
          </w:rPr>
          <w:t>56</w:t>
        </w:r>
        <w:r>
          <w:rPr>
            <w:noProof/>
            <w:webHidden/>
          </w:rPr>
          <w:fldChar w:fldCharType="end"/>
        </w:r>
      </w:hyperlink>
    </w:p>
    <w:p w14:paraId="2F5C2E35" w14:textId="0BC4603D" w:rsidR="00AA0C2A" w:rsidRDefault="00AA0C2A">
      <w:pPr>
        <w:pStyle w:val="TOC4"/>
        <w:rPr>
          <w:rFonts w:asciiTheme="minorHAnsi" w:eastAsiaTheme="minorEastAsia" w:hAnsiTheme="minorHAnsi" w:cstheme="minorBidi"/>
          <w:noProof/>
          <w:sz w:val="22"/>
          <w:szCs w:val="22"/>
          <w:lang w:val="en-GB" w:eastAsia="en-GB"/>
        </w:rPr>
      </w:pPr>
      <w:hyperlink w:anchor="_Toc74904389" w:history="1">
        <w:r w:rsidRPr="00A30B1E">
          <w:rPr>
            <w:rStyle w:val="Hyperlink"/>
            <w:noProof/>
          </w:rPr>
          <w:t>10.6.7.1</w:t>
        </w:r>
        <w:r>
          <w:rPr>
            <w:rFonts w:asciiTheme="minorHAnsi" w:eastAsiaTheme="minorEastAsia" w:hAnsiTheme="minorHAnsi" w:cstheme="minorBidi"/>
            <w:noProof/>
            <w:sz w:val="22"/>
            <w:szCs w:val="22"/>
            <w:lang w:val="en-GB" w:eastAsia="en-GB"/>
          </w:rPr>
          <w:tab/>
        </w:r>
        <w:r w:rsidRPr="00A30B1E">
          <w:rPr>
            <w:rStyle w:val="Hyperlink"/>
            <w:noProof/>
          </w:rPr>
          <w:t>Starting Dose</w:t>
        </w:r>
        <w:r>
          <w:rPr>
            <w:noProof/>
            <w:webHidden/>
          </w:rPr>
          <w:tab/>
        </w:r>
        <w:r>
          <w:rPr>
            <w:noProof/>
            <w:webHidden/>
          </w:rPr>
          <w:fldChar w:fldCharType="begin"/>
        </w:r>
        <w:r>
          <w:rPr>
            <w:noProof/>
            <w:webHidden/>
          </w:rPr>
          <w:instrText xml:space="preserve"> PAGEREF _Toc74904389 \h </w:instrText>
        </w:r>
        <w:r>
          <w:rPr>
            <w:noProof/>
            <w:webHidden/>
          </w:rPr>
        </w:r>
        <w:r>
          <w:rPr>
            <w:noProof/>
            <w:webHidden/>
          </w:rPr>
          <w:fldChar w:fldCharType="separate"/>
        </w:r>
        <w:r>
          <w:rPr>
            <w:noProof/>
            <w:webHidden/>
          </w:rPr>
          <w:t>56</w:t>
        </w:r>
        <w:r>
          <w:rPr>
            <w:noProof/>
            <w:webHidden/>
          </w:rPr>
          <w:fldChar w:fldCharType="end"/>
        </w:r>
      </w:hyperlink>
    </w:p>
    <w:p w14:paraId="7E65649E" w14:textId="26E2B855" w:rsidR="00AA0C2A" w:rsidRDefault="00AA0C2A">
      <w:pPr>
        <w:pStyle w:val="TOC4"/>
        <w:rPr>
          <w:rFonts w:asciiTheme="minorHAnsi" w:eastAsiaTheme="minorEastAsia" w:hAnsiTheme="minorHAnsi" w:cstheme="minorBidi"/>
          <w:noProof/>
          <w:sz w:val="22"/>
          <w:szCs w:val="22"/>
          <w:lang w:val="en-GB" w:eastAsia="en-GB"/>
        </w:rPr>
      </w:pPr>
      <w:hyperlink w:anchor="_Toc74904390" w:history="1">
        <w:r w:rsidRPr="00A30B1E">
          <w:rPr>
            <w:rStyle w:val="Hyperlink"/>
            <w:noProof/>
          </w:rPr>
          <w:t>10.6.7.2</w:t>
        </w:r>
        <w:r>
          <w:rPr>
            <w:rFonts w:asciiTheme="minorHAnsi" w:eastAsiaTheme="minorEastAsia" w:hAnsiTheme="minorHAnsi" w:cstheme="minorBidi"/>
            <w:noProof/>
            <w:sz w:val="22"/>
            <w:szCs w:val="22"/>
            <w:lang w:val="en-GB" w:eastAsia="en-GB"/>
          </w:rPr>
          <w:tab/>
        </w:r>
        <w:r w:rsidRPr="00A30B1E">
          <w:rPr>
            <w:rStyle w:val="Hyperlink"/>
            <w:noProof/>
          </w:rPr>
          <w:t>Dose Range to be Investigated</w:t>
        </w:r>
        <w:r>
          <w:rPr>
            <w:noProof/>
            <w:webHidden/>
          </w:rPr>
          <w:tab/>
        </w:r>
        <w:r>
          <w:rPr>
            <w:noProof/>
            <w:webHidden/>
          </w:rPr>
          <w:fldChar w:fldCharType="begin"/>
        </w:r>
        <w:r>
          <w:rPr>
            <w:noProof/>
            <w:webHidden/>
          </w:rPr>
          <w:instrText xml:space="preserve"> PAGEREF _Toc74904390 \h </w:instrText>
        </w:r>
        <w:r>
          <w:rPr>
            <w:noProof/>
            <w:webHidden/>
          </w:rPr>
        </w:r>
        <w:r>
          <w:rPr>
            <w:noProof/>
            <w:webHidden/>
          </w:rPr>
          <w:fldChar w:fldCharType="separate"/>
        </w:r>
        <w:r>
          <w:rPr>
            <w:noProof/>
            <w:webHidden/>
          </w:rPr>
          <w:t>56</w:t>
        </w:r>
        <w:r>
          <w:rPr>
            <w:noProof/>
            <w:webHidden/>
          </w:rPr>
          <w:fldChar w:fldCharType="end"/>
        </w:r>
      </w:hyperlink>
    </w:p>
    <w:p w14:paraId="12D1F88A" w14:textId="7654877B" w:rsidR="00AA0C2A" w:rsidRDefault="00AA0C2A">
      <w:pPr>
        <w:pStyle w:val="TOC4"/>
        <w:rPr>
          <w:rFonts w:asciiTheme="minorHAnsi" w:eastAsiaTheme="minorEastAsia" w:hAnsiTheme="minorHAnsi" w:cstheme="minorBidi"/>
          <w:noProof/>
          <w:sz w:val="22"/>
          <w:szCs w:val="22"/>
          <w:lang w:val="en-GB" w:eastAsia="en-GB"/>
        </w:rPr>
      </w:pPr>
      <w:hyperlink w:anchor="_Toc74904391" w:history="1">
        <w:r w:rsidRPr="00A30B1E">
          <w:rPr>
            <w:rStyle w:val="Hyperlink"/>
            <w:noProof/>
          </w:rPr>
          <w:t>10.6.7.3</w:t>
        </w:r>
        <w:r>
          <w:rPr>
            <w:rFonts w:asciiTheme="minorHAnsi" w:eastAsiaTheme="minorEastAsia" w:hAnsiTheme="minorHAnsi" w:cstheme="minorBidi"/>
            <w:noProof/>
            <w:sz w:val="22"/>
            <w:szCs w:val="22"/>
            <w:lang w:val="en-GB" w:eastAsia="en-GB"/>
          </w:rPr>
          <w:tab/>
        </w:r>
        <w:r w:rsidRPr="00A30B1E">
          <w:rPr>
            <w:rStyle w:val="Hyperlink"/>
            <w:noProof/>
          </w:rPr>
          <w:t>Dose Escalation Increments</w:t>
        </w:r>
        <w:r>
          <w:rPr>
            <w:noProof/>
            <w:webHidden/>
          </w:rPr>
          <w:tab/>
        </w:r>
        <w:r>
          <w:rPr>
            <w:noProof/>
            <w:webHidden/>
          </w:rPr>
          <w:fldChar w:fldCharType="begin"/>
        </w:r>
        <w:r>
          <w:rPr>
            <w:noProof/>
            <w:webHidden/>
          </w:rPr>
          <w:instrText xml:space="preserve"> PAGEREF _Toc74904391 \h </w:instrText>
        </w:r>
        <w:r>
          <w:rPr>
            <w:noProof/>
            <w:webHidden/>
          </w:rPr>
        </w:r>
        <w:r>
          <w:rPr>
            <w:noProof/>
            <w:webHidden/>
          </w:rPr>
          <w:fldChar w:fldCharType="separate"/>
        </w:r>
        <w:r>
          <w:rPr>
            <w:noProof/>
            <w:webHidden/>
          </w:rPr>
          <w:t>57</w:t>
        </w:r>
        <w:r>
          <w:rPr>
            <w:noProof/>
            <w:webHidden/>
          </w:rPr>
          <w:fldChar w:fldCharType="end"/>
        </w:r>
      </w:hyperlink>
    </w:p>
    <w:p w14:paraId="1C38726B" w14:textId="03CFDBC2" w:rsidR="00AA0C2A" w:rsidRDefault="00AA0C2A">
      <w:pPr>
        <w:pStyle w:val="TOC3"/>
        <w:rPr>
          <w:rFonts w:asciiTheme="minorHAnsi" w:eastAsiaTheme="minorEastAsia" w:hAnsiTheme="minorHAnsi" w:cstheme="minorBidi"/>
          <w:noProof/>
          <w:sz w:val="22"/>
          <w:szCs w:val="22"/>
          <w:lang w:val="en-GB" w:eastAsia="en-GB"/>
        </w:rPr>
      </w:pPr>
      <w:hyperlink w:anchor="_Toc74904392" w:history="1">
        <w:r w:rsidRPr="00A30B1E">
          <w:rPr>
            <w:rStyle w:val="Hyperlink"/>
            <w:noProof/>
          </w:rPr>
          <w:t>10.6.8</w:t>
        </w:r>
        <w:r>
          <w:rPr>
            <w:rFonts w:asciiTheme="minorHAnsi" w:eastAsiaTheme="minorEastAsia" w:hAnsiTheme="minorHAnsi" w:cstheme="minorBidi"/>
            <w:noProof/>
            <w:sz w:val="22"/>
            <w:szCs w:val="22"/>
            <w:lang w:val="en-GB" w:eastAsia="en-GB"/>
          </w:rPr>
          <w:tab/>
        </w:r>
        <w:r w:rsidRPr="00A30B1E">
          <w:rPr>
            <w:rStyle w:val="Hyperlink"/>
            <w:noProof/>
          </w:rPr>
          <w:t>Timing of Dose for Each Participant</w:t>
        </w:r>
        <w:r>
          <w:rPr>
            <w:noProof/>
            <w:webHidden/>
          </w:rPr>
          <w:tab/>
        </w:r>
        <w:r>
          <w:rPr>
            <w:noProof/>
            <w:webHidden/>
          </w:rPr>
          <w:fldChar w:fldCharType="begin"/>
        </w:r>
        <w:r>
          <w:rPr>
            <w:noProof/>
            <w:webHidden/>
          </w:rPr>
          <w:instrText xml:space="preserve"> PAGEREF _Toc74904392 \h </w:instrText>
        </w:r>
        <w:r>
          <w:rPr>
            <w:noProof/>
            <w:webHidden/>
          </w:rPr>
        </w:r>
        <w:r>
          <w:rPr>
            <w:noProof/>
            <w:webHidden/>
          </w:rPr>
          <w:fldChar w:fldCharType="separate"/>
        </w:r>
        <w:r>
          <w:rPr>
            <w:noProof/>
            <w:webHidden/>
          </w:rPr>
          <w:t>57</w:t>
        </w:r>
        <w:r>
          <w:rPr>
            <w:noProof/>
            <w:webHidden/>
          </w:rPr>
          <w:fldChar w:fldCharType="end"/>
        </w:r>
      </w:hyperlink>
    </w:p>
    <w:p w14:paraId="3C8A33C2" w14:textId="2052786D" w:rsidR="00AA0C2A" w:rsidRDefault="00AA0C2A">
      <w:pPr>
        <w:pStyle w:val="TOC3"/>
        <w:rPr>
          <w:rFonts w:asciiTheme="minorHAnsi" w:eastAsiaTheme="minorEastAsia" w:hAnsiTheme="minorHAnsi" w:cstheme="minorBidi"/>
          <w:noProof/>
          <w:sz w:val="22"/>
          <w:szCs w:val="22"/>
          <w:lang w:val="en-GB" w:eastAsia="en-GB"/>
        </w:rPr>
      </w:pPr>
      <w:hyperlink w:anchor="_Toc74904393" w:history="1">
        <w:r w:rsidRPr="00A30B1E">
          <w:rPr>
            <w:rStyle w:val="Hyperlink"/>
            <w:noProof/>
          </w:rPr>
          <w:t>10.6.9</w:t>
        </w:r>
        <w:r>
          <w:rPr>
            <w:rFonts w:asciiTheme="minorHAnsi" w:eastAsiaTheme="minorEastAsia" w:hAnsiTheme="minorHAnsi" w:cstheme="minorBidi"/>
            <w:noProof/>
            <w:sz w:val="22"/>
            <w:szCs w:val="22"/>
            <w:lang w:val="en-GB" w:eastAsia="en-GB"/>
          </w:rPr>
          <w:tab/>
        </w:r>
        <w:r w:rsidRPr="00A30B1E">
          <w:rPr>
            <w:rStyle w:val="Hyperlink"/>
            <w:noProof/>
          </w:rPr>
          <w:t>Blinding</w:t>
        </w:r>
        <w:r>
          <w:rPr>
            <w:noProof/>
            <w:webHidden/>
          </w:rPr>
          <w:tab/>
        </w:r>
        <w:r>
          <w:rPr>
            <w:noProof/>
            <w:webHidden/>
          </w:rPr>
          <w:fldChar w:fldCharType="begin"/>
        </w:r>
        <w:r>
          <w:rPr>
            <w:noProof/>
            <w:webHidden/>
          </w:rPr>
          <w:instrText xml:space="preserve"> PAGEREF _Toc74904393 \h </w:instrText>
        </w:r>
        <w:r>
          <w:rPr>
            <w:noProof/>
            <w:webHidden/>
          </w:rPr>
        </w:r>
        <w:r>
          <w:rPr>
            <w:noProof/>
            <w:webHidden/>
          </w:rPr>
          <w:fldChar w:fldCharType="separate"/>
        </w:r>
        <w:r>
          <w:rPr>
            <w:noProof/>
            <w:webHidden/>
          </w:rPr>
          <w:t>58</w:t>
        </w:r>
        <w:r>
          <w:rPr>
            <w:noProof/>
            <w:webHidden/>
          </w:rPr>
          <w:fldChar w:fldCharType="end"/>
        </w:r>
      </w:hyperlink>
    </w:p>
    <w:p w14:paraId="1CF07EDB" w14:textId="613B7DEA" w:rsidR="00AA0C2A" w:rsidRDefault="00AA0C2A">
      <w:pPr>
        <w:pStyle w:val="TOC3"/>
        <w:rPr>
          <w:rFonts w:asciiTheme="minorHAnsi" w:eastAsiaTheme="minorEastAsia" w:hAnsiTheme="minorHAnsi" w:cstheme="minorBidi"/>
          <w:noProof/>
          <w:sz w:val="22"/>
          <w:szCs w:val="22"/>
          <w:lang w:val="en-GB" w:eastAsia="en-GB"/>
        </w:rPr>
      </w:pPr>
      <w:hyperlink w:anchor="_Toc74904394" w:history="1">
        <w:r w:rsidRPr="00A30B1E">
          <w:rPr>
            <w:rStyle w:val="Hyperlink"/>
            <w:noProof/>
          </w:rPr>
          <w:t>10.6.10</w:t>
        </w:r>
        <w:r>
          <w:rPr>
            <w:rFonts w:asciiTheme="minorHAnsi" w:eastAsiaTheme="minorEastAsia" w:hAnsiTheme="minorHAnsi" w:cstheme="minorBidi"/>
            <w:noProof/>
            <w:sz w:val="22"/>
            <w:szCs w:val="22"/>
            <w:lang w:val="en-GB" w:eastAsia="en-GB"/>
          </w:rPr>
          <w:tab/>
        </w:r>
        <w:r w:rsidRPr="00A30B1E">
          <w:rPr>
            <w:rStyle w:val="Hyperlink"/>
            <w:noProof/>
          </w:rPr>
          <w:t>Prior and Concomitant Therapy</w:t>
        </w:r>
        <w:r>
          <w:rPr>
            <w:noProof/>
            <w:webHidden/>
          </w:rPr>
          <w:tab/>
        </w:r>
        <w:r>
          <w:rPr>
            <w:noProof/>
            <w:webHidden/>
          </w:rPr>
          <w:fldChar w:fldCharType="begin"/>
        </w:r>
        <w:r>
          <w:rPr>
            <w:noProof/>
            <w:webHidden/>
          </w:rPr>
          <w:instrText xml:space="preserve"> PAGEREF _Toc74904394 \h </w:instrText>
        </w:r>
        <w:r>
          <w:rPr>
            <w:noProof/>
            <w:webHidden/>
          </w:rPr>
        </w:r>
        <w:r>
          <w:rPr>
            <w:noProof/>
            <w:webHidden/>
          </w:rPr>
          <w:fldChar w:fldCharType="separate"/>
        </w:r>
        <w:r>
          <w:rPr>
            <w:noProof/>
            <w:webHidden/>
          </w:rPr>
          <w:t>58</w:t>
        </w:r>
        <w:r>
          <w:rPr>
            <w:noProof/>
            <w:webHidden/>
          </w:rPr>
          <w:fldChar w:fldCharType="end"/>
        </w:r>
      </w:hyperlink>
    </w:p>
    <w:p w14:paraId="513F682E" w14:textId="527E268B" w:rsidR="00AA0C2A" w:rsidRDefault="00AA0C2A">
      <w:pPr>
        <w:pStyle w:val="TOC3"/>
        <w:rPr>
          <w:rFonts w:asciiTheme="minorHAnsi" w:eastAsiaTheme="minorEastAsia" w:hAnsiTheme="minorHAnsi" w:cstheme="minorBidi"/>
          <w:noProof/>
          <w:sz w:val="22"/>
          <w:szCs w:val="22"/>
          <w:lang w:val="en-GB" w:eastAsia="en-GB"/>
        </w:rPr>
      </w:pPr>
      <w:hyperlink w:anchor="_Toc74904395" w:history="1">
        <w:r w:rsidRPr="00A30B1E">
          <w:rPr>
            <w:rStyle w:val="Hyperlink"/>
            <w:noProof/>
          </w:rPr>
          <w:t>10.6.11</w:t>
        </w:r>
        <w:r>
          <w:rPr>
            <w:rFonts w:asciiTheme="minorHAnsi" w:eastAsiaTheme="minorEastAsia" w:hAnsiTheme="minorHAnsi" w:cstheme="minorBidi"/>
            <w:noProof/>
            <w:sz w:val="22"/>
            <w:szCs w:val="22"/>
            <w:lang w:val="en-GB" w:eastAsia="en-GB"/>
          </w:rPr>
          <w:tab/>
        </w:r>
        <w:r w:rsidRPr="00A30B1E">
          <w:rPr>
            <w:rStyle w:val="Hyperlink"/>
            <w:noProof/>
          </w:rPr>
          <w:t>Emergency Treatment</w:t>
        </w:r>
        <w:r>
          <w:rPr>
            <w:noProof/>
            <w:webHidden/>
          </w:rPr>
          <w:tab/>
        </w:r>
        <w:r>
          <w:rPr>
            <w:noProof/>
            <w:webHidden/>
          </w:rPr>
          <w:fldChar w:fldCharType="begin"/>
        </w:r>
        <w:r>
          <w:rPr>
            <w:noProof/>
            <w:webHidden/>
          </w:rPr>
          <w:instrText xml:space="preserve"> PAGEREF _Toc74904395 \h </w:instrText>
        </w:r>
        <w:r>
          <w:rPr>
            <w:noProof/>
            <w:webHidden/>
          </w:rPr>
        </w:r>
        <w:r>
          <w:rPr>
            <w:noProof/>
            <w:webHidden/>
          </w:rPr>
          <w:fldChar w:fldCharType="separate"/>
        </w:r>
        <w:r>
          <w:rPr>
            <w:noProof/>
            <w:webHidden/>
          </w:rPr>
          <w:t>59</w:t>
        </w:r>
        <w:r>
          <w:rPr>
            <w:noProof/>
            <w:webHidden/>
          </w:rPr>
          <w:fldChar w:fldCharType="end"/>
        </w:r>
      </w:hyperlink>
    </w:p>
    <w:p w14:paraId="088C97A3" w14:textId="2ECA3253" w:rsidR="00AA0C2A" w:rsidRDefault="00AA0C2A">
      <w:pPr>
        <w:pStyle w:val="TOC3"/>
        <w:rPr>
          <w:rFonts w:asciiTheme="minorHAnsi" w:eastAsiaTheme="minorEastAsia" w:hAnsiTheme="minorHAnsi" w:cstheme="minorBidi"/>
          <w:noProof/>
          <w:sz w:val="22"/>
          <w:szCs w:val="22"/>
          <w:lang w:val="en-GB" w:eastAsia="en-GB"/>
        </w:rPr>
      </w:pPr>
      <w:hyperlink w:anchor="_Toc74904396" w:history="1">
        <w:r w:rsidRPr="00A30B1E">
          <w:rPr>
            <w:rStyle w:val="Hyperlink"/>
            <w:noProof/>
          </w:rPr>
          <w:t>10.6.12</w:t>
        </w:r>
        <w:r>
          <w:rPr>
            <w:rFonts w:asciiTheme="minorHAnsi" w:eastAsiaTheme="minorEastAsia" w:hAnsiTheme="minorHAnsi" w:cstheme="minorBidi"/>
            <w:noProof/>
            <w:sz w:val="22"/>
            <w:szCs w:val="22"/>
            <w:lang w:val="en-GB" w:eastAsia="en-GB"/>
          </w:rPr>
          <w:tab/>
        </w:r>
        <w:r w:rsidRPr="00A30B1E">
          <w:rPr>
            <w:rStyle w:val="Hyperlink"/>
            <w:noProof/>
          </w:rPr>
          <w:t>Treatment Compliance</w:t>
        </w:r>
        <w:r>
          <w:rPr>
            <w:noProof/>
            <w:webHidden/>
          </w:rPr>
          <w:tab/>
        </w:r>
        <w:r>
          <w:rPr>
            <w:noProof/>
            <w:webHidden/>
          </w:rPr>
          <w:fldChar w:fldCharType="begin"/>
        </w:r>
        <w:r>
          <w:rPr>
            <w:noProof/>
            <w:webHidden/>
          </w:rPr>
          <w:instrText xml:space="preserve"> PAGEREF _Toc74904396 \h </w:instrText>
        </w:r>
        <w:r>
          <w:rPr>
            <w:noProof/>
            <w:webHidden/>
          </w:rPr>
        </w:r>
        <w:r>
          <w:rPr>
            <w:noProof/>
            <w:webHidden/>
          </w:rPr>
          <w:fldChar w:fldCharType="separate"/>
        </w:r>
        <w:r>
          <w:rPr>
            <w:noProof/>
            <w:webHidden/>
          </w:rPr>
          <w:t>60</w:t>
        </w:r>
        <w:r>
          <w:rPr>
            <w:noProof/>
            <w:webHidden/>
          </w:rPr>
          <w:fldChar w:fldCharType="end"/>
        </w:r>
      </w:hyperlink>
    </w:p>
    <w:p w14:paraId="14A20369" w14:textId="3E31B245" w:rsidR="00AA0C2A" w:rsidRDefault="00AA0C2A">
      <w:pPr>
        <w:pStyle w:val="TOC2"/>
        <w:rPr>
          <w:rFonts w:asciiTheme="minorHAnsi" w:eastAsiaTheme="minorEastAsia" w:hAnsiTheme="minorHAnsi" w:cstheme="minorBidi"/>
          <w:noProof/>
          <w:sz w:val="22"/>
          <w:szCs w:val="22"/>
          <w:lang w:val="en-GB" w:eastAsia="en-GB"/>
        </w:rPr>
      </w:pPr>
      <w:hyperlink w:anchor="_Toc74904397" w:history="1">
        <w:r w:rsidRPr="00A30B1E">
          <w:rPr>
            <w:rStyle w:val="Hyperlink"/>
            <w:noProof/>
          </w:rPr>
          <w:t>10.7</w:t>
        </w:r>
        <w:r>
          <w:rPr>
            <w:rFonts w:asciiTheme="minorHAnsi" w:eastAsiaTheme="minorEastAsia" w:hAnsiTheme="minorHAnsi" w:cstheme="minorBidi"/>
            <w:noProof/>
            <w:sz w:val="22"/>
            <w:szCs w:val="22"/>
            <w:lang w:val="en-GB" w:eastAsia="en-GB"/>
          </w:rPr>
          <w:tab/>
        </w:r>
        <w:r w:rsidRPr="00A30B1E">
          <w:rPr>
            <w:rStyle w:val="Hyperlink"/>
            <w:noProof/>
          </w:rPr>
          <w:t>Efficacy and Safety Variables</w:t>
        </w:r>
        <w:r>
          <w:rPr>
            <w:noProof/>
            <w:webHidden/>
          </w:rPr>
          <w:tab/>
        </w:r>
        <w:r>
          <w:rPr>
            <w:noProof/>
            <w:webHidden/>
          </w:rPr>
          <w:fldChar w:fldCharType="begin"/>
        </w:r>
        <w:r>
          <w:rPr>
            <w:noProof/>
            <w:webHidden/>
          </w:rPr>
          <w:instrText xml:space="preserve"> PAGEREF _Toc74904397 \h </w:instrText>
        </w:r>
        <w:r>
          <w:rPr>
            <w:noProof/>
            <w:webHidden/>
          </w:rPr>
        </w:r>
        <w:r>
          <w:rPr>
            <w:noProof/>
            <w:webHidden/>
          </w:rPr>
          <w:fldChar w:fldCharType="separate"/>
        </w:r>
        <w:r>
          <w:rPr>
            <w:noProof/>
            <w:webHidden/>
          </w:rPr>
          <w:t>60</w:t>
        </w:r>
        <w:r>
          <w:rPr>
            <w:noProof/>
            <w:webHidden/>
          </w:rPr>
          <w:fldChar w:fldCharType="end"/>
        </w:r>
      </w:hyperlink>
    </w:p>
    <w:p w14:paraId="266999A7" w14:textId="33023F7C" w:rsidR="00AA0C2A" w:rsidRDefault="00AA0C2A">
      <w:pPr>
        <w:pStyle w:val="TOC3"/>
        <w:rPr>
          <w:rFonts w:asciiTheme="minorHAnsi" w:eastAsiaTheme="minorEastAsia" w:hAnsiTheme="minorHAnsi" w:cstheme="minorBidi"/>
          <w:noProof/>
          <w:sz w:val="22"/>
          <w:szCs w:val="22"/>
          <w:lang w:val="en-GB" w:eastAsia="en-GB"/>
        </w:rPr>
      </w:pPr>
      <w:hyperlink w:anchor="_Toc74904398" w:history="1">
        <w:r w:rsidRPr="00A30B1E">
          <w:rPr>
            <w:rStyle w:val="Hyperlink"/>
            <w:noProof/>
          </w:rPr>
          <w:t>10.7.1</w:t>
        </w:r>
        <w:r>
          <w:rPr>
            <w:rFonts w:asciiTheme="minorHAnsi" w:eastAsiaTheme="minorEastAsia" w:hAnsiTheme="minorHAnsi" w:cstheme="minorBidi"/>
            <w:noProof/>
            <w:sz w:val="22"/>
            <w:szCs w:val="22"/>
            <w:lang w:val="en-GB" w:eastAsia="en-GB"/>
          </w:rPr>
          <w:tab/>
        </w:r>
        <w:r w:rsidRPr="00A30B1E">
          <w:rPr>
            <w:rStyle w:val="Hyperlink"/>
            <w:noProof/>
          </w:rPr>
          <w:t>Efficacy and Safety Measurements Assessed and Flow Chart</w:t>
        </w:r>
        <w:r>
          <w:rPr>
            <w:noProof/>
            <w:webHidden/>
          </w:rPr>
          <w:tab/>
        </w:r>
        <w:r>
          <w:rPr>
            <w:noProof/>
            <w:webHidden/>
          </w:rPr>
          <w:fldChar w:fldCharType="begin"/>
        </w:r>
        <w:r>
          <w:rPr>
            <w:noProof/>
            <w:webHidden/>
          </w:rPr>
          <w:instrText xml:space="preserve"> PAGEREF _Toc74904398 \h </w:instrText>
        </w:r>
        <w:r>
          <w:rPr>
            <w:noProof/>
            <w:webHidden/>
          </w:rPr>
        </w:r>
        <w:r>
          <w:rPr>
            <w:noProof/>
            <w:webHidden/>
          </w:rPr>
          <w:fldChar w:fldCharType="separate"/>
        </w:r>
        <w:r>
          <w:rPr>
            <w:noProof/>
            <w:webHidden/>
          </w:rPr>
          <w:t>60</w:t>
        </w:r>
        <w:r>
          <w:rPr>
            <w:noProof/>
            <w:webHidden/>
          </w:rPr>
          <w:fldChar w:fldCharType="end"/>
        </w:r>
      </w:hyperlink>
    </w:p>
    <w:p w14:paraId="3C387296" w14:textId="45531BBA" w:rsidR="00AA0C2A" w:rsidRDefault="00AA0C2A">
      <w:pPr>
        <w:pStyle w:val="TOC3"/>
        <w:rPr>
          <w:rFonts w:asciiTheme="minorHAnsi" w:eastAsiaTheme="minorEastAsia" w:hAnsiTheme="minorHAnsi" w:cstheme="minorBidi"/>
          <w:noProof/>
          <w:sz w:val="22"/>
          <w:szCs w:val="22"/>
          <w:lang w:val="en-GB" w:eastAsia="en-GB"/>
        </w:rPr>
      </w:pPr>
      <w:hyperlink w:anchor="_Toc74904399" w:history="1">
        <w:r w:rsidRPr="00A30B1E">
          <w:rPr>
            <w:rStyle w:val="Hyperlink"/>
            <w:noProof/>
          </w:rPr>
          <w:t>10.7.2</w:t>
        </w:r>
        <w:r>
          <w:rPr>
            <w:rFonts w:asciiTheme="minorHAnsi" w:eastAsiaTheme="minorEastAsia" w:hAnsiTheme="minorHAnsi" w:cstheme="minorBidi"/>
            <w:noProof/>
            <w:sz w:val="22"/>
            <w:szCs w:val="22"/>
            <w:lang w:val="en-GB" w:eastAsia="en-GB"/>
          </w:rPr>
          <w:tab/>
        </w:r>
        <w:r w:rsidRPr="00A30B1E">
          <w:rPr>
            <w:rStyle w:val="Hyperlink"/>
            <w:noProof/>
          </w:rPr>
          <w:t>Demographic and Background Assessments</w:t>
        </w:r>
        <w:r>
          <w:rPr>
            <w:noProof/>
            <w:webHidden/>
          </w:rPr>
          <w:tab/>
        </w:r>
        <w:r>
          <w:rPr>
            <w:noProof/>
            <w:webHidden/>
          </w:rPr>
          <w:fldChar w:fldCharType="begin"/>
        </w:r>
        <w:r>
          <w:rPr>
            <w:noProof/>
            <w:webHidden/>
          </w:rPr>
          <w:instrText xml:space="preserve"> PAGEREF _Toc74904399 \h </w:instrText>
        </w:r>
        <w:r>
          <w:rPr>
            <w:noProof/>
            <w:webHidden/>
          </w:rPr>
        </w:r>
        <w:r>
          <w:rPr>
            <w:noProof/>
            <w:webHidden/>
          </w:rPr>
          <w:fldChar w:fldCharType="separate"/>
        </w:r>
        <w:r>
          <w:rPr>
            <w:noProof/>
            <w:webHidden/>
          </w:rPr>
          <w:t>64</w:t>
        </w:r>
        <w:r>
          <w:rPr>
            <w:noProof/>
            <w:webHidden/>
          </w:rPr>
          <w:fldChar w:fldCharType="end"/>
        </w:r>
      </w:hyperlink>
    </w:p>
    <w:p w14:paraId="5C90B2F1" w14:textId="486D99F9" w:rsidR="00AA0C2A" w:rsidRDefault="00AA0C2A">
      <w:pPr>
        <w:pStyle w:val="TOC4"/>
        <w:rPr>
          <w:rFonts w:asciiTheme="minorHAnsi" w:eastAsiaTheme="minorEastAsia" w:hAnsiTheme="minorHAnsi" w:cstheme="minorBidi"/>
          <w:noProof/>
          <w:sz w:val="22"/>
          <w:szCs w:val="22"/>
          <w:lang w:val="en-GB" w:eastAsia="en-GB"/>
        </w:rPr>
      </w:pPr>
      <w:hyperlink w:anchor="_Toc74904400" w:history="1">
        <w:r w:rsidRPr="00A30B1E">
          <w:rPr>
            <w:rStyle w:val="Hyperlink"/>
            <w:noProof/>
          </w:rPr>
          <w:t>10.7.2.1</w:t>
        </w:r>
        <w:r>
          <w:rPr>
            <w:rFonts w:asciiTheme="minorHAnsi" w:eastAsiaTheme="minorEastAsia" w:hAnsiTheme="minorHAnsi" w:cstheme="minorBidi"/>
            <w:noProof/>
            <w:sz w:val="22"/>
            <w:szCs w:val="22"/>
            <w:lang w:val="en-GB" w:eastAsia="en-GB"/>
          </w:rPr>
          <w:tab/>
        </w:r>
        <w:r w:rsidRPr="00A30B1E">
          <w:rPr>
            <w:rStyle w:val="Hyperlink"/>
            <w:noProof/>
          </w:rPr>
          <w:t>Demographics</w:t>
        </w:r>
        <w:r>
          <w:rPr>
            <w:noProof/>
            <w:webHidden/>
          </w:rPr>
          <w:tab/>
        </w:r>
        <w:r>
          <w:rPr>
            <w:noProof/>
            <w:webHidden/>
          </w:rPr>
          <w:fldChar w:fldCharType="begin"/>
        </w:r>
        <w:r>
          <w:rPr>
            <w:noProof/>
            <w:webHidden/>
          </w:rPr>
          <w:instrText xml:space="preserve"> PAGEREF _Toc74904400 \h </w:instrText>
        </w:r>
        <w:r>
          <w:rPr>
            <w:noProof/>
            <w:webHidden/>
          </w:rPr>
        </w:r>
        <w:r>
          <w:rPr>
            <w:noProof/>
            <w:webHidden/>
          </w:rPr>
          <w:fldChar w:fldCharType="separate"/>
        </w:r>
        <w:r>
          <w:rPr>
            <w:noProof/>
            <w:webHidden/>
          </w:rPr>
          <w:t>64</w:t>
        </w:r>
        <w:r>
          <w:rPr>
            <w:noProof/>
            <w:webHidden/>
          </w:rPr>
          <w:fldChar w:fldCharType="end"/>
        </w:r>
      </w:hyperlink>
    </w:p>
    <w:p w14:paraId="362DA836" w14:textId="5C06E2A1" w:rsidR="00AA0C2A" w:rsidRDefault="00AA0C2A">
      <w:pPr>
        <w:pStyle w:val="TOC4"/>
        <w:rPr>
          <w:rFonts w:asciiTheme="minorHAnsi" w:eastAsiaTheme="minorEastAsia" w:hAnsiTheme="minorHAnsi" w:cstheme="minorBidi"/>
          <w:noProof/>
          <w:sz w:val="22"/>
          <w:szCs w:val="22"/>
          <w:lang w:val="en-GB" w:eastAsia="en-GB"/>
        </w:rPr>
      </w:pPr>
      <w:hyperlink w:anchor="_Toc74904401" w:history="1">
        <w:r w:rsidRPr="00A30B1E">
          <w:rPr>
            <w:rStyle w:val="Hyperlink"/>
            <w:noProof/>
          </w:rPr>
          <w:t>10.7.2.2</w:t>
        </w:r>
        <w:r>
          <w:rPr>
            <w:rFonts w:asciiTheme="minorHAnsi" w:eastAsiaTheme="minorEastAsia" w:hAnsiTheme="minorHAnsi" w:cstheme="minorBidi"/>
            <w:noProof/>
            <w:sz w:val="22"/>
            <w:szCs w:val="22"/>
            <w:lang w:val="en-GB" w:eastAsia="en-GB"/>
          </w:rPr>
          <w:tab/>
        </w:r>
        <w:r w:rsidRPr="00A30B1E">
          <w:rPr>
            <w:rStyle w:val="Hyperlink"/>
            <w:noProof/>
          </w:rPr>
          <w:t>Medical and Surgical History</w:t>
        </w:r>
        <w:r>
          <w:rPr>
            <w:noProof/>
            <w:webHidden/>
          </w:rPr>
          <w:tab/>
        </w:r>
        <w:r>
          <w:rPr>
            <w:noProof/>
            <w:webHidden/>
          </w:rPr>
          <w:fldChar w:fldCharType="begin"/>
        </w:r>
        <w:r>
          <w:rPr>
            <w:noProof/>
            <w:webHidden/>
          </w:rPr>
          <w:instrText xml:space="preserve"> PAGEREF _Toc74904401 \h </w:instrText>
        </w:r>
        <w:r>
          <w:rPr>
            <w:noProof/>
            <w:webHidden/>
          </w:rPr>
        </w:r>
        <w:r>
          <w:rPr>
            <w:noProof/>
            <w:webHidden/>
          </w:rPr>
          <w:fldChar w:fldCharType="separate"/>
        </w:r>
        <w:r>
          <w:rPr>
            <w:noProof/>
            <w:webHidden/>
          </w:rPr>
          <w:t>64</w:t>
        </w:r>
        <w:r>
          <w:rPr>
            <w:noProof/>
            <w:webHidden/>
          </w:rPr>
          <w:fldChar w:fldCharType="end"/>
        </w:r>
      </w:hyperlink>
    </w:p>
    <w:p w14:paraId="109ADF3C" w14:textId="77CDE9B4" w:rsidR="00AA0C2A" w:rsidRDefault="00AA0C2A">
      <w:pPr>
        <w:pStyle w:val="TOC4"/>
        <w:rPr>
          <w:rFonts w:asciiTheme="minorHAnsi" w:eastAsiaTheme="minorEastAsia" w:hAnsiTheme="minorHAnsi" w:cstheme="minorBidi"/>
          <w:noProof/>
          <w:sz w:val="22"/>
          <w:szCs w:val="22"/>
          <w:lang w:val="en-GB" w:eastAsia="en-GB"/>
        </w:rPr>
      </w:pPr>
      <w:hyperlink w:anchor="_Toc74904402" w:history="1">
        <w:r w:rsidRPr="00A30B1E">
          <w:rPr>
            <w:rStyle w:val="Hyperlink"/>
            <w:noProof/>
          </w:rPr>
          <w:t>10.7.2.3</w:t>
        </w:r>
        <w:r>
          <w:rPr>
            <w:rFonts w:asciiTheme="minorHAnsi" w:eastAsiaTheme="minorEastAsia" w:hAnsiTheme="minorHAnsi" w:cstheme="minorBidi"/>
            <w:noProof/>
            <w:sz w:val="22"/>
            <w:szCs w:val="22"/>
            <w:lang w:val="en-GB" w:eastAsia="en-GB"/>
          </w:rPr>
          <w:tab/>
        </w:r>
        <w:r w:rsidRPr="00A30B1E">
          <w:rPr>
            <w:rStyle w:val="Hyperlink"/>
            <w:noProof/>
          </w:rPr>
          <w:t>Virology Tests</w:t>
        </w:r>
        <w:r>
          <w:rPr>
            <w:noProof/>
            <w:webHidden/>
          </w:rPr>
          <w:tab/>
        </w:r>
        <w:r>
          <w:rPr>
            <w:noProof/>
            <w:webHidden/>
          </w:rPr>
          <w:fldChar w:fldCharType="begin"/>
        </w:r>
        <w:r>
          <w:rPr>
            <w:noProof/>
            <w:webHidden/>
          </w:rPr>
          <w:instrText xml:space="preserve"> PAGEREF _Toc74904402 \h </w:instrText>
        </w:r>
        <w:r>
          <w:rPr>
            <w:noProof/>
            <w:webHidden/>
          </w:rPr>
        </w:r>
        <w:r>
          <w:rPr>
            <w:noProof/>
            <w:webHidden/>
          </w:rPr>
          <w:fldChar w:fldCharType="separate"/>
        </w:r>
        <w:r>
          <w:rPr>
            <w:noProof/>
            <w:webHidden/>
          </w:rPr>
          <w:t>64</w:t>
        </w:r>
        <w:r>
          <w:rPr>
            <w:noProof/>
            <w:webHidden/>
          </w:rPr>
          <w:fldChar w:fldCharType="end"/>
        </w:r>
      </w:hyperlink>
    </w:p>
    <w:p w14:paraId="2072BC71" w14:textId="0B982019" w:rsidR="00AA0C2A" w:rsidRDefault="00AA0C2A">
      <w:pPr>
        <w:pStyle w:val="TOC4"/>
        <w:rPr>
          <w:rFonts w:asciiTheme="minorHAnsi" w:eastAsiaTheme="minorEastAsia" w:hAnsiTheme="minorHAnsi" w:cstheme="minorBidi"/>
          <w:noProof/>
          <w:sz w:val="22"/>
          <w:szCs w:val="22"/>
          <w:lang w:val="en-GB" w:eastAsia="en-GB"/>
        </w:rPr>
      </w:pPr>
      <w:hyperlink w:anchor="_Toc74904403" w:history="1">
        <w:r w:rsidRPr="00A30B1E">
          <w:rPr>
            <w:rStyle w:val="Hyperlink"/>
            <w:noProof/>
          </w:rPr>
          <w:t>10.7.2.4</w:t>
        </w:r>
        <w:r>
          <w:rPr>
            <w:rFonts w:asciiTheme="minorHAnsi" w:eastAsiaTheme="minorEastAsia" w:hAnsiTheme="minorHAnsi" w:cstheme="minorBidi"/>
            <w:noProof/>
            <w:sz w:val="22"/>
            <w:szCs w:val="22"/>
            <w:lang w:val="en-GB" w:eastAsia="en-GB"/>
          </w:rPr>
          <w:tab/>
        </w:r>
        <w:r w:rsidRPr="00A30B1E">
          <w:rPr>
            <w:rStyle w:val="Hyperlink"/>
            <w:noProof/>
          </w:rPr>
          <w:t>COVID-19 PCR Testing:</w:t>
        </w:r>
        <w:r>
          <w:rPr>
            <w:noProof/>
            <w:webHidden/>
          </w:rPr>
          <w:tab/>
        </w:r>
        <w:r>
          <w:rPr>
            <w:noProof/>
            <w:webHidden/>
          </w:rPr>
          <w:fldChar w:fldCharType="begin"/>
        </w:r>
        <w:r>
          <w:rPr>
            <w:noProof/>
            <w:webHidden/>
          </w:rPr>
          <w:instrText xml:space="preserve"> PAGEREF _Toc74904403 \h </w:instrText>
        </w:r>
        <w:r>
          <w:rPr>
            <w:noProof/>
            <w:webHidden/>
          </w:rPr>
        </w:r>
        <w:r>
          <w:rPr>
            <w:noProof/>
            <w:webHidden/>
          </w:rPr>
          <w:fldChar w:fldCharType="separate"/>
        </w:r>
        <w:r>
          <w:rPr>
            <w:noProof/>
            <w:webHidden/>
          </w:rPr>
          <w:t>64</w:t>
        </w:r>
        <w:r>
          <w:rPr>
            <w:noProof/>
            <w:webHidden/>
          </w:rPr>
          <w:fldChar w:fldCharType="end"/>
        </w:r>
      </w:hyperlink>
    </w:p>
    <w:p w14:paraId="6CB40501" w14:textId="767E0B26" w:rsidR="00AA0C2A" w:rsidRDefault="00AA0C2A">
      <w:pPr>
        <w:pStyle w:val="TOC4"/>
        <w:rPr>
          <w:rFonts w:asciiTheme="minorHAnsi" w:eastAsiaTheme="minorEastAsia" w:hAnsiTheme="minorHAnsi" w:cstheme="minorBidi"/>
          <w:noProof/>
          <w:sz w:val="22"/>
          <w:szCs w:val="22"/>
          <w:lang w:val="en-GB" w:eastAsia="en-GB"/>
        </w:rPr>
      </w:pPr>
      <w:hyperlink w:anchor="_Toc74904404" w:history="1">
        <w:r w:rsidRPr="00A30B1E">
          <w:rPr>
            <w:rStyle w:val="Hyperlink"/>
            <w:noProof/>
          </w:rPr>
          <w:t>10.7.2.5</w:t>
        </w:r>
        <w:r>
          <w:rPr>
            <w:rFonts w:asciiTheme="minorHAnsi" w:eastAsiaTheme="minorEastAsia" w:hAnsiTheme="minorHAnsi" w:cstheme="minorBidi"/>
            <w:noProof/>
            <w:sz w:val="22"/>
            <w:szCs w:val="22"/>
            <w:lang w:val="en-GB" w:eastAsia="en-GB"/>
          </w:rPr>
          <w:tab/>
        </w:r>
        <w:r w:rsidRPr="00A30B1E">
          <w:rPr>
            <w:rStyle w:val="Hyperlink"/>
            <w:noProof/>
          </w:rPr>
          <w:t>Drugs of Abuse (including Alcohol and Cotinine)</w:t>
        </w:r>
        <w:r>
          <w:rPr>
            <w:noProof/>
            <w:webHidden/>
          </w:rPr>
          <w:tab/>
        </w:r>
        <w:r>
          <w:rPr>
            <w:noProof/>
            <w:webHidden/>
          </w:rPr>
          <w:fldChar w:fldCharType="begin"/>
        </w:r>
        <w:r>
          <w:rPr>
            <w:noProof/>
            <w:webHidden/>
          </w:rPr>
          <w:instrText xml:space="preserve"> PAGEREF _Toc74904404 \h </w:instrText>
        </w:r>
        <w:r>
          <w:rPr>
            <w:noProof/>
            <w:webHidden/>
          </w:rPr>
        </w:r>
        <w:r>
          <w:rPr>
            <w:noProof/>
            <w:webHidden/>
          </w:rPr>
          <w:fldChar w:fldCharType="separate"/>
        </w:r>
        <w:r>
          <w:rPr>
            <w:noProof/>
            <w:webHidden/>
          </w:rPr>
          <w:t>64</w:t>
        </w:r>
        <w:r>
          <w:rPr>
            <w:noProof/>
            <w:webHidden/>
          </w:rPr>
          <w:fldChar w:fldCharType="end"/>
        </w:r>
      </w:hyperlink>
    </w:p>
    <w:p w14:paraId="5130DBEB" w14:textId="034372AB" w:rsidR="00AA0C2A" w:rsidRDefault="00AA0C2A">
      <w:pPr>
        <w:pStyle w:val="TOC4"/>
        <w:rPr>
          <w:rFonts w:asciiTheme="minorHAnsi" w:eastAsiaTheme="minorEastAsia" w:hAnsiTheme="minorHAnsi" w:cstheme="minorBidi"/>
          <w:noProof/>
          <w:sz w:val="22"/>
          <w:szCs w:val="22"/>
          <w:lang w:val="en-GB" w:eastAsia="en-GB"/>
        </w:rPr>
      </w:pPr>
      <w:hyperlink w:anchor="_Toc74904405" w:history="1">
        <w:r w:rsidRPr="00A30B1E">
          <w:rPr>
            <w:rStyle w:val="Hyperlink"/>
            <w:noProof/>
          </w:rPr>
          <w:t>10.7.2.6</w:t>
        </w:r>
        <w:r>
          <w:rPr>
            <w:rFonts w:asciiTheme="minorHAnsi" w:eastAsiaTheme="minorEastAsia" w:hAnsiTheme="minorHAnsi" w:cstheme="minorBidi"/>
            <w:noProof/>
            <w:sz w:val="22"/>
            <w:szCs w:val="22"/>
            <w:lang w:val="en-GB" w:eastAsia="en-GB"/>
          </w:rPr>
          <w:tab/>
        </w:r>
        <w:r w:rsidRPr="00A30B1E">
          <w:rPr>
            <w:rStyle w:val="Hyperlink"/>
            <w:noProof/>
          </w:rPr>
          <w:t>Compliance with Inclusion/Exclusion Criteria</w:t>
        </w:r>
        <w:r>
          <w:rPr>
            <w:noProof/>
            <w:webHidden/>
          </w:rPr>
          <w:tab/>
        </w:r>
        <w:r>
          <w:rPr>
            <w:noProof/>
            <w:webHidden/>
          </w:rPr>
          <w:fldChar w:fldCharType="begin"/>
        </w:r>
        <w:r>
          <w:rPr>
            <w:noProof/>
            <w:webHidden/>
          </w:rPr>
          <w:instrText xml:space="preserve"> PAGEREF _Toc74904405 \h </w:instrText>
        </w:r>
        <w:r>
          <w:rPr>
            <w:noProof/>
            <w:webHidden/>
          </w:rPr>
        </w:r>
        <w:r>
          <w:rPr>
            <w:noProof/>
            <w:webHidden/>
          </w:rPr>
          <w:fldChar w:fldCharType="separate"/>
        </w:r>
        <w:r>
          <w:rPr>
            <w:noProof/>
            <w:webHidden/>
          </w:rPr>
          <w:t>65</w:t>
        </w:r>
        <w:r>
          <w:rPr>
            <w:noProof/>
            <w:webHidden/>
          </w:rPr>
          <w:fldChar w:fldCharType="end"/>
        </w:r>
      </w:hyperlink>
    </w:p>
    <w:p w14:paraId="5A719738" w14:textId="0045BBBC" w:rsidR="00AA0C2A" w:rsidRDefault="00AA0C2A">
      <w:pPr>
        <w:pStyle w:val="TOC3"/>
        <w:rPr>
          <w:rFonts w:asciiTheme="minorHAnsi" w:eastAsiaTheme="minorEastAsia" w:hAnsiTheme="minorHAnsi" w:cstheme="minorBidi"/>
          <w:noProof/>
          <w:sz w:val="22"/>
          <w:szCs w:val="22"/>
          <w:lang w:val="en-GB" w:eastAsia="en-GB"/>
        </w:rPr>
      </w:pPr>
      <w:hyperlink w:anchor="_Toc74904406" w:history="1">
        <w:r w:rsidRPr="00A30B1E">
          <w:rPr>
            <w:rStyle w:val="Hyperlink"/>
            <w:noProof/>
          </w:rPr>
          <w:t>10.7.3</w:t>
        </w:r>
        <w:r>
          <w:rPr>
            <w:rFonts w:asciiTheme="minorHAnsi" w:eastAsiaTheme="minorEastAsia" w:hAnsiTheme="minorHAnsi" w:cstheme="minorBidi"/>
            <w:noProof/>
            <w:sz w:val="22"/>
            <w:szCs w:val="22"/>
            <w:lang w:val="en-GB" w:eastAsia="en-GB"/>
          </w:rPr>
          <w:tab/>
        </w:r>
        <w:r w:rsidRPr="00A30B1E">
          <w:rPr>
            <w:rStyle w:val="Hyperlink"/>
            <w:noProof/>
          </w:rPr>
          <w:t>Efficacy Assessments</w:t>
        </w:r>
        <w:r>
          <w:rPr>
            <w:noProof/>
            <w:webHidden/>
          </w:rPr>
          <w:tab/>
        </w:r>
        <w:r>
          <w:rPr>
            <w:noProof/>
            <w:webHidden/>
          </w:rPr>
          <w:fldChar w:fldCharType="begin"/>
        </w:r>
        <w:r>
          <w:rPr>
            <w:noProof/>
            <w:webHidden/>
          </w:rPr>
          <w:instrText xml:space="preserve"> PAGEREF _Toc74904406 \h </w:instrText>
        </w:r>
        <w:r>
          <w:rPr>
            <w:noProof/>
            <w:webHidden/>
          </w:rPr>
        </w:r>
        <w:r>
          <w:rPr>
            <w:noProof/>
            <w:webHidden/>
          </w:rPr>
          <w:fldChar w:fldCharType="separate"/>
        </w:r>
        <w:r>
          <w:rPr>
            <w:noProof/>
            <w:webHidden/>
          </w:rPr>
          <w:t>65</w:t>
        </w:r>
        <w:r>
          <w:rPr>
            <w:noProof/>
            <w:webHidden/>
          </w:rPr>
          <w:fldChar w:fldCharType="end"/>
        </w:r>
      </w:hyperlink>
    </w:p>
    <w:p w14:paraId="52C318CF" w14:textId="6ABD4821" w:rsidR="00AA0C2A" w:rsidRDefault="00AA0C2A">
      <w:pPr>
        <w:pStyle w:val="TOC3"/>
        <w:rPr>
          <w:rFonts w:asciiTheme="minorHAnsi" w:eastAsiaTheme="minorEastAsia" w:hAnsiTheme="minorHAnsi" w:cstheme="minorBidi"/>
          <w:noProof/>
          <w:sz w:val="22"/>
          <w:szCs w:val="22"/>
          <w:lang w:val="en-GB" w:eastAsia="en-GB"/>
        </w:rPr>
      </w:pPr>
      <w:hyperlink w:anchor="_Toc74904407" w:history="1">
        <w:r w:rsidRPr="00A30B1E">
          <w:rPr>
            <w:rStyle w:val="Hyperlink"/>
            <w:noProof/>
          </w:rPr>
          <w:t>10.7.4</w:t>
        </w:r>
        <w:r>
          <w:rPr>
            <w:rFonts w:asciiTheme="minorHAnsi" w:eastAsiaTheme="minorEastAsia" w:hAnsiTheme="minorHAnsi" w:cstheme="minorBidi"/>
            <w:noProof/>
            <w:sz w:val="22"/>
            <w:szCs w:val="22"/>
            <w:lang w:val="en-GB" w:eastAsia="en-GB"/>
          </w:rPr>
          <w:tab/>
        </w:r>
        <w:r w:rsidRPr="00A30B1E">
          <w:rPr>
            <w:rStyle w:val="Hyperlink"/>
            <w:noProof/>
          </w:rPr>
          <w:t>Safety Assessments</w:t>
        </w:r>
        <w:r>
          <w:rPr>
            <w:noProof/>
            <w:webHidden/>
          </w:rPr>
          <w:tab/>
        </w:r>
        <w:r>
          <w:rPr>
            <w:noProof/>
            <w:webHidden/>
          </w:rPr>
          <w:fldChar w:fldCharType="begin"/>
        </w:r>
        <w:r>
          <w:rPr>
            <w:noProof/>
            <w:webHidden/>
          </w:rPr>
          <w:instrText xml:space="preserve"> PAGEREF _Toc74904407 \h </w:instrText>
        </w:r>
        <w:r>
          <w:rPr>
            <w:noProof/>
            <w:webHidden/>
          </w:rPr>
        </w:r>
        <w:r>
          <w:rPr>
            <w:noProof/>
            <w:webHidden/>
          </w:rPr>
          <w:fldChar w:fldCharType="separate"/>
        </w:r>
        <w:r>
          <w:rPr>
            <w:noProof/>
            <w:webHidden/>
          </w:rPr>
          <w:t>65</w:t>
        </w:r>
        <w:r>
          <w:rPr>
            <w:noProof/>
            <w:webHidden/>
          </w:rPr>
          <w:fldChar w:fldCharType="end"/>
        </w:r>
      </w:hyperlink>
    </w:p>
    <w:p w14:paraId="219B9265" w14:textId="52719F81" w:rsidR="00AA0C2A" w:rsidRDefault="00AA0C2A">
      <w:pPr>
        <w:pStyle w:val="TOC4"/>
        <w:rPr>
          <w:rFonts w:asciiTheme="minorHAnsi" w:eastAsiaTheme="minorEastAsia" w:hAnsiTheme="minorHAnsi" w:cstheme="minorBidi"/>
          <w:noProof/>
          <w:sz w:val="22"/>
          <w:szCs w:val="22"/>
          <w:lang w:val="en-GB" w:eastAsia="en-GB"/>
        </w:rPr>
      </w:pPr>
      <w:hyperlink w:anchor="_Toc74904408" w:history="1">
        <w:r w:rsidRPr="00A30B1E">
          <w:rPr>
            <w:rStyle w:val="Hyperlink"/>
            <w:noProof/>
          </w:rPr>
          <w:t>10.7.4.1</w:t>
        </w:r>
        <w:r>
          <w:rPr>
            <w:rFonts w:asciiTheme="minorHAnsi" w:eastAsiaTheme="minorEastAsia" w:hAnsiTheme="minorHAnsi" w:cstheme="minorBidi"/>
            <w:noProof/>
            <w:sz w:val="22"/>
            <w:szCs w:val="22"/>
            <w:lang w:val="en-GB" w:eastAsia="en-GB"/>
          </w:rPr>
          <w:tab/>
        </w:r>
        <w:r w:rsidRPr="00A30B1E">
          <w:rPr>
            <w:rStyle w:val="Hyperlink"/>
            <w:noProof/>
          </w:rPr>
          <w:t>Definitions</w:t>
        </w:r>
        <w:r>
          <w:rPr>
            <w:noProof/>
            <w:webHidden/>
          </w:rPr>
          <w:tab/>
        </w:r>
        <w:r>
          <w:rPr>
            <w:noProof/>
            <w:webHidden/>
          </w:rPr>
          <w:fldChar w:fldCharType="begin"/>
        </w:r>
        <w:r>
          <w:rPr>
            <w:noProof/>
            <w:webHidden/>
          </w:rPr>
          <w:instrText xml:space="preserve"> PAGEREF _Toc74904408 \h </w:instrText>
        </w:r>
        <w:r>
          <w:rPr>
            <w:noProof/>
            <w:webHidden/>
          </w:rPr>
        </w:r>
        <w:r>
          <w:rPr>
            <w:noProof/>
            <w:webHidden/>
          </w:rPr>
          <w:fldChar w:fldCharType="separate"/>
        </w:r>
        <w:r>
          <w:rPr>
            <w:noProof/>
            <w:webHidden/>
          </w:rPr>
          <w:t>65</w:t>
        </w:r>
        <w:r>
          <w:rPr>
            <w:noProof/>
            <w:webHidden/>
          </w:rPr>
          <w:fldChar w:fldCharType="end"/>
        </w:r>
      </w:hyperlink>
    </w:p>
    <w:p w14:paraId="684BF452" w14:textId="73CD681E" w:rsidR="00AA0C2A" w:rsidRDefault="00AA0C2A">
      <w:pPr>
        <w:pStyle w:val="TOC4"/>
        <w:rPr>
          <w:rFonts w:asciiTheme="minorHAnsi" w:eastAsiaTheme="minorEastAsia" w:hAnsiTheme="minorHAnsi" w:cstheme="minorBidi"/>
          <w:noProof/>
          <w:sz w:val="22"/>
          <w:szCs w:val="22"/>
          <w:lang w:val="en-GB" w:eastAsia="en-GB"/>
        </w:rPr>
      </w:pPr>
      <w:hyperlink w:anchor="_Toc74904409" w:history="1">
        <w:r w:rsidRPr="00A30B1E">
          <w:rPr>
            <w:rStyle w:val="Hyperlink"/>
            <w:noProof/>
          </w:rPr>
          <w:t>10.7.4.2</w:t>
        </w:r>
        <w:r>
          <w:rPr>
            <w:rFonts w:asciiTheme="minorHAnsi" w:eastAsiaTheme="minorEastAsia" w:hAnsiTheme="minorHAnsi" w:cstheme="minorBidi"/>
            <w:noProof/>
            <w:sz w:val="22"/>
            <w:szCs w:val="22"/>
            <w:lang w:val="en-GB" w:eastAsia="en-GB"/>
          </w:rPr>
          <w:tab/>
        </w:r>
        <w:r w:rsidRPr="00A30B1E">
          <w:rPr>
            <w:rStyle w:val="Hyperlink"/>
            <w:noProof/>
          </w:rPr>
          <w:t>Adverse Events</w:t>
        </w:r>
        <w:r>
          <w:rPr>
            <w:noProof/>
            <w:webHidden/>
          </w:rPr>
          <w:tab/>
        </w:r>
        <w:r>
          <w:rPr>
            <w:noProof/>
            <w:webHidden/>
          </w:rPr>
          <w:fldChar w:fldCharType="begin"/>
        </w:r>
        <w:r>
          <w:rPr>
            <w:noProof/>
            <w:webHidden/>
          </w:rPr>
          <w:instrText xml:space="preserve"> PAGEREF _Toc74904409 \h </w:instrText>
        </w:r>
        <w:r>
          <w:rPr>
            <w:noProof/>
            <w:webHidden/>
          </w:rPr>
        </w:r>
        <w:r>
          <w:rPr>
            <w:noProof/>
            <w:webHidden/>
          </w:rPr>
          <w:fldChar w:fldCharType="separate"/>
        </w:r>
        <w:r>
          <w:rPr>
            <w:noProof/>
            <w:webHidden/>
          </w:rPr>
          <w:t>67</w:t>
        </w:r>
        <w:r>
          <w:rPr>
            <w:noProof/>
            <w:webHidden/>
          </w:rPr>
          <w:fldChar w:fldCharType="end"/>
        </w:r>
      </w:hyperlink>
    </w:p>
    <w:p w14:paraId="44E8E081" w14:textId="08EBF0C5" w:rsidR="00AA0C2A" w:rsidRDefault="00AA0C2A">
      <w:pPr>
        <w:pStyle w:val="TOC5"/>
        <w:rPr>
          <w:rFonts w:asciiTheme="minorHAnsi" w:eastAsiaTheme="minorEastAsia" w:hAnsiTheme="minorHAnsi" w:cstheme="minorBidi"/>
          <w:noProof/>
          <w:sz w:val="22"/>
          <w:szCs w:val="22"/>
          <w:lang w:val="en-GB" w:eastAsia="en-GB"/>
        </w:rPr>
      </w:pPr>
      <w:hyperlink w:anchor="_Toc74904410" w:history="1">
        <w:r w:rsidRPr="00A30B1E">
          <w:rPr>
            <w:rStyle w:val="Hyperlink"/>
            <w:noProof/>
          </w:rPr>
          <w:t>10.7.4.2.1</w:t>
        </w:r>
        <w:r>
          <w:rPr>
            <w:rFonts w:asciiTheme="minorHAnsi" w:eastAsiaTheme="minorEastAsia" w:hAnsiTheme="minorHAnsi" w:cstheme="minorBidi"/>
            <w:noProof/>
            <w:sz w:val="22"/>
            <w:szCs w:val="22"/>
            <w:lang w:val="en-GB" w:eastAsia="en-GB"/>
          </w:rPr>
          <w:tab/>
        </w:r>
        <w:r w:rsidRPr="00A30B1E">
          <w:rPr>
            <w:rStyle w:val="Hyperlink"/>
            <w:noProof/>
          </w:rPr>
          <w:t>Recording Adverse Events</w:t>
        </w:r>
        <w:r>
          <w:rPr>
            <w:noProof/>
            <w:webHidden/>
          </w:rPr>
          <w:tab/>
        </w:r>
        <w:r>
          <w:rPr>
            <w:noProof/>
            <w:webHidden/>
          </w:rPr>
          <w:fldChar w:fldCharType="begin"/>
        </w:r>
        <w:r>
          <w:rPr>
            <w:noProof/>
            <w:webHidden/>
          </w:rPr>
          <w:instrText xml:space="preserve"> PAGEREF _Toc74904410 \h </w:instrText>
        </w:r>
        <w:r>
          <w:rPr>
            <w:noProof/>
            <w:webHidden/>
          </w:rPr>
        </w:r>
        <w:r>
          <w:rPr>
            <w:noProof/>
            <w:webHidden/>
          </w:rPr>
          <w:fldChar w:fldCharType="separate"/>
        </w:r>
        <w:r>
          <w:rPr>
            <w:noProof/>
            <w:webHidden/>
          </w:rPr>
          <w:t>67</w:t>
        </w:r>
        <w:r>
          <w:rPr>
            <w:noProof/>
            <w:webHidden/>
          </w:rPr>
          <w:fldChar w:fldCharType="end"/>
        </w:r>
      </w:hyperlink>
    </w:p>
    <w:p w14:paraId="34F9923A" w14:textId="04EB6946" w:rsidR="00AA0C2A" w:rsidRDefault="00AA0C2A">
      <w:pPr>
        <w:pStyle w:val="TOC5"/>
        <w:rPr>
          <w:rFonts w:asciiTheme="minorHAnsi" w:eastAsiaTheme="minorEastAsia" w:hAnsiTheme="minorHAnsi" w:cstheme="minorBidi"/>
          <w:noProof/>
          <w:sz w:val="22"/>
          <w:szCs w:val="22"/>
          <w:lang w:val="en-GB" w:eastAsia="en-GB"/>
        </w:rPr>
      </w:pPr>
      <w:hyperlink w:anchor="_Toc74904411" w:history="1">
        <w:r w:rsidRPr="00A30B1E">
          <w:rPr>
            <w:rStyle w:val="Hyperlink"/>
            <w:noProof/>
          </w:rPr>
          <w:t>10.7.4.2.2</w:t>
        </w:r>
        <w:r>
          <w:rPr>
            <w:rFonts w:asciiTheme="minorHAnsi" w:eastAsiaTheme="minorEastAsia" w:hAnsiTheme="minorHAnsi" w:cstheme="minorBidi"/>
            <w:noProof/>
            <w:sz w:val="22"/>
            <w:szCs w:val="22"/>
            <w:lang w:val="en-GB" w:eastAsia="en-GB"/>
          </w:rPr>
          <w:tab/>
        </w:r>
        <w:r w:rsidRPr="00A30B1E">
          <w:rPr>
            <w:rStyle w:val="Hyperlink"/>
            <w:noProof/>
          </w:rPr>
          <w:t>Analysis of Events by the Investigator</w:t>
        </w:r>
        <w:r>
          <w:rPr>
            <w:noProof/>
            <w:webHidden/>
          </w:rPr>
          <w:tab/>
        </w:r>
        <w:r>
          <w:rPr>
            <w:noProof/>
            <w:webHidden/>
          </w:rPr>
          <w:fldChar w:fldCharType="begin"/>
        </w:r>
        <w:r>
          <w:rPr>
            <w:noProof/>
            <w:webHidden/>
          </w:rPr>
          <w:instrText xml:space="preserve"> PAGEREF _Toc74904411 \h </w:instrText>
        </w:r>
        <w:r>
          <w:rPr>
            <w:noProof/>
            <w:webHidden/>
          </w:rPr>
        </w:r>
        <w:r>
          <w:rPr>
            <w:noProof/>
            <w:webHidden/>
          </w:rPr>
          <w:fldChar w:fldCharType="separate"/>
        </w:r>
        <w:r>
          <w:rPr>
            <w:noProof/>
            <w:webHidden/>
          </w:rPr>
          <w:t>67</w:t>
        </w:r>
        <w:r>
          <w:rPr>
            <w:noProof/>
            <w:webHidden/>
          </w:rPr>
          <w:fldChar w:fldCharType="end"/>
        </w:r>
      </w:hyperlink>
    </w:p>
    <w:p w14:paraId="656B7AFB" w14:textId="7BF60E26" w:rsidR="00AA0C2A" w:rsidRDefault="00AA0C2A">
      <w:pPr>
        <w:pStyle w:val="TOC5"/>
        <w:rPr>
          <w:rFonts w:asciiTheme="minorHAnsi" w:eastAsiaTheme="minorEastAsia" w:hAnsiTheme="minorHAnsi" w:cstheme="minorBidi"/>
          <w:noProof/>
          <w:sz w:val="22"/>
          <w:szCs w:val="22"/>
          <w:lang w:val="en-GB" w:eastAsia="en-GB"/>
        </w:rPr>
      </w:pPr>
      <w:hyperlink w:anchor="_Toc74904412" w:history="1">
        <w:r w:rsidRPr="00A30B1E">
          <w:rPr>
            <w:rStyle w:val="Hyperlink"/>
            <w:noProof/>
          </w:rPr>
          <w:t>10.7.4.2.3</w:t>
        </w:r>
        <w:r>
          <w:rPr>
            <w:rFonts w:asciiTheme="minorHAnsi" w:eastAsiaTheme="minorEastAsia" w:hAnsiTheme="minorHAnsi" w:cstheme="minorBidi"/>
            <w:noProof/>
            <w:sz w:val="22"/>
            <w:szCs w:val="22"/>
            <w:lang w:val="en-GB" w:eastAsia="en-GB"/>
          </w:rPr>
          <w:tab/>
        </w:r>
        <w:r w:rsidRPr="00A30B1E">
          <w:rPr>
            <w:rStyle w:val="Hyperlink"/>
            <w:noProof/>
          </w:rPr>
          <w:t>Analysis of Events by the Sponsor</w:t>
        </w:r>
        <w:r>
          <w:rPr>
            <w:noProof/>
            <w:webHidden/>
          </w:rPr>
          <w:tab/>
        </w:r>
        <w:r>
          <w:rPr>
            <w:noProof/>
            <w:webHidden/>
          </w:rPr>
          <w:fldChar w:fldCharType="begin"/>
        </w:r>
        <w:r>
          <w:rPr>
            <w:noProof/>
            <w:webHidden/>
          </w:rPr>
          <w:instrText xml:space="preserve"> PAGEREF _Toc74904412 \h </w:instrText>
        </w:r>
        <w:r>
          <w:rPr>
            <w:noProof/>
            <w:webHidden/>
          </w:rPr>
        </w:r>
        <w:r>
          <w:rPr>
            <w:noProof/>
            <w:webHidden/>
          </w:rPr>
          <w:fldChar w:fldCharType="separate"/>
        </w:r>
        <w:r>
          <w:rPr>
            <w:noProof/>
            <w:webHidden/>
          </w:rPr>
          <w:t>69</w:t>
        </w:r>
        <w:r>
          <w:rPr>
            <w:noProof/>
            <w:webHidden/>
          </w:rPr>
          <w:fldChar w:fldCharType="end"/>
        </w:r>
      </w:hyperlink>
    </w:p>
    <w:p w14:paraId="6759ED10" w14:textId="59BACAB9" w:rsidR="00AA0C2A" w:rsidRDefault="00AA0C2A">
      <w:pPr>
        <w:pStyle w:val="TOC5"/>
        <w:rPr>
          <w:rFonts w:asciiTheme="minorHAnsi" w:eastAsiaTheme="minorEastAsia" w:hAnsiTheme="minorHAnsi" w:cstheme="minorBidi"/>
          <w:noProof/>
          <w:sz w:val="22"/>
          <w:szCs w:val="22"/>
          <w:lang w:val="en-GB" w:eastAsia="en-GB"/>
        </w:rPr>
      </w:pPr>
      <w:hyperlink w:anchor="_Toc74904413" w:history="1">
        <w:r w:rsidRPr="00A30B1E">
          <w:rPr>
            <w:rStyle w:val="Hyperlink"/>
            <w:noProof/>
          </w:rPr>
          <w:t>10.7.4.2.4</w:t>
        </w:r>
        <w:r>
          <w:rPr>
            <w:rFonts w:asciiTheme="minorHAnsi" w:eastAsiaTheme="minorEastAsia" w:hAnsiTheme="minorHAnsi" w:cstheme="minorBidi"/>
            <w:noProof/>
            <w:sz w:val="22"/>
            <w:szCs w:val="22"/>
            <w:lang w:val="en-GB" w:eastAsia="en-GB"/>
          </w:rPr>
          <w:tab/>
        </w:r>
        <w:r w:rsidRPr="00A30B1E">
          <w:rPr>
            <w:rStyle w:val="Hyperlink"/>
            <w:noProof/>
          </w:rPr>
          <w:t>Reporting Serious Adverse Events</w:t>
        </w:r>
        <w:r>
          <w:rPr>
            <w:noProof/>
            <w:webHidden/>
          </w:rPr>
          <w:tab/>
        </w:r>
        <w:r>
          <w:rPr>
            <w:noProof/>
            <w:webHidden/>
          </w:rPr>
          <w:fldChar w:fldCharType="begin"/>
        </w:r>
        <w:r>
          <w:rPr>
            <w:noProof/>
            <w:webHidden/>
          </w:rPr>
          <w:instrText xml:space="preserve"> PAGEREF _Toc74904413 \h </w:instrText>
        </w:r>
        <w:r>
          <w:rPr>
            <w:noProof/>
            <w:webHidden/>
          </w:rPr>
        </w:r>
        <w:r>
          <w:rPr>
            <w:noProof/>
            <w:webHidden/>
          </w:rPr>
          <w:fldChar w:fldCharType="separate"/>
        </w:r>
        <w:r>
          <w:rPr>
            <w:noProof/>
            <w:webHidden/>
          </w:rPr>
          <w:t>69</w:t>
        </w:r>
        <w:r>
          <w:rPr>
            <w:noProof/>
            <w:webHidden/>
          </w:rPr>
          <w:fldChar w:fldCharType="end"/>
        </w:r>
      </w:hyperlink>
    </w:p>
    <w:p w14:paraId="7FE85EA4" w14:textId="4A2C5805" w:rsidR="00AA0C2A" w:rsidRDefault="00AA0C2A">
      <w:pPr>
        <w:pStyle w:val="TOC5"/>
        <w:rPr>
          <w:rFonts w:asciiTheme="minorHAnsi" w:eastAsiaTheme="minorEastAsia" w:hAnsiTheme="minorHAnsi" w:cstheme="minorBidi"/>
          <w:noProof/>
          <w:sz w:val="22"/>
          <w:szCs w:val="22"/>
          <w:lang w:val="en-GB" w:eastAsia="en-GB"/>
        </w:rPr>
      </w:pPr>
      <w:hyperlink w:anchor="_Toc74904414" w:history="1">
        <w:r w:rsidRPr="00A30B1E">
          <w:rPr>
            <w:rStyle w:val="Hyperlink"/>
            <w:noProof/>
          </w:rPr>
          <w:t>10.7.4.2.5</w:t>
        </w:r>
        <w:r>
          <w:rPr>
            <w:rFonts w:asciiTheme="minorHAnsi" w:eastAsiaTheme="minorEastAsia" w:hAnsiTheme="minorHAnsi" w:cstheme="minorBidi"/>
            <w:noProof/>
            <w:sz w:val="22"/>
            <w:szCs w:val="22"/>
            <w:lang w:val="en-GB" w:eastAsia="en-GB"/>
          </w:rPr>
          <w:tab/>
        </w:r>
        <w:r w:rsidRPr="00A30B1E">
          <w:rPr>
            <w:rStyle w:val="Hyperlink"/>
            <w:noProof/>
          </w:rPr>
          <w:t>Reporting of SUSARs</w:t>
        </w:r>
        <w:r>
          <w:rPr>
            <w:noProof/>
            <w:webHidden/>
          </w:rPr>
          <w:tab/>
        </w:r>
        <w:r>
          <w:rPr>
            <w:noProof/>
            <w:webHidden/>
          </w:rPr>
          <w:fldChar w:fldCharType="begin"/>
        </w:r>
        <w:r>
          <w:rPr>
            <w:noProof/>
            <w:webHidden/>
          </w:rPr>
          <w:instrText xml:space="preserve"> PAGEREF _Toc74904414 \h </w:instrText>
        </w:r>
        <w:r>
          <w:rPr>
            <w:noProof/>
            <w:webHidden/>
          </w:rPr>
        </w:r>
        <w:r>
          <w:rPr>
            <w:noProof/>
            <w:webHidden/>
          </w:rPr>
          <w:fldChar w:fldCharType="separate"/>
        </w:r>
        <w:r>
          <w:rPr>
            <w:noProof/>
            <w:webHidden/>
          </w:rPr>
          <w:t>71</w:t>
        </w:r>
        <w:r>
          <w:rPr>
            <w:noProof/>
            <w:webHidden/>
          </w:rPr>
          <w:fldChar w:fldCharType="end"/>
        </w:r>
      </w:hyperlink>
    </w:p>
    <w:p w14:paraId="1083C5FF" w14:textId="1B0FC823" w:rsidR="00AA0C2A" w:rsidRDefault="00AA0C2A">
      <w:pPr>
        <w:pStyle w:val="TOC5"/>
        <w:rPr>
          <w:rFonts w:asciiTheme="minorHAnsi" w:eastAsiaTheme="minorEastAsia" w:hAnsiTheme="minorHAnsi" w:cstheme="minorBidi"/>
          <w:noProof/>
          <w:sz w:val="22"/>
          <w:szCs w:val="22"/>
          <w:lang w:val="en-GB" w:eastAsia="en-GB"/>
        </w:rPr>
      </w:pPr>
      <w:hyperlink w:anchor="_Toc74904415" w:history="1">
        <w:r w:rsidRPr="00A30B1E">
          <w:rPr>
            <w:rStyle w:val="Hyperlink"/>
            <w:noProof/>
          </w:rPr>
          <w:t>10.7.4.2.6</w:t>
        </w:r>
        <w:r>
          <w:rPr>
            <w:rFonts w:asciiTheme="minorHAnsi" w:eastAsiaTheme="minorEastAsia" w:hAnsiTheme="minorHAnsi" w:cstheme="minorBidi"/>
            <w:noProof/>
            <w:sz w:val="22"/>
            <w:szCs w:val="22"/>
            <w:lang w:val="en-GB" w:eastAsia="en-GB"/>
          </w:rPr>
          <w:tab/>
        </w:r>
        <w:r w:rsidRPr="00A30B1E">
          <w:rPr>
            <w:rStyle w:val="Hyperlink"/>
            <w:noProof/>
          </w:rPr>
          <w:t>Expedited Reporting of Events</w:t>
        </w:r>
        <w:r>
          <w:rPr>
            <w:noProof/>
            <w:webHidden/>
          </w:rPr>
          <w:tab/>
        </w:r>
        <w:r>
          <w:rPr>
            <w:noProof/>
            <w:webHidden/>
          </w:rPr>
          <w:fldChar w:fldCharType="begin"/>
        </w:r>
        <w:r>
          <w:rPr>
            <w:noProof/>
            <w:webHidden/>
          </w:rPr>
          <w:instrText xml:space="preserve"> PAGEREF _Toc74904415 \h </w:instrText>
        </w:r>
        <w:r>
          <w:rPr>
            <w:noProof/>
            <w:webHidden/>
          </w:rPr>
        </w:r>
        <w:r>
          <w:rPr>
            <w:noProof/>
            <w:webHidden/>
          </w:rPr>
          <w:fldChar w:fldCharType="separate"/>
        </w:r>
        <w:r>
          <w:rPr>
            <w:noProof/>
            <w:webHidden/>
          </w:rPr>
          <w:t>71</w:t>
        </w:r>
        <w:r>
          <w:rPr>
            <w:noProof/>
            <w:webHidden/>
          </w:rPr>
          <w:fldChar w:fldCharType="end"/>
        </w:r>
      </w:hyperlink>
    </w:p>
    <w:p w14:paraId="2A4F8A66" w14:textId="544897EB" w:rsidR="00AA0C2A" w:rsidRDefault="00AA0C2A">
      <w:pPr>
        <w:pStyle w:val="TOC5"/>
        <w:rPr>
          <w:rFonts w:asciiTheme="minorHAnsi" w:eastAsiaTheme="minorEastAsia" w:hAnsiTheme="minorHAnsi" w:cstheme="minorBidi"/>
          <w:noProof/>
          <w:sz w:val="22"/>
          <w:szCs w:val="22"/>
          <w:lang w:val="en-GB" w:eastAsia="en-GB"/>
        </w:rPr>
      </w:pPr>
      <w:hyperlink w:anchor="_Toc74904416" w:history="1">
        <w:r w:rsidRPr="00A30B1E">
          <w:rPr>
            <w:rStyle w:val="Hyperlink"/>
            <w:noProof/>
          </w:rPr>
          <w:t>10.7.4.2.7</w:t>
        </w:r>
        <w:r>
          <w:rPr>
            <w:rFonts w:asciiTheme="minorHAnsi" w:eastAsiaTheme="minorEastAsia" w:hAnsiTheme="minorHAnsi" w:cstheme="minorBidi"/>
            <w:noProof/>
            <w:sz w:val="22"/>
            <w:szCs w:val="22"/>
            <w:lang w:val="en-GB" w:eastAsia="en-GB"/>
          </w:rPr>
          <w:tab/>
        </w:r>
        <w:r w:rsidRPr="00A30B1E">
          <w:rPr>
            <w:rStyle w:val="Hyperlink"/>
            <w:noProof/>
          </w:rPr>
          <w:t>Reporting of Urgent Safety Measures</w:t>
        </w:r>
        <w:r>
          <w:rPr>
            <w:noProof/>
            <w:webHidden/>
          </w:rPr>
          <w:tab/>
        </w:r>
        <w:r>
          <w:rPr>
            <w:noProof/>
            <w:webHidden/>
          </w:rPr>
          <w:fldChar w:fldCharType="begin"/>
        </w:r>
        <w:r>
          <w:rPr>
            <w:noProof/>
            <w:webHidden/>
          </w:rPr>
          <w:instrText xml:space="preserve"> PAGEREF _Toc74904416 \h </w:instrText>
        </w:r>
        <w:r>
          <w:rPr>
            <w:noProof/>
            <w:webHidden/>
          </w:rPr>
        </w:r>
        <w:r>
          <w:rPr>
            <w:noProof/>
            <w:webHidden/>
          </w:rPr>
          <w:fldChar w:fldCharType="separate"/>
        </w:r>
        <w:r>
          <w:rPr>
            <w:noProof/>
            <w:webHidden/>
          </w:rPr>
          <w:t>71</w:t>
        </w:r>
        <w:r>
          <w:rPr>
            <w:noProof/>
            <w:webHidden/>
          </w:rPr>
          <w:fldChar w:fldCharType="end"/>
        </w:r>
      </w:hyperlink>
    </w:p>
    <w:p w14:paraId="487D3ED3" w14:textId="0064A527" w:rsidR="00AA0C2A" w:rsidRDefault="00AA0C2A">
      <w:pPr>
        <w:pStyle w:val="TOC5"/>
        <w:rPr>
          <w:rFonts w:asciiTheme="minorHAnsi" w:eastAsiaTheme="minorEastAsia" w:hAnsiTheme="minorHAnsi" w:cstheme="minorBidi"/>
          <w:noProof/>
          <w:sz w:val="22"/>
          <w:szCs w:val="22"/>
          <w:lang w:val="en-GB" w:eastAsia="en-GB"/>
        </w:rPr>
      </w:pPr>
      <w:hyperlink w:anchor="_Toc74904417" w:history="1">
        <w:r w:rsidRPr="00A30B1E">
          <w:rPr>
            <w:rStyle w:val="Hyperlink"/>
            <w:noProof/>
          </w:rPr>
          <w:t>10.7.4.2.8</w:t>
        </w:r>
        <w:r>
          <w:rPr>
            <w:rFonts w:asciiTheme="minorHAnsi" w:eastAsiaTheme="minorEastAsia" w:hAnsiTheme="minorHAnsi" w:cstheme="minorBidi"/>
            <w:noProof/>
            <w:sz w:val="22"/>
            <w:szCs w:val="22"/>
            <w:lang w:val="en-GB" w:eastAsia="en-GB"/>
          </w:rPr>
          <w:tab/>
        </w:r>
        <w:r w:rsidRPr="00A30B1E">
          <w:rPr>
            <w:rStyle w:val="Hyperlink"/>
            <w:noProof/>
          </w:rPr>
          <w:t>Serious Breaches</w:t>
        </w:r>
        <w:r>
          <w:rPr>
            <w:noProof/>
            <w:webHidden/>
          </w:rPr>
          <w:tab/>
        </w:r>
        <w:r>
          <w:rPr>
            <w:noProof/>
            <w:webHidden/>
          </w:rPr>
          <w:fldChar w:fldCharType="begin"/>
        </w:r>
        <w:r>
          <w:rPr>
            <w:noProof/>
            <w:webHidden/>
          </w:rPr>
          <w:instrText xml:space="preserve"> PAGEREF _Toc74904417 \h </w:instrText>
        </w:r>
        <w:r>
          <w:rPr>
            <w:noProof/>
            <w:webHidden/>
          </w:rPr>
        </w:r>
        <w:r>
          <w:rPr>
            <w:noProof/>
            <w:webHidden/>
          </w:rPr>
          <w:fldChar w:fldCharType="separate"/>
        </w:r>
        <w:r>
          <w:rPr>
            <w:noProof/>
            <w:webHidden/>
          </w:rPr>
          <w:t>72</w:t>
        </w:r>
        <w:r>
          <w:rPr>
            <w:noProof/>
            <w:webHidden/>
          </w:rPr>
          <w:fldChar w:fldCharType="end"/>
        </w:r>
      </w:hyperlink>
    </w:p>
    <w:p w14:paraId="07E00158" w14:textId="50B779B6" w:rsidR="00AA0C2A" w:rsidRDefault="00AA0C2A">
      <w:pPr>
        <w:pStyle w:val="TOC5"/>
        <w:rPr>
          <w:rFonts w:asciiTheme="minorHAnsi" w:eastAsiaTheme="minorEastAsia" w:hAnsiTheme="minorHAnsi" w:cstheme="minorBidi"/>
          <w:noProof/>
          <w:sz w:val="22"/>
          <w:szCs w:val="22"/>
          <w:lang w:val="en-GB" w:eastAsia="en-GB"/>
        </w:rPr>
      </w:pPr>
      <w:hyperlink w:anchor="_Toc74904418" w:history="1">
        <w:r w:rsidRPr="00A30B1E">
          <w:rPr>
            <w:rStyle w:val="Hyperlink"/>
            <w:noProof/>
          </w:rPr>
          <w:t>10.7.4.2.9</w:t>
        </w:r>
        <w:r>
          <w:rPr>
            <w:rFonts w:asciiTheme="minorHAnsi" w:eastAsiaTheme="minorEastAsia" w:hAnsiTheme="minorHAnsi" w:cstheme="minorBidi"/>
            <w:noProof/>
            <w:sz w:val="22"/>
            <w:szCs w:val="22"/>
            <w:lang w:val="en-GB" w:eastAsia="en-GB"/>
          </w:rPr>
          <w:tab/>
        </w:r>
        <w:r w:rsidRPr="00A30B1E">
          <w:rPr>
            <w:rStyle w:val="Hyperlink"/>
            <w:noProof/>
          </w:rPr>
          <w:t>Data Security Breach</w:t>
        </w:r>
        <w:r>
          <w:rPr>
            <w:noProof/>
            <w:webHidden/>
          </w:rPr>
          <w:tab/>
        </w:r>
        <w:r>
          <w:rPr>
            <w:noProof/>
            <w:webHidden/>
          </w:rPr>
          <w:fldChar w:fldCharType="begin"/>
        </w:r>
        <w:r>
          <w:rPr>
            <w:noProof/>
            <w:webHidden/>
          </w:rPr>
          <w:instrText xml:space="preserve"> PAGEREF _Toc74904418 \h </w:instrText>
        </w:r>
        <w:r>
          <w:rPr>
            <w:noProof/>
            <w:webHidden/>
          </w:rPr>
        </w:r>
        <w:r>
          <w:rPr>
            <w:noProof/>
            <w:webHidden/>
          </w:rPr>
          <w:fldChar w:fldCharType="separate"/>
        </w:r>
        <w:r>
          <w:rPr>
            <w:noProof/>
            <w:webHidden/>
          </w:rPr>
          <w:t>72</w:t>
        </w:r>
        <w:r>
          <w:rPr>
            <w:noProof/>
            <w:webHidden/>
          </w:rPr>
          <w:fldChar w:fldCharType="end"/>
        </w:r>
      </w:hyperlink>
    </w:p>
    <w:p w14:paraId="37A03488" w14:textId="47AFB0B1" w:rsidR="00AA0C2A" w:rsidRDefault="00AA0C2A">
      <w:pPr>
        <w:pStyle w:val="TOC5"/>
        <w:rPr>
          <w:rFonts w:asciiTheme="minorHAnsi" w:eastAsiaTheme="minorEastAsia" w:hAnsiTheme="minorHAnsi" w:cstheme="minorBidi"/>
          <w:noProof/>
          <w:sz w:val="22"/>
          <w:szCs w:val="22"/>
          <w:lang w:val="en-GB" w:eastAsia="en-GB"/>
        </w:rPr>
      </w:pPr>
      <w:hyperlink w:anchor="_Toc74904419" w:history="1">
        <w:r w:rsidRPr="00A30B1E">
          <w:rPr>
            <w:rStyle w:val="Hyperlink"/>
            <w:noProof/>
          </w:rPr>
          <w:t>10.7.4.2.10</w:t>
        </w:r>
        <w:r>
          <w:rPr>
            <w:rFonts w:asciiTheme="minorHAnsi" w:eastAsiaTheme="minorEastAsia" w:hAnsiTheme="minorHAnsi" w:cstheme="minorBidi"/>
            <w:noProof/>
            <w:sz w:val="22"/>
            <w:szCs w:val="22"/>
            <w:lang w:val="en-GB" w:eastAsia="en-GB"/>
          </w:rPr>
          <w:tab/>
        </w:r>
        <w:r w:rsidRPr="00A30B1E">
          <w:rPr>
            <w:rStyle w:val="Hyperlink"/>
            <w:noProof/>
          </w:rPr>
          <w:t>Monitoring of Subjects with Adverse Events</w:t>
        </w:r>
        <w:r>
          <w:rPr>
            <w:noProof/>
            <w:webHidden/>
          </w:rPr>
          <w:tab/>
        </w:r>
        <w:r>
          <w:rPr>
            <w:noProof/>
            <w:webHidden/>
          </w:rPr>
          <w:fldChar w:fldCharType="begin"/>
        </w:r>
        <w:r>
          <w:rPr>
            <w:noProof/>
            <w:webHidden/>
          </w:rPr>
          <w:instrText xml:space="preserve"> PAGEREF _Toc74904419 \h </w:instrText>
        </w:r>
        <w:r>
          <w:rPr>
            <w:noProof/>
            <w:webHidden/>
          </w:rPr>
        </w:r>
        <w:r>
          <w:rPr>
            <w:noProof/>
            <w:webHidden/>
          </w:rPr>
          <w:fldChar w:fldCharType="separate"/>
        </w:r>
        <w:r>
          <w:rPr>
            <w:noProof/>
            <w:webHidden/>
          </w:rPr>
          <w:t>72</w:t>
        </w:r>
        <w:r>
          <w:rPr>
            <w:noProof/>
            <w:webHidden/>
          </w:rPr>
          <w:fldChar w:fldCharType="end"/>
        </w:r>
      </w:hyperlink>
    </w:p>
    <w:p w14:paraId="180C1BA7" w14:textId="3B319D8B" w:rsidR="00AA0C2A" w:rsidRDefault="00AA0C2A">
      <w:pPr>
        <w:pStyle w:val="TOC4"/>
        <w:rPr>
          <w:rFonts w:asciiTheme="minorHAnsi" w:eastAsiaTheme="minorEastAsia" w:hAnsiTheme="minorHAnsi" w:cstheme="minorBidi"/>
          <w:noProof/>
          <w:sz w:val="22"/>
          <w:szCs w:val="22"/>
          <w:lang w:val="en-GB" w:eastAsia="en-GB"/>
        </w:rPr>
      </w:pPr>
      <w:hyperlink w:anchor="_Toc74904420" w:history="1">
        <w:r w:rsidRPr="00A30B1E">
          <w:rPr>
            <w:rStyle w:val="Hyperlink"/>
            <w:noProof/>
          </w:rPr>
          <w:t>10.7.4.3</w:t>
        </w:r>
        <w:r>
          <w:rPr>
            <w:rFonts w:asciiTheme="minorHAnsi" w:eastAsiaTheme="minorEastAsia" w:hAnsiTheme="minorHAnsi" w:cstheme="minorBidi"/>
            <w:noProof/>
            <w:sz w:val="22"/>
            <w:szCs w:val="22"/>
            <w:lang w:val="en-GB" w:eastAsia="en-GB"/>
          </w:rPr>
          <w:tab/>
        </w:r>
        <w:r w:rsidRPr="00A30B1E">
          <w:rPr>
            <w:rStyle w:val="Hyperlink"/>
            <w:noProof/>
          </w:rPr>
          <w:t>Pregnancy</w:t>
        </w:r>
        <w:r>
          <w:rPr>
            <w:noProof/>
            <w:webHidden/>
          </w:rPr>
          <w:tab/>
        </w:r>
        <w:r>
          <w:rPr>
            <w:noProof/>
            <w:webHidden/>
          </w:rPr>
          <w:fldChar w:fldCharType="begin"/>
        </w:r>
        <w:r>
          <w:rPr>
            <w:noProof/>
            <w:webHidden/>
          </w:rPr>
          <w:instrText xml:space="preserve"> PAGEREF _Toc74904420 \h </w:instrText>
        </w:r>
        <w:r>
          <w:rPr>
            <w:noProof/>
            <w:webHidden/>
          </w:rPr>
        </w:r>
        <w:r>
          <w:rPr>
            <w:noProof/>
            <w:webHidden/>
          </w:rPr>
          <w:fldChar w:fldCharType="separate"/>
        </w:r>
        <w:r>
          <w:rPr>
            <w:noProof/>
            <w:webHidden/>
          </w:rPr>
          <w:t>72</w:t>
        </w:r>
        <w:r>
          <w:rPr>
            <w:noProof/>
            <w:webHidden/>
          </w:rPr>
          <w:fldChar w:fldCharType="end"/>
        </w:r>
      </w:hyperlink>
    </w:p>
    <w:p w14:paraId="238D8BC5" w14:textId="682E17FA" w:rsidR="00AA0C2A" w:rsidRDefault="00AA0C2A">
      <w:pPr>
        <w:pStyle w:val="TOC4"/>
        <w:rPr>
          <w:rFonts w:asciiTheme="minorHAnsi" w:eastAsiaTheme="minorEastAsia" w:hAnsiTheme="minorHAnsi" w:cstheme="minorBidi"/>
          <w:noProof/>
          <w:sz w:val="22"/>
          <w:szCs w:val="22"/>
          <w:lang w:val="en-GB" w:eastAsia="en-GB"/>
        </w:rPr>
      </w:pPr>
      <w:hyperlink w:anchor="_Toc74904421" w:history="1">
        <w:r w:rsidRPr="00A30B1E">
          <w:rPr>
            <w:rStyle w:val="Hyperlink"/>
            <w:noProof/>
          </w:rPr>
          <w:t>10.7.4.4</w:t>
        </w:r>
        <w:r>
          <w:rPr>
            <w:rFonts w:asciiTheme="minorHAnsi" w:eastAsiaTheme="minorEastAsia" w:hAnsiTheme="minorHAnsi" w:cstheme="minorBidi"/>
            <w:noProof/>
            <w:sz w:val="22"/>
            <w:szCs w:val="22"/>
            <w:lang w:val="en-GB" w:eastAsia="en-GB"/>
          </w:rPr>
          <w:tab/>
        </w:r>
        <w:r w:rsidRPr="00A30B1E">
          <w:rPr>
            <w:rStyle w:val="Hyperlink"/>
            <w:noProof/>
          </w:rPr>
          <w:t>Laboratory Safety Assessments</w:t>
        </w:r>
        <w:r>
          <w:rPr>
            <w:noProof/>
            <w:webHidden/>
          </w:rPr>
          <w:tab/>
        </w:r>
        <w:r>
          <w:rPr>
            <w:noProof/>
            <w:webHidden/>
          </w:rPr>
          <w:fldChar w:fldCharType="begin"/>
        </w:r>
        <w:r>
          <w:rPr>
            <w:noProof/>
            <w:webHidden/>
          </w:rPr>
          <w:instrText xml:space="preserve"> PAGEREF _Toc74904421 \h </w:instrText>
        </w:r>
        <w:r>
          <w:rPr>
            <w:noProof/>
            <w:webHidden/>
          </w:rPr>
        </w:r>
        <w:r>
          <w:rPr>
            <w:noProof/>
            <w:webHidden/>
          </w:rPr>
          <w:fldChar w:fldCharType="separate"/>
        </w:r>
        <w:r>
          <w:rPr>
            <w:noProof/>
            <w:webHidden/>
          </w:rPr>
          <w:t>73</w:t>
        </w:r>
        <w:r>
          <w:rPr>
            <w:noProof/>
            <w:webHidden/>
          </w:rPr>
          <w:fldChar w:fldCharType="end"/>
        </w:r>
      </w:hyperlink>
    </w:p>
    <w:p w14:paraId="0837BD97" w14:textId="0EF19A17" w:rsidR="00AA0C2A" w:rsidRDefault="00AA0C2A">
      <w:pPr>
        <w:pStyle w:val="TOC5"/>
        <w:rPr>
          <w:rFonts w:asciiTheme="minorHAnsi" w:eastAsiaTheme="minorEastAsia" w:hAnsiTheme="minorHAnsi" w:cstheme="minorBidi"/>
          <w:noProof/>
          <w:sz w:val="22"/>
          <w:szCs w:val="22"/>
          <w:lang w:val="en-GB" w:eastAsia="en-GB"/>
        </w:rPr>
      </w:pPr>
      <w:hyperlink w:anchor="_Toc74904422" w:history="1">
        <w:r w:rsidRPr="00A30B1E">
          <w:rPr>
            <w:rStyle w:val="Hyperlink"/>
            <w:noProof/>
          </w:rPr>
          <w:t>10.7.4.4.1</w:t>
        </w:r>
        <w:r>
          <w:rPr>
            <w:rFonts w:asciiTheme="minorHAnsi" w:eastAsiaTheme="minorEastAsia" w:hAnsiTheme="minorHAnsi" w:cstheme="minorBidi"/>
            <w:noProof/>
            <w:sz w:val="22"/>
            <w:szCs w:val="22"/>
            <w:lang w:val="en-GB" w:eastAsia="en-GB"/>
          </w:rPr>
          <w:tab/>
        </w:r>
        <w:r w:rsidRPr="00A30B1E">
          <w:rPr>
            <w:rStyle w:val="Hyperlink"/>
            <w:noProof/>
          </w:rPr>
          <w:t>Biochemistry Tests</w:t>
        </w:r>
        <w:r>
          <w:rPr>
            <w:noProof/>
            <w:webHidden/>
          </w:rPr>
          <w:tab/>
        </w:r>
        <w:r>
          <w:rPr>
            <w:noProof/>
            <w:webHidden/>
          </w:rPr>
          <w:fldChar w:fldCharType="begin"/>
        </w:r>
        <w:r>
          <w:rPr>
            <w:noProof/>
            <w:webHidden/>
          </w:rPr>
          <w:instrText xml:space="preserve"> PAGEREF _Toc74904422 \h </w:instrText>
        </w:r>
        <w:r>
          <w:rPr>
            <w:noProof/>
            <w:webHidden/>
          </w:rPr>
        </w:r>
        <w:r>
          <w:rPr>
            <w:noProof/>
            <w:webHidden/>
          </w:rPr>
          <w:fldChar w:fldCharType="separate"/>
        </w:r>
        <w:r>
          <w:rPr>
            <w:noProof/>
            <w:webHidden/>
          </w:rPr>
          <w:t>73</w:t>
        </w:r>
        <w:r>
          <w:rPr>
            <w:noProof/>
            <w:webHidden/>
          </w:rPr>
          <w:fldChar w:fldCharType="end"/>
        </w:r>
      </w:hyperlink>
    </w:p>
    <w:p w14:paraId="5D710619" w14:textId="3B5F66A3" w:rsidR="00AA0C2A" w:rsidRDefault="00AA0C2A">
      <w:pPr>
        <w:pStyle w:val="TOC5"/>
        <w:rPr>
          <w:rFonts w:asciiTheme="minorHAnsi" w:eastAsiaTheme="minorEastAsia" w:hAnsiTheme="minorHAnsi" w:cstheme="minorBidi"/>
          <w:noProof/>
          <w:sz w:val="22"/>
          <w:szCs w:val="22"/>
          <w:lang w:val="en-GB" w:eastAsia="en-GB"/>
        </w:rPr>
      </w:pPr>
      <w:hyperlink w:anchor="_Toc74904423" w:history="1">
        <w:r w:rsidRPr="00A30B1E">
          <w:rPr>
            <w:rStyle w:val="Hyperlink"/>
            <w:noProof/>
          </w:rPr>
          <w:t>10.7.4.4.2</w:t>
        </w:r>
        <w:r>
          <w:rPr>
            <w:rFonts w:asciiTheme="minorHAnsi" w:eastAsiaTheme="minorEastAsia" w:hAnsiTheme="minorHAnsi" w:cstheme="minorBidi"/>
            <w:noProof/>
            <w:sz w:val="22"/>
            <w:szCs w:val="22"/>
            <w:lang w:val="en-GB" w:eastAsia="en-GB"/>
          </w:rPr>
          <w:tab/>
        </w:r>
        <w:r w:rsidRPr="00A30B1E">
          <w:rPr>
            <w:rStyle w:val="Hyperlink"/>
            <w:noProof/>
          </w:rPr>
          <w:t>Thyroid Stimulating Hormone (TSH)</w:t>
        </w:r>
        <w:r>
          <w:rPr>
            <w:noProof/>
            <w:webHidden/>
          </w:rPr>
          <w:tab/>
        </w:r>
        <w:r>
          <w:rPr>
            <w:noProof/>
            <w:webHidden/>
          </w:rPr>
          <w:fldChar w:fldCharType="begin"/>
        </w:r>
        <w:r>
          <w:rPr>
            <w:noProof/>
            <w:webHidden/>
          </w:rPr>
          <w:instrText xml:space="preserve"> PAGEREF _Toc74904423 \h </w:instrText>
        </w:r>
        <w:r>
          <w:rPr>
            <w:noProof/>
            <w:webHidden/>
          </w:rPr>
        </w:r>
        <w:r>
          <w:rPr>
            <w:noProof/>
            <w:webHidden/>
          </w:rPr>
          <w:fldChar w:fldCharType="separate"/>
        </w:r>
        <w:r>
          <w:rPr>
            <w:noProof/>
            <w:webHidden/>
          </w:rPr>
          <w:t>74</w:t>
        </w:r>
        <w:r>
          <w:rPr>
            <w:noProof/>
            <w:webHidden/>
          </w:rPr>
          <w:fldChar w:fldCharType="end"/>
        </w:r>
      </w:hyperlink>
    </w:p>
    <w:p w14:paraId="5403C86B" w14:textId="73E523CF" w:rsidR="00AA0C2A" w:rsidRDefault="00AA0C2A">
      <w:pPr>
        <w:pStyle w:val="TOC5"/>
        <w:rPr>
          <w:rFonts w:asciiTheme="minorHAnsi" w:eastAsiaTheme="minorEastAsia" w:hAnsiTheme="minorHAnsi" w:cstheme="minorBidi"/>
          <w:noProof/>
          <w:sz w:val="22"/>
          <w:szCs w:val="22"/>
          <w:lang w:val="en-GB" w:eastAsia="en-GB"/>
        </w:rPr>
      </w:pPr>
      <w:hyperlink w:anchor="_Toc74904424" w:history="1">
        <w:r w:rsidRPr="00A30B1E">
          <w:rPr>
            <w:rStyle w:val="Hyperlink"/>
            <w:noProof/>
          </w:rPr>
          <w:t>10.7.4.4.3</w:t>
        </w:r>
        <w:r>
          <w:rPr>
            <w:rFonts w:asciiTheme="minorHAnsi" w:eastAsiaTheme="minorEastAsia" w:hAnsiTheme="minorHAnsi" w:cstheme="minorBidi"/>
            <w:noProof/>
            <w:sz w:val="22"/>
            <w:szCs w:val="22"/>
            <w:lang w:val="en-GB" w:eastAsia="en-GB"/>
          </w:rPr>
          <w:tab/>
        </w:r>
        <w:r w:rsidRPr="00A30B1E">
          <w:rPr>
            <w:rStyle w:val="Hyperlink"/>
            <w:noProof/>
          </w:rPr>
          <w:t>Haematology Tests</w:t>
        </w:r>
        <w:r>
          <w:rPr>
            <w:noProof/>
            <w:webHidden/>
          </w:rPr>
          <w:tab/>
        </w:r>
        <w:r>
          <w:rPr>
            <w:noProof/>
            <w:webHidden/>
          </w:rPr>
          <w:fldChar w:fldCharType="begin"/>
        </w:r>
        <w:r>
          <w:rPr>
            <w:noProof/>
            <w:webHidden/>
          </w:rPr>
          <w:instrText xml:space="preserve"> PAGEREF _Toc74904424 \h </w:instrText>
        </w:r>
        <w:r>
          <w:rPr>
            <w:noProof/>
            <w:webHidden/>
          </w:rPr>
        </w:r>
        <w:r>
          <w:rPr>
            <w:noProof/>
            <w:webHidden/>
          </w:rPr>
          <w:fldChar w:fldCharType="separate"/>
        </w:r>
        <w:r>
          <w:rPr>
            <w:noProof/>
            <w:webHidden/>
          </w:rPr>
          <w:t>74</w:t>
        </w:r>
        <w:r>
          <w:rPr>
            <w:noProof/>
            <w:webHidden/>
          </w:rPr>
          <w:fldChar w:fldCharType="end"/>
        </w:r>
      </w:hyperlink>
    </w:p>
    <w:p w14:paraId="302C9AD2" w14:textId="7C02347F" w:rsidR="00AA0C2A" w:rsidRDefault="00AA0C2A">
      <w:pPr>
        <w:pStyle w:val="TOC5"/>
        <w:rPr>
          <w:rFonts w:asciiTheme="minorHAnsi" w:eastAsiaTheme="minorEastAsia" w:hAnsiTheme="minorHAnsi" w:cstheme="minorBidi"/>
          <w:noProof/>
          <w:sz w:val="22"/>
          <w:szCs w:val="22"/>
          <w:lang w:val="en-GB" w:eastAsia="en-GB"/>
        </w:rPr>
      </w:pPr>
      <w:hyperlink w:anchor="_Toc74904425" w:history="1">
        <w:r w:rsidRPr="00A30B1E">
          <w:rPr>
            <w:rStyle w:val="Hyperlink"/>
            <w:noProof/>
          </w:rPr>
          <w:t>10.7.4.4.4</w:t>
        </w:r>
        <w:r>
          <w:rPr>
            <w:rFonts w:asciiTheme="minorHAnsi" w:eastAsiaTheme="minorEastAsia" w:hAnsiTheme="minorHAnsi" w:cstheme="minorBidi"/>
            <w:noProof/>
            <w:sz w:val="22"/>
            <w:szCs w:val="22"/>
            <w:lang w:val="en-GB" w:eastAsia="en-GB"/>
          </w:rPr>
          <w:tab/>
        </w:r>
        <w:r w:rsidRPr="00A30B1E">
          <w:rPr>
            <w:rStyle w:val="Hyperlink"/>
            <w:noProof/>
          </w:rPr>
          <w:t>Coagulation Tests</w:t>
        </w:r>
        <w:r>
          <w:rPr>
            <w:noProof/>
            <w:webHidden/>
          </w:rPr>
          <w:tab/>
        </w:r>
        <w:r>
          <w:rPr>
            <w:noProof/>
            <w:webHidden/>
          </w:rPr>
          <w:fldChar w:fldCharType="begin"/>
        </w:r>
        <w:r>
          <w:rPr>
            <w:noProof/>
            <w:webHidden/>
          </w:rPr>
          <w:instrText xml:space="preserve"> PAGEREF _Toc74904425 \h </w:instrText>
        </w:r>
        <w:r>
          <w:rPr>
            <w:noProof/>
            <w:webHidden/>
          </w:rPr>
        </w:r>
        <w:r>
          <w:rPr>
            <w:noProof/>
            <w:webHidden/>
          </w:rPr>
          <w:fldChar w:fldCharType="separate"/>
        </w:r>
        <w:r>
          <w:rPr>
            <w:noProof/>
            <w:webHidden/>
          </w:rPr>
          <w:t>75</w:t>
        </w:r>
        <w:r>
          <w:rPr>
            <w:noProof/>
            <w:webHidden/>
          </w:rPr>
          <w:fldChar w:fldCharType="end"/>
        </w:r>
      </w:hyperlink>
    </w:p>
    <w:p w14:paraId="3A3C3DFC" w14:textId="4B9724C1" w:rsidR="00AA0C2A" w:rsidRDefault="00AA0C2A">
      <w:pPr>
        <w:pStyle w:val="TOC5"/>
        <w:rPr>
          <w:rFonts w:asciiTheme="minorHAnsi" w:eastAsiaTheme="minorEastAsia" w:hAnsiTheme="minorHAnsi" w:cstheme="minorBidi"/>
          <w:noProof/>
          <w:sz w:val="22"/>
          <w:szCs w:val="22"/>
          <w:lang w:val="en-GB" w:eastAsia="en-GB"/>
        </w:rPr>
      </w:pPr>
      <w:hyperlink w:anchor="_Toc74904426" w:history="1">
        <w:r w:rsidRPr="00A30B1E">
          <w:rPr>
            <w:rStyle w:val="Hyperlink"/>
            <w:noProof/>
          </w:rPr>
          <w:t>10.7.4.4.5</w:t>
        </w:r>
        <w:r>
          <w:rPr>
            <w:rFonts w:asciiTheme="minorHAnsi" w:eastAsiaTheme="minorEastAsia" w:hAnsiTheme="minorHAnsi" w:cstheme="minorBidi"/>
            <w:noProof/>
            <w:sz w:val="22"/>
            <w:szCs w:val="22"/>
            <w:lang w:val="en-GB" w:eastAsia="en-GB"/>
          </w:rPr>
          <w:tab/>
        </w:r>
        <w:r w:rsidRPr="00A30B1E">
          <w:rPr>
            <w:rStyle w:val="Hyperlink"/>
            <w:noProof/>
          </w:rPr>
          <w:t>Urinalysis Tests</w:t>
        </w:r>
        <w:r>
          <w:rPr>
            <w:noProof/>
            <w:webHidden/>
          </w:rPr>
          <w:tab/>
        </w:r>
        <w:r>
          <w:rPr>
            <w:noProof/>
            <w:webHidden/>
          </w:rPr>
          <w:fldChar w:fldCharType="begin"/>
        </w:r>
        <w:r>
          <w:rPr>
            <w:noProof/>
            <w:webHidden/>
          </w:rPr>
          <w:instrText xml:space="preserve"> PAGEREF _Toc74904426 \h </w:instrText>
        </w:r>
        <w:r>
          <w:rPr>
            <w:noProof/>
            <w:webHidden/>
          </w:rPr>
        </w:r>
        <w:r>
          <w:rPr>
            <w:noProof/>
            <w:webHidden/>
          </w:rPr>
          <w:fldChar w:fldCharType="separate"/>
        </w:r>
        <w:r>
          <w:rPr>
            <w:noProof/>
            <w:webHidden/>
          </w:rPr>
          <w:t>75</w:t>
        </w:r>
        <w:r>
          <w:rPr>
            <w:noProof/>
            <w:webHidden/>
          </w:rPr>
          <w:fldChar w:fldCharType="end"/>
        </w:r>
      </w:hyperlink>
    </w:p>
    <w:p w14:paraId="3422C244" w14:textId="176DB753" w:rsidR="00AA0C2A" w:rsidRDefault="00AA0C2A">
      <w:pPr>
        <w:pStyle w:val="TOC4"/>
        <w:rPr>
          <w:rFonts w:asciiTheme="minorHAnsi" w:eastAsiaTheme="minorEastAsia" w:hAnsiTheme="minorHAnsi" w:cstheme="minorBidi"/>
          <w:noProof/>
          <w:sz w:val="22"/>
          <w:szCs w:val="22"/>
          <w:lang w:val="en-GB" w:eastAsia="en-GB"/>
        </w:rPr>
      </w:pPr>
      <w:hyperlink w:anchor="_Toc74904427" w:history="1">
        <w:r w:rsidRPr="00A30B1E">
          <w:rPr>
            <w:rStyle w:val="Hyperlink"/>
            <w:noProof/>
          </w:rPr>
          <w:t>10.7.4.5</w:t>
        </w:r>
        <w:r>
          <w:rPr>
            <w:rFonts w:asciiTheme="minorHAnsi" w:eastAsiaTheme="minorEastAsia" w:hAnsiTheme="minorHAnsi" w:cstheme="minorBidi"/>
            <w:noProof/>
            <w:sz w:val="22"/>
            <w:szCs w:val="22"/>
            <w:lang w:val="en-GB" w:eastAsia="en-GB"/>
          </w:rPr>
          <w:tab/>
        </w:r>
        <w:r w:rsidRPr="00A30B1E">
          <w:rPr>
            <w:rStyle w:val="Hyperlink"/>
            <w:noProof/>
          </w:rPr>
          <w:t>Vital signs</w:t>
        </w:r>
        <w:r>
          <w:rPr>
            <w:noProof/>
            <w:webHidden/>
          </w:rPr>
          <w:tab/>
        </w:r>
        <w:r>
          <w:rPr>
            <w:noProof/>
            <w:webHidden/>
          </w:rPr>
          <w:fldChar w:fldCharType="begin"/>
        </w:r>
        <w:r>
          <w:rPr>
            <w:noProof/>
            <w:webHidden/>
          </w:rPr>
          <w:instrText xml:space="preserve"> PAGEREF _Toc74904427 \h </w:instrText>
        </w:r>
        <w:r>
          <w:rPr>
            <w:noProof/>
            <w:webHidden/>
          </w:rPr>
        </w:r>
        <w:r>
          <w:rPr>
            <w:noProof/>
            <w:webHidden/>
          </w:rPr>
          <w:fldChar w:fldCharType="separate"/>
        </w:r>
        <w:r>
          <w:rPr>
            <w:noProof/>
            <w:webHidden/>
          </w:rPr>
          <w:t>75</w:t>
        </w:r>
        <w:r>
          <w:rPr>
            <w:noProof/>
            <w:webHidden/>
          </w:rPr>
          <w:fldChar w:fldCharType="end"/>
        </w:r>
      </w:hyperlink>
    </w:p>
    <w:p w14:paraId="34837CC0" w14:textId="77CEB10B" w:rsidR="00AA0C2A" w:rsidRDefault="00AA0C2A">
      <w:pPr>
        <w:pStyle w:val="TOC4"/>
        <w:rPr>
          <w:rFonts w:asciiTheme="minorHAnsi" w:eastAsiaTheme="minorEastAsia" w:hAnsiTheme="minorHAnsi" w:cstheme="minorBidi"/>
          <w:noProof/>
          <w:sz w:val="22"/>
          <w:szCs w:val="22"/>
          <w:lang w:val="en-GB" w:eastAsia="en-GB"/>
        </w:rPr>
      </w:pPr>
      <w:hyperlink w:anchor="_Toc74904428" w:history="1">
        <w:r w:rsidRPr="00A30B1E">
          <w:rPr>
            <w:rStyle w:val="Hyperlink"/>
            <w:noProof/>
          </w:rPr>
          <w:t>10.7.4.6</w:t>
        </w:r>
        <w:r>
          <w:rPr>
            <w:rFonts w:asciiTheme="minorHAnsi" w:eastAsiaTheme="minorEastAsia" w:hAnsiTheme="minorHAnsi" w:cstheme="minorBidi"/>
            <w:noProof/>
            <w:sz w:val="22"/>
            <w:szCs w:val="22"/>
            <w:lang w:val="en-GB" w:eastAsia="en-GB"/>
          </w:rPr>
          <w:tab/>
        </w:r>
        <w:r w:rsidRPr="00A30B1E">
          <w:rPr>
            <w:rStyle w:val="Hyperlink"/>
            <w:noProof/>
          </w:rPr>
          <w:t>Physical Examination</w:t>
        </w:r>
        <w:r>
          <w:rPr>
            <w:noProof/>
            <w:webHidden/>
          </w:rPr>
          <w:tab/>
        </w:r>
        <w:r>
          <w:rPr>
            <w:noProof/>
            <w:webHidden/>
          </w:rPr>
          <w:fldChar w:fldCharType="begin"/>
        </w:r>
        <w:r>
          <w:rPr>
            <w:noProof/>
            <w:webHidden/>
          </w:rPr>
          <w:instrText xml:space="preserve"> PAGEREF _Toc74904428 \h </w:instrText>
        </w:r>
        <w:r>
          <w:rPr>
            <w:noProof/>
            <w:webHidden/>
          </w:rPr>
        </w:r>
        <w:r>
          <w:rPr>
            <w:noProof/>
            <w:webHidden/>
          </w:rPr>
          <w:fldChar w:fldCharType="separate"/>
        </w:r>
        <w:r>
          <w:rPr>
            <w:noProof/>
            <w:webHidden/>
          </w:rPr>
          <w:t>76</w:t>
        </w:r>
        <w:r>
          <w:rPr>
            <w:noProof/>
            <w:webHidden/>
          </w:rPr>
          <w:fldChar w:fldCharType="end"/>
        </w:r>
      </w:hyperlink>
    </w:p>
    <w:p w14:paraId="3355A79E" w14:textId="79C5E2B2" w:rsidR="00AA0C2A" w:rsidRDefault="00AA0C2A">
      <w:pPr>
        <w:pStyle w:val="TOC4"/>
        <w:rPr>
          <w:rFonts w:asciiTheme="minorHAnsi" w:eastAsiaTheme="minorEastAsia" w:hAnsiTheme="minorHAnsi" w:cstheme="minorBidi"/>
          <w:noProof/>
          <w:sz w:val="22"/>
          <w:szCs w:val="22"/>
          <w:lang w:val="en-GB" w:eastAsia="en-GB"/>
        </w:rPr>
      </w:pPr>
      <w:hyperlink w:anchor="_Toc74904429" w:history="1">
        <w:r w:rsidRPr="00A30B1E">
          <w:rPr>
            <w:rStyle w:val="Hyperlink"/>
            <w:noProof/>
          </w:rPr>
          <w:t>10.7.4.7</w:t>
        </w:r>
        <w:r>
          <w:rPr>
            <w:rFonts w:asciiTheme="minorHAnsi" w:eastAsiaTheme="minorEastAsia" w:hAnsiTheme="minorHAnsi" w:cstheme="minorBidi"/>
            <w:noProof/>
            <w:sz w:val="22"/>
            <w:szCs w:val="22"/>
            <w:lang w:val="en-GB" w:eastAsia="en-GB"/>
          </w:rPr>
          <w:tab/>
        </w:r>
        <w:r w:rsidRPr="00A30B1E">
          <w:rPr>
            <w:rStyle w:val="Hyperlink"/>
            <w:noProof/>
          </w:rPr>
          <w:t>12-lead ECG</w:t>
        </w:r>
        <w:r>
          <w:rPr>
            <w:noProof/>
            <w:webHidden/>
          </w:rPr>
          <w:tab/>
        </w:r>
        <w:r>
          <w:rPr>
            <w:noProof/>
            <w:webHidden/>
          </w:rPr>
          <w:fldChar w:fldCharType="begin"/>
        </w:r>
        <w:r>
          <w:rPr>
            <w:noProof/>
            <w:webHidden/>
          </w:rPr>
          <w:instrText xml:space="preserve"> PAGEREF _Toc74904429 \h </w:instrText>
        </w:r>
        <w:r>
          <w:rPr>
            <w:noProof/>
            <w:webHidden/>
          </w:rPr>
        </w:r>
        <w:r>
          <w:rPr>
            <w:noProof/>
            <w:webHidden/>
          </w:rPr>
          <w:fldChar w:fldCharType="separate"/>
        </w:r>
        <w:r>
          <w:rPr>
            <w:noProof/>
            <w:webHidden/>
          </w:rPr>
          <w:t>76</w:t>
        </w:r>
        <w:r>
          <w:rPr>
            <w:noProof/>
            <w:webHidden/>
          </w:rPr>
          <w:fldChar w:fldCharType="end"/>
        </w:r>
      </w:hyperlink>
    </w:p>
    <w:p w14:paraId="780C3861" w14:textId="15759132" w:rsidR="00AA0C2A" w:rsidRDefault="00AA0C2A">
      <w:pPr>
        <w:pStyle w:val="TOC4"/>
        <w:rPr>
          <w:rFonts w:asciiTheme="minorHAnsi" w:eastAsiaTheme="minorEastAsia" w:hAnsiTheme="minorHAnsi" w:cstheme="minorBidi"/>
          <w:noProof/>
          <w:sz w:val="22"/>
          <w:szCs w:val="22"/>
          <w:lang w:val="en-GB" w:eastAsia="en-GB"/>
        </w:rPr>
      </w:pPr>
      <w:hyperlink w:anchor="_Toc74904430" w:history="1">
        <w:r w:rsidRPr="00A30B1E">
          <w:rPr>
            <w:rStyle w:val="Hyperlink"/>
            <w:noProof/>
          </w:rPr>
          <w:t>10.7.4.8</w:t>
        </w:r>
        <w:r>
          <w:rPr>
            <w:rFonts w:asciiTheme="minorHAnsi" w:eastAsiaTheme="minorEastAsia" w:hAnsiTheme="minorHAnsi" w:cstheme="minorBidi"/>
            <w:noProof/>
            <w:sz w:val="22"/>
            <w:szCs w:val="22"/>
            <w:lang w:val="en-GB" w:eastAsia="en-GB"/>
          </w:rPr>
          <w:tab/>
        </w:r>
        <w:r w:rsidRPr="00A30B1E">
          <w:rPr>
            <w:rStyle w:val="Hyperlink"/>
            <w:noProof/>
          </w:rPr>
          <w:t>Concomitant Medication</w:t>
        </w:r>
        <w:r>
          <w:rPr>
            <w:noProof/>
            <w:webHidden/>
          </w:rPr>
          <w:tab/>
        </w:r>
        <w:r>
          <w:rPr>
            <w:noProof/>
            <w:webHidden/>
          </w:rPr>
          <w:fldChar w:fldCharType="begin"/>
        </w:r>
        <w:r>
          <w:rPr>
            <w:noProof/>
            <w:webHidden/>
          </w:rPr>
          <w:instrText xml:space="preserve"> PAGEREF _Toc74904430 \h </w:instrText>
        </w:r>
        <w:r>
          <w:rPr>
            <w:noProof/>
            <w:webHidden/>
          </w:rPr>
        </w:r>
        <w:r>
          <w:rPr>
            <w:noProof/>
            <w:webHidden/>
          </w:rPr>
          <w:fldChar w:fldCharType="separate"/>
        </w:r>
        <w:r>
          <w:rPr>
            <w:noProof/>
            <w:webHidden/>
          </w:rPr>
          <w:t>76</w:t>
        </w:r>
        <w:r>
          <w:rPr>
            <w:noProof/>
            <w:webHidden/>
          </w:rPr>
          <w:fldChar w:fldCharType="end"/>
        </w:r>
      </w:hyperlink>
    </w:p>
    <w:p w14:paraId="07DBD53B" w14:textId="7259C111" w:rsidR="00AA0C2A" w:rsidRDefault="00AA0C2A">
      <w:pPr>
        <w:pStyle w:val="TOC4"/>
        <w:rPr>
          <w:rFonts w:asciiTheme="minorHAnsi" w:eastAsiaTheme="minorEastAsia" w:hAnsiTheme="minorHAnsi" w:cstheme="minorBidi"/>
          <w:noProof/>
          <w:sz w:val="22"/>
          <w:szCs w:val="22"/>
          <w:lang w:val="en-GB" w:eastAsia="en-GB"/>
        </w:rPr>
      </w:pPr>
      <w:hyperlink w:anchor="_Toc74904431" w:history="1">
        <w:r w:rsidRPr="00A30B1E">
          <w:rPr>
            <w:rStyle w:val="Hyperlink"/>
            <w:noProof/>
          </w:rPr>
          <w:t>10.7.4.9</w:t>
        </w:r>
        <w:r>
          <w:rPr>
            <w:rFonts w:asciiTheme="minorHAnsi" w:eastAsiaTheme="minorEastAsia" w:hAnsiTheme="minorHAnsi" w:cstheme="minorBidi"/>
            <w:noProof/>
            <w:sz w:val="22"/>
            <w:szCs w:val="22"/>
            <w:lang w:val="en-GB" w:eastAsia="en-GB"/>
          </w:rPr>
          <w:tab/>
        </w:r>
        <w:r w:rsidRPr="00A30B1E">
          <w:rPr>
            <w:rStyle w:val="Hyperlink"/>
            <w:noProof/>
          </w:rPr>
          <w:t>Injection Site Examination</w:t>
        </w:r>
        <w:r>
          <w:rPr>
            <w:noProof/>
            <w:webHidden/>
          </w:rPr>
          <w:tab/>
        </w:r>
        <w:r>
          <w:rPr>
            <w:noProof/>
            <w:webHidden/>
          </w:rPr>
          <w:fldChar w:fldCharType="begin"/>
        </w:r>
        <w:r>
          <w:rPr>
            <w:noProof/>
            <w:webHidden/>
          </w:rPr>
          <w:instrText xml:space="preserve"> PAGEREF _Toc74904431 \h </w:instrText>
        </w:r>
        <w:r>
          <w:rPr>
            <w:noProof/>
            <w:webHidden/>
          </w:rPr>
        </w:r>
        <w:r>
          <w:rPr>
            <w:noProof/>
            <w:webHidden/>
          </w:rPr>
          <w:fldChar w:fldCharType="separate"/>
        </w:r>
        <w:r>
          <w:rPr>
            <w:noProof/>
            <w:webHidden/>
          </w:rPr>
          <w:t>76</w:t>
        </w:r>
        <w:r>
          <w:rPr>
            <w:noProof/>
            <w:webHidden/>
          </w:rPr>
          <w:fldChar w:fldCharType="end"/>
        </w:r>
      </w:hyperlink>
    </w:p>
    <w:p w14:paraId="178FF2CE" w14:textId="038A8F05" w:rsidR="00AA0C2A" w:rsidRDefault="00AA0C2A">
      <w:pPr>
        <w:pStyle w:val="TOC3"/>
        <w:rPr>
          <w:rFonts w:asciiTheme="minorHAnsi" w:eastAsiaTheme="minorEastAsia" w:hAnsiTheme="minorHAnsi" w:cstheme="minorBidi"/>
          <w:noProof/>
          <w:sz w:val="22"/>
          <w:szCs w:val="22"/>
          <w:lang w:val="en-GB" w:eastAsia="en-GB"/>
        </w:rPr>
      </w:pPr>
      <w:hyperlink w:anchor="_Toc74904432" w:history="1">
        <w:r w:rsidRPr="00A30B1E">
          <w:rPr>
            <w:rStyle w:val="Hyperlink"/>
            <w:noProof/>
          </w:rPr>
          <w:t>10.7.5</w:t>
        </w:r>
        <w:r>
          <w:rPr>
            <w:rFonts w:asciiTheme="minorHAnsi" w:eastAsiaTheme="minorEastAsia" w:hAnsiTheme="minorHAnsi" w:cstheme="minorBidi"/>
            <w:noProof/>
            <w:sz w:val="22"/>
            <w:szCs w:val="22"/>
            <w:lang w:val="en-GB" w:eastAsia="en-GB"/>
          </w:rPr>
          <w:tab/>
        </w:r>
        <w:r w:rsidRPr="00A30B1E">
          <w:rPr>
            <w:rStyle w:val="Hyperlink"/>
            <w:noProof/>
          </w:rPr>
          <w:t>Appropriateness of Measurements</w:t>
        </w:r>
        <w:r>
          <w:rPr>
            <w:noProof/>
            <w:webHidden/>
          </w:rPr>
          <w:tab/>
        </w:r>
        <w:r>
          <w:rPr>
            <w:noProof/>
            <w:webHidden/>
          </w:rPr>
          <w:fldChar w:fldCharType="begin"/>
        </w:r>
        <w:r>
          <w:rPr>
            <w:noProof/>
            <w:webHidden/>
          </w:rPr>
          <w:instrText xml:space="preserve"> PAGEREF _Toc74904432 \h </w:instrText>
        </w:r>
        <w:r>
          <w:rPr>
            <w:noProof/>
            <w:webHidden/>
          </w:rPr>
        </w:r>
        <w:r>
          <w:rPr>
            <w:noProof/>
            <w:webHidden/>
          </w:rPr>
          <w:fldChar w:fldCharType="separate"/>
        </w:r>
        <w:r>
          <w:rPr>
            <w:noProof/>
            <w:webHidden/>
          </w:rPr>
          <w:t>76</w:t>
        </w:r>
        <w:r>
          <w:rPr>
            <w:noProof/>
            <w:webHidden/>
          </w:rPr>
          <w:fldChar w:fldCharType="end"/>
        </w:r>
      </w:hyperlink>
    </w:p>
    <w:p w14:paraId="08628F6C" w14:textId="7D79F7E3" w:rsidR="00AA0C2A" w:rsidRDefault="00AA0C2A">
      <w:pPr>
        <w:pStyle w:val="TOC3"/>
        <w:rPr>
          <w:rFonts w:asciiTheme="minorHAnsi" w:eastAsiaTheme="minorEastAsia" w:hAnsiTheme="minorHAnsi" w:cstheme="minorBidi"/>
          <w:noProof/>
          <w:sz w:val="22"/>
          <w:szCs w:val="22"/>
          <w:lang w:val="en-GB" w:eastAsia="en-GB"/>
        </w:rPr>
      </w:pPr>
      <w:hyperlink w:anchor="_Toc74904433" w:history="1">
        <w:r w:rsidRPr="00A30B1E">
          <w:rPr>
            <w:rStyle w:val="Hyperlink"/>
            <w:noProof/>
          </w:rPr>
          <w:t>10.7.6</w:t>
        </w:r>
        <w:r>
          <w:rPr>
            <w:rFonts w:asciiTheme="minorHAnsi" w:eastAsiaTheme="minorEastAsia" w:hAnsiTheme="minorHAnsi" w:cstheme="minorBidi"/>
            <w:noProof/>
            <w:sz w:val="22"/>
            <w:szCs w:val="22"/>
            <w:lang w:val="en-GB" w:eastAsia="en-GB"/>
          </w:rPr>
          <w:tab/>
        </w:r>
        <w:r w:rsidRPr="00A30B1E">
          <w:rPr>
            <w:rStyle w:val="Hyperlink"/>
            <w:noProof/>
          </w:rPr>
          <w:t>Primary Efficacy Variable(s)</w:t>
        </w:r>
        <w:r>
          <w:rPr>
            <w:noProof/>
            <w:webHidden/>
          </w:rPr>
          <w:tab/>
        </w:r>
        <w:r>
          <w:rPr>
            <w:noProof/>
            <w:webHidden/>
          </w:rPr>
          <w:fldChar w:fldCharType="begin"/>
        </w:r>
        <w:r>
          <w:rPr>
            <w:noProof/>
            <w:webHidden/>
          </w:rPr>
          <w:instrText xml:space="preserve"> PAGEREF _Toc74904433 \h </w:instrText>
        </w:r>
        <w:r>
          <w:rPr>
            <w:noProof/>
            <w:webHidden/>
          </w:rPr>
        </w:r>
        <w:r>
          <w:rPr>
            <w:noProof/>
            <w:webHidden/>
          </w:rPr>
          <w:fldChar w:fldCharType="separate"/>
        </w:r>
        <w:r>
          <w:rPr>
            <w:noProof/>
            <w:webHidden/>
          </w:rPr>
          <w:t>78</w:t>
        </w:r>
        <w:r>
          <w:rPr>
            <w:noProof/>
            <w:webHidden/>
          </w:rPr>
          <w:fldChar w:fldCharType="end"/>
        </w:r>
      </w:hyperlink>
    </w:p>
    <w:p w14:paraId="4824D9C2" w14:textId="118ECF63" w:rsidR="00AA0C2A" w:rsidRDefault="00AA0C2A">
      <w:pPr>
        <w:pStyle w:val="TOC3"/>
        <w:rPr>
          <w:rFonts w:asciiTheme="minorHAnsi" w:eastAsiaTheme="minorEastAsia" w:hAnsiTheme="minorHAnsi" w:cstheme="minorBidi"/>
          <w:noProof/>
          <w:sz w:val="22"/>
          <w:szCs w:val="22"/>
          <w:lang w:val="en-GB" w:eastAsia="en-GB"/>
        </w:rPr>
      </w:pPr>
      <w:hyperlink w:anchor="_Toc74904434" w:history="1">
        <w:r w:rsidRPr="00A30B1E">
          <w:rPr>
            <w:rStyle w:val="Hyperlink"/>
            <w:noProof/>
          </w:rPr>
          <w:t>10.7.7</w:t>
        </w:r>
        <w:r>
          <w:rPr>
            <w:rFonts w:asciiTheme="minorHAnsi" w:eastAsiaTheme="minorEastAsia" w:hAnsiTheme="minorHAnsi" w:cstheme="minorBidi"/>
            <w:noProof/>
            <w:sz w:val="22"/>
            <w:szCs w:val="22"/>
            <w:lang w:val="en-GB" w:eastAsia="en-GB"/>
          </w:rPr>
          <w:tab/>
        </w:r>
        <w:r w:rsidRPr="00A30B1E">
          <w:rPr>
            <w:rStyle w:val="Hyperlink"/>
            <w:noProof/>
          </w:rPr>
          <w:t>Pharmacokinetic Drug Concentration Measurements</w:t>
        </w:r>
        <w:r>
          <w:rPr>
            <w:noProof/>
            <w:webHidden/>
          </w:rPr>
          <w:tab/>
        </w:r>
        <w:r>
          <w:rPr>
            <w:noProof/>
            <w:webHidden/>
          </w:rPr>
          <w:fldChar w:fldCharType="begin"/>
        </w:r>
        <w:r>
          <w:rPr>
            <w:noProof/>
            <w:webHidden/>
          </w:rPr>
          <w:instrText xml:space="preserve"> PAGEREF _Toc74904434 \h </w:instrText>
        </w:r>
        <w:r>
          <w:rPr>
            <w:noProof/>
            <w:webHidden/>
          </w:rPr>
        </w:r>
        <w:r>
          <w:rPr>
            <w:noProof/>
            <w:webHidden/>
          </w:rPr>
          <w:fldChar w:fldCharType="separate"/>
        </w:r>
        <w:r>
          <w:rPr>
            <w:noProof/>
            <w:webHidden/>
          </w:rPr>
          <w:t>78</w:t>
        </w:r>
        <w:r>
          <w:rPr>
            <w:noProof/>
            <w:webHidden/>
          </w:rPr>
          <w:fldChar w:fldCharType="end"/>
        </w:r>
      </w:hyperlink>
    </w:p>
    <w:p w14:paraId="48C2B1CE" w14:textId="66FF9677" w:rsidR="00AA0C2A" w:rsidRDefault="00AA0C2A">
      <w:pPr>
        <w:pStyle w:val="TOC3"/>
        <w:rPr>
          <w:rFonts w:asciiTheme="minorHAnsi" w:eastAsiaTheme="minorEastAsia" w:hAnsiTheme="minorHAnsi" w:cstheme="minorBidi"/>
          <w:noProof/>
          <w:sz w:val="22"/>
          <w:szCs w:val="22"/>
          <w:lang w:val="en-GB" w:eastAsia="en-GB"/>
        </w:rPr>
      </w:pPr>
      <w:hyperlink w:anchor="_Toc74904435" w:history="1">
        <w:r w:rsidRPr="00A30B1E">
          <w:rPr>
            <w:rStyle w:val="Hyperlink"/>
            <w:noProof/>
          </w:rPr>
          <w:t>10.7.8</w:t>
        </w:r>
        <w:r>
          <w:rPr>
            <w:rFonts w:asciiTheme="minorHAnsi" w:eastAsiaTheme="minorEastAsia" w:hAnsiTheme="minorHAnsi" w:cstheme="minorBidi"/>
            <w:noProof/>
            <w:sz w:val="22"/>
            <w:szCs w:val="22"/>
            <w:lang w:val="en-GB" w:eastAsia="en-GB"/>
          </w:rPr>
          <w:tab/>
        </w:r>
        <w:r w:rsidRPr="00A30B1E">
          <w:rPr>
            <w:rStyle w:val="Hyperlink"/>
            <w:noProof/>
          </w:rPr>
          <w:t>Pharmacodynamic Assessments</w:t>
        </w:r>
        <w:r>
          <w:rPr>
            <w:noProof/>
            <w:webHidden/>
          </w:rPr>
          <w:tab/>
        </w:r>
        <w:r>
          <w:rPr>
            <w:noProof/>
            <w:webHidden/>
          </w:rPr>
          <w:fldChar w:fldCharType="begin"/>
        </w:r>
        <w:r>
          <w:rPr>
            <w:noProof/>
            <w:webHidden/>
          </w:rPr>
          <w:instrText xml:space="preserve"> PAGEREF _Toc74904435 \h </w:instrText>
        </w:r>
        <w:r>
          <w:rPr>
            <w:noProof/>
            <w:webHidden/>
          </w:rPr>
        </w:r>
        <w:r>
          <w:rPr>
            <w:noProof/>
            <w:webHidden/>
          </w:rPr>
          <w:fldChar w:fldCharType="separate"/>
        </w:r>
        <w:r>
          <w:rPr>
            <w:noProof/>
            <w:webHidden/>
          </w:rPr>
          <w:t>78</w:t>
        </w:r>
        <w:r>
          <w:rPr>
            <w:noProof/>
            <w:webHidden/>
          </w:rPr>
          <w:fldChar w:fldCharType="end"/>
        </w:r>
      </w:hyperlink>
    </w:p>
    <w:p w14:paraId="702C0CDE" w14:textId="7AEBE33F" w:rsidR="00AA0C2A" w:rsidRDefault="00AA0C2A">
      <w:pPr>
        <w:pStyle w:val="TOC3"/>
        <w:rPr>
          <w:rFonts w:asciiTheme="minorHAnsi" w:eastAsiaTheme="minorEastAsia" w:hAnsiTheme="minorHAnsi" w:cstheme="minorBidi"/>
          <w:noProof/>
          <w:sz w:val="22"/>
          <w:szCs w:val="22"/>
          <w:lang w:val="en-GB" w:eastAsia="en-GB"/>
        </w:rPr>
      </w:pPr>
      <w:hyperlink w:anchor="_Toc74904436" w:history="1">
        <w:r w:rsidRPr="00A30B1E">
          <w:rPr>
            <w:rStyle w:val="Hyperlink"/>
            <w:noProof/>
          </w:rPr>
          <w:t>10.7.9</w:t>
        </w:r>
        <w:r>
          <w:rPr>
            <w:rFonts w:asciiTheme="minorHAnsi" w:eastAsiaTheme="minorEastAsia" w:hAnsiTheme="minorHAnsi" w:cstheme="minorBidi"/>
            <w:noProof/>
            <w:sz w:val="22"/>
            <w:szCs w:val="22"/>
            <w:lang w:val="en-GB" w:eastAsia="en-GB"/>
          </w:rPr>
          <w:tab/>
        </w:r>
        <w:r w:rsidRPr="00A30B1E">
          <w:rPr>
            <w:rStyle w:val="Hyperlink"/>
            <w:noProof/>
          </w:rPr>
          <w:t>Blood for mRNA markers</w:t>
        </w:r>
        <w:r>
          <w:rPr>
            <w:noProof/>
            <w:webHidden/>
          </w:rPr>
          <w:tab/>
        </w:r>
        <w:r>
          <w:rPr>
            <w:noProof/>
            <w:webHidden/>
          </w:rPr>
          <w:fldChar w:fldCharType="begin"/>
        </w:r>
        <w:r>
          <w:rPr>
            <w:noProof/>
            <w:webHidden/>
          </w:rPr>
          <w:instrText xml:space="preserve"> PAGEREF _Toc74904436 \h </w:instrText>
        </w:r>
        <w:r>
          <w:rPr>
            <w:noProof/>
            <w:webHidden/>
          </w:rPr>
        </w:r>
        <w:r>
          <w:rPr>
            <w:noProof/>
            <w:webHidden/>
          </w:rPr>
          <w:fldChar w:fldCharType="separate"/>
        </w:r>
        <w:r>
          <w:rPr>
            <w:noProof/>
            <w:webHidden/>
          </w:rPr>
          <w:t>78</w:t>
        </w:r>
        <w:r>
          <w:rPr>
            <w:noProof/>
            <w:webHidden/>
          </w:rPr>
          <w:fldChar w:fldCharType="end"/>
        </w:r>
      </w:hyperlink>
    </w:p>
    <w:p w14:paraId="64F6831A" w14:textId="6017FD85" w:rsidR="00AA0C2A" w:rsidRDefault="00AA0C2A">
      <w:pPr>
        <w:pStyle w:val="TOC3"/>
        <w:rPr>
          <w:rFonts w:asciiTheme="minorHAnsi" w:eastAsiaTheme="minorEastAsia" w:hAnsiTheme="minorHAnsi" w:cstheme="minorBidi"/>
          <w:noProof/>
          <w:sz w:val="22"/>
          <w:szCs w:val="22"/>
          <w:lang w:val="en-GB" w:eastAsia="en-GB"/>
        </w:rPr>
      </w:pPr>
      <w:hyperlink w:anchor="_Toc74904437" w:history="1">
        <w:r w:rsidRPr="00A30B1E">
          <w:rPr>
            <w:rStyle w:val="Hyperlink"/>
            <w:noProof/>
          </w:rPr>
          <w:t>10.7.10</w:t>
        </w:r>
        <w:r>
          <w:rPr>
            <w:rFonts w:asciiTheme="minorHAnsi" w:eastAsiaTheme="minorEastAsia" w:hAnsiTheme="minorHAnsi" w:cstheme="minorBidi"/>
            <w:noProof/>
            <w:sz w:val="22"/>
            <w:szCs w:val="22"/>
            <w:lang w:val="en-GB" w:eastAsia="en-GB"/>
          </w:rPr>
          <w:tab/>
        </w:r>
        <w:r w:rsidRPr="00A30B1E">
          <w:rPr>
            <w:rStyle w:val="Hyperlink"/>
            <w:noProof/>
          </w:rPr>
          <w:t>Blood for PBMC isolate</w:t>
        </w:r>
        <w:r>
          <w:rPr>
            <w:noProof/>
            <w:webHidden/>
          </w:rPr>
          <w:tab/>
        </w:r>
        <w:r>
          <w:rPr>
            <w:noProof/>
            <w:webHidden/>
          </w:rPr>
          <w:fldChar w:fldCharType="begin"/>
        </w:r>
        <w:r>
          <w:rPr>
            <w:noProof/>
            <w:webHidden/>
          </w:rPr>
          <w:instrText xml:space="preserve"> PAGEREF _Toc74904437 \h </w:instrText>
        </w:r>
        <w:r>
          <w:rPr>
            <w:noProof/>
            <w:webHidden/>
          </w:rPr>
        </w:r>
        <w:r>
          <w:rPr>
            <w:noProof/>
            <w:webHidden/>
          </w:rPr>
          <w:fldChar w:fldCharType="separate"/>
        </w:r>
        <w:r>
          <w:rPr>
            <w:noProof/>
            <w:webHidden/>
          </w:rPr>
          <w:t>79</w:t>
        </w:r>
        <w:r>
          <w:rPr>
            <w:noProof/>
            <w:webHidden/>
          </w:rPr>
          <w:fldChar w:fldCharType="end"/>
        </w:r>
      </w:hyperlink>
    </w:p>
    <w:p w14:paraId="6010705C" w14:textId="52428F33" w:rsidR="00AA0C2A" w:rsidRDefault="00AA0C2A">
      <w:pPr>
        <w:pStyle w:val="TOC3"/>
        <w:rPr>
          <w:rFonts w:asciiTheme="minorHAnsi" w:eastAsiaTheme="minorEastAsia" w:hAnsiTheme="minorHAnsi" w:cstheme="minorBidi"/>
          <w:noProof/>
          <w:sz w:val="22"/>
          <w:szCs w:val="22"/>
          <w:lang w:val="en-GB" w:eastAsia="en-GB"/>
        </w:rPr>
      </w:pPr>
      <w:hyperlink w:anchor="_Toc74904438" w:history="1">
        <w:r w:rsidRPr="00A30B1E">
          <w:rPr>
            <w:rStyle w:val="Hyperlink"/>
            <w:rFonts w:eastAsia="MS Mincho"/>
            <w:noProof/>
          </w:rPr>
          <w:t>10.7.11</w:t>
        </w:r>
        <w:r>
          <w:rPr>
            <w:rFonts w:asciiTheme="minorHAnsi" w:eastAsiaTheme="minorEastAsia" w:hAnsiTheme="minorHAnsi" w:cstheme="minorBidi"/>
            <w:noProof/>
            <w:sz w:val="22"/>
            <w:szCs w:val="22"/>
            <w:lang w:val="en-GB" w:eastAsia="en-GB"/>
          </w:rPr>
          <w:tab/>
        </w:r>
        <w:r w:rsidRPr="00A30B1E">
          <w:rPr>
            <w:rStyle w:val="Hyperlink"/>
            <w:rFonts w:eastAsia="MS Mincho"/>
            <w:noProof/>
          </w:rPr>
          <w:t>Blood for Titration of Autoantibodies</w:t>
        </w:r>
        <w:r>
          <w:rPr>
            <w:noProof/>
            <w:webHidden/>
          </w:rPr>
          <w:tab/>
        </w:r>
        <w:r>
          <w:rPr>
            <w:noProof/>
            <w:webHidden/>
          </w:rPr>
          <w:fldChar w:fldCharType="begin"/>
        </w:r>
        <w:r>
          <w:rPr>
            <w:noProof/>
            <w:webHidden/>
          </w:rPr>
          <w:instrText xml:space="preserve"> PAGEREF _Toc74904438 \h </w:instrText>
        </w:r>
        <w:r>
          <w:rPr>
            <w:noProof/>
            <w:webHidden/>
          </w:rPr>
        </w:r>
        <w:r>
          <w:rPr>
            <w:noProof/>
            <w:webHidden/>
          </w:rPr>
          <w:fldChar w:fldCharType="separate"/>
        </w:r>
        <w:r>
          <w:rPr>
            <w:noProof/>
            <w:webHidden/>
          </w:rPr>
          <w:t>79</w:t>
        </w:r>
        <w:r>
          <w:rPr>
            <w:noProof/>
            <w:webHidden/>
          </w:rPr>
          <w:fldChar w:fldCharType="end"/>
        </w:r>
      </w:hyperlink>
    </w:p>
    <w:p w14:paraId="71B3532F" w14:textId="4F86F07C" w:rsidR="00AA0C2A" w:rsidRDefault="00AA0C2A">
      <w:pPr>
        <w:pStyle w:val="TOC2"/>
        <w:rPr>
          <w:rFonts w:asciiTheme="minorHAnsi" w:eastAsiaTheme="minorEastAsia" w:hAnsiTheme="minorHAnsi" w:cstheme="minorBidi"/>
          <w:noProof/>
          <w:sz w:val="22"/>
          <w:szCs w:val="22"/>
          <w:lang w:val="en-GB" w:eastAsia="en-GB"/>
        </w:rPr>
      </w:pPr>
      <w:hyperlink w:anchor="_Toc74904439" w:history="1">
        <w:r w:rsidRPr="00A30B1E">
          <w:rPr>
            <w:rStyle w:val="Hyperlink"/>
            <w:noProof/>
          </w:rPr>
          <w:t>10.8</w:t>
        </w:r>
        <w:r>
          <w:rPr>
            <w:rFonts w:asciiTheme="minorHAnsi" w:eastAsiaTheme="minorEastAsia" w:hAnsiTheme="minorHAnsi" w:cstheme="minorBidi"/>
            <w:noProof/>
            <w:sz w:val="22"/>
            <w:szCs w:val="22"/>
            <w:lang w:val="en-GB" w:eastAsia="en-GB"/>
          </w:rPr>
          <w:tab/>
        </w:r>
        <w:r w:rsidRPr="00A30B1E">
          <w:rPr>
            <w:rStyle w:val="Hyperlink"/>
            <w:noProof/>
          </w:rPr>
          <w:t>Data Quality Assurance</w:t>
        </w:r>
        <w:r>
          <w:rPr>
            <w:noProof/>
            <w:webHidden/>
          </w:rPr>
          <w:tab/>
        </w:r>
        <w:r>
          <w:rPr>
            <w:noProof/>
            <w:webHidden/>
          </w:rPr>
          <w:fldChar w:fldCharType="begin"/>
        </w:r>
        <w:r>
          <w:rPr>
            <w:noProof/>
            <w:webHidden/>
          </w:rPr>
          <w:instrText xml:space="preserve"> PAGEREF _Toc74904439 \h </w:instrText>
        </w:r>
        <w:r>
          <w:rPr>
            <w:noProof/>
            <w:webHidden/>
          </w:rPr>
        </w:r>
        <w:r>
          <w:rPr>
            <w:noProof/>
            <w:webHidden/>
          </w:rPr>
          <w:fldChar w:fldCharType="separate"/>
        </w:r>
        <w:r>
          <w:rPr>
            <w:noProof/>
            <w:webHidden/>
          </w:rPr>
          <w:t>79</w:t>
        </w:r>
        <w:r>
          <w:rPr>
            <w:noProof/>
            <w:webHidden/>
          </w:rPr>
          <w:fldChar w:fldCharType="end"/>
        </w:r>
      </w:hyperlink>
    </w:p>
    <w:p w14:paraId="078B2325" w14:textId="5E8A909B" w:rsidR="00AA0C2A" w:rsidRDefault="00AA0C2A">
      <w:pPr>
        <w:pStyle w:val="TOC2"/>
        <w:rPr>
          <w:rFonts w:asciiTheme="minorHAnsi" w:eastAsiaTheme="minorEastAsia" w:hAnsiTheme="minorHAnsi" w:cstheme="minorBidi"/>
          <w:noProof/>
          <w:sz w:val="22"/>
          <w:szCs w:val="22"/>
          <w:lang w:val="en-GB" w:eastAsia="en-GB"/>
        </w:rPr>
      </w:pPr>
      <w:hyperlink w:anchor="_Toc74904440" w:history="1">
        <w:r w:rsidRPr="00A30B1E">
          <w:rPr>
            <w:rStyle w:val="Hyperlink"/>
            <w:noProof/>
          </w:rPr>
          <w:t>10.9</w:t>
        </w:r>
        <w:r>
          <w:rPr>
            <w:rFonts w:asciiTheme="minorHAnsi" w:eastAsiaTheme="minorEastAsia" w:hAnsiTheme="minorHAnsi" w:cstheme="minorBidi"/>
            <w:noProof/>
            <w:sz w:val="22"/>
            <w:szCs w:val="22"/>
            <w:lang w:val="en-GB" w:eastAsia="en-GB"/>
          </w:rPr>
          <w:tab/>
        </w:r>
        <w:r w:rsidRPr="00A30B1E">
          <w:rPr>
            <w:rStyle w:val="Hyperlink"/>
            <w:noProof/>
          </w:rPr>
          <w:t>Statistical Methods and Determination of Sample Size</w:t>
        </w:r>
        <w:r>
          <w:rPr>
            <w:noProof/>
            <w:webHidden/>
          </w:rPr>
          <w:tab/>
        </w:r>
        <w:r>
          <w:rPr>
            <w:noProof/>
            <w:webHidden/>
          </w:rPr>
          <w:fldChar w:fldCharType="begin"/>
        </w:r>
        <w:r>
          <w:rPr>
            <w:noProof/>
            <w:webHidden/>
          </w:rPr>
          <w:instrText xml:space="preserve"> PAGEREF _Toc74904440 \h </w:instrText>
        </w:r>
        <w:r>
          <w:rPr>
            <w:noProof/>
            <w:webHidden/>
          </w:rPr>
        </w:r>
        <w:r>
          <w:rPr>
            <w:noProof/>
            <w:webHidden/>
          </w:rPr>
          <w:fldChar w:fldCharType="separate"/>
        </w:r>
        <w:r>
          <w:rPr>
            <w:noProof/>
            <w:webHidden/>
          </w:rPr>
          <w:t>81</w:t>
        </w:r>
        <w:r>
          <w:rPr>
            <w:noProof/>
            <w:webHidden/>
          </w:rPr>
          <w:fldChar w:fldCharType="end"/>
        </w:r>
      </w:hyperlink>
    </w:p>
    <w:p w14:paraId="7FCFF9A9" w14:textId="7008A5BE" w:rsidR="00AA0C2A" w:rsidRDefault="00AA0C2A">
      <w:pPr>
        <w:pStyle w:val="TOC3"/>
        <w:rPr>
          <w:rFonts w:asciiTheme="minorHAnsi" w:eastAsiaTheme="minorEastAsia" w:hAnsiTheme="minorHAnsi" w:cstheme="minorBidi"/>
          <w:noProof/>
          <w:sz w:val="22"/>
          <w:szCs w:val="22"/>
          <w:lang w:val="en-GB" w:eastAsia="en-GB"/>
        </w:rPr>
      </w:pPr>
      <w:hyperlink w:anchor="_Toc74904441" w:history="1">
        <w:r w:rsidRPr="00A30B1E">
          <w:rPr>
            <w:rStyle w:val="Hyperlink"/>
            <w:noProof/>
          </w:rPr>
          <w:t>10.9.1</w:t>
        </w:r>
        <w:r>
          <w:rPr>
            <w:rFonts w:asciiTheme="minorHAnsi" w:eastAsiaTheme="minorEastAsia" w:hAnsiTheme="minorHAnsi" w:cstheme="minorBidi"/>
            <w:noProof/>
            <w:sz w:val="22"/>
            <w:szCs w:val="22"/>
            <w:lang w:val="en-GB" w:eastAsia="en-GB"/>
          </w:rPr>
          <w:tab/>
        </w:r>
        <w:r w:rsidRPr="00A30B1E">
          <w:rPr>
            <w:rStyle w:val="Hyperlink"/>
            <w:noProof/>
          </w:rPr>
          <w:t>Statistical and Analytical Plan</w:t>
        </w:r>
        <w:r>
          <w:rPr>
            <w:noProof/>
            <w:webHidden/>
          </w:rPr>
          <w:tab/>
        </w:r>
        <w:r>
          <w:rPr>
            <w:noProof/>
            <w:webHidden/>
          </w:rPr>
          <w:fldChar w:fldCharType="begin"/>
        </w:r>
        <w:r>
          <w:rPr>
            <w:noProof/>
            <w:webHidden/>
          </w:rPr>
          <w:instrText xml:space="preserve"> PAGEREF _Toc74904441 \h </w:instrText>
        </w:r>
        <w:r>
          <w:rPr>
            <w:noProof/>
            <w:webHidden/>
          </w:rPr>
        </w:r>
        <w:r>
          <w:rPr>
            <w:noProof/>
            <w:webHidden/>
          </w:rPr>
          <w:fldChar w:fldCharType="separate"/>
        </w:r>
        <w:r>
          <w:rPr>
            <w:noProof/>
            <w:webHidden/>
          </w:rPr>
          <w:t>81</w:t>
        </w:r>
        <w:r>
          <w:rPr>
            <w:noProof/>
            <w:webHidden/>
          </w:rPr>
          <w:fldChar w:fldCharType="end"/>
        </w:r>
      </w:hyperlink>
    </w:p>
    <w:p w14:paraId="68A9C393" w14:textId="1FD4D267" w:rsidR="00AA0C2A" w:rsidRDefault="00AA0C2A">
      <w:pPr>
        <w:pStyle w:val="TOC3"/>
        <w:rPr>
          <w:rFonts w:asciiTheme="minorHAnsi" w:eastAsiaTheme="minorEastAsia" w:hAnsiTheme="minorHAnsi" w:cstheme="minorBidi"/>
          <w:noProof/>
          <w:sz w:val="22"/>
          <w:szCs w:val="22"/>
          <w:lang w:val="en-GB" w:eastAsia="en-GB"/>
        </w:rPr>
      </w:pPr>
      <w:hyperlink w:anchor="_Toc74904442" w:history="1">
        <w:r w:rsidRPr="00A30B1E">
          <w:rPr>
            <w:rStyle w:val="Hyperlink"/>
            <w:noProof/>
          </w:rPr>
          <w:t>10.9.2</w:t>
        </w:r>
        <w:r>
          <w:rPr>
            <w:rFonts w:asciiTheme="minorHAnsi" w:eastAsiaTheme="minorEastAsia" w:hAnsiTheme="minorHAnsi" w:cstheme="minorBidi"/>
            <w:noProof/>
            <w:sz w:val="22"/>
            <w:szCs w:val="22"/>
            <w:lang w:val="en-GB" w:eastAsia="en-GB"/>
          </w:rPr>
          <w:tab/>
        </w:r>
        <w:r w:rsidRPr="00A30B1E">
          <w:rPr>
            <w:rStyle w:val="Hyperlink"/>
            <w:noProof/>
          </w:rPr>
          <w:t>Study Endpoints</w:t>
        </w:r>
        <w:r>
          <w:rPr>
            <w:noProof/>
            <w:webHidden/>
          </w:rPr>
          <w:tab/>
        </w:r>
        <w:r>
          <w:rPr>
            <w:noProof/>
            <w:webHidden/>
          </w:rPr>
          <w:fldChar w:fldCharType="begin"/>
        </w:r>
        <w:r>
          <w:rPr>
            <w:noProof/>
            <w:webHidden/>
          </w:rPr>
          <w:instrText xml:space="preserve"> PAGEREF _Toc74904442 \h </w:instrText>
        </w:r>
        <w:r>
          <w:rPr>
            <w:noProof/>
            <w:webHidden/>
          </w:rPr>
        </w:r>
        <w:r>
          <w:rPr>
            <w:noProof/>
            <w:webHidden/>
          </w:rPr>
          <w:fldChar w:fldCharType="separate"/>
        </w:r>
        <w:r>
          <w:rPr>
            <w:noProof/>
            <w:webHidden/>
          </w:rPr>
          <w:t>81</w:t>
        </w:r>
        <w:r>
          <w:rPr>
            <w:noProof/>
            <w:webHidden/>
          </w:rPr>
          <w:fldChar w:fldCharType="end"/>
        </w:r>
      </w:hyperlink>
    </w:p>
    <w:p w14:paraId="53C0CFEB" w14:textId="28A873B3" w:rsidR="00AA0C2A" w:rsidRDefault="00AA0C2A">
      <w:pPr>
        <w:pStyle w:val="TOC4"/>
        <w:rPr>
          <w:rFonts w:asciiTheme="minorHAnsi" w:eastAsiaTheme="minorEastAsia" w:hAnsiTheme="minorHAnsi" w:cstheme="minorBidi"/>
          <w:noProof/>
          <w:sz w:val="22"/>
          <w:szCs w:val="22"/>
          <w:lang w:val="en-GB" w:eastAsia="en-GB"/>
        </w:rPr>
      </w:pPr>
      <w:hyperlink w:anchor="_Toc74904443" w:history="1">
        <w:r w:rsidRPr="00A30B1E">
          <w:rPr>
            <w:rStyle w:val="Hyperlink"/>
            <w:noProof/>
          </w:rPr>
          <w:t>10.9.2.1</w:t>
        </w:r>
        <w:r>
          <w:rPr>
            <w:rFonts w:asciiTheme="minorHAnsi" w:eastAsiaTheme="minorEastAsia" w:hAnsiTheme="minorHAnsi" w:cstheme="minorBidi"/>
            <w:noProof/>
            <w:sz w:val="22"/>
            <w:szCs w:val="22"/>
            <w:lang w:val="en-GB" w:eastAsia="en-GB"/>
          </w:rPr>
          <w:tab/>
        </w:r>
        <w:r w:rsidRPr="00A30B1E">
          <w:rPr>
            <w:rStyle w:val="Hyperlink"/>
            <w:noProof/>
          </w:rPr>
          <w:t>Primary Endpoints</w:t>
        </w:r>
        <w:r>
          <w:rPr>
            <w:noProof/>
            <w:webHidden/>
          </w:rPr>
          <w:tab/>
        </w:r>
        <w:r>
          <w:rPr>
            <w:noProof/>
            <w:webHidden/>
          </w:rPr>
          <w:fldChar w:fldCharType="begin"/>
        </w:r>
        <w:r>
          <w:rPr>
            <w:noProof/>
            <w:webHidden/>
          </w:rPr>
          <w:instrText xml:space="preserve"> PAGEREF _Toc74904443 \h </w:instrText>
        </w:r>
        <w:r>
          <w:rPr>
            <w:noProof/>
            <w:webHidden/>
          </w:rPr>
        </w:r>
        <w:r>
          <w:rPr>
            <w:noProof/>
            <w:webHidden/>
          </w:rPr>
          <w:fldChar w:fldCharType="separate"/>
        </w:r>
        <w:r>
          <w:rPr>
            <w:noProof/>
            <w:webHidden/>
          </w:rPr>
          <w:t>81</w:t>
        </w:r>
        <w:r>
          <w:rPr>
            <w:noProof/>
            <w:webHidden/>
          </w:rPr>
          <w:fldChar w:fldCharType="end"/>
        </w:r>
      </w:hyperlink>
    </w:p>
    <w:p w14:paraId="26F54B55" w14:textId="090BC351" w:rsidR="00AA0C2A" w:rsidRDefault="00AA0C2A">
      <w:pPr>
        <w:pStyle w:val="TOC4"/>
        <w:rPr>
          <w:rFonts w:asciiTheme="minorHAnsi" w:eastAsiaTheme="minorEastAsia" w:hAnsiTheme="minorHAnsi" w:cstheme="minorBidi"/>
          <w:noProof/>
          <w:sz w:val="22"/>
          <w:szCs w:val="22"/>
          <w:lang w:val="en-GB" w:eastAsia="en-GB"/>
        </w:rPr>
      </w:pPr>
      <w:hyperlink w:anchor="_Toc74904444" w:history="1">
        <w:r w:rsidRPr="00A30B1E">
          <w:rPr>
            <w:rStyle w:val="Hyperlink"/>
            <w:noProof/>
          </w:rPr>
          <w:t>10.9.2.2</w:t>
        </w:r>
        <w:r>
          <w:rPr>
            <w:rFonts w:asciiTheme="minorHAnsi" w:eastAsiaTheme="minorEastAsia" w:hAnsiTheme="minorHAnsi" w:cstheme="minorBidi"/>
            <w:noProof/>
            <w:sz w:val="22"/>
            <w:szCs w:val="22"/>
            <w:lang w:val="en-GB" w:eastAsia="en-GB"/>
          </w:rPr>
          <w:tab/>
        </w:r>
        <w:r w:rsidRPr="00A30B1E">
          <w:rPr>
            <w:rStyle w:val="Hyperlink"/>
            <w:noProof/>
          </w:rPr>
          <w:t>Secondary Endpoints</w:t>
        </w:r>
        <w:r>
          <w:rPr>
            <w:noProof/>
            <w:webHidden/>
          </w:rPr>
          <w:tab/>
        </w:r>
        <w:r>
          <w:rPr>
            <w:noProof/>
            <w:webHidden/>
          </w:rPr>
          <w:fldChar w:fldCharType="begin"/>
        </w:r>
        <w:r>
          <w:rPr>
            <w:noProof/>
            <w:webHidden/>
          </w:rPr>
          <w:instrText xml:space="preserve"> PAGEREF _Toc74904444 \h </w:instrText>
        </w:r>
        <w:r>
          <w:rPr>
            <w:noProof/>
            <w:webHidden/>
          </w:rPr>
        </w:r>
        <w:r>
          <w:rPr>
            <w:noProof/>
            <w:webHidden/>
          </w:rPr>
          <w:fldChar w:fldCharType="separate"/>
        </w:r>
        <w:r>
          <w:rPr>
            <w:noProof/>
            <w:webHidden/>
          </w:rPr>
          <w:t>82</w:t>
        </w:r>
        <w:r>
          <w:rPr>
            <w:noProof/>
            <w:webHidden/>
          </w:rPr>
          <w:fldChar w:fldCharType="end"/>
        </w:r>
      </w:hyperlink>
    </w:p>
    <w:p w14:paraId="2B57B101" w14:textId="7470EC42" w:rsidR="00AA0C2A" w:rsidRDefault="00AA0C2A">
      <w:pPr>
        <w:pStyle w:val="TOC4"/>
        <w:rPr>
          <w:rFonts w:asciiTheme="minorHAnsi" w:eastAsiaTheme="minorEastAsia" w:hAnsiTheme="minorHAnsi" w:cstheme="minorBidi"/>
          <w:noProof/>
          <w:sz w:val="22"/>
          <w:szCs w:val="22"/>
          <w:lang w:val="en-GB" w:eastAsia="en-GB"/>
        </w:rPr>
      </w:pPr>
      <w:hyperlink w:anchor="_Toc74904445" w:history="1">
        <w:r w:rsidRPr="00A30B1E">
          <w:rPr>
            <w:rStyle w:val="Hyperlink"/>
            <w:noProof/>
          </w:rPr>
          <w:t>10.9.2.3</w:t>
        </w:r>
        <w:r>
          <w:rPr>
            <w:rFonts w:asciiTheme="minorHAnsi" w:eastAsiaTheme="minorEastAsia" w:hAnsiTheme="minorHAnsi" w:cstheme="minorBidi"/>
            <w:noProof/>
            <w:sz w:val="22"/>
            <w:szCs w:val="22"/>
            <w:lang w:val="en-GB" w:eastAsia="en-GB"/>
          </w:rPr>
          <w:tab/>
        </w:r>
        <w:r w:rsidRPr="00A30B1E">
          <w:rPr>
            <w:rStyle w:val="Hyperlink"/>
            <w:noProof/>
          </w:rPr>
          <w:t>PD and Exploratory Endpoints</w:t>
        </w:r>
        <w:r>
          <w:rPr>
            <w:noProof/>
            <w:webHidden/>
          </w:rPr>
          <w:tab/>
        </w:r>
        <w:r>
          <w:rPr>
            <w:noProof/>
            <w:webHidden/>
          </w:rPr>
          <w:fldChar w:fldCharType="begin"/>
        </w:r>
        <w:r>
          <w:rPr>
            <w:noProof/>
            <w:webHidden/>
          </w:rPr>
          <w:instrText xml:space="preserve"> PAGEREF _Toc74904445 \h </w:instrText>
        </w:r>
        <w:r>
          <w:rPr>
            <w:noProof/>
            <w:webHidden/>
          </w:rPr>
        </w:r>
        <w:r>
          <w:rPr>
            <w:noProof/>
            <w:webHidden/>
          </w:rPr>
          <w:fldChar w:fldCharType="separate"/>
        </w:r>
        <w:r>
          <w:rPr>
            <w:noProof/>
            <w:webHidden/>
          </w:rPr>
          <w:t>82</w:t>
        </w:r>
        <w:r>
          <w:rPr>
            <w:noProof/>
            <w:webHidden/>
          </w:rPr>
          <w:fldChar w:fldCharType="end"/>
        </w:r>
      </w:hyperlink>
    </w:p>
    <w:p w14:paraId="5E2E44E2" w14:textId="1A702457" w:rsidR="00AA0C2A" w:rsidRDefault="00AA0C2A">
      <w:pPr>
        <w:pStyle w:val="TOC3"/>
        <w:rPr>
          <w:rFonts w:asciiTheme="minorHAnsi" w:eastAsiaTheme="minorEastAsia" w:hAnsiTheme="minorHAnsi" w:cstheme="minorBidi"/>
          <w:noProof/>
          <w:sz w:val="22"/>
          <w:szCs w:val="22"/>
          <w:lang w:val="en-GB" w:eastAsia="en-GB"/>
        </w:rPr>
      </w:pPr>
      <w:hyperlink w:anchor="_Toc74904446" w:history="1">
        <w:r w:rsidRPr="00A30B1E">
          <w:rPr>
            <w:rStyle w:val="Hyperlink"/>
            <w:noProof/>
          </w:rPr>
          <w:t>10.9.3</w:t>
        </w:r>
        <w:r>
          <w:rPr>
            <w:rFonts w:asciiTheme="minorHAnsi" w:eastAsiaTheme="minorEastAsia" w:hAnsiTheme="minorHAnsi" w:cstheme="minorBidi"/>
            <w:noProof/>
            <w:sz w:val="22"/>
            <w:szCs w:val="22"/>
            <w:lang w:val="en-GB" w:eastAsia="en-GB"/>
          </w:rPr>
          <w:tab/>
        </w:r>
        <w:r w:rsidRPr="00A30B1E">
          <w:rPr>
            <w:rStyle w:val="Hyperlink"/>
            <w:noProof/>
          </w:rPr>
          <w:t>Analysis Sets</w:t>
        </w:r>
        <w:r>
          <w:rPr>
            <w:noProof/>
            <w:webHidden/>
          </w:rPr>
          <w:tab/>
        </w:r>
        <w:r>
          <w:rPr>
            <w:noProof/>
            <w:webHidden/>
          </w:rPr>
          <w:fldChar w:fldCharType="begin"/>
        </w:r>
        <w:r>
          <w:rPr>
            <w:noProof/>
            <w:webHidden/>
          </w:rPr>
          <w:instrText xml:space="preserve"> PAGEREF _Toc74904446 \h </w:instrText>
        </w:r>
        <w:r>
          <w:rPr>
            <w:noProof/>
            <w:webHidden/>
          </w:rPr>
        </w:r>
        <w:r>
          <w:rPr>
            <w:noProof/>
            <w:webHidden/>
          </w:rPr>
          <w:fldChar w:fldCharType="separate"/>
        </w:r>
        <w:r>
          <w:rPr>
            <w:noProof/>
            <w:webHidden/>
          </w:rPr>
          <w:t>82</w:t>
        </w:r>
        <w:r>
          <w:rPr>
            <w:noProof/>
            <w:webHidden/>
          </w:rPr>
          <w:fldChar w:fldCharType="end"/>
        </w:r>
      </w:hyperlink>
    </w:p>
    <w:p w14:paraId="301583EB" w14:textId="5988E67F" w:rsidR="00AA0C2A" w:rsidRDefault="00AA0C2A">
      <w:pPr>
        <w:pStyle w:val="TOC3"/>
        <w:rPr>
          <w:rFonts w:asciiTheme="minorHAnsi" w:eastAsiaTheme="minorEastAsia" w:hAnsiTheme="minorHAnsi" w:cstheme="minorBidi"/>
          <w:noProof/>
          <w:sz w:val="22"/>
          <w:szCs w:val="22"/>
          <w:lang w:val="en-GB" w:eastAsia="en-GB"/>
        </w:rPr>
      </w:pPr>
      <w:hyperlink w:anchor="_Toc74904447" w:history="1">
        <w:r w:rsidRPr="00A30B1E">
          <w:rPr>
            <w:rStyle w:val="Hyperlink"/>
            <w:noProof/>
          </w:rPr>
          <w:t>10.9.4</w:t>
        </w:r>
        <w:r>
          <w:rPr>
            <w:rFonts w:asciiTheme="minorHAnsi" w:eastAsiaTheme="minorEastAsia" w:hAnsiTheme="minorHAnsi" w:cstheme="minorBidi"/>
            <w:noProof/>
            <w:sz w:val="22"/>
            <w:szCs w:val="22"/>
            <w:lang w:val="en-GB" w:eastAsia="en-GB"/>
          </w:rPr>
          <w:tab/>
        </w:r>
        <w:r w:rsidRPr="00A30B1E">
          <w:rPr>
            <w:rStyle w:val="Hyperlink"/>
            <w:noProof/>
          </w:rPr>
          <w:t>Description of Statistical Methods</w:t>
        </w:r>
        <w:r>
          <w:rPr>
            <w:noProof/>
            <w:webHidden/>
          </w:rPr>
          <w:tab/>
        </w:r>
        <w:r>
          <w:rPr>
            <w:noProof/>
            <w:webHidden/>
          </w:rPr>
          <w:fldChar w:fldCharType="begin"/>
        </w:r>
        <w:r>
          <w:rPr>
            <w:noProof/>
            <w:webHidden/>
          </w:rPr>
          <w:instrText xml:space="preserve"> PAGEREF _Toc74904447 \h </w:instrText>
        </w:r>
        <w:r>
          <w:rPr>
            <w:noProof/>
            <w:webHidden/>
          </w:rPr>
        </w:r>
        <w:r>
          <w:rPr>
            <w:noProof/>
            <w:webHidden/>
          </w:rPr>
          <w:fldChar w:fldCharType="separate"/>
        </w:r>
        <w:r>
          <w:rPr>
            <w:noProof/>
            <w:webHidden/>
          </w:rPr>
          <w:t>83</w:t>
        </w:r>
        <w:r>
          <w:rPr>
            <w:noProof/>
            <w:webHidden/>
          </w:rPr>
          <w:fldChar w:fldCharType="end"/>
        </w:r>
      </w:hyperlink>
    </w:p>
    <w:p w14:paraId="4472A4D7" w14:textId="475F3850" w:rsidR="00AA0C2A" w:rsidRDefault="00AA0C2A">
      <w:pPr>
        <w:pStyle w:val="TOC4"/>
        <w:rPr>
          <w:rFonts w:asciiTheme="minorHAnsi" w:eastAsiaTheme="minorEastAsia" w:hAnsiTheme="minorHAnsi" w:cstheme="minorBidi"/>
          <w:noProof/>
          <w:sz w:val="22"/>
          <w:szCs w:val="22"/>
          <w:lang w:val="en-GB" w:eastAsia="en-GB"/>
        </w:rPr>
      </w:pPr>
      <w:hyperlink w:anchor="_Toc74904448" w:history="1">
        <w:r w:rsidRPr="00A30B1E">
          <w:rPr>
            <w:rStyle w:val="Hyperlink"/>
            <w:noProof/>
          </w:rPr>
          <w:t>10.9.4.1</w:t>
        </w:r>
        <w:r>
          <w:rPr>
            <w:rFonts w:asciiTheme="minorHAnsi" w:eastAsiaTheme="minorEastAsia" w:hAnsiTheme="minorHAnsi" w:cstheme="minorBidi"/>
            <w:noProof/>
            <w:sz w:val="22"/>
            <w:szCs w:val="22"/>
            <w:lang w:val="en-GB" w:eastAsia="en-GB"/>
          </w:rPr>
          <w:tab/>
        </w:r>
        <w:r w:rsidRPr="00A30B1E">
          <w:rPr>
            <w:rStyle w:val="Hyperlink"/>
            <w:noProof/>
          </w:rPr>
          <w:t>Demographic and Background Data</w:t>
        </w:r>
        <w:r>
          <w:rPr>
            <w:noProof/>
            <w:webHidden/>
          </w:rPr>
          <w:tab/>
        </w:r>
        <w:r>
          <w:rPr>
            <w:noProof/>
            <w:webHidden/>
          </w:rPr>
          <w:fldChar w:fldCharType="begin"/>
        </w:r>
        <w:r>
          <w:rPr>
            <w:noProof/>
            <w:webHidden/>
          </w:rPr>
          <w:instrText xml:space="preserve"> PAGEREF _Toc74904448 \h </w:instrText>
        </w:r>
        <w:r>
          <w:rPr>
            <w:noProof/>
            <w:webHidden/>
          </w:rPr>
        </w:r>
        <w:r>
          <w:rPr>
            <w:noProof/>
            <w:webHidden/>
          </w:rPr>
          <w:fldChar w:fldCharType="separate"/>
        </w:r>
        <w:r>
          <w:rPr>
            <w:noProof/>
            <w:webHidden/>
          </w:rPr>
          <w:t>83</w:t>
        </w:r>
        <w:r>
          <w:rPr>
            <w:noProof/>
            <w:webHidden/>
          </w:rPr>
          <w:fldChar w:fldCharType="end"/>
        </w:r>
      </w:hyperlink>
    </w:p>
    <w:p w14:paraId="7D2A971B" w14:textId="21048224" w:rsidR="00AA0C2A" w:rsidRDefault="00AA0C2A">
      <w:pPr>
        <w:pStyle w:val="TOC4"/>
        <w:rPr>
          <w:rFonts w:asciiTheme="minorHAnsi" w:eastAsiaTheme="minorEastAsia" w:hAnsiTheme="minorHAnsi" w:cstheme="minorBidi"/>
          <w:noProof/>
          <w:sz w:val="22"/>
          <w:szCs w:val="22"/>
          <w:lang w:val="en-GB" w:eastAsia="en-GB"/>
        </w:rPr>
      </w:pPr>
      <w:hyperlink w:anchor="_Toc74904449" w:history="1">
        <w:r w:rsidRPr="00A30B1E">
          <w:rPr>
            <w:rStyle w:val="Hyperlink"/>
            <w:noProof/>
          </w:rPr>
          <w:t>10.9.4.2</w:t>
        </w:r>
        <w:r>
          <w:rPr>
            <w:rFonts w:asciiTheme="minorHAnsi" w:eastAsiaTheme="minorEastAsia" w:hAnsiTheme="minorHAnsi" w:cstheme="minorBidi"/>
            <w:noProof/>
            <w:sz w:val="22"/>
            <w:szCs w:val="22"/>
            <w:lang w:val="en-GB" w:eastAsia="en-GB"/>
          </w:rPr>
          <w:tab/>
        </w:r>
        <w:r w:rsidRPr="00A30B1E">
          <w:rPr>
            <w:rStyle w:val="Hyperlink"/>
            <w:noProof/>
          </w:rPr>
          <w:t>Efficacy Data</w:t>
        </w:r>
        <w:r>
          <w:rPr>
            <w:noProof/>
            <w:webHidden/>
          </w:rPr>
          <w:tab/>
        </w:r>
        <w:r>
          <w:rPr>
            <w:noProof/>
            <w:webHidden/>
          </w:rPr>
          <w:fldChar w:fldCharType="begin"/>
        </w:r>
        <w:r>
          <w:rPr>
            <w:noProof/>
            <w:webHidden/>
          </w:rPr>
          <w:instrText xml:space="preserve"> PAGEREF _Toc74904449 \h </w:instrText>
        </w:r>
        <w:r>
          <w:rPr>
            <w:noProof/>
            <w:webHidden/>
          </w:rPr>
        </w:r>
        <w:r>
          <w:rPr>
            <w:noProof/>
            <w:webHidden/>
          </w:rPr>
          <w:fldChar w:fldCharType="separate"/>
        </w:r>
        <w:r>
          <w:rPr>
            <w:noProof/>
            <w:webHidden/>
          </w:rPr>
          <w:t>83</w:t>
        </w:r>
        <w:r>
          <w:rPr>
            <w:noProof/>
            <w:webHidden/>
          </w:rPr>
          <w:fldChar w:fldCharType="end"/>
        </w:r>
      </w:hyperlink>
    </w:p>
    <w:p w14:paraId="65F3E031" w14:textId="37CB85DC" w:rsidR="00AA0C2A" w:rsidRDefault="00AA0C2A">
      <w:pPr>
        <w:pStyle w:val="TOC4"/>
        <w:rPr>
          <w:rFonts w:asciiTheme="minorHAnsi" w:eastAsiaTheme="minorEastAsia" w:hAnsiTheme="minorHAnsi" w:cstheme="minorBidi"/>
          <w:noProof/>
          <w:sz w:val="22"/>
          <w:szCs w:val="22"/>
          <w:lang w:val="en-GB" w:eastAsia="en-GB"/>
        </w:rPr>
      </w:pPr>
      <w:hyperlink w:anchor="_Toc74904450" w:history="1">
        <w:r w:rsidRPr="00A30B1E">
          <w:rPr>
            <w:rStyle w:val="Hyperlink"/>
            <w:noProof/>
          </w:rPr>
          <w:t>10.9.4.3</w:t>
        </w:r>
        <w:r>
          <w:rPr>
            <w:rFonts w:asciiTheme="minorHAnsi" w:eastAsiaTheme="minorEastAsia" w:hAnsiTheme="minorHAnsi" w:cstheme="minorBidi"/>
            <w:noProof/>
            <w:sz w:val="22"/>
            <w:szCs w:val="22"/>
            <w:lang w:val="en-GB" w:eastAsia="en-GB"/>
          </w:rPr>
          <w:tab/>
        </w:r>
        <w:r w:rsidRPr="00A30B1E">
          <w:rPr>
            <w:rStyle w:val="Hyperlink"/>
            <w:noProof/>
          </w:rPr>
          <w:t>Safety Data</w:t>
        </w:r>
        <w:r>
          <w:rPr>
            <w:noProof/>
            <w:webHidden/>
          </w:rPr>
          <w:tab/>
        </w:r>
        <w:r>
          <w:rPr>
            <w:noProof/>
            <w:webHidden/>
          </w:rPr>
          <w:fldChar w:fldCharType="begin"/>
        </w:r>
        <w:r>
          <w:rPr>
            <w:noProof/>
            <w:webHidden/>
          </w:rPr>
          <w:instrText xml:space="preserve"> PAGEREF _Toc74904450 \h </w:instrText>
        </w:r>
        <w:r>
          <w:rPr>
            <w:noProof/>
            <w:webHidden/>
          </w:rPr>
        </w:r>
        <w:r>
          <w:rPr>
            <w:noProof/>
            <w:webHidden/>
          </w:rPr>
          <w:fldChar w:fldCharType="separate"/>
        </w:r>
        <w:r>
          <w:rPr>
            <w:noProof/>
            <w:webHidden/>
          </w:rPr>
          <w:t>83</w:t>
        </w:r>
        <w:r>
          <w:rPr>
            <w:noProof/>
            <w:webHidden/>
          </w:rPr>
          <w:fldChar w:fldCharType="end"/>
        </w:r>
      </w:hyperlink>
    </w:p>
    <w:p w14:paraId="57EC9B87" w14:textId="2B4830F1" w:rsidR="00AA0C2A" w:rsidRDefault="00AA0C2A">
      <w:pPr>
        <w:pStyle w:val="TOC4"/>
        <w:rPr>
          <w:rFonts w:asciiTheme="minorHAnsi" w:eastAsiaTheme="minorEastAsia" w:hAnsiTheme="minorHAnsi" w:cstheme="minorBidi"/>
          <w:noProof/>
          <w:sz w:val="22"/>
          <w:szCs w:val="22"/>
          <w:lang w:val="en-GB" w:eastAsia="en-GB"/>
        </w:rPr>
      </w:pPr>
      <w:hyperlink w:anchor="_Toc74904451" w:history="1">
        <w:r w:rsidRPr="00A30B1E">
          <w:rPr>
            <w:rStyle w:val="Hyperlink"/>
            <w:noProof/>
          </w:rPr>
          <w:t>10.9.4.4</w:t>
        </w:r>
        <w:r>
          <w:rPr>
            <w:rFonts w:asciiTheme="minorHAnsi" w:eastAsiaTheme="minorEastAsia" w:hAnsiTheme="minorHAnsi" w:cstheme="minorBidi"/>
            <w:noProof/>
            <w:sz w:val="22"/>
            <w:szCs w:val="22"/>
            <w:lang w:val="en-GB" w:eastAsia="en-GB"/>
          </w:rPr>
          <w:tab/>
        </w:r>
        <w:r w:rsidRPr="00A30B1E">
          <w:rPr>
            <w:rStyle w:val="Hyperlink"/>
            <w:noProof/>
          </w:rPr>
          <w:t>PK Data</w:t>
        </w:r>
        <w:r>
          <w:rPr>
            <w:noProof/>
            <w:webHidden/>
          </w:rPr>
          <w:tab/>
        </w:r>
        <w:r>
          <w:rPr>
            <w:noProof/>
            <w:webHidden/>
          </w:rPr>
          <w:fldChar w:fldCharType="begin"/>
        </w:r>
        <w:r>
          <w:rPr>
            <w:noProof/>
            <w:webHidden/>
          </w:rPr>
          <w:instrText xml:space="preserve"> PAGEREF _Toc74904451 \h </w:instrText>
        </w:r>
        <w:r>
          <w:rPr>
            <w:noProof/>
            <w:webHidden/>
          </w:rPr>
        </w:r>
        <w:r>
          <w:rPr>
            <w:noProof/>
            <w:webHidden/>
          </w:rPr>
          <w:fldChar w:fldCharType="separate"/>
        </w:r>
        <w:r>
          <w:rPr>
            <w:noProof/>
            <w:webHidden/>
          </w:rPr>
          <w:t>85</w:t>
        </w:r>
        <w:r>
          <w:rPr>
            <w:noProof/>
            <w:webHidden/>
          </w:rPr>
          <w:fldChar w:fldCharType="end"/>
        </w:r>
      </w:hyperlink>
    </w:p>
    <w:p w14:paraId="2B17812E" w14:textId="3ED8D1B3" w:rsidR="00AA0C2A" w:rsidRDefault="00AA0C2A">
      <w:pPr>
        <w:pStyle w:val="TOC4"/>
        <w:rPr>
          <w:rFonts w:asciiTheme="minorHAnsi" w:eastAsiaTheme="minorEastAsia" w:hAnsiTheme="minorHAnsi" w:cstheme="minorBidi"/>
          <w:noProof/>
          <w:sz w:val="22"/>
          <w:szCs w:val="22"/>
          <w:lang w:val="en-GB" w:eastAsia="en-GB"/>
        </w:rPr>
      </w:pPr>
      <w:hyperlink w:anchor="_Toc74904452" w:history="1">
        <w:r w:rsidRPr="00A30B1E">
          <w:rPr>
            <w:rStyle w:val="Hyperlink"/>
            <w:noProof/>
          </w:rPr>
          <w:t>10.9.4.5</w:t>
        </w:r>
        <w:r>
          <w:rPr>
            <w:rFonts w:asciiTheme="minorHAnsi" w:eastAsiaTheme="minorEastAsia" w:hAnsiTheme="minorHAnsi" w:cstheme="minorBidi"/>
            <w:noProof/>
            <w:sz w:val="22"/>
            <w:szCs w:val="22"/>
            <w:lang w:val="en-GB" w:eastAsia="en-GB"/>
          </w:rPr>
          <w:tab/>
        </w:r>
        <w:r w:rsidRPr="00A30B1E">
          <w:rPr>
            <w:rStyle w:val="Hyperlink"/>
            <w:noProof/>
          </w:rPr>
          <w:t>PD and Exploratory Data</w:t>
        </w:r>
        <w:r>
          <w:rPr>
            <w:noProof/>
            <w:webHidden/>
          </w:rPr>
          <w:tab/>
        </w:r>
        <w:r>
          <w:rPr>
            <w:noProof/>
            <w:webHidden/>
          </w:rPr>
          <w:fldChar w:fldCharType="begin"/>
        </w:r>
        <w:r>
          <w:rPr>
            <w:noProof/>
            <w:webHidden/>
          </w:rPr>
          <w:instrText xml:space="preserve"> PAGEREF _Toc74904452 \h </w:instrText>
        </w:r>
        <w:r>
          <w:rPr>
            <w:noProof/>
            <w:webHidden/>
          </w:rPr>
        </w:r>
        <w:r>
          <w:rPr>
            <w:noProof/>
            <w:webHidden/>
          </w:rPr>
          <w:fldChar w:fldCharType="separate"/>
        </w:r>
        <w:r>
          <w:rPr>
            <w:noProof/>
            <w:webHidden/>
          </w:rPr>
          <w:t>85</w:t>
        </w:r>
        <w:r>
          <w:rPr>
            <w:noProof/>
            <w:webHidden/>
          </w:rPr>
          <w:fldChar w:fldCharType="end"/>
        </w:r>
      </w:hyperlink>
    </w:p>
    <w:p w14:paraId="3FC39435" w14:textId="43405B43" w:rsidR="00AA0C2A" w:rsidRDefault="00AA0C2A">
      <w:pPr>
        <w:pStyle w:val="TOC3"/>
        <w:rPr>
          <w:rFonts w:asciiTheme="minorHAnsi" w:eastAsiaTheme="minorEastAsia" w:hAnsiTheme="minorHAnsi" w:cstheme="minorBidi"/>
          <w:noProof/>
          <w:sz w:val="22"/>
          <w:szCs w:val="22"/>
          <w:lang w:val="en-GB" w:eastAsia="en-GB"/>
        </w:rPr>
      </w:pPr>
      <w:hyperlink w:anchor="_Toc74904453" w:history="1">
        <w:r w:rsidRPr="00A30B1E">
          <w:rPr>
            <w:rStyle w:val="Hyperlink"/>
            <w:noProof/>
          </w:rPr>
          <w:t>10.9.5</w:t>
        </w:r>
        <w:r>
          <w:rPr>
            <w:rFonts w:asciiTheme="minorHAnsi" w:eastAsiaTheme="minorEastAsia" w:hAnsiTheme="minorHAnsi" w:cstheme="minorBidi"/>
            <w:noProof/>
            <w:sz w:val="22"/>
            <w:szCs w:val="22"/>
            <w:lang w:val="en-GB" w:eastAsia="en-GB"/>
          </w:rPr>
          <w:tab/>
        </w:r>
        <w:r w:rsidRPr="00A30B1E">
          <w:rPr>
            <w:rStyle w:val="Hyperlink"/>
            <w:noProof/>
          </w:rPr>
          <w:t>Sample Size Calculation</w:t>
        </w:r>
        <w:r>
          <w:rPr>
            <w:noProof/>
            <w:webHidden/>
          </w:rPr>
          <w:tab/>
        </w:r>
        <w:r>
          <w:rPr>
            <w:noProof/>
            <w:webHidden/>
          </w:rPr>
          <w:fldChar w:fldCharType="begin"/>
        </w:r>
        <w:r>
          <w:rPr>
            <w:noProof/>
            <w:webHidden/>
          </w:rPr>
          <w:instrText xml:space="preserve"> PAGEREF _Toc74904453 \h </w:instrText>
        </w:r>
        <w:r>
          <w:rPr>
            <w:noProof/>
            <w:webHidden/>
          </w:rPr>
        </w:r>
        <w:r>
          <w:rPr>
            <w:noProof/>
            <w:webHidden/>
          </w:rPr>
          <w:fldChar w:fldCharType="separate"/>
        </w:r>
        <w:r>
          <w:rPr>
            <w:noProof/>
            <w:webHidden/>
          </w:rPr>
          <w:t>85</w:t>
        </w:r>
        <w:r>
          <w:rPr>
            <w:noProof/>
            <w:webHidden/>
          </w:rPr>
          <w:fldChar w:fldCharType="end"/>
        </w:r>
      </w:hyperlink>
    </w:p>
    <w:p w14:paraId="4D198E91" w14:textId="712EE2AE" w:rsidR="00AA0C2A" w:rsidRDefault="00AA0C2A">
      <w:pPr>
        <w:pStyle w:val="TOC1"/>
        <w:rPr>
          <w:rFonts w:asciiTheme="minorHAnsi" w:eastAsiaTheme="minorEastAsia" w:hAnsiTheme="minorHAnsi" w:cstheme="minorBidi"/>
          <w:caps w:val="0"/>
          <w:noProof/>
          <w:sz w:val="22"/>
          <w:szCs w:val="22"/>
          <w:lang w:val="en-GB" w:eastAsia="en-GB"/>
        </w:rPr>
      </w:pPr>
      <w:hyperlink w:anchor="_Toc74904454" w:history="1">
        <w:r w:rsidRPr="00A30B1E">
          <w:rPr>
            <w:rStyle w:val="Hyperlink"/>
            <w:noProof/>
          </w:rPr>
          <w:t>11.</w:t>
        </w:r>
        <w:r>
          <w:rPr>
            <w:rFonts w:asciiTheme="minorHAnsi" w:eastAsiaTheme="minorEastAsia" w:hAnsiTheme="minorHAnsi" w:cstheme="minorBidi"/>
            <w:caps w:val="0"/>
            <w:noProof/>
            <w:sz w:val="22"/>
            <w:szCs w:val="22"/>
            <w:lang w:val="en-GB" w:eastAsia="en-GB"/>
          </w:rPr>
          <w:tab/>
        </w:r>
        <w:r w:rsidRPr="00A30B1E">
          <w:rPr>
            <w:rStyle w:val="Hyperlink"/>
            <w:noProof/>
          </w:rPr>
          <w:t>PRACTICAL CONSIDERATIONS</w:t>
        </w:r>
        <w:r>
          <w:rPr>
            <w:noProof/>
            <w:webHidden/>
          </w:rPr>
          <w:tab/>
        </w:r>
        <w:r>
          <w:rPr>
            <w:noProof/>
            <w:webHidden/>
          </w:rPr>
          <w:fldChar w:fldCharType="begin"/>
        </w:r>
        <w:r>
          <w:rPr>
            <w:noProof/>
            <w:webHidden/>
          </w:rPr>
          <w:instrText xml:space="preserve"> PAGEREF _Toc74904454 \h </w:instrText>
        </w:r>
        <w:r>
          <w:rPr>
            <w:noProof/>
            <w:webHidden/>
          </w:rPr>
        </w:r>
        <w:r>
          <w:rPr>
            <w:noProof/>
            <w:webHidden/>
          </w:rPr>
          <w:fldChar w:fldCharType="separate"/>
        </w:r>
        <w:r>
          <w:rPr>
            <w:noProof/>
            <w:webHidden/>
          </w:rPr>
          <w:t>86</w:t>
        </w:r>
        <w:r>
          <w:rPr>
            <w:noProof/>
            <w:webHidden/>
          </w:rPr>
          <w:fldChar w:fldCharType="end"/>
        </w:r>
      </w:hyperlink>
    </w:p>
    <w:p w14:paraId="687F3E4B" w14:textId="6B3B6609" w:rsidR="00AA0C2A" w:rsidRDefault="00AA0C2A">
      <w:pPr>
        <w:pStyle w:val="TOC2"/>
        <w:rPr>
          <w:rFonts w:asciiTheme="minorHAnsi" w:eastAsiaTheme="minorEastAsia" w:hAnsiTheme="minorHAnsi" w:cstheme="minorBidi"/>
          <w:noProof/>
          <w:sz w:val="22"/>
          <w:szCs w:val="22"/>
          <w:lang w:val="en-GB" w:eastAsia="en-GB"/>
        </w:rPr>
      </w:pPr>
      <w:hyperlink w:anchor="_Toc74904455" w:history="1">
        <w:r w:rsidRPr="00A30B1E">
          <w:rPr>
            <w:rStyle w:val="Hyperlink"/>
            <w:noProof/>
          </w:rPr>
          <w:t>11.1</w:t>
        </w:r>
        <w:r>
          <w:rPr>
            <w:rFonts w:asciiTheme="minorHAnsi" w:eastAsiaTheme="minorEastAsia" w:hAnsiTheme="minorHAnsi" w:cstheme="minorBidi"/>
            <w:noProof/>
            <w:sz w:val="22"/>
            <w:szCs w:val="22"/>
            <w:lang w:val="en-GB" w:eastAsia="en-GB"/>
          </w:rPr>
          <w:tab/>
        </w:r>
        <w:r w:rsidRPr="00A30B1E">
          <w:rPr>
            <w:rStyle w:val="Hyperlink"/>
            <w:noProof/>
          </w:rPr>
          <w:t>Storage of Data</w:t>
        </w:r>
        <w:r>
          <w:rPr>
            <w:noProof/>
            <w:webHidden/>
          </w:rPr>
          <w:tab/>
        </w:r>
        <w:r>
          <w:rPr>
            <w:noProof/>
            <w:webHidden/>
          </w:rPr>
          <w:fldChar w:fldCharType="begin"/>
        </w:r>
        <w:r>
          <w:rPr>
            <w:noProof/>
            <w:webHidden/>
          </w:rPr>
          <w:instrText xml:space="preserve"> PAGEREF _Toc74904455 \h </w:instrText>
        </w:r>
        <w:r>
          <w:rPr>
            <w:noProof/>
            <w:webHidden/>
          </w:rPr>
        </w:r>
        <w:r>
          <w:rPr>
            <w:noProof/>
            <w:webHidden/>
          </w:rPr>
          <w:fldChar w:fldCharType="separate"/>
        </w:r>
        <w:r>
          <w:rPr>
            <w:noProof/>
            <w:webHidden/>
          </w:rPr>
          <w:t>86</w:t>
        </w:r>
        <w:r>
          <w:rPr>
            <w:noProof/>
            <w:webHidden/>
          </w:rPr>
          <w:fldChar w:fldCharType="end"/>
        </w:r>
      </w:hyperlink>
    </w:p>
    <w:p w14:paraId="7485B97B" w14:textId="63D4ADC7" w:rsidR="00AA0C2A" w:rsidRDefault="00AA0C2A">
      <w:pPr>
        <w:pStyle w:val="TOC2"/>
        <w:rPr>
          <w:rFonts w:asciiTheme="minorHAnsi" w:eastAsiaTheme="minorEastAsia" w:hAnsiTheme="minorHAnsi" w:cstheme="minorBidi"/>
          <w:noProof/>
          <w:sz w:val="22"/>
          <w:szCs w:val="22"/>
          <w:lang w:val="en-GB" w:eastAsia="en-GB"/>
        </w:rPr>
      </w:pPr>
      <w:hyperlink w:anchor="_Toc74904456" w:history="1">
        <w:r w:rsidRPr="00A30B1E">
          <w:rPr>
            <w:rStyle w:val="Hyperlink"/>
            <w:noProof/>
          </w:rPr>
          <w:t>11.2</w:t>
        </w:r>
        <w:r>
          <w:rPr>
            <w:rFonts w:asciiTheme="minorHAnsi" w:eastAsiaTheme="minorEastAsia" w:hAnsiTheme="minorHAnsi" w:cstheme="minorBidi"/>
            <w:noProof/>
            <w:sz w:val="22"/>
            <w:szCs w:val="22"/>
            <w:lang w:val="en-GB" w:eastAsia="en-GB"/>
          </w:rPr>
          <w:tab/>
        </w:r>
        <w:r w:rsidRPr="00A30B1E">
          <w:rPr>
            <w:rStyle w:val="Hyperlink"/>
            <w:noProof/>
          </w:rPr>
          <w:t>Protocol Amendments</w:t>
        </w:r>
        <w:r>
          <w:rPr>
            <w:noProof/>
            <w:webHidden/>
          </w:rPr>
          <w:tab/>
        </w:r>
        <w:r>
          <w:rPr>
            <w:noProof/>
            <w:webHidden/>
          </w:rPr>
          <w:fldChar w:fldCharType="begin"/>
        </w:r>
        <w:r>
          <w:rPr>
            <w:noProof/>
            <w:webHidden/>
          </w:rPr>
          <w:instrText xml:space="preserve"> PAGEREF _Toc74904456 \h </w:instrText>
        </w:r>
        <w:r>
          <w:rPr>
            <w:noProof/>
            <w:webHidden/>
          </w:rPr>
        </w:r>
        <w:r>
          <w:rPr>
            <w:noProof/>
            <w:webHidden/>
          </w:rPr>
          <w:fldChar w:fldCharType="separate"/>
        </w:r>
        <w:r>
          <w:rPr>
            <w:noProof/>
            <w:webHidden/>
          </w:rPr>
          <w:t>86</w:t>
        </w:r>
        <w:r>
          <w:rPr>
            <w:noProof/>
            <w:webHidden/>
          </w:rPr>
          <w:fldChar w:fldCharType="end"/>
        </w:r>
      </w:hyperlink>
    </w:p>
    <w:p w14:paraId="492995A6" w14:textId="31E51726" w:rsidR="00AA0C2A" w:rsidRDefault="00AA0C2A">
      <w:pPr>
        <w:pStyle w:val="TOC2"/>
        <w:rPr>
          <w:rFonts w:asciiTheme="minorHAnsi" w:eastAsiaTheme="minorEastAsia" w:hAnsiTheme="minorHAnsi" w:cstheme="minorBidi"/>
          <w:noProof/>
          <w:sz w:val="22"/>
          <w:szCs w:val="22"/>
          <w:lang w:val="en-GB" w:eastAsia="en-GB"/>
        </w:rPr>
      </w:pPr>
      <w:hyperlink w:anchor="_Toc74904457" w:history="1">
        <w:r w:rsidRPr="00A30B1E">
          <w:rPr>
            <w:rStyle w:val="Hyperlink"/>
            <w:noProof/>
          </w:rPr>
          <w:t>11.3</w:t>
        </w:r>
        <w:r>
          <w:rPr>
            <w:rFonts w:asciiTheme="minorHAnsi" w:eastAsiaTheme="minorEastAsia" w:hAnsiTheme="minorHAnsi" w:cstheme="minorBidi"/>
            <w:noProof/>
            <w:sz w:val="22"/>
            <w:szCs w:val="22"/>
            <w:lang w:val="en-GB" w:eastAsia="en-GB"/>
          </w:rPr>
          <w:tab/>
        </w:r>
        <w:r w:rsidRPr="00A30B1E">
          <w:rPr>
            <w:rStyle w:val="Hyperlink"/>
            <w:noProof/>
          </w:rPr>
          <w:t>Confidentiality</w:t>
        </w:r>
        <w:r>
          <w:rPr>
            <w:noProof/>
            <w:webHidden/>
          </w:rPr>
          <w:tab/>
        </w:r>
        <w:r>
          <w:rPr>
            <w:noProof/>
            <w:webHidden/>
          </w:rPr>
          <w:fldChar w:fldCharType="begin"/>
        </w:r>
        <w:r>
          <w:rPr>
            <w:noProof/>
            <w:webHidden/>
          </w:rPr>
          <w:instrText xml:space="preserve"> PAGEREF _Toc74904457 \h </w:instrText>
        </w:r>
        <w:r>
          <w:rPr>
            <w:noProof/>
            <w:webHidden/>
          </w:rPr>
        </w:r>
        <w:r>
          <w:rPr>
            <w:noProof/>
            <w:webHidden/>
          </w:rPr>
          <w:fldChar w:fldCharType="separate"/>
        </w:r>
        <w:r>
          <w:rPr>
            <w:noProof/>
            <w:webHidden/>
          </w:rPr>
          <w:t>86</w:t>
        </w:r>
        <w:r>
          <w:rPr>
            <w:noProof/>
            <w:webHidden/>
          </w:rPr>
          <w:fldChar w:fldCharType="end"/>
        </w:r>
      </w:hyperlink>
    </w:p>
    <w:p w14:paraId="5B5EE5C8" w14:textId="50C75A8D" w:rsidR="00AA0C2A" w:rsidRDefault="00AA0C2A">
      <w:pPr>
        <w:pStyle w:val="TOC2"/>
        <w:rPr>
          <w:rFonts w:asciiTheme="minorHAnsi" w:eastAsiaTheme="minorEastAsia" w:hAnsiTheme="minorHAnsi" w:cstheme="minorBidi"/>
          <w:noProof/>
          <w:sz w:val="22"/>
          <w:szCs w:val="22"/>
          <w:lang w:val="en-GB" w:eastAsia="en-GB"/>
        </w:rPr>
      </w:pPr>
      <w:hyperlink w:anchor="_Toc74904458" w:history="1">
        <w:r w:rsidRPr="00A30B1E">
          <w:rPr>
            <w:rStyle w:val="Hyperlink"/>
            <w:noProof/>
          </w:rPr>
          <w:t>11.4</w:t>
        </w:r>
        <w:r>
          <w:rPr>
            <w:rFonts w:asciiTheme="minorHAnsi" w:eastAsiaTheme="minorEastAsia" w:hAnsiTheme="minorHAnsi" w:cstheme="minorBidi"/>
            <w:noProof/>
            <w:sz w:val="22"/>
            <w:szCs w:val="22"/>
            <w:lang w:val="en-GB" w:eastAsia="en-GB"/>
          </w:rPr>
          <w:tab/>
        </w:r>
        <w:r w:rsidRPr="00A30B1E">
          <w:rPr>
            <w:rStyle w:val="Hyperlink"/>
            <w:noProof/>
          </w:rPr>
          <w:t>Study Report and Publication Policy</w:t>
        </w:r>
        <w:r>
          <w:rPr>
            <w:noProof/>
            <w:webHidden/>
          </w:rPr>
          <w:tab/>
        </w:r>
        <w:r>
          <w:rPr>
            <w:noProof/>
            <w:webHidden/>
          </w:rPr>
          <w:fldChar w:fldCharType="begin"/>
        </w:r>
        <w:r>
          <w:rPr>
            <w:noProof/>
            <w:webHidden/>
          </w:rPr>
          <w:instrText xml:space="preserve"> PAGEREF _Toc74904458 \h </w:instrText>
        </w:r>
        <w:r>
          <w:rPr>
            <w:noProof/>
            <w:webHidden/>
          </w:rPr>
        </w:r>
        <w:r>
          <w:rPr>
            <w:noProof/>
            <w:webHidden/>
          </w:rPr>
          <w:fldChar w:fldCharType="separate"/>
        </w:r>
        <w:r>
          <w:rPr>
            <w:noProof/>
            <w:webHidden/>
          </w:rPr>
          <w:t>86</w:t>
        </w:r>
        <w:r>
          <w:rPr>
            <w:noProof/>
            <w:webHidden/>
          </w:rPr>
          <w:fldChar w:fldCharType="end"/>
        </w:r>
      </w:hyperlink>
    </w:p>
    <w:p w14:paraId="62A219BF" w14:textId="2368B741" w:rsidR="00AA0C2A" w:rsidRDefault="00AA0C2A">
      <w:pPr>
        <w:pStyle w:val="TOC2"/>
        <w:rPr>
          <w:rFonts w:asciiTheme="minorHAnsi" w:eastAsiaTheme="minorEastAsia" w:hAnsiTheme="minorHAnsi" w:cstheme="minorBidi"/>
          <w:noProof/>
          <w:sz w:val="22"/>
          <w:szCs w:val="22"/>
          <w:lang w:val="en-GB" w:eastAsia="en-GB"/>
        </w:rPr>
      </w:pPr>
      <w:hyperlink w:anchor="_Toc74904459" w:history="1">
        <w:r w:rsidRPr="00A30B1E">
          <w:rPr>
            <w:rStyle w:val="Hyperlink"/>
            <w:noProof/>
          </w:rPr>
          <w:t>11.5</w:t>
        </w:r>
        <w:r>
          <w:rPr>
            <w:rFonts w:asciiTheme="minorHAnsi" w:eastAsiaTheme="minorEastAsia" w:hAnsiTheme="minorHAnsi" w:cstheme="minorBidi"/>
            <w:noProof/>
            <w:sz w:val="22"/>
            <w:szCs w:val="22"/>
            <w:lang w:val="en-GB" w:eastAsia="en-GB"/>
          </w:rPr>
          <w:tab/>
        </w:r>
        <w:r w:rsidRPr="00A30B1E">
          <w:rPr>
            <w:rStyle w:val="Hyperlink"/>
            <w:noProof/>
          </w:rPr>
          <w:t>General Data Protection Regulation (GDPR)</w:t>
        </w:r>
        <w:r>
          <w:rPr>
            <w:noProof/>
            <w:webHidden/>
          </w:rPr>
          <w:tab/>
        </w:r>
        <w:r>
          <w:rPr>
            <w:noProof/>
            <w:webHidden/>
          </w:rPr>
          <w:fldChar w:fldCharType="begin"/>
        </w:r>
        <w:r>
          <w:rPr>
            <w:noProof/>
            <w:webHidden/>
          </w:rPr>
          <w:instrText xml:space="preserve"> PAGEREF _Toc74904459 \h </w:instrText>
        </w:r>
        <w:r>
          <w:rPr>
            <w:noProof/>
            <w:webHidden/>
          </w:rPr>
        </w:r>
        <w:r>
          <w:rPr>
            <w:noProof/>
            <w:webHidden/>
          </w:rPr>
          <w:fldChar w:fldCharType="separate"/>
        </w:r>
        <w:r>
          <w:rPr>
            <w:noProof/>
            <w:webHidden/>
          </w:rPr>
          <w:t>87</w:t>
        </w:r>
        <w:r>
          <w:rPr>
            <w:noProof/>
            <w:webHidden/>
          </w:rPr>
          <w:fldChar w:fldCharType="end"/>
        </w:r>
      </w:hyperlink>
    </w:p>
    <w:p w14:paraId="7FC2AA65" w14:textId="04BC14CA" w:rsidR="00AA0C2A" w:rsidRDefault="00AA0C2A">
      <w:pPr>
        <w:pStyle w:val="TOC1"/>
        <w:rPr>
          <w:rFonts w:asciiTheme="minorHAnsi" w:eastAsiaTheme="minorEastAsia" w:hAnsiTheme="minorHAnsi" w:cstheme="minorBidi"/>
          <w:caps w:val="0"/>
          <w:noProof/>
          <w:sz w:val="22"/>
          <w:szCs w:val="22"/>
          <w:lang w:val="en-GB" w:eastAsia="en-GB"/>
        </w:rPr>
      </w:pPr>
      <w:hyperlink w:anchor="_Toc74904460" w:history="1">
        <w:r w:rsidRPr="00A30B1E">
          <w:rPr>
            <w:rStyle w:val="Hyperlink"/>
            <w:noProof/>
          </w:rPr>
          <w:t>12.</w:t>
        </w:r>
        <w:r>
          <w:rPr>
            <w:rFonts w:asciiTheme="minorHAnsi" w:eastAsiaTheme="minorEastAsia" w:hAnsiTheme="minorHAnsi" w:cstheme="minorBidi"/>
            <w:caps w:val="0"/>
            <w:noProof/>
            <w:sz w:val="22"/>
            <w:szCs w:val="22"/>
            <w:lang w:val="en-GB" w:eastAsia="en-GB"/>
          </w:rPr>
          <w:tab/>
        </w:r>
        <w:r w:rsidRPr="00A30B1E">
          <w:rPr>
            <w:rStyle w:val="Hyperlink"/>
            <w:noProof/>
          </w:rPr>
          <w:t>REFERENCES</w:t>
        </w:r>
        <w:r>
          <w:rPr>
            <w:noProof/>
            <w:webHidden/>
          </w:rPr>
          <w:tab/>
        </w:r>
        <w:r>
          <w:rPr>
            <w:noProof/>
            <w:webHidden/>
          </w:rPr>
          <w:fldChar w:fldCharType="begin"/>
        </w:r>
        <w:r>
          <w:rPr>
            <w:noProof/>
            <w:webHidden/>
          </w:rPr>
          <w:instrText xml:space="preserve"> PAGEREF _Toc74904460 \h </w:instrText>
        </w:r>
        <w:r>
          <w:rPr>
            <w:noProof/>
            <w:webHidden/>
          </w:rPr>
        </w:r>
        <w:r>
          <w:rPr>
            <w:noProof/>
            <w:webHidden/>
          </w:rPr>
          <w:fldChar w:fldCharType="separate"/>
        </w:r>
        <w:r>
          <w:rPr>
            <w:noProof/>
            <w:webHidden/>
          </w:rPr>
          <w:t>88</w:t>
        </w:r>
        <w:r>
          <w:rPr>
            <w:noProof/>
            <w:webHidden/>
          </w:rPr>
          <w:fldChar w:fldCharType="end"/>
        </w:r>
      </w:hyperlink>
    </w:p>
    <w:p w14:paraId="6A0FE81D" w14:textId="0FDF3D43" w:rsidR="00AA0C2A" w:rsidRDefault="00AA0C2A">
      <w:pPr>
        <w:pStyle w:val="TOC2"/>
        <w:rPr>
          <w:rFonts w:asciiTheme="minorHAnsi" w:eastAsiaTheme="minorEastAsia" w:hAnsiTheme="minorHAnsi" w:cstheme="minorBidi"/>
          <w:noProof/>
          <w:sz w:val="22"/>
          <w:szCs w:val="22"/>
          <w:lang w:val="en-GB" w:eastAsia="en-GB"/>
        </w:rPr>
      </w:pPr>
      <w:hyperlink w:anchor="_Toc74904461" w:history="1">
        <w:r w:rsidRPr="00A30B1E">
          <w:rPr>
            <w:rStyle w:val="Hyperlink"/>
            <w:noProof/>
          </w:rPr>
          <w:t>Appendix 1: NORMAL RANGES FOR VITAL SIGNS AND ECG PARAMETERS</w:t>
        </w:r>
        <w:r>
          <w:rPr>
            <w:noProof/>
            <w:webHidden/>
          </w:rPr>
          <w:tab/>
        </w:r>
        <w:r>
          <w:rPr>
            <w:noProof/>
            <w:webHidden/>
          </w:rPr>
          <w:fldChar w:fldCharType="begin"/>
        </w:r>
        <w:r>
          <w:rPr>
            <w:noProof/>
            <w:webHidden/>
          </w:rPr>
          <w:instrText xml:space="preserve"> PAGEREF _Toc74904461 \h </w:instrText>
        </w:r>
        <w:r>
          <w:rPr>
            <w:noProof/>
            <w:webHidden/>
          </w:rPr>
        </w:r>
        <w:r>
          <w:rPr>
            <w:noProof/>
            <w:webHidden/>
          </w:rPr>
          <w:fldChar w:fldCharType="separate"/>
        </w:r>
        <w:r>
          <w:rPr>
            <w:noProof/>
            <w:webHidden/>
          </w:rPr>
          <w:t>89</w:t>
        </w:r>
        <w:r>
          <w:rPr>
            <w:noProof/>
            <w:webHidden/>
          </w:rPr>
          <w:fldChar w:fldCharType="end"/>
        </w:r>
      </w:hyperlink>
    </w:p>
    <w:p w14:paraId="7F489173" w14:textId="3745B686" w:rsidR="00AA0C2A" w:rsidRDefault="00AA0C2A">
      <w:pPr>
        <w:pStyle w:val="TOC2"/>
        <w:rPr>
          <w:rFonts w:asciiTheme="minorHAnsi" w:eastAsiaTheme="minorEastAsia" w:hAnsiTheme="minorHAnsi" w:cstheme="minorBidi"/>
          <w:noProof/>
          <w:sz w:val="22"/>
          <w:szCs w:val="22"/>
          <w:lang w:val="en-GB" w:eastAsia="en-GB"/>
        </w:rPr>
      </w:pPr>
      <w:hyperlink w:anchor="_Toc74904462" w:history="1">
        <w:r w:rsidRPr="00A30B1E">
          <w:rPr>
            <w:rStyle w:val="Hyperlink"/>
            <w:noProof/>
          </w:rPr>
          <w:t>Appendix 2: DECLARATION OF HELSINKI (BRAZIL, 2013)</w:t>
        </w:r>
        <w:r>
          <w:rPr>
            <w:noProof/>
            <w:webHidden/>
          </w:rPr>
          <w:tab/>
        </w:r>
        <w:r>
          <w:rPr>
            <w:noProof/>
            <w:webHidden/>
          </w:rPr>
          <w:fldChar w:fldCharType="begin"/>
        </w:r>
        <w:r>
          <w:rPr>
            <w:noProof/>
            <w:webHidden/>
          </w:rPr>
          <w:instrText xml:space="preserve"> PAGEREF _Toc74904462 \h </w:instrText>
        </w:r>
        <w:r>
          <w:rPr>
            <w:noProof/>
            <w:webHidden/>
          </w:rPr>
        </w:r>
        <w:r>
          <w:rPr>
            <w:noProof/>
            <w:webHidden/>
          </w:rPr>
          <w:fldChar w:fldCharType="separate"/>
        </w:r>
        <w:r>
          <w:rPr>
            <w:noProof/>
            <w:webHidden/>
          </w:rPr>
          <w:t>90</w:t>
        </w:r>
        <w:r>
          <w:rPr>
            <w:noProof/>
            <w:webHidden/>
          </w:rPr>
          <w:fldChar w:fldCharType="end"/>
        </w:r>
      </w:hyperlink>
    </w:p>
    <w:p w14:paraId="1E00DEB8" w14:textId="3515EDED" w:rsidR="00AA0C2A" w:rsidRDefault="00AA0C2A">
      <w:pPr>
        <w:pStyle w:val="TOC2"/>
        <w:rPr>
          <w:rFonts w:asciiTheme="minorHAnsi" w:eastAsiaTheme="minorEastAsia" w:hAnsiTheme="minorHAnsi" w:cstheme="minorBidi"/>
          <w:noProof/>
          <w:sz w:val="22"/>
          <w:szCs w:val="22"/>
          <w:lang w:val="en-GB" w:eastAsia="en-GB"/>
        </w:rPr>
      </w:pPr>
      <w:hyperlink w:anchor="_Toc74904463" w:history="1">
        <w:r w:rsidRPr="00A30B1E">
          <w:rPr>
            <w:rStyle w:val="Hyperlink"/>
            <w:noProof/>
          </w:rPr>
          <w:t>Appendix 3</w:t>
        </w:r>
        <w:r w:rsidRPr="00A30B1E">
          <w:rPr>
            <w:rStyle w:val="Hyperlink"/>
            <w:noProof/>
            <w:lang w:val="en-GB"/>
          </w:rPr>
          <w:t xml:space="preserve">: GRADING AND MANAGEMENT OF INJECTION SITE REACTIONS </w:t>
        </w:r>
        <w:r w:rsidRPr="00A30B1E">
          <w:rPr>
            <w:rStyle w:val="Hyperlink"/>
            <w:noProof/>
          </w:rPr>
          <w:t>GRADING OF INFUSION REACTIONS</w:t>
        </w:r>
        <w:r>
          <w:rPr>
            <w:noProof/>
            <w:webHidden/>
          </w:rPr>
          <w:tab/>
        </w:r>
        <w:r>
          <w:rPr>
            <w:noProof/>
            <w:webHidden/>
          </w:rPr>
          <w:fldChar w:fldCharType="begin"/>
        </w:r>
        <w:r>
          <w:rPr>
            <w:noProof/>
            <w:webHidden/>
          </w:rPr>
          <w:instrText xml:space="preserve"> PAGEREF _Toc74904463 \h </w:instrText>
        </w:r>
        <w:r>
          <w:rPr>
            <w:noProof/>
            <w:webHidden/>
          </w:rPr>
        </w:r>
        <w:r>
          <w:rPr>
            <w:noProof/>
            <w:webHidden/>
          </w:rPr>
          <w:fldChar w:fldCharType="separate"/>
        </w:r>
        <w:r>
          <w:rPr>
            <w:noProof/>
            <w:webHidden/>
          </w:rPr>
          <w:t>91</w:t>
        </w:r>
        <w:r>
          <w:rPr>
            <w:noProof/>
            <w:webHidden/>
          </w:rPr>
          <w:fldChar w:fldCharType="end"/>
        </w:r>
      </w:hyperlink>
    </w:p>
    <w:p w14:paraId="73FB1E8E" w14:textId="1AE8CC8A" w:rsidR="005E785F" w:rsidRDefault="003621E8">
      <w:pPr>
        <w:pStyle w:val="C-BodyText"/>
        <w:jc w:val="both"/>
        <w:rPr>
          <w:lang w:val="en-GB"/>
        </w:rPr>
      </w:pPr>
      <w:r>
        <w:rPr>
          <w:lang w:val="en-GB"/>
        </w:rPr>
        <w:fldChar w:fldCharType="end"/>
      </w:r>
    </w:p>
    <w:p w14:paraId="73FB1E8F" w14:textId="456E7BC4" w:rsidR="005E785F" w:rsidRDefault="003621E8">
      <w:pPr>
        <w:pStyle w:val="BodyTextFull"/>
        <w:jc w:val="center"/>
        <w:rPr>
          <w:rFonts w:ascii="Times New Roman" w:hAnsi="Times New Roman" w:cs="Times New Roman"/>
          <w:b/>
          <w:bCs/>
          <w:sz w:val="24"/>
          <w:szCs w:val="24"/>
          <w:lang w:val="en-GB"/>
        </w:rPr>
      </w:pPr>
      <w:r>
        <w:rPr>
          <w:lang w:val="en-GB"/>
        </w:rPr>
        <w:br w:type="page"/>
      </w:r>
      <w:r>
        <w:rPr>
          <w:rFonts w:ascii="Times New Roman" w:hAnsi="Times New Roman" w:cs="Times New Roman"/>
          <w:b/>
          <w:bCs/>
          <w:sz w:val="24"/>
          <w:szCs w:val="24"/>
          <w:lang w:val="en-GB"/>
        </w:rPr>
        <w:lastRenderedPageBreak/>
        <w:t>TABLES</w:t>
      </w:r>
    </w:p>
    <w:p w14:paraId="73FB1E90" w14:textId="77777777" w:rsidR="005E785F" w:rsidRDefault="005E785F">
      <w:pPr>
        <w:pStyle w:val="C-BodyText"/>
        <w:rPr>
          <w:lang w:val="en-GB"/>
        </w:rPr>
      </w:pPr>
    </w:p>
    <w:p w14:paraId="5698C62E" w14:textId="28A6141D" w:rsidR="005E785F" w:rsidRDefault="003621E8">
      <w:pPr>
        <w:pStyle w:val="TableofFigures"/>
        <w:rPr>
          <w:rFonts w:asciiTheme="minorHAnsi" w:eastAsiaTheme="minorEastAsia" w:hAnsiTheme="minorHAnsi" w:cstheme="minorBidi"/>
          <w:sz w:val="22"/>
          <w:szCs w:val="22"/>
          <w:lang w:val="en-GB" w:eastAsia="en-GB"/>
        </w:rPr>
      </w:pPr>
      <w:r>
        <w:rPr>
          <w:lang w:val="en-GB"/>
        </w:rPr>
        <w:fldChar w:fldCharType="begin"/>
      </w:r>
      <w:r>
        <w:rPr>
          <w:lang w:val="en-GB"/>
        </w:rPr>
        <w:instrText xml:space="preserve"> TOC \f T \h \z \t "Caption" \c </w:instrText>
      </w:r>
      <w:r>
        <w:rPr>
          <w:lang w:val="en-GB"/>
        </w:rPr>
        <w:fldChar w:fldCharType="separate"/>
      </w:r>
      <w:hyperlink w:anchor="_Toc66992762" w:history="1">
        <w:r>
          <w:rPr>
            <w:rStyle w:val="Hyperlink"/>
          </w:rPr>
          <w:t>Table 1</w:t>
        </w:r>
        <w:r>
          <w:rPr>
            <w:rStyle w:val="Hyperlink"/>
            <w:lang w:val="en-GB"/>
          </w:rPr>
          <w:t xml:space="preserve"> </w:t>
        </w:r>
        <w:r>
          <w:rPr>
            <w:rStyle w:val="Hyperlink"/>
            <w:lang w:val="en-GB"/>
          </w:rPr>
          <w:tab/>
          <w:t>Overview of Pharmacokinetic Studies and Key Results</w:t>
        </w:r>
        <w:r>
          <w:rPr>
            <w:webHidden/>
          </w:rPr>
          <w:tab/>
        </w:r>
        <w:r>
          <w:rPr>
            <w:webHidden/>
          </w:rPr>
          <w:fldChar w:fldCharType="begin"/>
        </w:r>
        <w:r>
          <w:rPr>
            <w:webHidden/>
          </w:rPr>
          <w:instrText xml:space="preserve"> PAGEREF _Toc66992762 \h </w:instrText>
        </w:r>
        <w:r>
          <w:rPr>
            <w:webHidden/>
          </w:rPr>
        </w:r>
        <w:r>
          <w:rPr>
            <w:webHidden/>
          </w:rPr>
          <w:fldChar w:fldCharType="separate"/>
        </w:r>
        <w:r>
          <w:rPr>
            <w:webHidden/>
          </w:rPr>
          <w:t>30</w:t>
        </w:r>
        <w:r>
          <w:rPr>
            <w:webHidden/>
          </w:rPr>
          <w:fldChar w:fldCharType="end"/>
        </w:r>
      </w:hyperlink>
    </w:p>
    <w:p w14:paraId="3DF7A9C7" w14:textId="065E5B54" w:rsidR="005E785F" w:rsidRDefault="00747B9C">
      <w:pPr>
        <w:pStyle w:val="TableofFigures"/>
        <w:rPr>
          <w:rFonts w:asciiTheme="minorHAnsi" w:eastAsiaTheme="minorEastAsia" w:hAnsiTheme="minorHAnsi" w:cstheme="minorBidi"/>
          <w:sz w:val="22"/>
          <w:szCs w:val="22"/>
          <w:lang w:val="en-GB" w:eastAsia="en-GB"/>
        </w:rPr>
      </w:pPr>
      <w:hyperlink w:anchor="_Toc66992763" w:history="1">
        <w:r w:rsidR="003621E8">
          <w:rPr>
            <w:rStyle w:val="Hyperlink"/>
          </w:rPr>
          <w:t>Table 2</w:t>
        </w:r>
        <w:r w:rsidR="003621E8">
          <w:rPr>
            <w:rStyle w:val="Hyperlink"/>
            <w:lang w:val="en-GB"/>
          </w:rPr>
          <w:t xml:space="preserve"> </w:t>
        </w:r>
        <w:r w:rsidR="003621E8">
          <w:rPr>
            <w:rStyle w:val="Hyperlink"/>
            <w:lang w:val="en-GB"/>
          </w:rPr>
          <w:tab/>
          <w:t>Non-Clinical GLP Repeated Toxicity Study Conducted with CpG ODN D35 and Key Outcome</w:t>
        </w:r>
        <w:r w:rsidR="003621E8">
          <w:rPr>
            <w:webHidden/>
          </w:rPr>
          <w:tab/>
        </w:r>
        <w:r w:rsidR="003621E8">
          <w:rPr>
            <w:webHidden/>
          </w:rPr>
          <w:fldChar w:fldCharType="begin"/>
        </w:r>
        <w:r w:rsidR="003621E8">
          <w:rPr>
            <w:webHidden/>
          </w:rPr>
          <w:instrText xml:space="preserve"> PAGEREF _Toc66992763 \h </w:instrText>
        </w:r>
        <w:r w:rsidR="003621E8">
          <w:rPr>
            <w:webHidden/>
          </w:rPr>
        </w:r>
        <w:r w:rsidR="003621E8">
          <w:rPr>
            <w:webHidden/>
          </w:rPr>
          <w:fldChar w:fldCharType="separate"/>
        </w:r>
        <w:r w:rsidR="003621E8">
          <w:rPr>
            <w:webHidden/>
          </w:rPr>
          <w:t>31</w:t>
        </w:r>
        <w:r w:rsidR="003621E8">
          <w:rPr>
            <w:webHidden/>
          </w:rPr>
          <w:fldChar w:fldCharType="end"/>
        </w:r>
      </w:hyperlink>
    </w:p>
    <w:p w14:paraId="613913AE" w14:textId="431E02C7" w:rsidR="005E785F" w:rsidRDefault="00747B9C">
      <w:pPr>
        <w:pStyle w:val="TableofFigures"/>
        <w:rPr>
          <w:rFonts w:asciiTheme="minorHAnsi" w:eastAsiaTheme="minorEastAsia" w:hAnsiTheme="minorHAnsi" w:cstheme="minorBidi"/>
          <w:sz w:val="22"/>
          <w:szCs w:val="22"/>
          <w:lang w:val="en-GB" w:eastAsia="en-GB"/>
        </w:rPr>
      </w:pPr>
      <w:hyperlink w:anchor="_Toc66992764" w:history="1">
        <w:r w:rsidR="003621E8">
          <w:rPr>
            <w:rStyle w:val="Hyperlink"/>
          </w:rPr>
          <w:t>Table 3</w:t>
        </w:r>
        <w:r w:rsidR="003621E8">
          <w:rPr>
            <w:rFonts w:asciiTheme="minorHAnsi" w:eastAsiaTheme="minorEastAsia" w:hAnsiTheme="minorHAnsi" w:cstheme="minorBidi"/>
            <w:sz w:val="22"/>
            <w:szCs w:val="22"/>
            <w:lang w:val="en-GB" w:eastAsia="en-GB"/>
          </w:rPr>
          <w:tab/>
        </w:r>
        <w:r w:rsidR="003621E8">
          <w:rPr>
            <w:rStyle w:val="Hyperlink"/>
            <w:lang w:val="en-GB"/>
          </w:rPr>
          <w:t>Identity of Investigational Medicinal Products</w:t>
        </w:r>
        <w:r w:rsidR="003621E8">
          <w:rPr>
            <w:webHidden/>
          </w:rPr>
          <w:tab/>
        </w:r>
        <w:r w:rsidR="003621E8">
          <w:rPr>
            <w:webHidden/>
          </w:rPr>
          <w:fldChar w:fldCharType="begin"/>
        </w:r>
        <w:r w:rsidR="003621E8">
          <w:rPr>
            <w:webHidden/>
          </w:rPr>
          <w:instrText xml:space="preserve"> PAGEREF _Toc66992764 \h </w:instrText>
        </w:r>
        <w:r w:rsidR="003621E8">
          <w:rPr>
            <w:webHidden/>
          </w:rPr>
        </w:r>
        <w:r w:rsidR="003621E8">
          <w:rPr>
            <w:webHidden/>
          </w:rPr>
          <w:fldChar w:fldCharType="separate"/>
        </w:r>
        <w:r w:rsidR="003621E8">
          <w:rPr>
            <w:webHidden/>
          </w:rPr>
          <w:t>47</w:t>
        </w:r>
        <w:r w:rsidR="003621E8">
          <w:rPr>
            <w:webHidden/>
          </w:rPr>
          <w:fldChar w:fldCharType="end"/>
        </w:r>
      </w:hyperlink>
    </w:p>
    <w:p w14:paraId="65B4D2A0" w14:textId="25704A38" w:rsidR="005E785F" w:rsidRDefault="00747B9C">
      <w:pPr>
        <w:pStyle w:val="TableofFigures"/>
        <w:rPr>
          <w:rFonts w:asciiTheme="minorHAnsi" w:eastAsiaTheme="minorEastAsia" w:hAnsiTheme="minorHAnsi" w:cstheme="minorBidi"/>
          <w:sz w:val="22"/>
          <w:szCs w:val="22"/>
          <w:lang w:val="en-GB" w:eastAsia="en-GB"/>
        </w:rPr>
      </w:pPr>
      <w:hyperlink w:anchor="_Toc66992765" w:history="1">
        <w:r w:rsidR="003621E8">
          <w:rPr>
            <w:rStyle w:val="Hyperlink"/>
          </w:rPr>
          <w:t>Table 4</w:t>
        </w:r>
        <w:r w:rsidR="003621E8">
          <w:rPr>
            <w:rFonts w:asciiTheme="minorHAnsi" w:eastAsiaTheme="minorEastAsia" w:hAnsiTheme="minorHAnsi" w:cstheme="minorBidi"/>
            <w:sz w:val="22"/>
            <w:szCs w:val="22"/>
            <w:lang w:val="en-GB" w:eastAsia="en-GB"/>
          </w:rPr>
          <w:tab/>
        </w:r>
        <w:r w:rsidR="003621E8">
          <w:rPr>
            <w:rStyle w:val="Hyperlink"/>
            <w:lang w:val="de-AT"/>
          </w:rPr>
          <w:t>Overview of Safety Margins to Planned Clinical Starting Dose</w:t>
        </w:r>
        <w:r w:rsidR="003621E8">
          <w:rPr>
            <w:webHidden/>
          </w:rPr>
          <w:tab/>
        </w:r>
        <w:r w:rsidR="003621E8">
          <w:rPr>
            <w:webHidden/>
          </w:rPr>
          <w:fldChar w:fldCharType="begin"/>
        </w:r>
        <w:r w:rsidR="003621E8">
          <w:rPr>
            <w:webHidden/>
          </w:rPr>
          <w:instrText xml:space="preserve"> PAGEREF _Toc66992765 \h </w:instrText>
        </w:r>
        <w:r w:rsidR="003621E8">
          <w:rPr>
            <w:webHidden/>
          </w:rPr>
        </w:r>
        <w:r w:rsidR="003621E8">
          <w:rPr>
            <w:webHidden/>
          </w:rPr>
          <w:fldChar w:fldCharType="separate"/>
        </w:r>
        <w:r w:rsidR="003621E8">
          <w:rPr>
            <w:webHidden/>
          </w:rPr>
          <w:t>50</w:t>
        </w:r>
        <w:r w:rsidR="003621E8">
          <w:rPr>
            <w:webHidden/>
          </w:rPr>
          <w:fldChar w:fldCharType="end"/>
        </w:r>
      </w:hyperlink>
    </w:p>
    <w:p w14:paraId="65012ADA" w14:textId="0F50082B" w:rsidR="005E785F" w:rsidRDefault="00747B9C">
      <w:pPr>
        <w:pStyle w:val="TableofFigures"/>
        <w:rPr>
          <w:rFonts w:asciiTheme="minorHAnsi" w:eastAsiaTheme="minorEastAsia" w:hAnsiTheme="minorHAnsi" w:cstheme="minorBidi"/>
          <w:sz w:val="22"/>
          <w:szCs w:val="22"/>
          <w:lang w:val="en-GB" w:eastAsia="en-GB"/>
        </w:rPr>
      </w:pPr>
      <w:hyperlink w:anchor="_Toc66992766" w:history="1">
        <w:r w:rsidR="003621E8">
          <w:rPr>
            <w:rStyle w:val="Hyperlink"/>
          </w:rPr>
          <w:t>Table 5</w:t>
        </w:r>
        <w:r w:rsidR="003621E8">
          <w:rPr>
            <w:rFonts w:asciiTheme="minorHAnsi" w:eastAsiaTheme="minorEastAsia" w:hAnsiTheme="minorHAnsi" w:cstheme="minorBidi"/>
            <w:sz w:val="22"/>
            <w:szCs w:val="22"/>
            <w:lang w:val="en-GB" w:eastAsia="en-GB"/>
          </w:rPr>
          <w:tab/>
        </w:r>
        <w:r w:rsidR="003621E8">
          <w:rPr>
            <w:rStyle w:val="Hyperlink"/>
            <w:lang w:val="en-GB"/>
          </w:rPr>
          <w:t>Study Flow Chart</w:t>
        </w:r>
        <w:r w:rsidR="003621E8">
          <w:rPr>
            <w:webHidden/>
          </w:rPr>
          <w:tab/>
        </w:r>
        <w:r w:rsidR="003621E8">
          <w:rPr>
            <w:webHidden/>
          </w:rPr>
          <w:fldChar w:fldCharType="begin"/>
        </w:r>
        <w:r w:rsidR="003621E8">
          <w:rPr>
            <w:webHidden/>
          </w:rPr>
          <w:instrText xml:space="preserve"> PAGEREF _Toc66992766 \h </w:instrText>
        </w:r>
        <w:r w:rsidR="003621E8">
          <w:rPr>
            <w:webHidden/>
          </w:rPr>
        </w:r>
        <w:r w:rsidR="003621E8">
          <w:rPr>
            <w:webHidden/>
          </w:rPr>
          <w:fldChar w:fldCharType="separate"/>
        </w:r>
        <w:r w:rsidR="003621E8">
          <w:rPr>
            <w:webHidden/>
          </w:rPr>
          <w:t>55</w:t>
        </w:r>
        <w:r w:rsidR="003621E8">
          <w:rPr>
            <w:webHidden/>
          </w:rPr>
          <w:fldChar w:fldCharType="end"/>
        </w:r>
      </w:hyperlink>
    </w:p>
    <w:p w14:paraId="78D5C828" w14:textId="6E3E2C04" w:rsidR="005E785F" w:rsidRDefault="00747B9C">
      <w:pPr>
        <w:pStyle w:val="TableofFigures"/>
        <w:rPr>
          <w:rFonts w:asciiTheme="minorHAnsi" w:eastAsiaTheme="minorEastAsia" w:hAnsiTheme="minorHAnsi" w:cstheme="minorBidi"/>
          <w:sz w:val="22"/>
          <w:szCs w:val="22"/>
          <w:lang w:val="en-GB" w:eastAsia="en-GB"/>
        </w:rPr>
      </w:pPr>
      <w:hyperlink w:anchor="_Toc66992767" w:history="1">
        <w:r w:rsidR="003621E8">
          <w:rPr>
            <w:rStyle w:val="Hyperlink"/>
          </w:rPr>
          <w:t>Table 6</w:t>
        </w:r>
        <w:r w:rsidR="003621E8">
          <w:rPr>
            <w:rFonts w:asciiTheme="minorHAnsi" w:eastAsiaTheme="minorEastAsia" w:hAnsiTheme="minorHAnsi" w:cstheme="minorBidi"/>
            <w:sz w:val="22"/>
            <w:szCs w:val="22"/>
            <w:lang w:val="en-GB" w:eastAsia="en-GB"/>
          </w:rPr>
          <w:tab/>
        </w:r>
        <w:r w:rsidR="003621E8">
          <w:rPr>
            <w:rStyle w:val="Hyperlink"/>
            <w:lang w:val="en-GB"/>
          </w:rPr>
          <w:t>Summary of Blood Volume</w:t>
        </w:r>
        <w:r w:rsidR="003621E8">
          <w:rPr>
            <w:webHidden/>
          </w:rPr>
          <w:tab/>
        </w:r>
        <w:r w:rsidR="003621E8">
          <w:rPr>
            <w:webHidden/>
          </w:rPr>
          <w:fldChar w:fldCharType="begin"/>
        </w:r>
        <w:r w:rsidR="003621E8">
          <w:rPr>
            <w:webHidden/>
          </w:rPr>
          <w:instrText xml:space="preserve"> PAGEREF _Toc66992767 \h </w:instrText>
        </w:r>
        <w:r w:rsidR="003621E8">
          <w:rPr>
            <w:webHidden/>
          </w:rPr>
        </w:r>
        <w:r w:rsidR="003621E8">
          <w:rPr>
            <w:webHidden/>
          </w:rPr>
          <w:fldChar w:fldCharType="separate"/>
        </w:r>
        <w:r w:rsidR="003621E8">
          <w:rPr>
            <w:webHidden/>
          </w:rPr>
          <w:t>70</w:t>
        </w:r>
        <w:r w:rsidR="003621E8">
          <w:rPr>
            <w:webHidden/>
          </w:rPr>
          <w:fldChar w:fldCharType="end"/>
        </w:r>
      </w:hyperlink>
    </w:p>
    <w:p w14:paraId="3C6C9401" w14:textId="6E34EEA8" w:rsidR="005E785F" w:rsidRDefault="00747B9C">
      <w:pPr>
        <w:pStyle w:val="TableofFigures"/>
        <w:rPr>
          <w:rFonts w:asciiTheme="minorHAnsi" w:eastAsiaTheme="minorEastAsia" w:hAnsiTheme="minorHAnsi" w:cstheme="minorBidi"/>
          <w:sz w:val="22"/>
          <w:szCs w:val="22"/>
          <w:lang w:val="en-GB" w:eastAsia="en-GB"/>
        </w:rPr>
      </w:pPr>
      <w:hyperlink w:anchor="_Toc66992768" w:history="1">
        <w:r w:rsidR="003621E8">
          <w:rPr>
            <w:rStyle w:val="Hyperlink"/>
          </w:rPr>
          <w:t>Table 7</w:t>
        </w:r>
        <w:r w:rsidR="003621E8">
          <w:rPr>
            <w:rFonts w:asciiTheme="minorHAnsi" w:eastAsiaTheme="minorEastAsia" w:hAnsiTheme="minorHAnsi" w:cstheme="minorBidi"/>
            <w:sz w:val="22"/>
            <w:szCs w:val="22"/>
            <w:lang w:val="en-GB" w:eastAsia="en-GB"/>
          </w:rPr>
          <w:tab/>
        </w:r>
        <w:r w:rsidR="003621E8">
          <w:rPr>
            <w:rStyle w:val="Hyperlink"/>
            <w:lang w:val="en-GB"/>
          </w:rPr>
          <w:t>Summary of Source Documentation Location</w:t>
        </w:r>
        <w:r w:rsidR="003621E8">
          <w:rPr>
            <w:webHidden/>
          </w:rPr>
          <w:tab/>
        </w:r>
        <w:r w:rsidR="003621E8">
          <w:rPr>
            <w:webHidden/>
          </w:rPr>
          <w:fldChar w:fldCharType="begin"/>
        </w:r>
        <w:r w:rsidR="003621E8">
          <w:rPr>
            <w:webHidden/>
          </w:rPr>
          <w:instrText xml:space="preserve"> PAGEREF _Toc66992768 \h </w:instrText>
        </w:r>
        <w:r w:rsidR="003621E8">
          <w:rPr>
            <w:webHidden/>
          </w:rPr>
        </w:r>
        <w:r w:rsidR="003621E8">
          <w:rPr>
            <w:webHidden/>
          </w:rPr>
          <w:fldChar w:fldCharType="separate"/>
        </w:r>
        <w:r w:rsidR="003621E8">
          <w:rPr>
            <w:webHidden/>
          </w:rPr>
          <w:t>73</w:t>
        </w:r>
        <w:r w:rsidR="003621E8">
          <w:rPr>
            <w:webHidden/>
          </w:rPr>
          <w:fldChar w:fldCharType="end"/>
        </w:r>
      </w:hyperlink>
    </w:p>
    <w:p w14:paraId="2C76AC60" w14:textId="629FB9EB" w:rsidR="005E785F" w:rsidRDefault="00747B9C">
      <w:pPr>
        <w:pStyle w:val="TableofFigures"/>
        <w:rPr>
          <w:rStyle w:val="Hyperlink"/>
        </w:rPr>
      </w:pPr>
      <w:hyperlink w:anchor="_Toc66992769" w:history="1">
        <w:r w:rsidR="003621E8">
          <w:rPr>
            <w:rStyle w:val="Hyperlink"/>
          </w:rPr>
          <w:t>Table 8:</w:t>
        </w:r>
        <w:r w:rsidR="003621E8">
          <w:rPr>
            <w:rFonts w:asciiTheme="minorHAnsi" w:eastAsiaTheme="minorEastAsia" w:hAnsiTheme="minorHAnsi" w:cstheme="minorBidi"/>
            <w:sz w:val="22"/>
            <w:szCs w:val="22"/>
            <w:lang w:val="en-GB" w:eastAsia="en-GB"/>
          </w:rPr>
          <w:tab/>
        </w:r>
        <w:r w:rsidR="003621E8">
          <w:rPr>
            <w:rStyle w:val="Hyperlink"/>
          </w:rPr>
          <w:t>Grading of Injection Site Reactions, Guidance for Industry Toxicity Grading Scale for Healthy Adult and Adolescent Volunteers Enrolled in Preventive Vaccine Clinical Trials</w:t>
        </w:r>
        <w:r w:rsidR="003621E8">
          <w:rPr>
            <w:webHidden/>
          </w:rPr>
          <w:tab/>
        </w:r>
        <w:r w:rsidR="003621E8">
          <w:rPr>
            <w:webHidden/>
          </w:rPr>
          <w:fldChar w:fldCharType="begin"/>
        </w:r>
        <w:r w:rsidR="003621E8">
          <w:rPr>
            <w:webHidden/>
          </w:rPr>
          <w:instrText xml:space="preserve"> PAGEREF _Toc66992769 \h </w:instrText>
        </w:r>
        <w:r w:rsidR="003621E8">
          <w:rPr>
            <w:webHidden/>
          </w:rPr>
        </w:r>
        <w:r w:rsidR="003621E8">
          <w:rPr>
            <w:webHidden/>
          </w:rPr>
          <w:fldChar w:fldCharType="separate"/>
        </w:r>
        <w:r w:rsidR="003621E8">
          <w:rPr>
            <w:webHidden/>
          </w:rPr>
          <w:t>84</w:t>
        </w:r>
        <w:r w:rsidR="003621E8">
          <w:rPr>
            <w:webHidden/>
          </w:rPr>
          <w:fldChar w:fldCharType="end"/>
        </w:r>
      </w:hyperlink>
    </w:p>
    <w:p w14:paraId="5780BDDC" w14:textId="77777777" w:rsidR="005E785F" w:rsidRDefault="005E785F">
      <w:pPr>
        <w:rPr>
          <w:rFonts w:eastAsiaTheme="minorEastAsia"/>
        </w:rPr>
      </w:pPr>
    </w:p>
    <w:p w14:paraId="0E26F1D6" w14:textId="77777777" w:rsidR="005E785F" w:rsidRDefault="005E785F">
      <w:pPr>
        <w:rPr>
          <w:rFonts w:eastAsiaTheme="minorEastAsia"/>
          <w:b/>
          <w:bCs/>
        </w:rPr>
      </w:pPr>
    </w:p>
    <w:p w14:paraId="4E3067D3" w14:textId="57684265" w:rsidR="005E785F" w:rsidRDefault="003621E8">
      <w:pPr>
        <w:jc w:val="center"/>
        <w:rPr>
          <w:rFonts w:eastAsiaTheme="minorEastAsia"/>
          <w:b/>
          <w:bCs/>
        </w:rPr>
      </w:pPr>
      <w:r>
        <w:rPr>
          <w:rFonts w:eastAsiaTheme="minorEastAsia"/>
          <w:b/>
          <w:bCs/>
        </w:rPr>
        <w:t>FIGURES</w:t>
      </w:r>
    </w:p>
    <w:p w14:paraId="55C7FFD2" w14:textId="77777777" w:rsidR="005E785F" w:rsidRDefault="005E785F">
      <w:pPr>
        <w:jc w:val="center"/>
        <w:rPr>
          <w:rFonts w:eastAsiaTheme="minorEastAsia"/>
          <w:b/>
          <w:bCs/>
        </w:rPr>
      </w:pPr>
    </w:p>
    <w:p w14:paraId="0B898CEA" w14:textId="7AD79FEF" w:rsidR="005E785F" w:rsidRDefault="003621E8">
      <w:pPr>
        <w:rPr>
          <w:rFonts w:eastAsiaTheme="minorEastAsia"/>
          <w:szCs w:val="24"/>
        </w:rPr>
      </w:pPr>
      <w:r>
        <w:rPr>
          <w:rFonts w:eastAsiaTheme="minorEastAsia"/>
          <w:szCs w:val="24"/>
        </w:rPr>
        <w:fldChar w:fldCharType="begin"/>
      </w:r>
      <w:r>
        <w:rPr>
          <w:rFonts w:eastAsiaTheme="minorEastAsia"/>
          <w:szCs w:val="24"/>
        </w:rPr>
        <w:instrText xml:space="preserve"> REF _Ref66992877 \h  \* MERGEFORMAT </w:instrText>
      </w:r>
      <w:r>
        <w:rPr>
          <w:rFonts w:eastAsiaTheme="minorEastAsia"/>
          <w:szCs w:val="24"/>
        </w:rPr>
      </w:r>
      <w:r>
        <w:rPr>
          <w:rFonts w:eastAsiaTheme="minorEastAsia"/>
          <w:szCs w:val="24"/>
        </w:rPr>
        <w:fldChar w:fldCharType="separate"/>
      </w:r>
      <w:r>
        <w:rPr>
          <w:rFonts w:cs="Times New Roman"/>
          <w:szCs w:val="24"/>
        </w:rPr>
        <w:t>Figure 1</w:t>
      </w:r>
      <w:r>
        <w:rPr>
          <w:rFonts w:cs="Times New Roman"/>
          <w:szCs w:val="24"/>
        </w:rPr>
        <w:tab/>
        <w:t>Study Sequence</w:t>
      </w:r>
      <w:r>
        <w:rPr>
          <w:rFonts w:eastAsiaTheme="minorEastAsia"/>
          <w:szCs w:val="24"/>
        </w:rPr>
        <w:fldChar w:fldCharType="end"/>
      </w:r>
      <w:r>
        <w:rPr>
          <w:rFonts w:eastAsiaTheme="minorEastAsia"/>
          <w:szCs w:val="24"/>
        </w:rPr>
        <w:t>…………………………………………………………..</w:t>
      </w:r>
      <w:r>
        <w:rPr>
          <w:rFonts w:eastAsiaTheme="minorEastAsia"/>
          <w:szCs w:val="24"/>
        </w:rPr>
        <w:fldChar w:fldCharType="begin"/>
      </w:r>
      <w:r>
        <w:rPr>
          <w:rFonts w:eastAsiaTheme="minorEastAsia"/>
          <w:szCs w:val="24"/>
        </w:rPr>
        <w:instrText xml:space="preserve"> PAGEREF _Ref66992877 \h </w:instrText>
      </w:r>
      <w:r>
        <w:rPr>
          <w:rFonts w:eastAsiaTheme="minorEastAsia"/>
          <w:szCs w:val="24"/>
        </w:rPr>
      </w:r>
      <w:r>
        <w:rPr>
          <w:rFonts w:eastAsiaTheme="minorEastAsia"/>
          <w:szCs w:val="24"/>
        </w:rPr>
        <w:fldChar w:fldCharType="separate"/>
      </w:r>
      <w:r>
        <w:rPr>
          <w:rFonts w:eastAsiaTheme="minorEastAsia"/>
          <w:szCs w:val="24"/>
        </w:rPr>
        <w:t>39</w:t>
      </w:r>
      <w:r>
        <w:rPr>
          <w:rFonts w:eastAsiaTheme="minorEastAsia"/>
          <w:szCs w:val="24"/>
        </w:rPr>
        <w:fldChar w:fldCharType="end"/>
      </w:r>
    </w:p>
    <w:p w14:paraId="24AC44DD" w14:textId="320BD8D1" w:rsidR="005E785F" w:rsidRDefault="003621E8">
      <w:pPr>
        <w:rPr>
          <w:rFonts w:eastAsiaTheme="minorEastAsia" w:cs="Times New Roman"/>
        </w:rPr>
      </w:pPr>
      <w:r>
        <w:rPr>
          <w:rFonts w:eastAsiaTheme="minorEastAsia"/>
        </w:rPr>
        <w:br w:type="page"/>
      </w:r>
    </w:p>
    <w:p w14:paraId="73FB1E9E" w14:textId="2A705BDC" w:rsidR="005E785F" w:rsidRDefault="003621E8">
      <w:pPr>
        <w:pStyle w:val="Heading1"/>
      </w:pPr>
      <w:r>
        <w:lastRenderedPageBreak/>
        <w:fldChar w:fldCharType="end"/>
      </w:r>
      <w:bookmarkStart w:id="23" w:name="_Toc74904333"/>
      <w:r>
        <w:t>ABBREVIATIONS USED IN THE PROTOCOL TEXT</w:t>
      </w:r>
      <w:bookmarkEnd w:id="23"/>
    </w:p>
    <w:p w14:paraId="73FB1EA0" w14:textId="77777777" w:rsidR="005E785F" w:rsidRDefault="005E785F">
      <w:pPr>
        <w:pStyle w:val="ListBullet"/>
        <w:numPr>
          <w:ilvl w:val="0"/>
          <w:numId w:val="10"/>
        </w:numPr>
        <w:tabs>
          <w:tab w:val="left" w:pos="1701"/>
        </w:tabs>
        <w:spacing w:before="120" w:after="120"/>
        <w:rPr>
          <w:szCs w:val="24"/>
          <w:highlight w:val="yellow"/>
        </w:rPr>
        <w:sectPr w:rsidR="005E785F">
          <w:headerReference w:type="default" r:id="rId13"/>
          <w:footerReference w:type="default" r:id="rId14"/>
          <w:headerReference w:type="first" r:id="rId15"/>
          <w:pgSz w:w="11907" w:h="16839" w:code="9"/>
          <w:pgMar w:top="1440" w:right="1440" w:bottom="1440" w:left="1440" w:header="540" w:footer="720" w:gutter="0"/>
          <w:cols w:space="720"/>
          <w:docGrid w:linePitch="254"/>
        </w:sectPr>
      </w:pPr>
      <w:bookmarkStart w:id="24" w:name="_Hlk4579874"/>
      <w:bookmarkStart w:id="25" w:name="_Toc200273907"/>
    </w:p>
    <w:p w14:paraId="73FB1EA1" w14:textId="216122E6" w:rsidR="005E785F" w:rsidRDefault="003621E8">
      <w:pPr>
        <w:pStyle w:val="ListBullet"/>
        <w:numPr>
          <w:ilvl w:val="0"/>
          <w:numId w:val="10"/>
        </w:numPr>
        <w:tabs>
          <w:tab w:val="left" w:pos="1701"/>
        </w:tabs>
        <w:spacing w:before="80" w:after="80"/>
        <w:jc w:val="left"/>
        <w:rPr>
          <w:sz w:val="20"/>
        </w:rPr>
      </w:pPr>
      <w:r>
        <w:rPr>
          <w:sz w:val="20"/>
        </w:rPr>
        <w:t>ABPI</w:t>
      </w:r>
      <w:r>
        <w:rPr>
          <w:sz w:val="20"/>
        </w:rPr>
        <w:tab/>
        <w:t xml:space="preserve">Association of the British </w:t>
      </w:r>
      <w:r>
        <w:rPr>
          <w:sz w:val="20"/>
        </w:rPr>
        <w:tab/>
        <w:t>Pharmaceutical Industry</w:t>
      </w:r>
    </w:p>
    <w:p w14:paraId="2684A181" w14:textId="3BE2AC50" w:rsidR="005E785F" w:rsidRDefault="003621E8">
      <w:pPr>
        <w:pStyle w:val="ListBullet"/>
        <w:numPr>
          <w:ilvl w:val="0"/>
          <w:numId w:val="10"/>
        </w:numPr>
        <w:tabs>
          <w:tab w:val="left" w:pos="1701"/>
        </w:tabs>
        <w:spacing w:before="80" w:after="80"/>
        <w:jc w:val="left"/>
        <w:rPr>
          <w:sz w:val="20"/>
        </w:rPr>
      </w:pPr>
      <w:r>
        <w:rPr>
          <w:sz w:val="20"/>
        </w:rPr>
        <w:t>ADR</w:t>
      </w:r>
      <w:r>
        <w:rPr>
          <w:sz w:val="20"/>
        </w:rPr>
        <w:tab/>
        <w:t>adverse drug reaction</w:t>
      </w:r>
    </w:p>
    <w:p w14:paraId="73FB1EA2" w14:textId="77777777" w:rsidR="005E785F" w:rsidRDefault="003621E8">
      <w:pPr>
        <w:pStyle w:val="ListBullet"/>
        <w:numPr>
          <w:ilvl w:val="0"/>
          <w:numId w:val="10"/>
        </w:numPr>
        <w:tabs>
          <w:tab w:val="left" w:pos="1701"/>
        </w:tabs>
        <w:spacing w:before="80" w:after="80"/>
        <w:jc w:val="left"/>
        <w:rPr>
          <w:sz w:val="20"/>
        </w:rPr>
      </w:pPr>
      <w:r>
        <w:rPr>
          <w:sz w:val="20"/>
        </w:rPr>
        <w:t>AE(s)</w:t>
      </w:r>
      <w:r>
        <w:rPr>
          <w:sz w:val="20"/>
        </w:rPr>
        <w:tab/>
        <w:t>adverse event(s)</w:t>
      </w:r>
    </w:p>
    <w:p w14:paraId="73FB1EA4" w14:textId="477F4A9C" w:rsidR="005E785F" w:rsidRDefault="003621E8">
      <w:pPr>
        <w:pStyle w:val="ListBullet"/>
        <w:numPr>
          <w:ilvl w:val="0"/>
          <w:numId w:val="10"/>
        </w:numPr>
        <w:tabs>
          <w:tab w:val="left" w:pos="1701"/>
        </w:tabs>
        <w:spacing w:before="80" w:after="80"/>
        <w:jc w:val="left"/>
        <w:rPr>
          <w:sz w:val="20"/>
        </w:rPr>
      </w:pPr>
      <w:r>
        <w:rPr>
          <w:sz w:val="20"/>
        </w:rPr>
        <w:t>ALP</w:t>
      </w:r>
      <w:r>
        <w:rPr>
          <w:sz w:val="20"/>
        </w:rPr>
        <w:tab/>
        <w:t>alkaline phosphatase</w:t>
      </w:r>
    </w:p>
    <w:p w14:paraId="4F791A06" w14:textId="51073593" w:rsidR="005E785F" w:rsidRDefault="003621E8">
      <w:pPr>
        <w:pStyle w:val="ListBullet"/>
        <w:numPr>
          <w:ilvl w:val="0"/>
          <w:numId w:val="10"/>
        </w:numPr>
        <w:tabs>
          <w:tab w:val="left" w:pos="1701"/>
        </w:tabs>
        <w:spacing w:before="80" w:after="80"/>
        <w:jc w:val="left"/>
        <w:rPr>
          <w:sz w:val="20"/>
        </w:rPr>
      </w:pPr>
      <w:r>
        <w:rPr>
          <w:sz w:val="20"/>
        </w:rPr>
        <w:t>ALT</w:t>
      </w:r>
      <w:r>
        <w:rPr>
          <w:sz w:val="20"/>
        </w:rPr>
        <w:tab/>
        <w:t>alanine transaminase</w:t>
      </w:r>
    </w:p>
    <w:p w14:paraId="73FB1EA7" w14:textId="5833BD15" w:rsidR="005E785F" w:rsidRDefault="003621E8">
      <w:pPr>
        <w:pStyle w:val="ListBullet"/>
        <w:numPr>
          <w:ilvl w:val="0"/>
          <w:numId w:val="10"/>
        </w:numPr>
        <w:tabs>
          <w:tab w:val="left" w:pos="1701"/>
        </w:tabs>
        <w:spacing w:before="80" w:after="80"/>
        <w:jc w:val="left"/>
        <w:rPr>
          <w:sz w:val="20"/>
        </w:rPr>
      </w:pPr>
      <w:r>
        <w:rPr>
          <w:sz w:val="20"/>
        </w:rPr>
        <w:t>API</w:t>
      </w:r>
      <w:r>
        <w:rPr>
          <w:sz w:val="20"/>
        </w:rPr>
        <w:tab/>
        <w:t xml:space="preserve">active pharmaceutical </w:t>
      </w:r>
      <w:r>
        <w:rPr>
          <w:sz w:val="20"/>
        </w:rPr>
        <w:tab/>
        <w:t>ingredient</w:t>
      </w:r>
    </w:p>
    <w:p w14:paraId="53E9A266" w14:textId="22BCEB6D" w:rsidR="005E785F" w:rsidRDefault="003621E8">
      <w:pPr>
        <w:pStyle w:val="ListBullet"/>
        <w:numPr>
          <w:ilvl w:val="0"/>
          <w:numId w:val="10"/>
        </w:numPr>
        <w:tabs>
          <w:tab w:val="left" w:pos="1701"/>
        </w:tabs>
        <w:spacing w:before="80" w:after="80"/>
        <w:jc w:val="left"/>
        <w:rPr>
          <w:sz w:val="20"/>
        </w:rPr>
      </w:pPr>
      <w:r>
        <w:rPr>
          <w:sz w:val="20"/>
        </w:rPr>
        <w:t>aPTT</w:t>
      </w:r>
      <w:r>
        <w:rPr>
          <w:sz w:val="20"/>
        </w:rPr>
        <w:tab/>
        <w:t xml:space="preserve">activated partial </w:t>
      </w:r>
      <w:r>
        <w:rPr>
          <w:sz w:val="20"/>
        </w:rPr>
        <w:tab/>
        <w:t>thromboplastin time</w:t>
      </w:r>
    </w:p>
    <w:p w14:paraId="44A068BF" w14:textId="1C2F1E84" w:rsidR="005E785F" w:rsidRDefault="003621E8">
      <w:pPr>
        <w:pStyle w:val="ListBullet"/>
        <w:numPr>
          <w:ilvl w:val="0"/>
          <w:numId w:val="10"/>
        </w:numPr>
        <w:tabs>
          <w:tab w:val="left" w:pos="1701"/>
        </w:tabs>
        <w:spacing w:before="80" w:after="80"/>
        <w:jc w:val="left"/>
        <w:rPr>
          <w:sz w:val="20"/>
        </w:rPr>
      </w:pPr>
      <w:r>
        <w:rPr>
          <w:sz w:val="20"/>
        </w:rPr>
        <w:t>AR</w:t>
      </w:r>
      <w:r>
        <w:rPr>
          <w:sz w:val="20"/>
        </w:rPr>
        <w:tab/>
        <w:t>adverse reaction</w:t>
      </w:r>
    </w:p>
    <w:p w14:paraId="73FB1EA8" w14:textId="77777777" w:rsidR="005E785F" w:rsidRDefault="003621E8">
      <w:pPr>
        <w:pStyle w:val="ListBullet"/>
        <w:numPr>
          <w:ilvl w:val="0"/>
          <w:numId w:val="10"/>
        </w:numPr>
        <w:tabs>
          <w:tab w:val="left" w:pos="1701"/>
        </w:tabs>
        <w:spacing w:before="80" w:after="80"/>
        <w:jc w:val="left"/>
        <w:rPr>
          <w:sz w:val="20"/>
        </w:rPr>
      </w:pPr>
      <w:r>
        <w:rPr>
          <w:sz w:val="20"/>
        </w:rPr>
        <w:t>AST</w:t>
      </w:r>
      <w:r>
        <w:rPr>
          <w:sz w:val="20"/>
        </w:rPr>
        <w:tab/>
        <w:t>aspartate transaminase</w:t>
      </w:r>
    </w:p>
    <w:p w14:paraId="73FB1EA9" w14:textId="77777777" w:rsidR="005E785F" w:rsidRDefault="003621E8">
      <w:pPr>
        <w:pStyle w:val="ListBullet"/>
        <w:numPr>
          <w:ilvl w:val="0"/>
          <w:numId w:val="10"/>
        </w:numPr>
        <w:tabs>
          <w:tab w:val="left" w:pos="1701"/>
        </w:tabs>
        <w:spacing w:before="80" w:after="80"/>
        <w:jc w:val="left"/>
        <w:rPr>
          <w:sz w:val="20"/>
        </w:rPr>
      </w:pPr>
      <w:r>
        <w:rPr>
          <w:sz w:val="20"/>
        </w:rPr>
        <w:t>AUC</w:t>
      </w:r>
      <w:r>
        <w:rPr>
          <w:sz w:val="20"/>
        </w:rPr>
        <w:tab/>
        <w:t xml:space="preserve">area under the concentration </w:t>
      </w:r>
      <w:r>
        <w:rPr>
          <w:sz w:val="20"/>
        </w:rPr>
        <w:tab/>
        <w:t xml:space="preserve">versus time curve </w:t>
      </w:r>
    </w:p>
    <w:p w14:paraId="73FB1EAB" w14:textId="77777777" w:rsidR="005E785F" w:rsidRDefault="003621E8">
      <w:pPr>
        <w:pStyle w:val="ListBullet"/>
        <w:numPr>
          <w:ilvl w:val="0"/>
          <w:numId w:val="10"/>
        </w:numPr>
        <w:tabs>
          <w:tab w:val="left" w:pos="1701"/>
        </w:tabs>
        <w:spacing w:before="80" w:after="80"/>
        <w:jc w:val="left"/>
        <w:rPr>
          <w:sz w:val="20"/>
        </w:rPr>
      </w:pPr>
      <w:r>
        <w:rPr>
          <w:sz w:val="20"/>
        </w:rPr>
        <w:t>AUC</w:t>
      </w:r>
      <w:r>
        <w:rPr>
          <w:sz w:val="20"/>
          <w:vertAlign w:val="subscript"/>
        </w:rPr>
        <w:t>0-inf</w:t>
      </w:r>
      <w:r>
        <w:rPr>
          <w:sz w:val="20"/>
        </w:rPr>
        <w:tab/>
        <w:t xml:space="preserve">AUC extrapolated to infinity </w:t>
      </w:r>
      <w:r>
        <w:rPr>
          <w:sz w:val="20"/>
        </w:rPr>
        <w:tab/>
        <w:t xml:space="preserve">from dosing time, based on </w:t>
      </w:r>
      <w:r>
        <w:rPr>
          <w:sz w:val="20"/>
        </w:rPr>
        <w:tab/>
        <w:t>the last measurable</w:t>
      </w:r>
      <w:r>
        <w:rPr>
          <w:sz w:val="20"/>
        </w:rPr>
        <w:tab/>
        <w:t>concentration</w:t>
      </w:r>
    </w:p>
    <w:p w14:paraId="41700F56" w14:textId="77777777" w:rsidR="005E785F" w:rsidRDefault="003621E8">
      <w:pPr>
        <w:pStyle w:val="ListBullet"/>
        <w:numPr>
          <w:ilvl w:val="0"/>
          <w:numId w:val="10"/>
        </w:numPr>
        <w:tabs>
          <w:tab w:val="left" w:pos="1701"/>
        </w:tabs>
        <w:spacing w:before="80" w:after="80"/>
        <w:jc w:val="left"/>
        <w:rPr>
          <w:sz w:val="20"/>
        </w:rPr>
      </w:pPr>
      <w:r>
        <w:rPr>
          <w:sz w:val="20"/>
        </w:rPr>
        <w:t>AUC</w:t>
      </w:r>
      <w:r>
        <w:rPr>
          <w:vertAlign w:val="subscript"/>
        </w:rPr>
        <w:t>last</w:t>
      </w:r>
      <w:r>
        <w:tab/>
      </w:r>
      <w:r>
        <w:rPr>
          <w:sz w:val="20"/>
        </w:rPr>
        <w:t xml:space="preserve">AUC from the time of dosing </w:t>
      </w:r>
      <w:r>
        <w:tab/>
      </w:r>
      <w:r>
        <w:rPr>
          <w:sz w:val="20"/>
        </w:rPr>
        <w:t xml:space="preserve">to the time of the last </w:t>
      </w:r>
      <w:r>
        <w:tab/>
      </w:r>
      <w:r>
        <w:rPr>
          <w:sz w:val="20"/>
        </w:rPr>
        <w:t>measurable concentration</w:t>
      </w:r>
    </w:p>
    <w:p w14:paraId="030936AE" w14:textId="77777777" w:rsidR="005E785F" w:rsidRDefault="003621E8">
      <w:pPr>
        <w:pStyle w:val="ListBullet"/>
        <w:numPr>
          <w:ilvl w:val="0"/>
          <w:numId w:val="10"/>
        </w:numPr>
        <w:tabs>
          <w:tab w:val="left" w:pos="1701"/>
        </w:tabs>
        <w:jc w:val="left"/>
        <w:rPr>
          <w:sz w:val="20"/>
        </w:rPr>
      </w:pPr>
      <w:r>
        <w:rPr>
          <w:sz w:val="20"/>
        </w:rPr>
        <w:t>AU</w:t>
      </w:r>
      <w:r>
        <w:rPr>
          <w:vertAlign w:val="subscript"/>
        </w:rPr>
        <w:t>Call</w:t>
      </w:r>
      <w:r>
        <w:rPr>
          <w:sz w:val="20"/>
        </w:rPr>
        <w:t xml:space="preserve"> </w:t>
      </w:r>
      <w:r>
        <w:tab/>
      </w:r>
      <w:r>
        <w:rPr>
          <w:sz w:val="20"/>
        </w:rPr>
        <w:t xml:space="preserve">AUC from 0 to the time of the </w:t>
      </w:r>
    </w:p>
    <w:p w14:paraId="13835BEC" w14:textId="77777777" w:rsidR="005E785F" w:rsidRDefault="003621E8">
      <w:pPr>
        <w:pStyle w:val="ListBullet"/>
        <w:tabs>
          <w:tab w:val="left" w:pos="1701"/>
        </w:tabs>
        <w:jc w:val="left"/>
        <w:rPr>
          <w:sz w:val="20"/>
        </w:rPr>
      </w:pPr>
      <w:r>
        <w:tab/>
      </w:r>
      <w:r>
        <w:tab/>
      </w:r>
      <w:r>
        <w:rPr>
          <w:sz w:val="20"/>
        </w:rPr>
        <w:t xml:space="preserve">last observation, regardless of </w:t>
      </w:r>
    </w:p>
    <w:p w14:paraId="316A34BE" w14:textId="77777777" w:rsidR="005E785F" w:rsidRDefault="003621E8">
      <w:pPr>
        <w:pStyle w:val="ListBullet"/>
        <w:tabs>
          <w:tab w:val="left" w:pos="1701"/>
        </w:tabs>
        <w:jc w:val="left"/>
        <w:rPr>
          <w:sz w:val="20"/>
        </w:rPr>
      </w:pPr>
      <w:r>
        <w:tab/>
      </w:r>
      <w:r>
        <w:tab/>
      </w:r>
      <w:r>
        <w:rPr>
          <w:sz w:val="20"/>
        </w:rPr>
        <w:t xml:space="preserve">whether the last concentration </w:t>
      </w:r>
    </w:p>
    <w:p w14:paraId="52763CDB" w14:textId="77777777" w:rsidR="005E785F" w:rsidRDefault="003621E8">
      <w:pPr>
        <w:pStyle w:val="ListBullet"/>
        <w:tabs>
          <w:tab w:val="left" w:pos="1701"/>
        </w:tabs>
        <w:jc w:val="left"/>
        <w:rPr>
          <w:sz w:val="20"/>
        </w:rPr>
      </w:pPr>
      <w:r>
        <w:tab/>
      </w:r>
      <w:r>
        <w:tab/>
      </w:r>
      <w:r>
        <w:rPr>
          <w:sz w:val="20"/>
        </w:rPr>
        <w:t>is measurable or not</w:t>
      </w:r>
    </w:p>
    <w:p w14:paraId="45BB9D05" w14:textId="70F180D5" w:rsidR="005E785F" w:rsidRDefault="003621E8">
      <w:pPr>
        <w:pStyle w:val="ListBullet"/>
        <w:numPr>
          <w:ilvl w:val="0"/>
          <w:numId w:val="10"/>
        </w:numPr>
        <w:tabs>
          <w:tab w:val="left" w:pos="1701"/>
        </w:tabs>
        <w:spacing w:before="80" w:after="80"/>
        <w:jc w:val="left"/>
        <w:rPr>
          <w:sz w:val="20"/>
        </w:rPr>
      </w:pPr>
      <w:r>
        <w:rPr>
          <w:sz w:val="20"/>
        </w:rPr>
        <w:t>BIA</w:t>
      </w:r>
      <w:r>
        <w:rPr>
          <w:sz w:val="20"/>
        </w:rPr>
        <w:tab/>
        <w:t>BioIndustry Association</w:t>
      </w:r>
    </w:p>
    <w:p w14:paraId="7BE86DD3" w14:textId="794F61A0" w:rsidR="005E785F" w:rsidRDefault="003621E8">
      <w:pPr>
        <w:pStyle w:val="ListBullet"/>
        <w:numPr>
          <w:ilvl w:val="0"/>
          <w:numId w:val="10"/>
        </w:numPr>
        <w:tabs>
          <w:tab w:val="left" w:pos="1701"/>
        </w:tabs>
        <w:spacing w:before="80" w:after="80"/>
        <w:jc w:val="left"/>
        <w:rPr>
          <w:sz w:val="20"/>
        </w:rPr>
      </w:pPr>
      <w:r>
        <w:rPr>
          <w:sz w:val="20"/>
        </w:rPr>
        <w:t>BLQ</w:t>
      </w:r>
      <w:r>
        <w:rPr>
          <w:sz w:val="20"/>
        </w:rPr>
        <w:tab/>
        <w:t xml:space="preserve">below the limit of </w:t>
      </w:r>
      <w:r>
        <w:tab/>
      </w:r>
      <w:r>
        <w:rPr>
          <w:sz w:val="20"/>
        </w:rPr>
        <w:t>quantification</w:t>
      </w:r>
    </w:p>
    <w:p w14:paraId="73FB1EB1" w14:textId="77777777" w:rsidR="005E785F" w:rsidRDefault="003621E8">
      <w:pPr>
        <w:pStyle w:val="ListBullet"/>
        <w:numPr>
          <w:ilvl w:val="0"/>
          <w:numId w:val="10"/>
        </w:numPr>
        <w:tabs>
          <w:tab w:val="left" w:pos="1701"/>
        </w:tabs>
        <w:spacing w:before="80" w:after="80"/>
        <w:jc w:val="left"/>
        <w:rPr>
          <w:sz w:val="20"/>
        </w:rPr>
      </w:pPr>
      <w:r>
        <w:rPr>
          <w:sz w:val="20"/>
        </w:rPr>
        <w:t>BMI</w:t>
      </w:r>
      <w:r>
        <w:rPr>
          <w:sz w:val="20"/>
        </w:rPr>
        <w:tab/>
        <w:t xml:space="preserve">body mass index </w:t>
      </w:r>
    </w:p>
    <w:p w14:paraId="73FB1EB2" w14:textId="0BC8193E" w:rsidR="005E785F" w:rsidRDefault="003621E8">
      <w:pPr>
        <w:pStyle w:val="ListBullet"/>
        <w:numPr>
          <w:ilvl w:val="0"/>
          <w:numId w:val="10"/>
        </w:numPr>
        <w:tabs>
          <w:tab w:val="left" w:pos="1701"/>
        </w:tabs>
        <w:spacing w:before="80" w:after="80"/>
        <w:jc w:val="left"/>
        <w:rPr>
          <w:sz w:val="20"/>
        </w:rPr>
      </w:pPr>
      <w:r>
        <w:rPr>
          <w:sz w:val="20"/>
        </w:rPr>
        <w:t>bpm</w:t>
      </w:r>
      <w:r>
        <w:rPr>
          <w:sz w:val="20"/>
        </w:rPr>
        <w:tab/>
        <w:t>beat(s) per minute</w:t>
      </w:r>
    </w:p>
    <w:p w14:paraId="73FB1EB4" w14:textId="77777777" w:rsidR="005E785F" w:rsidRDefault="003621E8">
      <w:pPr>
        <w:pStyle w:val="ListBullet"/>
        <w:numPr>
          <w:ilvl w:val="0"/>
          <w:numId w:val="10"/>
        </w:numPr>
        <w:tabs>
          <w:tab w:val="left" w:pos="1701"/>
        </w:tabs>
        <w:spacing w:before="80" w:after="80"/>
        <w:jc w:val="left"/>
        <w:rPr>
          <w:sz w:val="20"/>
        </w:rPr>
      </w:pPr>
      <w:r>
        <w:rPr>
          <w:sz w:val="20"/>
        </w:rPr>
        <w:t>C</w:t>
      </w:r>
      <w:r>
        <w:rPr>
          <w:sz w:val="20"/>
          <w:vertAlign w:val="subscript"/>
        </w:rPr>
        <w:t>max</w:t>
      </w:r>
      <w:r>
        <w:rPr>
          <w:sz w:val="20"/>
        </w:rPr>
        <w:tab/>
        <w:t xml:space="preserve">maximum plasma </w:t>
      </w:r>
      <w:r>
        <w:rPr>
          <w:sz w:val="20"/>
        </w:rPr>
        <w:tab/>
        <w:t>concentration</w:t>
      </w:r>
    </w:p>
    <w:p w14:paraId="20CD663D" w14:textId="148AE2F2" w:rsidR="005E785F" w:rsidRDefault="003621E8">
      <w:pPr>
        <w:pStyle w:val="ListBullet"/>
        <w:numPr>
          <w:ilvl w:val="0"/>
          <w:numId w:val="10"/>
        </w:numPr>
        <w:tabs>
          <w:tab w:val="left" w:pos="1701"/>
        </w:tabs>
        <w:spacing w:before="80" w:after="80"/>
        <w:jc w:val="left"/>
        <w:rPr>
          <w:sz w:val="20"/>
        </w:rPr>
      </w:pPr>
      <w:r>
        <w:rPr>
          <w:sz w:val="20"/>
        </w:rPr>
        <w:t>CCRA</w:t>
      </w:r>
      <w:r>
        <w:rPr>
          <w:sz w:val="20"/>
        </w:rPr>
        <w:tab/>
        <w:t xml:space="preserve">Clinical Contract Research </w:t>
      </w:r>
      <w:r>
        <w:rPr>
          <w:sz w:val="20"/>
        </w:rPr>
        <w:tab/>
        <w:t xml:space="preserve">Association </w:t>
      </w:r>
    </w:p>
    <w:p w14:paraId="2F310F5E" w14:textId="7C65CA2F" w:rsidR="005E785F" w:rsidRDefault="003621E8">
      <w:pPr>
        <w:pStyle w:val="ListBullet"/>
        <w:numPr>
          <w:ilvl w:val="0"/>
          <w:numId w:val="10"/>
        </w:numPr>
        <w:tabs>
          <w:tab w:val="left" w:pos="1701"/>
        </w:tabs>
        <w:spacing w:before="80" w:after="80"/>
        <w:jc w:val="left"/>
        <w:rPr>
          <w:sz w:val="20"/>
        </w:rPr>
      </w:pPr>
      <w:r>
        <w:rPr>
          <w:sz w:val="20"/>
        </w:rPr>
        <w:t>CG</w:t>
      </w:r>
      <w:r>
        <w:rPr>
          <w:sz w:val="20"/>
        </w:rPr>
        <w:tab/>
        <w:t>Cytosine-Guanine</w:t>
      </w:r>
    </w:p>
    <w:p w14:paraId="73FB1EBA" w14:textId="77777777" w:rsidR="005E785F" w:rsidRDefault="003621E8">
      <w:pPr>
        <w:pStyle w:val="ListBullet"/>
        <w:numPr>
          <w:ilvl w:val="0"/>
          <w:numId w:val="10"/>
        </w:numPr>
        <w:tabs>
          <w:tab w:val="left" w:pos="1701"/>
        </w:tabs>
        <w:spacing w:before="80" w:after="80"/>
        <w:jc w:val="left"/>
        <w:rPr>
          <w:sz w:val="20"/>
        </w:rPr>
      </w:pPr>
      <w:r>
        <w:rPr>
          <w:sz w:val="20"/>
        </w:rPr>
        <w:t>CK</w:t>
      </w:r>
      <w:r>
        <w:rPr>
          <w:sz w:val="20"/>
        </w:rPr>
        <w:tab/>
        <w:t>creatine kinase</w:t>
      </w:r>
    </w:p>
    <w:p w14:paraId="7313C5F5" w14:textId="77777777" w:rsidR="00910DDA" w:rsidRDefault="003621E8" w:rsidP="00910DDA">
      <w:pPr>
        <w:pStyle w:val="ListBullet"/>
        <w:numPr>
          <w:ilvl w:val="0"/>
          <w:numId w:val="10"/>
        </w:numPr>
        <w:tabs>
          <w:tab w:val="left" w:pos="1701"/>
        </w:tabs>
        <w:spacing w:before="80" w:after="80"/>
        <w:jc w:val="left"/>
        <w:rPr>
          <w:sz w:val="20"/>
        </w:rPr>
      </w:pPr>
      <w:r>
        <w:rPr>
          <w:sz w:val="20"/>
        </w:rPr>
        <w:t>CL</w:t>
      </w:r>
      <w:r>
        <w:rPr>
          <w:sz w:val="20"/>
        </w:rPr>
        <w:tab/>
        <w:t>cutaneous leishmaniasis</w:t>
      </w:r>
    </w:p>
    <w:p w14:paraId="02AE482C" w14:textId="1E5662AA" w:rsidR="005E785F" w:rsidRPr="00A529B5" w:rsidRDefault="00910DDA" w:rsidP="00910DDA">
      <w:pPr>
        <w:pStyle w:val="ListBullet"/>
        <w:numPr>
          <w:ilvl w:val="0"/>
          <w:numId w:val="10"/>
        </w:numPr>
        <w:tabs>
          <w:tab w:val="left" w:pos="1701"/>
        </w:tabs>
        <w:spacing w:before="80" w:after="80"/>
        <w:jc w:val="left"/>
        <w:rPr>
          <w:sz w:val="20"/>
        </w:rPr>
      </w:pPr>
      <w:r w:rsidRPr="00A529B5">
        <w:rPr>
          <w:sz w:val="20"/>
        </w:rPr>
        <w:t>COVID-19</w:t>
      </w:r>
      <w:r w:rsidRPr="00A529B5">
        <w:rPr>
          <w:sz w:val="20"/>
        </w:rPr>
        <w:tab/>
        <w:t>coronavirus disease 2019</w:t>
      </w:r>
      <w:r w:rsidR="003621E8" w:rsidRPr="00A529B5">
        <w:rPr>
          <w:sz w:val="20"/>
        </w:rPr>
        <w:t xml:space="preserve"> </w:t>
      </w:r>
    </w:p>
    <w:p w14:paraId="27AD85A4" w14:textId="7FF421BA" w:rsidR="005E785F" w:rsidRDefault="003621E8">
      <w:pPr>
        <w:pStyle w:val="ListBullet"/>
        <w:numPr>
          <w:ilvl w:val="0"/>
          <w:numId w:val="10"/>
        </w:numPr>
        <w:tabs>
          <w:tab w:val="left" w:pos="1701"/>
        </w:tabs>
        <w:spacing w:before="80" w:after="80"/>
        <w:jc w:val="left"/>
        <w:rPr>
          <w:sz w:val="20"/>
        </w:rPr>
      </w:pPr>
      <w:r>
        <w:rPr>
          <w:sz w:val="20"/>
          <w:lang w:eastAsia="en-GB"/>
        </w:rPr>
        <w:t>CNS</w:t>
      </w:r>
      <w:r>
        <w:rPr>
          <w:sz w:val="20"/>
          <w:lang w:eastAsia="en-GB"/>
        </w:rPr>
        <w:tab/>
        <w:t>central nervous system</w:t>
      </w:r>
    </w:p>
    <w:p w14:paraId="53BEC924" w14:textId="1BC5AE68" w:rsidR="005E785F" w:rsidRDefault="003621E8">
      <w:pPr>
        <w:pStyle w:val="ListBullet"/>
        <w:numPr>
          <w:ilvl w:val="0"/>
          <w:numId w:val="10"/>
        </w:numPr>
        <w:tabs>
          <w:tab w:val="left" w:pos="1701"/>
        </w:tabs>
        <w:spacing w:before="80" w:after="80"/>
        <w:jc w:val="left"/>
        <w:rPr>
          <w:sz w:val="20"/>
        </w:rPr>
      </w:pPr>
      <w:r>
        <w:rPr>
          <w:sz w:val="20"/>
          <w:lang w:eastAsia="en-GB"/>
        </w:rPr>
        <w:t>CPK</w:t>
      </w:r>
      <w:r>
        <w:rPr>
          <w:sz w:val="20"/>
          <w:lang w:eastAsia="en-GB"/>
        </w:rPr>
        <w:tab/>
        <w:t>creatine phosphokinase</w:t>
      </w:r>
    </w:p>
    <w:p w14:paraId="73FB1EBF" w14:textId="713058C2" w:rsidR="005E785F" w:rsidRDefault="003621E8">
      <w:pPr>
        <w:pStyle w:val="ListBullet"/>
        <w:numPr>
          <w:ilvl w:val="0"/>
          <w:numId w:val="10"/>
        </w:numPr>
        <w:tabs>
          <w:tab w:val="left" w:pos="1701"/>
        </w:tabs>
        <w:spacing w:before="80" w:after="80"/>
        <w:jc w:val="left"/>
        <w:rPr>
          <w:sz w:val="20"/>
        </w:rPr>
      </w:pPr>
      <w:r>
        <w:rPr>
          <w:sz w:val="20"/>
        </w:rPr>
        <w:t>CRP</w:t>
      </w:r>
      <w:r>
        <w:rPr>
          <w:sz w:val="20"/>
        </w:rPr>
        <w:tab/>
        <w:t>c-reactive protein</w:t>
      </w:r>
    </w:p>
    <w:p w14:paraId="766AF12A" w14:textId="7B39D91A" w:rsidR="005E785F" w:rsidRDefault="003621E8">
      <w:pPr>
        <w:pStyle w:val="ListBullet"/>
        <w:numPr>
          <w:ilvl w:val="0"/>
          <w:numId w:val="10"/>
        </w:numPr>
        <w:tabs>
          <w:tab w:val="left" w:pos="1701"/>
        </w:tabs>
        <w:spacing w:before="80" w:after="80"/>
        <w:jc w:val="left"/>
        <w:rPr>
          <w:sz w:val="20"/>
        </w:rPr>
      </w:pPr>
      <w:r>
        <w:rPr>
          <w:sz w:val="20"/>
        </w:rPr>
        <w:t>CRS</w:t>
      </w:r>
      <w:r>
        <w:rPr>
          <w:sz w:val="20"/>
        </w:rPr>
        <w:tab/>
        <w:t>cytokine release syndrome</w:t>
      </w:r>
    </w:p>
    <w:p w14:paraId="73FB1EC1" w14:textId="25D1AA82" w:rsidR="005E785F" w:rsidRDefault="003621E8">
      <w:pPr>
        <w:pStyle w:val="ListBullet"/>
        <w:numPr>
          <w:ilvl w:val="0"/>
          <w:numId w:val="10"/>
        </w:numPr>
        <w:tabs>
          <w:tab w:val="left" w:pos="1701"/>
        </w:tabs>
        <w:spacing w:before="80" w:after="80"/>
        <w:jc w:val="left"/>
        <w:rPr>
          <w:sz w:val="20"/>
        </w:rPr>
      </w:pPr>
      <w:r>
        <w:rPr>
          <w:sz w:val="20"/>
        </w:rPr>
        <w:t>CV%</w:t>
      </w:r>
      <w:r>
        <w:rPr>
          <w:sz w:val="20"/>
        </w:rPr>
        <w:tab/>
        <w:t>coefficient of variation</w:t>
      </w:r>
    </w:p>
    <w:p w14:paraId="573719E9" w14:textId="754AAD9B" w:rsidR="005E785F" w:rsidRDefault="003621E8">
      <w:pPr>
        <w:pStyle w:val="ListBullet"/>
        <w:numPr>
          <w:ilvl w:val="0"/>
          <w:numId w:val="10"/>
        </w:numPr>
        <w:tabs>
          <w:tab w:val="left" w:pos="1701"/>
        </w:tabs>
        <w:spacing w:before="80" w:after="80"/>
        <w:jc w:val="left"/>
        <w:rPr>
          <w:sz w:val="20"/>
        </w:rPr>
      </w:pPr>
      <w:r>
        <w:rPr>
          <w:sz w:val="20"/>
        </w:rPr>
        <w:t>DERM</w:t>
      </w:r>
      <w:r>
        <w:rPr>
          <w:sz w:val="20"/>
        </w:rPr>
        <w:tab/>
        <w:t>dose escalation review</w:t>
      </w:r>
    </w:p>
    <w:p w14:paraId="77870142" w14:textId="6A18C8FF" w:rsidR="005E785F" w:rsidRDefault="003621E8">
      <w:pPr>
        <w:pStyle w:val="ListBullet"/>
        <w:tabs>
          <w:tab w:val="left" w:pos="1701"/>
        </w:tabs>
        <w:spacing w:before="80" w:after="80"/>
        <w:jc w:val="left"/>
        <w:rPr>
          <w:sz w:val="20"/>
        </w:rPr>
      </w:pPr>
      <w:r>
        <w:rPr>
          <w:sz w:val="20"/>
        </w:rPr>
        <w:tab/>
      </w:r>
      <w:r>
        <w:rPr>
          <w:sz w:val="20"/>
        </w:rPr>
        <w:tab/>
        <w:t>meeting</w:t>
      </w:r>
    </w:p>
    <w:p w14:paraId="0E598BBE" w14:textId="77777777" w:rsidR="00815A08" w:rsidRDefault="003621E8">
      <w:pPr>
        <w:pStyle w:val="ListBullet"/>
        <w:numPr>
          <w:ilvl w:val="0"/>
          <w:numId w:val="10"/>
        </w:numPr>
        <w:tabs>
          <w:tab w:val="left" w:pos="1701"/>
        </w:tabs>
        <w:spacing w:before="80" w:after="80"/>
        <w:jc w:val="left"/>
        <w:rPr>
          <w:sz w:val="20"/>
        </w:rPr>
      </w:pPr>
      <w:r>
        <w:rPr>
          <w:sz w:val="20"/>
        </w:rPr>
        <w:t xml:space="preserve">DMP </w:t>
      </w:r>
      <w:r>
        <w:rPr>
          <w:sz w:val="20"/>
        </w:rPr>
        <w:tab/>
        <w:t>Data Management Plan</w:t>
      </w:r>
    </w:p>
    <w:p w14:paraId="34DB3AB5" w14:textId="442773F0" w:rsidR="000E7A94" w:rsidRDefault="00815A08" w:rsidP="00A529B5">
      <w:pPr>
        <w:pStyle w:val="ListBullet"/>
        <w:numPr>
          <w:ilvl w:val="0"/>
          <w:numId w:val="10"/>
        </w:numPr>
        <w:tabs>
          <w:tab w:val="left" w:pos="1701"/>
        </w:tabs>
        <w:spacing w:before="80"/>
        <w:jc w:val="left"/>
        <w:rPr>
          <w:sz w:val="20"/>
        </w:rPr>
      </w:pPr>
      <w:r>
        <w:rPr>
          <w:sz w:val="20"/>
        </w:rPr>
        <w:t>DNDi</w:t>
      </w:r>
      <w:r>
        <w:rPr>
          <w:sz w:val="20"/>
        </w:rPr>
        <w:tab/>
      </w:r>
      <w:r w:rsidRPr="00A529B5">
        <w:rPr>
          <w:sz w:val="20"/>
        </w:rPr>
        <w:t xml:space="preserve">Drugs for Neglected Diseases </w:t>
      </w:r>
    </w:p>
    <w:p w14:paraId="22D36797" w14:textId="3E0BDCA8" w:rsidR="005E785F" w:rsidRPr="000E7A94" w:rsidRDefault="00C87044" w:rsidP="00A529B5">
      <w:pPr>
        <w:pStyle w:val="ListBullet"/>
        <w:tabs>
          <w:tab w:val="left" w:pos="1701"/>
        </w:tabs>
        <w:spacing w:after="80"/>
        <w:jc w:val="left"/>
        <w:rPr>
          <w:sz w:val="20"/>
        </w:rPr>
      </w:pPr>
      <w:r>
        <w:rPr>
          <w:sz w:val="20"/>
        </w:rPr>
        <w:tab/>
      </w:r>
      <w:r w:rsidR="000E7A94">
        <w:rPr>
          <w:sz w:val="20"/>
        </w:rPr>
        <w:tab/>
      </w:r>
      <w:r w:rsidR="00815A08" w:rsidRPr="00A529B5">
        <w:rPr>
          <w:sz w:val="20"/>
        </w:rPr>
        <w:t>initiative</w:t>
      </w:r>
    </w:p>
    <w:p w14:paraId="6B3E5310" w14:textId="5CE9C46A" w:rsidR="005E785F" w:rsidRDefault="003621E8">
      <w:pPr>
        <w:pStyle w:val="ListBullet"/>
        <w:numPr>
          <w:ilvl w:val="0"/>
          <w:numId w:val="10"/>
        </w:numPr>
        <w:tabs>
          <w:tab w:val="left" w:pos="1701"/>
        </w:tabs>
        <w:spacing w:before="80" w:after="80"/>
        <w:jc w:val="left"/>
        <w:rPr>
          <w:sz w:val="20"/>
        </w:rPr>
      </w:pPr>
      <w:r>
        <w:rPr>
          <w:sz w:val="20"/>
        </w:rPr>
        <w:t>DOA</w:t>
      </w:r>
      <w:r>
        <w:rPr>
          <w:sz w:val="20"/>
        </w:rPr>
        <w:tab/>
        <w:t>drugs of abuse</w:t>
      </w:r>
    </w:p>
    <w:p w14:paraId="0F210841" w14:textId="709BF219" w:rsidR="005E785F" w:rsidRDefault="003621E8">
      <w:pPr>
        <w:pStyle w:val="ListBullet"/>
        <w:numPr>
          <w:ilvl w:val="0"/>
          <w:numId w:val="10"/>
        </w:numPr>
        <w:tabs>
          <w:tab w:val="left" w:pos="1701"/>
        </w:tabs>
        <w:spacing w:before="80" w:after="80"/>
        <w:jc w:val="left"/>
        <w:rPr>
          <w:sz w:val="20"/>
        </w:rPr>
      </w:pPr>
      <w:r>
        <w:rPr>
          <w:sz w:val="20"/>
        </w:rPr>
        <w:t>DoH</w:t>
      </w:r>
      <w:r>
        <w:rPr>
          <w:sz w:val="20"/>
        </w:rPr>
        <w:tab/>
        <w:t>Department of Health</w:t>
      </w:r>
    </w:p>
    <w:p w14:paraId="73FB1EC2" w14:textId="77777777" w:rsidR="005E785F" w:rsidRDefault="003621E8">
      <w:pPr>
        <w:pStyle w:val="ListBullet"/>
        <w:numPr>
          <w:ilvl w:val="0"/>
          <w:numId w:val="10"/>
        </w:numPr>
        <w:tabs>
          <w:tab w:val="left" w:pos="1701"/>
        </w:tabs>
        <w:spacing w:before="80" w:after="80"/>
        <w:jc w:val="left"/>
        <w:rPr>
          <w:sz w:val="20"/>
        </w:rPr>
      </w:pPr>
      <w:r>
        <w:rPr>
          <w:sz w:val="20"/>
        </w:rPr>
        <w:t>EC</w:t>
      </w:r>
      <w:r>
        <w:rPr>
          <w:sz w:val="20"/>
        </w:rPr>
        <w:tab/>
        <w:t>European Commission</w:t>
      </w:r>
    </w:p>
    <w:p w14:paraId="73FB1EC3" w14:textId="77777777" w:rsidR="005E785F" w:rsidRDefault="003621E8">
      <w:pPr>
        <w:pStyle w:val="ListBullet"/>
        <w:numPr>
          <w:ilvl w:val="0"/>
          <w:numId w:val="10"/>
        </w:numPr>
        <w:tabs>
          <w:tab w:val="left" w:pos="1701"/>
        </w:tabs>
        <w:spacing w:before="80" w:after="80"/>
        <w:jc w:val="left"/>
        <w:rPr>
          <w:sz w:val="20"/>
        </w:rPr>
      </w:pPr>
      <w:r>
        <w:rPr>
          <w:sz w:val="20"/>
        </w:rPr>
        <w:t>eCRF</w:t>
      </w:r>
      <w:r>
        <w:rPr>
          <w:sz w:val="20"/>
        </w:rPr>
        <w:tab/>
        <w:t>electronic case report form</w:t>
      </w:r>
    </w:p>
    <w:p w14:paraId="73FB1EC4" w14:textId="77777777" w:rsidR="005E785F" w:rsidRDefault="003621E8">
      <w:pPr>
        <w:pStyle w:val="ListBullet"/>
        <w:numPr>
          <w:ilvl w:val="0"/>
          <w:numId w:val="10"/>
        </w:numPr>
        <w:tabs>
          <w:tab w:val="left" w:pos="1701"/>
        </w:tabs>
        <w:spacing w:before="80" w:after="80"/>
        <w:jc w:val="left"/>
        <w:rPr>
          <w:sz w:val="20"/>
        </w:rPr>
      </w:pPr>
      <w:r>
        <w:rPr>
          <w:sz w:val="20"/>
        </w:rPr>
        <w:t>ECG</w:t>
      </w:r>
      <w:r>
        <w:rPr>
          <w:sz w:val="20"/>
        </w:rPr>
        <w:tab/>
        <w:t xml:space="preserve">electrocardiogram </w:t>
      </w:r>
    </w:p>
    <w:p w14:paraId="5B8FFEA2" w14:textId="77777777" w:rsidR="005E785F" w:rsidRDefault="003621E8">
      <w:pPr>
        <w:pStyle w:val="ListBullet"/>
        <w:numPr>
          <w:ilvl w:val="0"/>
          <w:numId w:val="10"/>
        </w:numPr>
        <w:tabs>
          <w:tab w:val="left" w:pos="1701"/>
        </w:tabs>
        <w:spacing w:before="80" w:after="80"/>
        <w:jc w:val="left"/>
        <w:rPr>
          <w:sz w:val="20"/>
        </w:rPr>
      </w:pPr>
      <w:r>
        <w:rPr>
          <w:sz w:val="20"/>
        </w:rPr>
        <w:t>EDTA</w:t>
      </w:r>
      <w:r>
        <w:rPr>
          <w:sz w:val="20"/>
        </w:rPr>
        <w:tab/>
        <w:t xml:space="preserve">ethylenediaminetetraacetic </w:t>
      </w:r>
      <w:r>
        <w:rPr>
          <w:sz w:val="20"/>
        </w:rPr>
        <w:tab/>
        <w:t xml:space="preserve">acid </w:t>
      </w:r>
    </w:p>
    <w:p w14:paraId="73FB1EC5" w14:textId="7C13131B" w:rsidR="005E785F" w:rsidRDefault="003621E8">
      <w:pPr>
        <w:pStyle w:val="ListBullet"/>
        <w:numPr>
          <w:ilvl w:val="0"/>
          <w:numId w:val="10"/>
        </w:numPr>
        <w:tabs>
          <w:tab w:val="left" w:pos="1701"/>
        </w:tabs>
        <w:spacing w:before="80" w:after="80"/>
        <w:jc w:val="left"/>
        <w:rPr>
          <w:sz w:val="20"/>
        </w:rPr>
      </w:pPr>
      <w:r>
        <w:rPr>
          <w:sz w:val="20"/>
        </w:rPr>
        <w:t>EU</w:t>
      </w:r>
      <w:r>
        <w:rPr>
          <w:sz w:val="20"/>
        </w:rPr>
        <w:tab/>
        <w:t xml:space="preserve">European Union </w:t>
      </w:r>
    </w:p>
    <w:p w14:paraId="66811391" w14:textId="48455658" w:rsidR="005E785F" w:rsidRDefault="003621E8">
      <w:pPr>
        <w:pStyle w:val="ListBullet"/>
        <w:numPr>
          <w:ilvl w:val="0"/>
          <w:numId w:val="10"/>
        </w:numPr>
        <w:tabs>
          <w:tab w:val="left" w:pos="1701"/>
        </w:tabs>
        <w:spacing w:before="80" w:after="80"/>
        <w:jc w:val="left"/>
        <w:rPr>
          <w:sz w:val="20"/>
        </w:rPr>
      </w:pPr>
      <w:r>
        <w:rPr>
          <w:sz w:val="20"/>
        </w:rPr>
        <w:t>FIH</w:t>
      </w:r>
      <w:r>
        <w:rPr>
          <w:sz w:val="20"/>
        </w:rPr>
        <w:tab/>
        <w:t>First in Human</w:t>
      </w:r>
    </w:p>
    <w:p w14:paraId="270E51DA" w14:textId="1AD1972B" w:rsidR="009B2BBA" w:rsidRDefault="009B2BBA">
      <w:pPr>
        <w:pStyle w:val="ListBullet"/>
        <w:numPr>
          <w:ilvl w:val="0"/>
          <w:numId w:val="10"/>
        </w:numPr>
        <w:tabs>
          <w:tab w:val="left" w:pos="1701"/>
        </w:tabs>
        <w:spacing w:before="80" w:after="80"/>
        <w:jc w:val="left"/>
        <w:rPr>
          <w:sz w:val="20"/>
        </w:rPr>
      </w:pPr>
      <w:r>
        <w:rPr>
          <w:sz w:val="20"/>
        </w:rPr>
        <w:t>EMA</w:t>
      </w:r>
      <w:r>
        <w:rPr>
          <w:sz w:val="20"/>
        </w:rPr>
        <w:tab/>
      </w:r>
      <w:r w:rsidRPr="009B2BBA">
        <w:rPr>
          <w:sz w:val="20"/>
        </w:rPr>
        <w:t>European Medicine Agency</w:t>
      </w:r>
    </w:p>
    <w:p w14:paraId="73FB1EC9" w14:textId="2F9D8610" w:rsidR="005E785F" w:rsidRDefault="003621E8">
      <w:pPr>
        <w:pStyle w:val="ListBullet"/>
        <w:numPr>
          <w:ilvl w:val="0"/>
          <w:numId w:val="10"/>
        </w:numPr>
        <w:tabs>
          <w:tab w:val="left" w:pos="1701"/>
        </w:tabs>
        <w:spacing w:before="80" w:after="80"/>
        <w:jc w:val="left"/>
        <w:rPr>
          <w:sz w:val="20"/>
        </w:rPr>
      </w:pPr>
      <w:r>
        <w:rPr>
          <w:sz w:val="20"/>
        </w:rPr>
        <w:t>g</w:t>
      </w:r>
      <w:r>
        <w:rPr>
          <w:sz w:val="20"/>
        </w:rPr>
        <w:tab/>
        <w:t>gramme(s)</w:t>
      </w:r>
    </w:p>
    <w:p w14:paraId="73FB1ECA" w14:textId="78D41B67" w:rsidR="005E785F" w:rsidRDefault="003621E8">
      <w:pPr>
        <w:pStyle w:val="ListBullet"/>
        <w:numPr>
          <w:ilvl w:val="0"/>
          <w:numId w:val="10"/>
        </w:numPr>
        <w:tabs>
          <w:tab w:val="left" w:pos="1701"/>
        </w:tabs>
        <w:spacing w:before="80" w:after="80"/>
        <w:jc w:val="left"/>
        <w:rPr>
          <w:sz w:val="20"/>
        </w:rPr>
      </w:pPr>
      <w:r>
        <w:rPr>
          <w:sz w:val="20"/>
        </w:rPr>
        <w:t>GCP</w:t>
      </w:r>
      <w:r>
        <w:rPr>
          <w:sz w:val="20"/>
        </w:rPr>
        <w:tab/>
        <w:t>Good Clinical Practice</w:t>
      </w:r>
    </w:p>
    <w:p w14:paraId="7C2C45CF" w14:textId="72E88CF5" w:rsidR="005E785F" w:rsidRDefault="003621E8">
      <w:pPr>
        <w:pStyle w:val="ListBullet"/>
        <w:numPr>
          <w:ilvl w:val="0"/>
          <w:numId w:val="10"/>
        </w:numPr>
        <w:tabs>
          <w:tab w:val="left" w:pos="1701"/>
        </w:tabs>
        <w:spacing w:before="80" w:after="80"/>
        <w:jc w:val="left"/>
        <w:rPr>
          <w:sz w:val="20"/>
        </w:rPr>
      </w:pPr>
      <w:r>
        <w:rPr>
          <w:sz w:val="20"/>
        </w:rPr>
        <w:t>GDPR</w:t>
      </w:r>
      <w:r>
        <w:rPr>
          <w:sz w:val="20"/>
        </w:rPr>
        <w:tab/>
        <w:t xml:space="preserve">General Data Protection </w:t>
      </w:r>
      <w:r>
        <w:rPr>
          <w:sz w:val="20"/>
        </w:rPr>
        <w:tab/>
        <w:t>Regulation</w:t>
      </w:r>
    </w:p>
    <w:p w14:paraId="73FB1ECB" w14:textId="3ED84763" w:rsidR="005E785F" w:rsidRDefault="003621E8">
      <w:pPr>
        <w:pStyle w:val="ListBullet"/>
        <w:numPr>
          <w:ilvl w:val="0"/>
          <w:numId w:val="10"/>
        </w:numPr>
        <w:tabs>
          <w:tab w:val="left" w:pos="1701"/>
        </w:tabs>
        <w:spacing w:before="80" w:after="80"/>
        <w:jc w:val="left"/>
        <w:rPr>
          <w:sz w:val="20"/>
        </w:rPr>
      </w:pPr>
      <w:r>
        <w:rPr>
          <w:sz w:val="20"/>
        </w:rPr>
        <w:t>GGT</w:t>
      </w:r>
      <w:r>
        <w:rPr>
          <w:sz w:val="20"/>
        </w:rPr>
        <w:tab/>
        <w:t>gamma glutamyltransferase</w:t>
      </w:r>
    </w:p>
    <w:p w14:paraId="0A377543" w14:textId="13F3AFA7" w:rsidR="00815A08" w:rsidRDefault="00815A08">
      <w:pPr>
        <w:pStyle w:val="ListBullet"/>
        <w:numPr>
          <w:ilvl w:val="0"/>
          <w:numId w:val="10"/>
        </w:numPr>
        <w:tabs>
          <w:tab w:val="left" w:pos="1701"/>
        </w:tabs>
        <w:spacing w:before="80" w:after="80"/>
        <w:jc w:val="left"/>
        <w:rPr>
          <w:sz w:val="20"/>
        </w:rPr>
      </w:pPr>
      <w:r w:rsidRPr="005D7744">
        <w:rPr>
          <w:sz w:val="20"/>
        </w:rPr>
        <w:t>G</w:t>
      </w:r>
      <w:r w:rsidR="00C0377D" w:rsidRPr="005D7744">
        <w:rPr>
          <w:sz w:val="20"/>
        </w:rPr>
        <w:t>I</w:t>
      </w:r>
      <w:r>
        <w:rPr>
          <w:sz w:val="20"/>
        </w:rPr>
        <w:tab/>
        <w:t>g</w:t>
      </w:r>
      <w:r w:rsidRPr="00815A08">
        <w:rPr>
          <w:sz w:val="20"/>
        </w:rPr>
        <w:t>astrointestinal</w:t>
      </w:r>
    </w:p>
    <w:p w14:paraId="73FB1ECD" w14:textId="77777777" w:rsidR="005E785F" w:rsidRDefault="003621E8">
      <w:pPr>
        <w:pStyle w:val="ListBullet"/>
        <w:numPr>
          <w:ilvl w:val="0"/>
          <w:numId w:val="10"/>
        </w:numPr>
        <w:tabs>
          <w:tab w:val="left" w:pos="1701"/>
        </w:tabs>
        <w:spacing w:before="80" w:after="80"/>
        <w:jc w:val="left"/>
        <w:rPr>
          <w:sz w:val="20"/>
        </w:rPr>
      </w:pPr>
      <w:r>
        <w:rPr>
          <w:sz w:val="20"/>
        </w:rPr>
        <w:t>GLP</w:t>
      </w:r>
      <w:r>
        <w:rPr>
          <w:sz w:val="20"/>
        </w:rPr>
        <w:tab/>
        <w:t>Good Laboratory Practice</w:t>
      </w:r>
    </w:p>
    <w:p w14:paraId="73FB1ECF" w14:textId="77777777" w:rsidR="005E785F" w:rsidRDefault="003621E8">
      <w:pPr>
        <w:pStyle w:val="ListBullet"/>
        <w:numPr>
          <w:ilvl w:val="0"/>
          <w:numId w:val="10"/>
        </w:numPr>
        <w:tabs>
          <w:tab w:val="left" w:pos="1701"/>
        </w:tabs>
        <w:spacing w:before="80" w:after="80"/>
        <w:jc w:val="left"/>
        <w:rPr>
          <w:sz w:val="20"/>
        </w:rPr>
      </w:pPr>
      <w:r>
        <w:rPr>
          <w:sz w:val="20"/>
        </w:rPr>
        <w:t>GMP</w:t>
      </w:r>
      <w:r>
        <w:rPr>
          <w:sz w:val="20"/>
        </w:rPr>
        <w:tab/>
        <w:t>Good Manufacturing Practice</w:t>
      </w:r>
    </w:p>
    <w:p w14:paraId="73FB1ED0" w14:textId="4708E5E7" w:rsidR="005E785F" w:rsidRDefault="003621E8">
      <w:pPr>
        <w:pStyle w:val="ListBullet"/>
        <w:numPr>
          <w:ilvl w:val="0"/>
          <w:numId w:val="10"/>
        </w:numPr>
        <w:tabs>
          <w:tab w:val="left" w:pos="1701"/>
        </w:tabs>
        <w:spacing w:before="80" w:after="80"/>
        <w:jc w:val="left"/>
        <w:rPr>
          <w:sz w:val="20"/>
        </w:rPr>
      </w:pPr>
      <w:r>
        <w:rPr>
          <w:sz w:val="20"/>
        </w:rPr>
        <w:t>h</w:t>
      </w:r>
      <w:r>
        <w:rPr>
          <w:sz w:val="20"/>
        </w:rPr>
        <w:tab/>
        <w:t>hour(s)</w:t>
      </w:r>
    </w:p>
    <w:p w14:paraId="73FB1ED1" w14:textId="3C495B9B" w:rsidR="005E785F" w:rsidRDefault="003621E8">
      <w:pPr>
        <w:pStyle w:val="ListBullet"/>
        <w:numPr>
          <w:ilvl w:val="0"/>
          <w:numId w:val="10"/>
        </w:numPr>
        <w:tabs>
          <w:tab w:val="left" w:pos="1701"/>
        </w:tabs>
        <w:spacing w:before="80" w:after="80"/>
        <w:jc w:val="left"/>
        <w:rPr>
          <w:sz w:val="20"/>
        </w:rPr>
      </w:pPr>
      <w:r>
        <w:rPr>
          <w:sz w:val="20"/>
        </w:rPr>
        <w:t>HBsAg</w:t>
      </w:r>
      <w:r>
        <w:rPr>
          <w:sz w:val="20"/>
        </w:rPr>
        <w:tab/>
        <w:t>hepatitis B surface antigen</w:t>
      </w:r>
    </w:p>
    <w:p w14:paraId="654C1582" w14:textId="75D25704" w:rsidR="005E785F" w:rsidRDefault="003621E8">
      <w:pPr>
        <w:pStyle w:val="ListBullet"/>
        <w:numPr>
          <w:ilvl w:val="0"/>
          <w:numId w:val="10"/>
        </w:numPr>
        <w:tabs>
          <w:tab w:val="left" w:pos="1701"/>
        </w:tabs>
        <w:spacing w:before="80" w:after="80"/>
        <w:jc w:val="left"/>
        <w:rPr>
          <w:sz w:val="20"/>
        </w:rPr>
      </w:pPr>
      <w:r>
        <w:rPr>
          <w:sz w:val="20"/>
        </w:rPr>
        <w:t>HED</w:t>
      </w:r>
      <w:r>
        <w:rPr>
          <w:sz w:val="20"/>
        </w:rPr>
        <w:tab/>
        <w:t>human equivalent dose</w:t>
      </w:r>
    </w:p>
    <w:p w14:paraId="73FB1ED2" w14:textId="24C86DB4" w:rsidR="005E785F" w:rsidRDefault="003621E8">
      <w:pPr>
        <w:pStyle w:val="ListBullet"/>
        <w:numPr>
          <w:ilvl w:val="0"/>
          <w:numId w:val="10"/>
        </w:numPr>
        <w:tabs>
          <w:tab w:val="left" w:pos="1701"/>
        </w:tabs>
        <w:spacing w:before="80" w:after="80"/>
        <w:jc w:val="left"/>
        <w:rPr>
          <w:sz w:val="20"/>
        </w:rPr>
      </w:pPr>
      <w:r>
        <w:rPr>
          <w:sz w:val="20"/>
        </w:rPr>
        <w:t>HCV Ab</w:t>
      </w:r>
      <w:r>
        <w:rPr>
          <w:sz w:val="20"/>
        </w:rPr>
        <w:tab/>
        <w:t>hepatitis C virus antibody</w:t>
      </w:r>
    </w:p>
    <w:p w14:paraId="73FB1ED7" w14:textId="425639C0" w:rsidR="005E785F" w:rsidRDefault="003621E8">
      <w:pPr>
        <w:pStyle w:val="ListBullet"/>
        <w:numPr>
          <w:ilvl w:val="0"/>
          <w:numId w:val="10"/>
        </w:numPr>
        <w:tabs>
          <w:tab w:val="left" w:pos="1701"/>
        </w:tabs>
        <w:spacing w:before="80" w:after="80"/>
        <w:jc w:val="left"/>
        <w:rPr>
          <w:sz w:val="20"/>
        </w:rPr>
      </w:pPr>
      <w:r>
        <w:rPr>
          <w:sz w:val="20"/>
        </w:rPr>
        <w:t>HIV</w:t>
      </w:r>
      <w:r>
        <w:rPr>
          <w:sz w:val="20"/>
        </w:rPr>
        <w:tab/>
        <w:t xml:space="preserve">human immunodeficiency </w:t>
      </w:r>
      <w:r>
        <w:rPr>
          <w:sz w:val="20"/>
        </w:rPr>
        <w:tab/>
        <w:t>virus</w:t>
      </w:r>
    </w:p>
    <w:p w14:paraId="00F2508C" w14:textId="160FB1EF" w:rsidR="005E785F" w:rsidRDefault="003621E8">
      <w:pPr>
        <w:pStyle w:val="ListBullet"/>
        <w:numPr>
          <w:ilvl w:val="0"/>
          <w:numId w:val="10"/>
        </w:numPr>
        <w:tabs>
          <w:tab w:val="left" w:pos="1701"/>
        </w:tabs>
        <w:spacing w:before="80" w:after="80"/>
        <w:jc w:val="left"/>
        <w:rPr>
          <w:sz w:val="20"/>
        </w:rPr>
      </w:pPr>
      <w:r>
        <w:rPr>
          <w:sz w:val="20"/>
        </w:rPr>
        <w:t>HR</w:t>
      </w:r>
      <w:r>
        <w:rPr>
          <w:sz w:val="20"/>
        </w:rPr>
        <w:tab/>
        <w:t>heart rate</w:t>
      </w:r>
    </w:p>
    <w:p w14:paraId="4E461A9A" w14:textId="6EDF50EC" w:rsidR="005E785F" w:rsidRDefault="003621E8">
      <w:pPr>
        <w:pStyle w:val="ListBullet"/>
        <w:numPr>
          <w:ilvl w:val="0"/>
          <w:numId w:val="10"/>
        </w:numPr>
        <w:tabs>
          <w:tab w:val="left" w:pos="1701"/>
        </w:tabs>
        <w:spacing w:before="80" w:after="80"/>
        <w:jc w:val="left"/>
        <w:rPr>
          <w:sz w:val="20"/>
        </w:rPr>
      </w:pPr>
      <w:r>
        <w:rPr>
          <w:sz w:val="20"/>
        </w:rPr>
        <w:t>HRA</w:t>
      </w:r>
      <w:r>
        <w:rPr>
          <w:sz w:val="20"/>
        </w:rPr>
        <w:tab/>
        <w:t>Health Research Authority</w:t>
      </w:r>
    </w:p>
    <w:p w14:paraId="6FF5DE00" w14:textId="083068FF" w:rsidR="005E785F" w:rsidRDefault="003621E8">
      <w:pPr>
        <w:pStyle w:val="ListBullet"/>
        <w:numPr>
          <w:ilvl w:val="0"/>
          <w:numId w:val="10"/>
        </w:numPr>
        <w:tabs>
          <w:tab w:val="left" w:pos="1701"/>
        </w:tabs>
        <w:spacing w:before="80" w:after="80"/>
        <w:jc w:val="left"/>
        <w:rPr>
          <w:sz w:val="20"/>
        </w:rPr>
      </w:pPr>
      <w:r>
        <w:rPr>
          <w:sz w:val="20"/>
        </w:rPr>
        <w:t>IB</w:t>
      </w:r>
      <w:r>
        <w:rPr>
          <w:sz w:val="20"/>
        </w:rPr>
        <w:tab/>
        <w:t xml:space="preserve">Investigator’s Brochure </w:t>
      </w:r>
    </w:p>
    <w:p w14:paraId="4438AA78" w14:textId="402A293D" w:rsidR="005E785F" w:rsidRDefault="003621E8">
      <w:pPr>
        <w:pStyle w:val="ListBullet"/>
        <w:numPr>
          <w:ilvl w:val="0"/>
          <w:numId w:val="10"/>
        </w:numPr>
        <w:tabs>
          <w:tab w:val="left" w:pos="1701"/>
        </w:tabs>
        <w:spacing w:before="80" w:after="80"/>
        <w:jc w:val="left"/>
        <w:rPr>
          <w:sz w:val="20"/>
        </w:rPr>
      </w:pPr>
      <w:r>
        <w:rPr>
          <w:sz w:val="20"/>
        </w:rPr>
        <w:t>ICF</w:t>
      </w:r>
      <w:r>
        <w:rPr>
          <w:sz w:val="20"/>
        </w:rPr>
        <w:tab/>
        <w:t>informed consent form</w:t>
      </w:r>
    </w:p>
    <w:p w14:paraId="73FB1ED8" w14:textId="0F24E775" w:rsidR="005E785F" w:rsidRDefault="003621E8">
      <w:pPr>
        <w:pStyle w:val="ListBullet"/>
        <w:numPr>
          <w:ilvl w:val="0"/>
          <w:numId w:val="10"/>
        </w:numPr>
        <w:tabs>
          <w:tab w:val="left" w:pos="1701"/>
        </w:tabs>
        <w:spacing w:before="80" w:after="80"/>
        <w:jc w:val="left"/>
        <w:rPr>
          <w:sz w:val="20"/>
        </w:rPr>
      </w:pPr>
      <w:r>
        <w:rPr>
          <w:sz w:val="20"/>
        </w:rPr>
        <w:t>ICH</w:t>
      </w:r>
      <w:r>
        <w:rPr>
          <w:sz w:val="20"/>
        </w:rPr>
        <w:tab/>
        <w:t xml:space="preserve">International </w:t>
      </w:r>
      <w:r>
        <w:rPr>
          <w:sz w:val="20"/>
        </w:rPr>
        <w:tab/>
        <w:t xml:space="preserve">Council on </w:t>
      </w:r>
      <w:r>
        <w:rPr>
          <w:sz w:val="20"/>
        </w:rPr>
        <w:tab/>
        <w:t>Harmonisation</w:t>
      </w:r>
    </w:p>
    <w:p w14:paraId="73FB1ED9" w14:textId="680A5A41" w:rsidR="005E785F" w:rsidRDefault="003621E8">
      <w:pPr>
        <w:pStyle w:val="ListBullet"/>
        <w:numPr>
          <w:ilvl w:val="0"/>
          <w:numId w:val="10"/>
        </w:numPr>
        <w:tabs>
          <w:tab w:val="left" w:pos="1701"/>
        </w:tabs>
        <w:spacing w:before="80" w:after="80"/>
        <w:jc w:val="left"/>
        <w:rPr>
          <w:sz w:val="20"/>
        </w:rPr>
      </w:pPr>
      <w:r>
        <w:rPr>
          <w:sz w:val="20"/>
        </w:rPr>
        <w:t>IMP</w:t>
      </w:r>
      <w:r>
        <w:rPr>
          <w:sz w:val="20"/>
        </w:rPr>
        <w:tab/>
        <w:t xml:space="preserve">investigational medicinal </w:t>
      </w:r>
      <w:r>
        <w:rPr>
          <w:sz w:val="20"/>
        </w:rPr>
        <w:tab/>
        <w:t>product(s)</w:t>
      </w:r>
    </w:p>
    <w:p w14:paraId="6A9B1331" w14:textId="77777777" w:rsidR="005E785F" w:rsidRDefault="003621E8">
      <w:pPr>
        <w:pStyle w:val="ListBullet"/>
        <w:numPr>
          <w:ilvl w:val="0"/>
          <w:numId w:val="10"/>
        </w:numPr>
        <w:tabs>
          <w:tab w:val="left" w:pos="1701"/>
        </w:tabs>
        <w:spacing w:before="80" w:after="80"/>
        <w:jc w:val="left"/>
        <w:rPr>
          <w:sz w:val="20"/>
        </w:rPr>
      </w:pPr>
      <w:r>
        <w:rPr>
          <w:sz w:val="20"/>
        </w:rPr>
        <w:t>IV</w:t>
      </w:r>
      <w:r>
        <w:rPr>
          <w:sz w:val="20"/>
        </w:rPr>
        <w:tab/>
        <w:t xml:space="preserve">intravenous </w:t>
      </w:r>
    </w:p>
    <w:p w14:paraId="7A5ADB25" w14:textId="5BD73863" w:rsidR="005E785F" w:rsidRDefault="003621E8">
      <w:pPr>
        <w:pStyle w:val="ListBullet"/>
        <w:numPr>
          <w:ilvl w:val="0"/>
          <w:numId w:val="10"/>
        </w:numPr>
        <w:tabs>
          <w:tab w:val="left" w:pos="1701"/>
        </w:tabs>
        <w:spacing w:before="80" w:after="80"/>
        <w:jc w:val="left"/>
        <w:rPr>
          <w:sz w:val="20"/>
        </w:rPr>
      </w:pPr>
      <w:r>
        <w:rPr>
          <w:sz w:val="20"/>
        </w:rPr>
        <w:t>INR</w:t>
      </w:r>
      <w:r>
        <w:rPr>
          <w:sz w:val="20"/>
        </w:rPr>
        <w:tab/>
        <w:t>international normalised ratio</w:t>
      </w:r>
    </w:p>
    <w:p w14:paraId="15EC1000" w14:textId="2044A4E1" w:rsidR="005E785F" w:rsidRDefault="003621E8">
      <w:pPr>
        <w:pStyle w:val="ListBullet"/>
        <w:numPr>
          <w:ilvl w:val="0"/>
          <w:numId w:val="10"/>
        </w:numPr>
        <w:tabs>
          <w:tab w:val="left" w:pos="1701"/>
        </w:tabs>
        <w:spacing w:before="80" w:after="80"/>
        <w:jc w:val="left"/>
        <w:rPr>
          <w:sz w:val="20"/>
        </w:rPr>
      </w:pPr>
      <w:r>
        <w:rPr>
          <w:sz w:val="20"/>
        </w:rPr>
        <w:lastRenderedPageBreak/>
        <w:t>ISF</w:t>
      </w:r>
      <w:r>
        <w:rPr>
          <w:sz w:val="20"/>
        </w:rPr>
        <w:tab/>
        <w:t>Investigator site file</w:t>
      </w:r>
    </w:p>
    <w:p w14:paraId="36FF3F12" w14:textId="77777777" w:rsidR="005E785F" w:rsidRDefault="003621E8">
      <w:pPr>
        <w:pStyle w:val="ListBullet"/>
        <w:numPr>
          <w:ilvl w:val="0"/>
          <w:numId w:val="10"/>
        </w:numPr>
        <w:tabs>
          <w:tab w:val="left" w:pos="1701"/>
        </w:tabs>
        <w:spacing w:before="80" w:after="80"/>
        <w:jc w:val="left"/>
        <w:rPr>
          <w:sz w:val="20"/>
        </w:rPr>
      </w:pPr>
      <w:r>
        <w:rPr>
          <w:sz w:val="20"/>
        </w:rPr>
        <w:t>IUD</w:t>
      </w:r>
      <w:r>
        <w:rPr>
          <w:sz w:val="20"/>
        </w:rPr>
        <w:tab/>
        <w:t xml:space="preserve">intrauterine device(s) </w:t>
      </w:r>
    </w:p>
    <w:p w14:paraId="79236183" w14:textId="091D8266" w:rsidR="005E785F" w:rsidRDefault="003621E8">
      <w:pPr>
        <w:pStyle w:val="ListBullet"/>
        <w:numPr>
          <w:ilvl w:val="0"/>
          <w:numId w:val="10"/>
        </w:numPr>
        <w:tabs>
          <w:tab w:val="left" w:pos="1701"/>
        </w:tabs>
        <w:spacing w:before="80" w:after="80"/>
        <w:jc w:val="left"/>
        <w:rPr>
          <w:sz w:val="20"/>
        </w:rPr>
      </w:pPr>
      <w:r>
        <w:rPr>
          <w:sz w:val="20"/>
        </w:rPr>
        <w:t>IUS</w:t>
      </w:r>
      <w:r>
        <w:rPr>
          <w:sz w:val="20"/>
        </w:rPr>
        <w:tab/>
        <w:t>intrauterine system</w:t>
      </w:r>
    </w:p>
    <w:p w14:paraId="0A59BAB7" w14:textId="72EC5BFE" w:rsidR="005E785F" w:rsidRDefault="003621E8">
      <w:pPr>
        <w:pStyle w:val="ListBullet"/>
        <w:numPr>
          <w:ilvl w:val="0"/>
          <w:numId w:val="10"/>
        </w:numPr>
        <w:tabs>
          <w:tab w:val="left" w:pos="1701"/>
        </w:tabs>
        <w:spacing w:before="80" w:after="80"/>
        <w:jc w:val="left"/>
        <w:rPr>
          <w:sz w:val="20"/>
        </w:rPr>
      </w:pPr>
      <w:r>
        <w:rPr>
          <w:sz w:val="20"/>
        </w:rPr>
        <w:t>LC MS/MS</w:t>
      </w:r>
      <w:r>
        <w:rPr>
          <w:sz w:val="20"/>
        </w:rPr>
        <w:tab/>
        <w:t xml:space="preserve">liquid chromatography </w:t>
      </w:r>
      <w:r>
        <w:rPr>
          <w:sz w:val="20"/>
        </w:rPr>
        <w:tab/>
        <w:t>tandem mass spectrometry</w:t>
      </w:r>
    </w:p>
    <w:p w14:paraId="709220D2" w14:textId="110EF13A" w:rsidR="005E785F" w:rsidRDefault="003621E8">
      <w:pPr>
        <w:pStyle w:val="ListBullet"/>
        <w:numPr>
          <w:ilvl w:val="0"/>
          <w:numId w:val="10"/>
        </w:numPr>
        <w:tabs>
          <w:tab w:val="left" w:pos="1701"/>
        </w:tabs>
        <w:spacing w:before="80" w:after="80"/>
        <w:jc w:val="left"/>
        <w:rPr>
          <w:sz w:val="20"/>
        </w:rPr>
      </w:pPr>
      <w:r>
        <w:rPr>
          <w:sz w:val="20"/>
        </w:rPr>
        <w:t>LLOQ</w:t>
      </w:r>
      <w:r>
        <w:rPr>
          <w:sz w:val="20"/>
        </w:rPr>
        <w:tab/>
        <w:t>lower limit of qualification</w:t>
      </w:r>
    </w:p>
    <w:p w14:paraId="0E42F6FE" w14:textId="5B3A9ED6" w:rsidR="005E785F" w:rsidRDefault="003621E8">
      <w:pPr>
        <w:pStyle w:val="ListBullet"/>
        <w:numPr>
          <w:ilvl w:val="0"/>
          <w:numId w:val="10"/>
        </w:numPr>
        <w:tabs>
          <w:tab w:val="left" w:pos="1701"/>
        </w:tabs>
        <w:spacing w:before="80" w:after="80"/>
        <w:jc w:val="left"/>
        <w:rPr>
          <w:sz w:val="20"/>
        </w:rPr>
      </w:pPr>
      <w:r>
        <w:rPr>
          <w:sz w:val="20"/>
        </w:rPr>
        <w:t>LSP</w:t>
      </w:r>
      <w:r>
        <w:rPr>
          <w:sz w:val="20"/>
        </w:rPr>
        <w:tab/>
        <w:t>laboratory sampling manual</w:t>
      </w:r>
    </w:p>
    <w:p w14:paraId="73FB1EDE" w14:textId="77777777" w:rsidR="005E785F" w:rsidRDefault="003621E8">
      <w:pPr>
        <w:pStyle w:val="ListBullet"/>
        <w:numPr>
          <w:ilvl w:val="0"/>
          <w:numId w:val="10"/>
        </w:numPr>
        <w:tabs>
          <w:tab w:val="left" w:pos="1701"/>
        </w:tabs>
        <w:spacing w:before="80" w:after="80"/>
        <w:jc w:val="left"/>
        <w:rPr>
          <w:sz w:val="20"/>
        </w:rPr>
      </w:pPr>
      <w:r>
        <w:rPr>
          <w:sz w:val="20"/>
        </w:rPr>
        <w:t>Ltd</w:t>
      </w:r>
      <w:r>
        <w:rPr>
          <w:sz w:val="20"/>
        </w:rPr>
        <w:tab/>
        <w:t>Limited</w:t>
      </w:r>
    </w:p>
    <w:p w14:paraId="73FB1EE1" w14:textId="5FE0752B" w:rsidR="005E785F" w:rsidRDefault="003621E8">
      <w:pPr>
        <w:pStyle w:val="ListBullet"/>
        <w:numPr>
          <w:ilvl w:val="0"/>
          <w:numId w:val="10"/>
        </w:numPr>
        <w:tabs>
          <w:tab w:val="left" w:pos="1701"/>
        </w:tabs>
        <w:spacing w:before="80" w:after="80"/>
        <w:jc w:val="left"/>
        <w:rPr>
          <w:sz w:val="20"/>
        </w:rPr>
      </w:pPr>
      <w:r>
        <w:rPr>
          <w:sz w:val="20"/>
        </w:rPr>
        <w:t>MCH</w:t>
      </w:r>
      <w:r>
        <w:rPr>
          <w:sz w:val="20"/>
        </w:rPr>
        <w:tab/>
        <w:t xml:space="preserve">mean corpuscular </w:t>
      </w:r>
      <w:r>
        <w:rPr>
          <w:sz w:val="20"/>
        </w:rPr>
        <w:tab/>
        <w:t>haemoglobin</w:t>
      </w:r>
    </w:p>
    <w:p w14:paraId="73FB1EE2" w14:textId="4CF31A8E" w:rsidR="005E785F" w:rsidRDefault="003621E8">
      <w:pPr>
        <w:pStyle w:val="ListBullet"/>
        <w:numPr>
          <w:ilvl w:val="0"/>
          <w:numId w:val="15"/>
        </w:numPr>
        <w:tabs>
          <w:tab w:val="left" w:pos="284"/>
          <w:tab w:val="left" w:pos="1701"/>
        </w:tabs>
        <w:spacing w:before="80" w:after="80"/>
        <w:ind w:hanging="720"/>
        <w:jc w:val="left"/>
        <w:rPr>
          <w:sz w:val="20"/>
        </w:rPr>
      </w:pPr>
      <w:r>
        <w:rPr>
          <w:sz w:val="20"/>
        </w:rPr>
        <w:t>MCHC</w:t>
      </w:r>
      <w:r>
        <w:rPr>
          <w:sz w:val="20"/>
        </w:rPr>
        <w:tab/>
        <w:t xml:space="preserve">mean corpuscular </w:t>
      </w:r>
      <w:r>
        <w:rPr>
          <w:sz w:val="20"/>
        </w:rPr>
        <w:tab/>
        <w:t>haemoglobin concentration</w:t>
      </w:r>
    </w:p>
    <w:p w14:paraId="38EDD2A5" w14:textId="1E4BA7B5" w:rsidR="005E785F" w:rsidRDefault="003621E8">
      <w:pPr>
        <w:pStyle w:val="ListBullet"/>
        <w:numPr>
          <w:ilvl w:val="0"/>
          <w:numId w:val="15"/>
        </w:numPr>
        <w:tabs>
          <w:tab w:val="left" w:pos="284"/>
          <w:tab w:val="left" w:pos="1701"/>
        </w:tabs>
        <w:spacing w:before="80" w:after="80"/>
        <w:ind w:hanging="720"/>
        <w:jc w:val="left"/>
        <w:rPr>
          <w:sz w:val="20"/>
        </w:rPr>
      </w:pPr>
      <w:r>
        <w:rPr>
          <w:sz w:val="20"/>
        </w:rPr>
        <w:t>MCV</w:t>
      </w:r>
      <w:r>
        <w:rPr>
          <w:sz w:val="20"/>
        </w:rPr>
        <w:tab/>
        <w:t>mean corpuscular volume</w:t>
      </w:r>
    </w:p>
    <w:p w14:paraId="73FB1EE3" w14:textId="77777777" w:rsidR="005E785F" w:rsidRDefault="003621E8">
      <w:pPr>
        <w:pStyle w:val="ListBullet"/>
        <w:numPr>
          <w:ilvl w:val="0"/>
          <w:numId w:val="15"/>
        </w:numPr>
        <w:tabs>
          <w:tab w:val="left" w:pos="284"/>
        </w:tabs>
        <w:spacing w:before="80" w:after="80"/>
        <w:ind w:left="1701" w:hanging="1701"/>
        <w:jc w:val="left"/>
        <w:rPr>
          <w:sz w:val="20"/>
        </w:rPr>
      </w:pPr>
      <w:r>
        <w:rPr>
          <w:sz w:val="20"/>
        </w:rPr>
        <w:t>MedDRA</w:t>
      </w:r>
      <w:r>
        <w:rPr>
          <w:sz w:val="20"/>
        </w:rPr>
        <w:tab/>
      </w:r>
      <w:r>
        <w:rPr>
          <w:rStyle w:val="st"/>
          <w:color w:val="222222"/>
          <w:sz w:val="20"/>
        </w:rPr>
        <w:t>Medical Dictionary for Regulatory Activities</w:t>
      </w:r>
    </w:p>
    <w:p w14:paraId="73FB1EE4" w14:textId="2AF9C320" w:rsidR="005E785F" w:rsidRDefault="003621E8">
      <w:pPr>
        <w:pStyle w:val="ListBullet"/>
        <w:numPr>
          <w:ilvl w:val="0"/>
          <w:numId w:val="15"/>
        </w:numPr>
        <w:tabs>
          <w:tab w:val="left" w:pos="284"/>
        </w:tabs>
        <w:spacing w:before="80" w:after="80"/>
        <w:ind w:left="1701" w:hanging="1701"/>
        <w:jc w:val="left"/>
        <w:rPr>
          <w:sz w:val="20"/>
        </w:rPr>
      </w:pPr>
      <w:r>
        <w:rPr>
          <w:sz w:val="20"/>
        </w:rPr>
        <w:t>MHRA</w:t>
      </w:r>
      <w:r>
        <w:rPr>
          <w:sz w:val="20"/>
        </w:rPr>
        <w:tab/>
        <w:t>Medicines and Healthcare products Regulatory Agency</w:t>
      </w:r>
    </w:p>
    <w:p w14:paraId="4ABF6D7A" w14:textId="1D3CB06F" w:rsidR="005E785F" w:rsidRDefault="003621E8">
      <w:pPr>
        <w:pStyle w:val="ListBullet"/>
        <w:numPr>
          <w:ilvl w:val="0"/>
          <w:numId w:val="15"/>
        </w:numPr>
        <w:tabs>
          <w:tab w:val="left" w:pos="284"/>
        </w:tabs>
        <w:spacing w:before="80" w:after="80"/>
        <w:ind w:left="1701" w:hanging="1701"/>
        <w:jc w:val="left"/>
        <w:rPr>
          <w:sz w:val="20"/>
        </w:rPr>
      </w:pPr>
      <w:r>
        <w:rPr>
          <w:sz w:val="20"/>
        </w:rPr>
        <w:t>MRSD</w:t>
      </w:r>
      <w:r>
        <w:rPr>
          <w:sz w:val="20"/>
        </w:rPr>
        <w:tab/>
        <w:t>maximum recommended starting dose</w:t>
      </w:r>
    </w:p>
    <w:p w14:paraId="1ACF76F2" w14:textId="3ECB530C" w:rsidR="005E785F" w:rsidRDefault="003621E8">
      <w:pPr>
        <w:pStyle w:val="ListBullet"/>
        <w:numPr>
          <w:ilvl w:val="0"/>
          <w:numId w:val="15"/>
        </w:numPr>
        <w:tabs>
          <w:tab w:val="left" w:pos="284"/>
        </w:tabs>
        <w:spacing w:before="80" w:after="80"/>
        <w:ind w:left="1701" w:hanging="1701"/>
        <w:jc w:val="left"/>
        <w:rPr>
          <w:sz w:val="20"/>
        </w:rPr>
      </w:pPr>
      <w:r>
        <w:rPr>
          <w:sz w:val="20"/>
        </w:rPr>
        <w:t>MTD</w:t>
      </w:r>
      <w:r>
        <w:rPr>
          <w:sz w:val="20"/>
        </w:rPr>
        <w:tab/>
        <w:t>maximum tolerated dose</w:t>
      </w:r>
    </w:p>
    <w:p w14:paraId="193DCC01" w14:textId="14A4B86F" w:rsidR="005E785F" w:rsidRDefault="003621E8">
      <w:pPr>
        <w:pStyle w:val="ListBullet"/>
        <w:numPr>
          <w:ilvl w:val="0"/>
          <w:numId w:val="15"/>
        </w:numPr>
        <w:tabs>
          <w:tab w:val="left" w:pos="284"/>
        </w:tabs>
        <w:spacing w:before="80" w:after="80"/>
        <w:ind w:left="1701" w:hanging="1701"/>
        <w:jc w:val="left"/>
        <w:rPr>
          <w:sz w:val="20"/>
        </w:rPr>
      </w:pPr>
      <w:r>
        <w:rPr>
          <w:sz w:val="20"/>
        </w:rPr>
        <w:t>NHS</w:t>
      </w:r>
      <w:r>
        <w:rPr>
          <w:sz w:val="20"/>
        </w:rPr>
        <w:tab/>
        <w:t>National Health Service</w:t>
      </w:r>
    </w:p>
    <w:p w14:paraId="41F6C4A0" w14:textId="6EFD306A" w:rsidR="005E785F" w:rsidRDefault="003621E8">
      <w:pPr>
        <w:pStyle w:val="ListBullet"/>
        <w:numPr>
          <w:ilvl w:val="0"/>
          <w:numId w:val="15"/>
        </w:numPr>
        <w:tabs>
          <w:tab w:val="left" w:pos="284"/>
        </w:tabs>
        <w:spacing w:before="80" w:after="80"/>
        <w:ind w:left="1701" w:hanging="1701"/>
        <w:jc w:val="left"/>
        <w:rPr>
          <w:sz w:val="20"/>
        </w:rPr>
      </w:pPr>
      <w:r>
        <w:rPr>
          <w:sz w:val="20"/>
        </w:rPr>
        <w:t>NK</w:t>
      </w:r>
      <w:r>
        <w:rPr>
          <w:sz w:val="20"/>
        </w:rPr>
        <w:tab/>
        <w:t>natural killer</w:t>
      </w:r>
    </w:p>
    <w:p w14:paraId="2B565397" w14:textId="0C48EE09" w:rsidR="005E785F" w:rsidRDefault="003621E8">
      <w:pPr>
        <w:pStyle w:val="ListBullet"/>
        <w:numPr>
          <w:ilvl w:val="0"/>
          <w:numId w:val="15"/>
        </w:numPr>
        <w:tabs>
          <w:tab w:val="left" w:pos="284"/>
        </w:tabs>
        <w:spacing w:before="80" w:after="80"/>
        <w:ind w:left="1701" w:hanging="1701"/>
        <w:jc w:val="left"/>
        <w:rPr>
          <w:sz w:val="20"/>
        </w:rPr>
      </w:pPr>
      <w:r>
        <w:rPr>
          <w:sz w:val="20"/>
        </w:rPr>
        <w:t>NOAEL</w:t>
      </w:r>
      <w:r>
        <w:rPr>
          <w:sz w:val="20"/>
        </w:rPr>
        <w:tab/>
        <w:t>no-observed-adverse-effect level</w:t>
      </w:r>
    </w:p>
    <w:p w14:paraId="73FB1EE5" w14:textId="7CEF2451" w:rsidR="005E785F" w:rsidRDefault="003621E8">
      <w:pPr>
        <w:pStyle w:val="ListBullet"/>
        <w:numPr>
          <w:ilvl w:val="0"/>
          <w:numId w:val="15"/>
        </w:numPr>
        <w:tabs>
          <w:tab w:val="left" w:pos="284"/>
        </w:tabs>
        <w:spacing w:before="80" w:after="80"/>
        <w:ind w:left="1701" w:hanging="1701"/>
        <w:jc w:val="left"/>
        <w:rPr>
          <w:sz w:val="20"/>
        </w:rPr>
      </w:pPr>
      <w:r>
        <w:rPr>
          <w:sz w:val="20"/>
        </w:rPr>
        <w:t>min</w:t>
      </w:r>
      <w:r>
        <w:rPr>
          <w:sz w:val="20"/>
        </w:rPr>
        <w:tab/>
        <w:t>minute</w:t>
      </w:r>
    </w:p>
    <w:p w14:paraId="73FB1EE6" w14:textId="28FA6540" w:rsidR="005E785F" w:rsidRDefault="003621E8">
      <w:pPr>
        <w:pStyle w:val="ListBullet"/>
        <w:numPr>
          <w:ilvl w:val="0"/>
          <w:numId w:val="15"/>
        </w:numPr>
        <w:tabs>
          <w:tab w:val="left" w:pos="284"/>
        </w:tabs>
        <w:spacing w:before="80" w:after="80"/>
        <w:ind w:left="1701" w:hanging="1701"/>
        <w:jc w:val="left"/>
        <w:rPr>
          <w:sz w:val="20"/>
        </w:rPr>
      </w:pPr>
      <w:r>
        <w:rPr>
          <w:sz w:val="20"/>
        </w:rPr>
        <w:t>mmHg</w:t>
      </w:r>
      <w:r>
        <w:rPr>
          <w:sz w:val="20"/>
        </w:rPr>
        <w:tab/>
        <w:t>millimetre(s) of mercury</w:t>
      </w:r>
    </w:p>
    <w:p w14:paraId="0D95042E" w14:textId="7D512604" w:rsidR="005E785F" w:rsidRDefault="003621E8">
      <w:pPr>
        <w:pStyle w:val="ListBullet"/>
        <w:numPr>
          <w:ilvl w:val="0"/>
          <w:numId w:val="10"/>
        </w:numPr>
        <w:tabs>
          <w:tab w:val="left" w:pos="1701"/>
        </w:tabs>
        <w:spacing w:before="80" w:after="80"/>
        <w:jc w:val="left"/>
        <w:rPr>
          <w:sz w:val="20"/>
        </w:rPr>
      </w:pPr>
      <w:r>
        <w:rPr>
          <w:sz w:val="20"/>
        </w:rPr>
        <w:t>ms</w:t>
      </w:r>
      <w:r>
        <w:rPr>
          <w:sz w:val="20"/>
        </w:rPr>
        <w:tab/>
        <w:t>millisecond(s)</w:t>
      </w:r>
    </w:p>
    <w:p w14:paraId="73FB1EE9" w14:textId="77777777" w:rsidR="005E785F" w:rsidRDefault="003621E8">
      <w:pPr>
        <w:pStyle w:val="ListBullet"/>
        <w:numPr>
          <w:ilvl w:val="0"/>
          <w:numId w:val="10"/>
        </w:numPr>
        <w:tabs>
          <w:tab w:val="left" w:pos="1701"/>
        </w:tabs>
        <w:spacing w:before="80" w:after="80"/>
        <w:jc w:val="left"/>
        <w:rPr>
          <w:sz w:val="20"/>
        </w:rPr>
      </w:pPr>
      <w:r>
        <w:rPr>
          <w:sz w:val="20"/>
        </w:rPr>
        <w:t>N</w:t>
      </w:r>
      <w:r>
        <w:rPr>
          <w:sz w:val="20"/>
        </w:rPr>
        <w:tab/>
        <w:t>number dosed</w:t>
      </w:r>
    </w:p>
    <w:p w14:paraId="73FB1EEA" w14:textId="77777777" w:rsidR="005E785F" w:rsidRDefault="003621E8">
      <w:pPr>
        <w:pStyle w:val="ListBullet"/>
        <w:numPr>
          <w:ilvl w:val="0"/>
          <w:numId w:val="10"/>
        </w:numPr>
        <w:tabs>
          <w:tab w:val="left" w:pos="1701"/>
        </w:tabs>
        <w:spacing w:before="80" w:after="80"/>
        <w:jc w:val="left"/>
        <w:rPr>
          <w:sz w:val="20"/>
        </w:rPr>
      </w:pPr>
      <w:r>
        <w:rPr>
          <w:sz w:val="20"/>
        </w:rPr>
        <w:t>n</w:t>
      </w:r>
      <w:r>
        <w:rPr>
          <w:sz w:val="20"/>
        </w:rPr>
        <w:tab/>
        <w:t>number of observations</w:t>
      </w:r>
    </w:p>
    <w:p w14:paraId="3C344A93" w14:textId="6BC6AB50" w:rsidR="005E785F" w:rsidRDefault="003621E8">
      <w:pPr>
        <w:pStyle w:val="ListBullet"/>
        <w:numPr>
          <w:ilvl w:val="0"/>
          <w:numId w:val="10"/>
        </w:numPr>
        <w:tabs>
          <w:tab w:val="left" w:pos="1701"/>
        </w:tabs>
        <w:spacing w:before="80" w:after="80"/>
        <w:jc w:val="left"/>
        <w:rPr>
          <w:sz w:val="20"/>
        </w:rPr>
      </w:pPr>
      <w:r>
        <w:rPr>
          <w:sz w:val="20"/>
        </w:rPr>
        <w:t>NRES</w:t>
      </w:r>
      <w:r>
        <w:rPr>
          <w:sz w:val="20"/>
        </w:rPr>
        <w:tab/>
        <w:t xml:space="preserve">National Research Ethics </w:t>
      </w:r>
      <w:r>
        <w:rPr>
          <w:sz w:val="20"/>
        </w:rPr>
        <w:tab/>
        <w:t>Committee</w:t>
      </w:r>
    </w:p>
    <w:p w14:paraId="6AB4156E" w14:textId="77777777" w:rsidR="005E785F" w:rsidRDefault="003621E8">
      <w:pPr>
        <w:pStyle w:val="ListBullet"/>
        <w:numPr>
          <w:ilvl w:val="0"/>
          <w:numId w:val="10"/>
        </w:numPr>
        <w:tabs>
          <w:tab w:val="left" w:pos="1701"/>
        </w:tabs>
        <w:spacing w:before="80"/>
        <w:jc w:val="left"/>
        <w:rPr>
          <w:sz w:val="20"/>
        </w:rPr>
      </w:pPr>
      <w:r>
        <w:rPr>
          <w:sz w:val="20"/>
        </w:rPr>
        <w:t>NSAID</w:t>
      </w:r>
      <w:r>
        <w:rPr>
          <w:sz w:val="20"/>
        </w:rPr>
        <w:tab/>
        <w:t>non-steroidal anti-</w:t>
      </w:r>
    </w:p>
    <w:p w14:paraId="1A1E2B02" w14:textId="77777777" w:rsidR="005E785F" w:rsidRDefault="003621E8">
      <w:pPr>
        <w:pStyle w:val="ListBullet"/>
        <w:tabs>
          <w:tab w:val="left" w:pos="1701"/>
        </w:tabs>
        <w:spacing w:after="80"/>
        <w:ind w:left="1440" w:firstLine="0"/>
        <w:jc w:val="left"/>
        <w:rPr>
          <w:sz w:val="20"/>
        </w:rPr>
      </w:pPr>
      <w:r>
        <w:rPr>
          <w:sz w:val="20"/>
        </w:rPr>
        <w:tab/>
        <w:t>inflammatory drugs</w:t>
      </w:r>
    </w:p>
    <w:p w14:paraId="15C63BB7" w14:textId="179E8F43" w:rsidR="005E785F" w:rsidRDefault="003621E8">
      <w:pPr>
        <w:pStyle w:val="ListParagraph"/>
        <w:numPr>
          <w:ilvl w:val="0"/>
          <w:numId w:val="86"/>
        </w:numPr>
        <w:rPr>
          <w:sz w:val="20"/>
        </w:rPr>
      </w:pPr>
      <w:r>
        <w:rPr>
          <w:sz w:val="20"/>
        </w:rPr>
        <w:t xml:space="preserve">ODN </w:t>
      </w:r>
      <w:r>
        <w:rPr>
          <w:sz w:val="20"/>
        </w:rPr>
        <w:tab/>
      </w:r>
      <w:r>
        <w:rPr>
          <w:sz w:val="20"/>
        </w:rPr>
        <w:tab/>
        <w:t xml:space="preserve">     Oligodeoxynucleotides</w:t>
      </w:r>
    </w:p>
    <w:p w14:paraId="1EA8338B" w14:textId="06A64488" w:rsidR="005E785F" w:rsidRDefault="003621E8">
      <w:pPr>
        <w:pStyle w:val="ListBullet"/>
        <w:numPr>
          <w:ilvl w:val="0"/>
          <w:numId w:val="10"/>
        </w:numPr>
        <w:tabs>
          <w:tab w:val="left" w:pos="1701"/>
        </w:tabs>
        <w:spacing w:before="80"/>
        <w:jc w:val="left"/>
        <w:rPr>
          <w:sz w:val="20"/>
        </w:rPr>
      </w:pPr>
      <w:r>
        <w:rPr>
          <w:sz w:val="20"/>
        </w:rPr>
        <w:t>PBMC</w:t>
      </w:r>
      <w:r>
        <w:rPr>
          <w:sz w:val="20"/>
        </w:rPr>
        <w:tab/>
        <w:t xml:space="preserve">peripheral blood mononuclear </w:t>
      </w:r>
    </w:p>
    <w:p w14:paraId="14C6134D" w14:textId="32DC9AD8" w:rsidR="005E785F" w:rsidRDefault="003621E8">
      <w:pPr>
        <w:pStyle w:val="ListBullet"/>
        <w:tabs>
          <w:tab w:val="left" w:pos="1701"/>
        </w:tabs>
        <w:spacing w:after="80"/>
        <w:ind w:left="1440" w:firstLine="0"/>
        <w:jc w:val="left"/>
        <w:rPr>
          <w:sz w:val="20"/>
        </w:rPr>
      </w:pPr>
      <w:r>
        <w:rPr>
          <w:sz w:val="20"/>
        </w:rPr>
        <w:tab/>
        <w:t>cells</w:t>
      </w:r>
    </w:p>
    <w:p w14:paraId="4EF42CD5" w14:textId="0F175901" w:rsidR="005E785F" w:rsidRDefault="003621E8">
      <w:pPr>
        <w:pStyle w:val="ListBullet"/>
        <w:numPr>
          <w:ilvl w:val="0"/>
          <w:numId w:val="10"/>
        </w:numPr>
        <w:tabs>
          <w:tab w:val="left" w:pos="1701"/>
        </w:tabs>
        <w:spacing w:before="80" w:after="80"/>
        <w:jc w:val="left"/>
        <w:rPr>
          <w:sz w:val="20"/>
        </w:rPr>
      </w:pPr>
      <w:r>
        <w:rPr>
          <w:sz w:val="20"/>
        </w:rPr>
        <w:t>PCH</w:t>
      </w:r>
      <w:r>
        <w:rPr>
          <w:sz w:val="20"/>
        </w:rPr>
        <w:tab/>
        <w:t>Prince Charles Hospital</w:t>
      </w:r>
    </w:p>
    <w:p w14:paraId="0DBE23E7" w14:textId="4988BE68" w:rsidR="005E785F" w:rsidRDefault="003621E8">
      <w:pPr>
        <w:pStyle w:val="ListBullet"/>
        <w:numPr>
          <w:ilvl w:val="0"/>
          <w:numId w:val="10"/>
        </w:numPr>
        <w:tabs>
          <w:tab w:val="left" w:pos="1701"/>
        </w:tabs>
        <w:spacing w:before="80" w:after="80"/>
        <w:jc w:val="left"/>
        <w:rPr>
          <w:sz w:val="20"/>
        </w:rPr>
      </w:pPr>
      <w:r>
        <w:rPr>
          <w:sz w:val="20"/>
        </w:rPr>
        <w:t>PCV</w:t>
      </w:r>
      <w:r>
        <w:rPr>
          <w:sz w:val="20"/>
        </w:rPr>
        <w:tab/>
        <w:t>packed-cell volume</w:t>
      </w:r>
    </w:p>
    <w:p w14:paraId="73FB1EED" w14:textId="1AB62A5E" w:rsidR="005E785F" w:rsidRDefault="003621E8">
      <w:pPr>
        <w:pStyle w:val="ListBullet"/>
        <w:numPr>
          <w:ilvl w:val="0"/>
          <w:numId w:val="10"/>
        </w:numPr>
        <w:tabs>
          <w:tab w:val="left" w:pos="1701"/>
        </w:tabs>
        <w:spacing w:before="80" w:after="80"/>
        <w:jc w:val="left"/>
        <w:rPr>
          <w:sz w:val="20"/>
        </w:rPr>
      </w:pPr>
      <w:r>
        <w:rPr>
          <w:sz w:val="20"/>
        </w:rPr>
        <w:t>PD</w:t>
      </w:r>
      <w:r>
        <w:rPr>
          <w:sz w:val="20"/>
        </w:rPr>
        <w:tab/>
        <w:t>pharmacodynamic</w:t>
      </w:r>
    </w:p>
    <w:p w14:paraId="59840661" w14:textId="5C6EE326" w:rsidR="005E785F" w:rsidRDefault="003621E8">
      <w:pPr>
        <w:pStyle w:val="ListBullet"/>
        <w:numPr>
          <w:ilvl w:val="0"/>
          <w:numId w:val="10"/>
        </w:numPr>
        <w:tabs>
          <w:tab w:val="left" w:pos="1701"/>
        </w:tabs>
        <w:spacing w:before="80" w:after="80"/>
        <w:jc w:val="left"/>
        <w:rPr>
          <w:sz w:val="20"/>
        </w:rPr>
      </w:pPr>
      <w:r>
        <w:rPr>
          <w:sz w:val="20"/>
        </w:rPr>
        <w:t>pDCs</w:t>
      </w:r>
      <w:r>
        <w:rPr>
          <w:sz w:val="20"/>
        </w:rPr>
        <w:tab/>
        <w:t>plasmacytoid dendritic cell</w:t>
      </w:r>
    </w:p>
    <w:p w14:paraId="250D06C4" w14:textId="51BAA260" w:rsidR="005E785F" w:rsidRDefault="003621E8">
      <w:pPr>
        <w:pStyle w:val="ListBullet"/>
        <w:numPr>
          <w:ilvl w:val="0"/>
          <w:numId w:val="10"/>
        </w:numPr>
        <w:tabs>
          <w:tab w:val="left" w:pos="1701"/>
        </w:tabs>
        <w:spacing w:before="80" w:after="80"/>
        <w:jc w:val="left"/>
        <w:rPr>
          <w:sz w:val="20"/>
        </w:rPr>
      </w:pPr>
      <w:r>
        <w:rPr>
          <w:sz w:val="20"/>
        </w:rPr>
        <w:t>PI</w:t>
      </w:r>
      <w:r>
        <w:rPr>
          <w:sz w:val="20"/>
        </w:rPr>
        <w:tab/>
        <w:t xml:space="preserve">principle investigator </w:t>
      </w:r>
    </w:p>
    <w:p w14:paraId="73FB1EEF" w14:textId="54F526E1" w:rsidR="005E785F" w:rsidRDefault="003621E8">
      <w:pPr>
        <w:pStyle w:val="ListBullet"/>
        <w:numPr>
          <w:ilvl w:val="0"/>
          <w:numId w:val="10"/>
        </w:numPr>
        <w:tabs>
          <w:tab w:val="left" w:pos="1701"/>
        </w:tabs>
        <w:spacing w:before="80" w:after="80"/>
        <w:jc w:val="left"/>
        <w:rPr>
          <w:sz w:val="20"/>
        </w:rPr>
      </w:pPr>
      <w:r>
        <w:rPr>
          <w:sz w:val="20"/>
        </w:rPr>
        <w:t>PK</w:t>
      </w:r>
      <w:r>
        <w:rPr>
          <w:sz w:val="20"/>
        </w:rPr>
        <w:tab/>
        <w:t>pharmacokinetic</w:t>
      </w:r>
    </w:p>
    <w:p w14:paraId="5BE16E90" w14:textId="64A02A2A" w:rsidR="005E785F" w:rsidRDefault="003621E8">
      <w:pPr>
        <w:pStyle w:val="ListBullet"/>
        <w:numPr>
          <w:ilvl w:val="0"/>
          <w:numId w:val="10"/>
        </w:numPr>
        <w:tabs>
          <w:tab w:val="left" w:pos="1701"/>
        </w:tabs>
        <w:spacing w:before="80" w:after="80"/>
        <w:jc w:val="left"/>
        <w:rPr>
          <w:sz w:val="20"/>
        </w:rPr>
      </w:pPr>
      <w:r>
        <w:rPr>
          <w:sz w:val="20"/>
        </w:rPr>
        <w:t>PPE</w:t>
      </w:r>
      <w:r>
        <w:rPr>
          <w:sz w:val="20"/>
        </w:rPr>
        <w:tab/>
        <w:t>personal protective equipment</w:t>
      </w:r>
    </w:p>
    <w:p w14:paraId="73FB1EF1" w14:textId="71D298B6" w:rsidR="005E785F" w:rsidRDefault="003621E8">
      <w:pPr>
        <w:pStyle w:val="ListBullet"/>
        <w:numPr>
          <w:ilvl w:val="0"/>
          <w:numId w:val="10"/>
        </w:numPr>
        <w:tabs>
          <w:tab w:val="left" w:pos="1701"/>
        </w:tabs>
        <w:spacing w:before="80" w:after="80"/>
        <w:jc w:val="left"/>
        <w:rPr>
          <w:sz w:val="20"/>
        </w:rPr>
      </w:pPr>
      <w:r>
        <w:rPr>
          <w:sz w:val="20"/>
        </w:rPr>
        <w:t>PR interval</w:t>
      </w:r>
      <w:r>
        <w:rPr>
          <w:sz w:val="20"/>
        </w:rPr>
        <w:tab/>
        <w:t xml:space="preserve">time the electrical impulse </w:t>
      </w:r>
      <w:r>
        <w:rPr>
          <w:sz w:val="20"/>
        </w:rPr>
        <w:tab/>
        <w:t xml:space="preserve">takes to travel from the sinus </w:t>
      </w:r>
      <w:r>
        <w:rPr>
          <w:sz w:val="20"/>
        </w:rPr>
        <w:tab/>
        <w:t xml:space="preserve">node through the AV node </w:t>
      </w:r>
      <w:r>
        <w:rPr>
          <w:sz w:val="20"/>
        </w:rPr>
        <w:tab/>
        <w:t xml:space="preserve">and entering the ventricles; </w:t>
      </w:r>
      <w:r>
        <w:rPr>
          <w:sz w:val="20"/>
        </w:rPr>
        <w:tab/>
        <w:t xml:space="preserve">measured from the beginning </w:t>
      </w:r>
      <w:r>
        <w:rPr>
          <w:sz w:val="20"/>
        </w:rPr>
        <w:tab/>
        <w:t xml:space="preserve">of the P wave to the beginning </w:t>
      </w:r>
      <w:r>
        <w:rPr>
          <w:sz w:val="20"/>
        </w:rPr>
        <w:tab/>
        <w:t>of the QRS complex</w:t>
      </w:r>
    </w:p>
    <w:p w14:paraId="69590623" w14:textId="77777777" w:rsidR="005E785F" w:rsidRDefault="003621E8">
      <w:pPr>
        <w:pStyle w:val="ListBullet"/>
        <w:numPr>
          <w:ilvl w:val="0"/>
          <w:numId w:val="10"/>
        </w:numPr>
        <w:tabs>
          <w:tab w:val="left" w:pos="1701"/>
        </w:tabs>
        <w:spacing w:before="80" w:after="80"/>
        <w:jc w:val="left"/>
        <w:rPr>
          <w:sz w:val="20"/>
        </w:rPr>
      </w:pPr>
      <w:r>
        <w:rPr>
          <w:sz w:val="20"/>
        </w:rPr>
        <w:t>PT</w:t>
      </w:r>
      <w:r>
        <w:tab/>
      </w:r>
      <w:r>
        <w:rPr>
          <w:sz w:val="20"/>
        </w:rPr>
        <w:t xml:space="preserve">prothrombin time </w:t>
      </w:r>
    </w:p>
    <w:p w14:paraId="37397208" w14:textId="4AE4D2A1" w:rsidR="005E785F" w:rsidRDefault="003621E8">
      <w:pPr>
        <w:pStyle w:val="ListBullet"/>
        <w:numPr>
          <w:ilvl w:val="0"/>
          <w:numId w:val="10"/>
        </w:numPr>
        <w:tabs>
          <w:tab w:val="left" w:pos="1701"/>
        </w:tabs>
        <w:spacing w:before="80" w:after="80"/>
        <w:jc w:val="left"/>
        <w:rPr>
          <w:sz w:val="20"/>
        </w:rPr>
      </w:pPr>
      <w:r>
        <w:rPr>
          <w:sz w:val="20"/>
        </w:rPr>
        <w:t>PV</w:t>
      </w:r>
      <w:r>
        <w:rPr>
          <w:sz w:val="20"/>
        </w:rPr>
        <w:tab/>
        <w:t>pharmacovigilance</w:t>
      </w:r>
    </w:p>
    <w:p w14:paraId="549FE3F9" w14:textId="77777777" w:rsidR="009B2BBA" w:rsidRDefault="003621E8" w:rsidP="009B2BBA">
      <w:pPr>
        <w:pStyle w:val="ListBullet"/>
        <w:numPr>
          <w:ilvl w:val="0"/>
          <w:numId w:val="10"/>
        </w:numPr>
        <w:tabs>
          <w:tab w:val="left" w:pos="1701"/>
        </w:tabs>
        <w:spacing w:before="80" w:after="80"/>
        <w:jc w:val="left"/>
        <w:rPr>
          <w:sz w:val="20"/>
        </w:rPr>
      </w:pPr>
      <w:r>
        <w:rPr>
          <w:sz w:val="20"/>
        </w:rPr>
        <w:t>QA</w:t>
      </w:r>
      <w:r>
        <w:rPr>
          <w:sz w:val="20"/>
        </w:rPr>
        <w:tab/>
        <w:t xml:space="preserve">quality assurance </w:t>
      </w:r>
    </w:p>
    <w:p w14:paraId="403F4635" w14:textId="335EBDB0" w:rsidR="009B2BBA" w:rsidRPr="009B2BBA" w:rsidRDefault="009B2BBA" w:rsidP="009B2BBA">
      <w:pPr>
        <w:pStyle w:val="ListBullet"/>
        <w:numPr>
          <w:ilvl w:val="0"/>
          <w:numId w:val="10"/>
        </w:numPr>
        <w:tabs>
          <w:tab w:val="left" w:pos="1701"/>
        </w:tabs>
        <w:spacing w:before="80" w:after="80"/>
        <w:jc w:val="left"/>
        <w:rPr>
          <w:sz w:val="20"/>
        </w:rPr>
      </w:pPr>
      <w:r w:rsidRPr="009B2BBA">
        <w:rPr>
          <w:sz w:val="20"/>
        </w:rPr>
        <w:t>QC</w:t>
      </w:r>
      <w:r w:rsidRPr="009B2BBA">
        <w:rPr>
          <w:sz w:val="20"/>
        </w:rPr>
        <w:tab/>
        <w:t>quality control</w:t>
      </w:r>
    </w:p>
    <w:p w14:paraId="73FB1EF2" w14:textId="77777777" w:rsidR="005E785F" w:rsidRDefault="003621E8">
      <w:pPr>
        <w:pStyle w:val="ListBullet"/>
        <w:numPr>
          <w:ilvl w:val="0"/>
          <w:numId w:val="10"/>
        </w:numPr>
        <w:tabs>
          <w:tab w:val="left" w:pos="1701"/>
        </w:tabs>
        <w:spacing w:before="80" w:after="80"/>
        <w:jc w:val="left"/>
        <w:rPr>
          <w:sz w:val="20"/>
        </w:rPr>
      </w:pPr>
      <w:r>
        <w:rPr>
          <w:sz w:val="20"/>
        </w:rPr>
        <w:t>QP</w:t>
      </w:r>
      <w:r>
        <w:rPr>
          <w:sz w:val="20"/>
        </w:rPr>
        <w:tab/>
        <w:t>qualified person</w:t>
      </w:r>
    </w:p>
    <w:p w14:paraId="73FB1EF3" w14:textId="23263B91" w:rsidR="005E785F" w:rsidRDefault="003621E8">
      <w:pPr>
        <w:pStyle w:val="ListBullet"/>
        <w:numPr>
          <w:ilvl w:val="0"/>
          <w:numId w:val="10"/>
        </w:numPr>
        <w:tabs>
          <w:tab w:val="left" w:pos="1701"/>
        </w:tabs>
        <w:spacing w:before="80" w:after="80"/>
        <w:jc w:val="left"/>
        <w:rPr>
          <w:sz w:val="20"/>
          <w:lang w:val="fr-BE"/>
        </w:rPr>
      </w:pPr>
      <w:r>
        <w:rPr>
          <w:sz w:val="20"/>
          <w:lang w:val="fr-BE"/>
        </w:rPr>
        <w:t>QRS</w:t>
      </w:r>
      <w:r>
        <w:rPr>
          <w:sz w:val="20"/>
          <w:lang w:val="fr-BE"/>
        </w:rPr>
        <w:tab/>
        <w:t xml:space="preserve">complex represents </w:t>
      </w:r>
      <w:r>
        <w:rPr>
          <w:sz w:val="20"/>
          <w:lang w:val="fr-BE"/>
        </w:rPr>
        <w:tab/>
        <w:t>ventricular depolarisation</w:t>
      </w:r>
    </w:p>
    <w:p w14:paraId="73FB1EF4" w14:textId="77777777" w:rsidR="005E785F" w:rsidRDefault="003621E8">
      <w:pPr>
        <w:pStyle w:val="ListBullet"/>
        <w:numPr>
          <w:ilvl w:val="0"/>
          <w:numId w:val="10"/>
        </w:numPr>
        <w:tabs>
          <w:tab w:val="left" w:pos="1701"/>
        </w:tabs>
        <w:spacing w:before="80" w:after="80"/>
        <w:jc w:val="left"/>
        <w:rPr>
          <w:sz w:val="20"/>
        </w:rPr>
      </w:pPr>
      <w:r>
        <w:rPr>
          <w:sz w:val="20"/>
        </w:rPr>
        <w:t>QT interval</w:t>
      </w:r>
      <w:r>
        <w:rPr>
          <w:sz w:val="20"/>
        </w:rPr>
        <w:tab/>
        <w:t xml:space="preserve">the time for both ventricular </w:t>
      </w:r>
      <w:r>
        <w:rPr>
          <w:sz w:val="20"/>
        </w:rPr>
        <w:tab/>
        <w:t xml:space="preserve">depolarisation and </w:t>
      </w:r>
      <w:r>
        <w:rPr>
          <w:sz w:val="20"/>
        </w:rPr>
        <w:tab/>
        <w:t xml:space="preserve">repolarisation to occur, and </w:t>
      </w:r>
      <w:r>
        <w:rPr>
          <w:sz w:val="20"/>
        </w:rPr>
        <w:tab/>
        <w:t xml:space="preserve">therefore roughly estimates </w:t>
      </w:r>
      <w:r>
        <w:rPr>
          <w:sz w:val="20"/>
        </w:rPr>
        <w:tab/>
        <w:t xml:space="preserve">the duration of an average </w:t>
      </w:r>
      <w:r>
        <w:rPr>
          <w:sz w:val="20"/>
        </w:rPr>
        <w:tab/>
        <w:t>ventricular action potential.</w:t>
      </w:r>
    </w:p>
    <w:p w14:paraId="73FB1EF5" w14:textId="77777777" w:rsidR="005E785F" w:rsidRDefault="003621E8">
      <w:pPr>
        <w:pStyle w:val="ListBullet"/>
        <w:numPr>
          <w:ilvl w:val="0"/>
          <w:numId w:val="10"/>
        </w:numPr>
        <w:tabs>
          <w:tab w:val="left" w:pos="1701"/>
        </w:tabs>
        <w:spacing w:before="80" w:after="80"/>
        <w:jc w:val="left"/>
        <w:rPr>
          <w:sz w:val="20"/>
        </w:rPr>
      </w:pPr>
      <w:r>
        <w:rPr>
          <w:sz w:val="20"/>
        </w:rPr>
        <w:t>QTc</w:t>
      </w:r>
      <w:r>
        <w:rPr>
          <w:sz w:val="20"/>
        </w:rPr>
        <w:tab/>
        <w:t>corrected QT interval</w:t>
      </w:r>
    </w:p>
    <w:p w14:paraId="73FB1EF7" w14:textId="77777777" w:rsidR="005E785F" w:rsidRDefault="003621E8">
      <w:pPr>
        <w:pStyle w:val="ListBullet"/>
        <w:numPr>
          <w:ilvl w:val="0"/>
          <w:numId w:val="10"/>
        </w:numPr>
        <w:tabs>
          <w:tab w:val="left" w:pos="1701"/>
        </w:tabs>
        <w:spacing w:before="80" w:after="80"/>
        <w:jc w:val="left"/>
        <w:rPr>
          <w:sz w:val="20"/>
        </w:rPr>
      </w:pPr>
      <w:r>
        <w:rPr>
          <w:sz w:val="20"/>
        </w:rPr>
        <w:t>QTcF</w:t>
      </w:r>
      <w:r>
        <w:rPr>
          <w:sz w:val="20"/>
        </w:rPr>
        <w:tab/>
        <w:t xml:space="preserve">corrected QT interval using </w:t>
      </w:r>
      <w:r>
        <w:rPr>
          <w:sz w:val="20"/>
        </w:rPr>
        <w:tab/>
        <w:t>Fridericia’s formula</w:t>
      </w:r>
    </w:p>
    <w:p w14:paraId="73FB1EF8" w14:textId="1252B097" w:rsidR="005E785F" w:rsidRDefault="003621E8">
      <w:pPr>
        <w:pStyle w:val="ListBullet"/>
        <w:numPr>
          <w:ilvl w:val="0"/>
          <w:numId w:val="10"/>
        </w:numPr>
        <w:tabs>
          <w:tab w:val="left" w:pos="1701"/>
        </w:tabs>
        <w:spacing w:before="80" w:after="80"/>
        <w:jc w:val="left"/>
        <w:rPr>
          <w:sz w:val="20"/>
        </w:rPr>
      </w:pPr>
      <w:r>
        <w:rPr>
          <w:sz w:val="20"/>
        </w:rPr>
        <w:t>RBC</w:t>
      </w:r>
      <w:r>
        <w:rPr>
          <w:sz w:val="20"/>
        </w:rPr>
        <w:tab/>
        <w:t>red blood cell(s)</w:t>
      </w:r>
    </w:p>
    <w:p w14:paraId="094D5D70" w14:textId="68BE53ED" w:rsidR="005E785F" w:rsidRDefault="003621E8">
      <w:pPr>
        <w:pStyle w:val="ListBullet"/>
        <w:numPr>
          <w:ilvl w:val="0"/>
          <w:numId w:val="10"/>
        </w:numPr>
        <w:tabs>
          <w:tab w:val="left" w:pos="1701"/>
        </w:tabs>
        <w:spacing w:before="80" w:after="80"/>
        <w:jc w:val="left"/>
        <w:rPr>
          <w:sz w:val="20"/>
        </w:rPr>
      </w:pPr>
      <w:r>
        <w:rPr>
          <w:sz w:val="20"/>
        </w:rPr>
        <w:t>RDW</w:t>
      </w:r>
      <w:r>
        <w:rPr>
          <w:sz w:val="20"/>
        </w:rPr>
        <w:tab/>
        <w:t xml:space="preserve">red blood cell distribution </w:t>
      </w:r>
      <w:r>
        <w:rPr>
          <w:sz w:val="20"/>
        </w:rPr>
        <w:tab/>
        <w:t>width</w:t>
      </w:r>
    </w:p>
    <w:p w14:paraId="73FB1EF9" w14:textId="33788E58" w:rsidR="005E785F" w:rsidRDefault="003621E8">
      <w:pPr>
        <w:pStyle w:val="ListBullet"/>
        <w:numPr>
          <w:ilvl w:val="0"/>
          <w:numId w:val="10"/>
        </w:numPr>
        <w:tabs>
          <w:tab w:val="left" w:pos="1701"/>
        </w:tabs>
        <w:spacing w:before="80" w:after="80"/>
        <w:jc w:val="left"/>
        <w:rPr>
          <w:sz w:val="20"/>
        </w:rPr>
      </w:pPr>
      <w:r>
        <w:rPr>
          <w:sz w:val="20"/>
        </w:rPr>
        <w:t>REC</w:t>
      </w:r>
      <w:r>
        <w:rPr>
          <w:sz w:val="20"/>
        </w:rPr>
        <w:tab/>
        <w:t>Research Ethics Committee</w:t>
      </w:r>
    </w:p>
    <w:p w14:paraId="2020E459" w14:textId="77777777" w:rsidR="009B2BBA" w:rsidRDefault="003621E8" w:rsidP="009B2BBA">
      <w:pPr>
        <w:pStyle w:val="ListBullet"/>
        <w:numPr>
          <w:ilvl w:val="0"/>
          <w:numId w:val="10"/>
        </w:numPr>
        <w:tabs>
          <w:tab w:val="left" w:pos="1701"/>
        </w:tabs>
        <w:spacing w:before="80" w:after="80"/>
        <w:jc w:val="left"/>
        <w:rPr>
          <w:sz w:val="20"/>
        </w:rPr>
      </w:pPr>
      <w:r>
        <w:rPr>
          <w:sz w:val="20"/>
        </w:rPr>
        <w:t>RMP</w:t>
      </w:r>
      <w:r>
        <w:rPr>
          <w:sz w:val="20"/>
        </w:rPr>
        <w:tab/>
        <w:t>risk management plan</w:t>
      </w:r>
    </w:p>
    <w:p w14:paraId="3111C5C4" w14:textId="61C00F89" w:rsidR="009B2BBA" w:rsidRPr="009B2BBA" w:rsidRDefault="009B2BBA" w:rsidP="009B2BBA">
      <w:pPr>
        <w:pStyle w:val="ListBullet"/>
        <w:numPr>
          <w:ilvl w:val="0"/>
          <w:numId w:val="10"/>
        </w:numPr>
        <w:tabs>
          <w:tab w:val="left" w:pos="1701"/>
        </w:tabs>
        <w:spacing w:before="80" w:after="80"/>
        <w:jc w:val="left"/>
        <w:rPr>
          <w:sz w:val="20"/>
        </w:rPr>
      </w:pPr>
      <w:r w:rsidRPr="009B2BBA">
        <w:rPr>
          <w:sz w:val="20"/>
        </w:rPr>
        <w:t xml:space="preserve">RR interval </w:t>
      </w:r>
      <w:r w:rsidRPr="009B2BBA">
        <w:rPr>
          <w:sz w:val="20"/>
        </w:rPr>
        <w:tab/>
        <w:t xml:space="preserve">the time elapsed between two </w:t>
      </w:r>
      <w:r w:rsidRPr="009B2BBA">
        <w:rPr>
          <w:sz w:val="20"/>
        </w:rPr>
        <w:tab/>
        <w:t>successive R waves</w:t>
      </w:r>
    </w:p>
    <w:p w14:paraId="7205E7BA" w14:textId="16BFD204" w:rsidR="005E785F" w:rsidRDefault="003621E8">
      <w:pPr>
        <w:pStyle w:val="ListBullet"/>
        <w:numPr>
          <w:ilvl w:val="0"/>
          <w:numId w:val="10"/>
        </w:numPr>
        <w:tabs>
          <w:tab w:val="left" w:pos="1701"/>
        </w:tabs>
        <w:spacing w:before="80" w:after="80"/>
        <w:jc w:val="left"/>
        <w:rPr>
          <w:sz w:val="20"/>
        </w:rPr>
      </w:pPr>
      <w:r>
        <w:rPr>
          <w:sz w:val="20"/>
        </w:rPr>
        <w:t>RT-PCR</w:t>
      </w:r>
      <w:r>
        <w:rPr>
          <w:sz w:val="20"/>
        </w:rPr>
        <w:tab/>
        <w:t xml:space="preserve">reverse transcription </w:t>
      </w:r>
      <w:r>
        <w:rPr>
          <w:sz w:val="20"/>
        </w:rPr>
        <w:tab/>
        <w:t>polymerase chain reaction</w:t>
      </w:r>
    </w:p>
    <w:p w14:paraId="412E91EE" w14:textId="4D3EE310" w:rsidR="005E785F" w:rsidRDefault="003621E8">
      <w:pPr>
        <w:pStyle w:val="ListBullet"/>
        <w:numPr>
          <w:ilvl w:val="0"/>
          <w:numId w:val="10"/>
        </w:numPr>
        <w:tabs>
          <w:tab w:val="left" w:pos="1701"/>
        </w:tabs>
        <w:spacing w:before="80" w:after="80"/>
        <w:jc w:val="left"/>
        <w:rPr>
          <w:sz w:val="20"/>
        </w:rPr>
      </w:pPr>
      <w:r>
        <w:rPr>
          <w:sz w:val="20"/>
        </w:rPr>
        <w:t>s</w:t>
      </w:r>
      <w:r>
        <w:rPr>
          <w:sz w:val="20"/>
        </w:rPr>
        <w:tab/>
        <w:t>second(s)</w:t>
      </w:r>
    </w:p>
    <w:p w14:paraId="73FB1EFB" w14:textId="77777777" w:rsidR="005E785F" w:rsidRDefault="003621E8">
      <w:pPr>
        <w:pStyle w:val="ListBullet"/>
        <w:numPr>
          <w:ilvl w:val="0"/>
          <w:numId w:val="10"/>
        </w:numPr>
        <w:tabs>
          <w:tab w:val="left" w:pos="1701"/>
        </w:tabs>
        <w:spacing w:before="80" w:after="80"/>
        <w:jc w:val="left"/>
        <w:rPr>
          <w:sz w:val="20"/>
        </w:rPr>
      </w:pPr>
      <w:r>
        <w:rPr>
          <w:sz w:val="20"/>
        </w:rPr>
        <w:t>SAE</w:t>
      </w:r>
      <w:r>
        <w:rPr>
          <w:sz w:val="20"/>
        </w:rPr>
        <w:tab/>
        <w:t>serious adverse event</w:t>
      </w:r>
    </w:p>
    <w:p w14:paraId="73FB1EFC" w14:textId="60D88812" w:rsidR="005E785F" w:rsidRDefault="003621E8">
      <w:pPr>
        <w:pStyle w:val="ListBullet"/>
        <w:numPr>
          <w:ilvl w:val="0"/>
          <w:numId w:val="10"/>
        </w:numPr>
        <w:tabs>
          <w:tab w:val="left" w:pos="1701"/>
        </w:tabs>
        <w:spacing w:before="80" w:after="80"/>
        <w:jc w:val="left"/>
        <w:rPr>
          <w:sz w:val="20"/>
        </w:rPr>
      </w:pPr>
      <w:r>
        <w:rPr>
          <w:sz w:val="20"/>
        </w:rPr>
        <w:t>SAP</w:t>
      </w:r>
      <w:r>
        <w:rPr>
          <w:sz w:val="20"/>
        </w:rPr>
        <w:tab/>
        <w:t>statistical analysis plan</w:t>
      </w:r>
    </w:p>
    <w:p w14:paraId="6DE8FC3E" w14:textId="0275770A" w:rsidR="005E785F" w:rsidRDefault="003621E8">
      <w:pPr>
        <w:pStyle w:val="ListBullet"/>
        <w:numPr>
          <w:ilvl w:val="0"/>
          <w:numId w:val="10"/>
        </w:numPr>
        <w:tabs>
          <w:tab w:val="left" w:pos="1701"/>
        </w:tabs>
        <w:spacing w:before="80" w:after="80"/>
        <w:jc w:val="left"/>
        <w:rPr>
          <w:sz w:val="20"/>
        </w:rPr>
      </w:pPr>
      <w:r>
        <w:rPr>
          <w:sz w:val="20"/>
        </w:rPr>
        <w:t>SAR</w:t>
      </w:r>
      <w:r>
        <w:rPr>
          <w:sz w:val="20"/>
        </w:rPr>
        <w:tab/>
        <w:t>serious adverse reaction</w:t>
      </w:r>
    </w:p>
    <w:p w14:paraId="73FB1EFD" w14:textId="5FCFC05C" w:rsidR="005E785F" w:rsidRDefault="003621E8">
      <w:pPr>
        <w:pStyle w:val="ListBullet"/>
        <w:numPr>
          <w:ilvl w:val="0"/>
          <w:numId w:val="10"/>
        </w:numPr>
        <w:tabs>
          <w:tab w:val="left" w:pos="1701"/>
        </w:tabs>
        <w:spacing w:before="80" w:after="80"/>
        <w:jc w:val="left"/>
        <w:rPr>
          <w:sz w:val="20"/>
        </w:rPr>
      </w:pPr>
      <w:r>
        <w:rPr>
          <w:sz w:val="20"/>
        </w:rPr>
        <w:t>SAS</w:t>
      </w:r>
      <w:r>
        <w:rPr>
          <w:sz w:val="20"/>
        </w:rPr>
        <w:tab/>
        <w:t xml:space="preserve">statistical analysis software by </w:t>
      </w:r>
      <w:r>
        <w:rPr>
          <w:sz w:val="20"/>
        </w:rPr>
        <w:tab/>
        <w:t>SAS Institute Inc., USA</w:t>
      </w:r>
    </w:p>
    <w:p w14:paraId="40138607" w14:textId="66095229" w:rsidR="005E785F" w:rsidRDefault="003621E8">
      <w:pPr>
        <w:pStyle w:val="ListBullet"/>
        <w:numPr>
          <w:ilvl w:val="0"/>
          <w:numId w:val="10"/>
        </w:numPr>
        <w:tabs>
          <w:tab w:val="left" w:pos="1701"/>
        </w:tabs>
        <w:spacing w:before="80" w:after="80"/>
        <w:jc w:val="left"/>
        <w:rPr>
          <w:sz w:val="20"/>
        </w:rPr>
      </w:pPr>
      <w:r>
        <w:rPr>
          <w:sz w:val="20"/>
        </w:rPr>
        <w:t>SC</w:t>
      </w:r>
      <w:r>
        <w:rPr>
          <w:sz w:val="20"/>
        </w:rPr>
        <w:tab/>
        <w:t xml:space="preserve">subcutaneous </w:t>
      </w:r>
    </w:p>
    <w:p w14:paraId="73FB1EFE" w14:textId="11A23965" w:rsidR="005E785F" w:rsidRDefault="003621E8">
      <w:pPr>
        <w:pStyle w:val="ListBullet"/>
        <w:numPr>
          <w:ilvl w:val="0"/>
          <w:numId w:val="10"/>
        </w:numPr>
        <w:tabs>
          <w:tab w:val="left" w:pos="1701"/>
        </w:tabs>
        <w:spacing w:before="80" w:after="80"/>
        <w:jc w:val="left"/>
        <w:rPr>
          <w:sz w:val="20"/>
        </w:rPr>
      </w:pPr>
      <w:r>
        <w:rPr>
          <w:sz w:val="20"/>
        </w:rPr>
        <w:t>SD</w:t>
      </w:r>
      <w:r>
        <w:rPr>
          <w:sz w:val="20"/>
        </w:rPr>
        <w:tab/>
        <w:t>standard deviation</w:t>
      </w:r>
    </w:p>
    <w:p w14:paraId="1B8C0BF2" w14:textId="77777777" w:rsidR="009B2BBA" w:rsidRDefault="003621E8" w:rsidP="009B2BBA">
      <w:pPr>
        <w:pStyle w:val="ListBullet"/>
        <w:numPr>
          <w:ilvl w:val="0"/>
          <w:numId w:val="10"/>
        </w:numPr>
        <w:tabs>
          <w:tab w:val="left" w:pos="1701"/>
        </w:tabs>
        <w:spacing w:before="80" w:after="80"/>
        <w:jc w:val="left"/>
        <w:rPr>
          <w:sz w:val="20"/>
        </w:rPr>
      </w:pPr>
      <w:r>
        <w:rPr>
          <w:sz w:val="20"/>
        </w:rPr>
        <w:t>SHM</w:t>
      </w:r>
      <w:r>
        <w:rPr>
          <w:sz w:val="20"/>
        </w:rPr>
        <w:tab/>
        <w:t>sample handling manual</w:t>
      </w:r>
    </w:p>
    <w:p w14:paraId="7A22385B" w14:textId="16F6F7C5" w:rsidR="009B2BBA" w:rsidRPr="009B2BBA" w:rsidRDefault="009B2BBA" w:rsidP="009B2BBA">
      <w:pPr>
        <w:pStyle w:val="ListBullet"/>
        <w:numPr>
          <w:ilvl w:val="0"/>
          <w:numId w:val="10"/>
        </w:numPr>
        <w:tabs>
          <w:tab w:val="left" w:pos="1701"/>
        </w:tabs>
        <w:spacing w:before="80" w:after="80"/>
        <w:jc w:val="left"/>
        <w:rPr>
          <w:sz w:val="20"/>
        </w:rPr>
      </w:pPr>
      <w:r w:rsidRPr="009B2BBA">
        <w:rPr>
          <w:sz w:val="20"/>
        </w:rPr>
        <w:t xml:space="preserve">SI </w:t>
      </w:r>
      <w:r w:rsidRPr="009B2BBA">
        <w:rPr>
          <w:sz w:val="20"/>
        </w:rPr>
        <w:tab/>
        <w:t>Statutory Instrument</w:t>
      </w:r>
    </w:p>
    <w:p w14:paraId="517BC14B" w14:textId="3E1F1E93" w:rsidR="005E785F" w:rsidRDefault="003621E8">
      <w:pPr>
        <w:pStyle w:val="ListBullet"/>
        <w:numPr>
          <w:ilvl w:val="0"/>
          <w:numId w:val="10"/>
        </w:numPr>
        <w:tabs>
          <w:tab w:val="left" w:pos="1701"/>
        </w:tabs>
        <w:spacing w:before="80" w:after="80"/>
        <w:jc w:val="left"/>
        <w:rPr>
          <w:sz w:val="20"/>
        </w:rPr>
      </w:pPr>
      <w:r>
        <w:rPr>
          <w:sz w:val="20"/>
        </w:rPr>
        <w:t>SMP</w:t>
      </w:r>
      <w:r>
        <w:rPr>
          <w:sz w:val="20"/>
        </w:rPr>
        <w:tab/>
        <w:t>safety management plan</w:t>
      </w:r>
    </w:p>
    <w:p w14:paraId="73FB1F00" w14:textId="77777777" w:rsidR="005E785F" w:rsidRDefault="003621E8">
      <w:pPr>
        <w:pStyle w:val="ListBullet"/>
        <w:numPr>
          <w:ilvl w:val="0"/>
          <w:numId w:val="10"/>
        </w:numPr>
        <w:tabs>
          <w:tab w:val="left" w:pos="1701"/>
        </w:tabs>
        <w:spacing w:before="80" w:after="80"/>
        <w:jc w:val="left"/>
        <w:rPr>
          <w:sz w:val="20"/>
        </w:rPr>
      </w:pPr>
      <w:r>
        <w:rPr>
          <w:sz w:val="20"/>
        </w:rPr>
        <w:t>SOC</w:t>
      </w:r>
      <w:r>
        <w:rPr>
          <w:sz w:val="20"/>
        </w:rPr>
        <w:tab/>
        <w:t>system organ class</w:t>
      </w:r>
    </w:p>
    <w:p w14:paraId="73FB1F01" w14:textId="6B0BA57E" w:rsidR="005E785F" w:rsidRDefault="003621E8">
      <w:pPr>
        <w:pStyle w:val="ListBullet"/>
        <w:numPr>
          <w:ilvl w:val="0"/>
          <w:numId w:val="10"/>
        </w:numPr>
        <w:tabs>
          <w:tab w:val="left" w:pos="1701"/>
        </w:tabs>
        <w:spacing w:before="80" w:after="80"/>
        <w:jc w:val="left"/>
        <w:rPr>
          <w:sz w:val="20"/>
        </w:rPr>
      </w:pPr>
      <w:r>
        <w:rPr>
          <w:sz w:val="20"/>
        </w:rPr>
        <w:lastRenderedPageBreak/>
        <w:t>SOP</w:t>
      </w:r>
      <w:r>
        <w:rPr>
          <w:sz w:val="20"/>
        </w:rPr>
        <w:tab/>
        <w:t xml:space="preserve">standard operating </w:t>
      </w:r>
      <w:r>
        <w:rPr>
          <w:sz w:val="20"/>
        </w:rPr>
        <w:tab/>
        <w:t>procedure(s)</w:t>
      </w:r>
    </w:p>
    <w:p w14:paraId="38D8BF6C" w14:textId="05CE3DE3" w:rsidR="005E785F" w:rsidRDefault="003621E8">
      <w:pPr>
        <w:pStyle w:val="ListBullet"/>
        <w:numPr>
          <w:ilvl w:val="0"/>
          <w:numId w:val="10"/>
        </w:numPr>
        <w:tabs>
          <w:tab w:val="left" w:pos="1701"/>
        </w:tabs>
        <w:spacing w:before="80" w:after="80"/>
        <w:jc w:val="left"/>
        <w:rPr>
          <w:sz w:val="20"/>
        </w:rPr>
      </w:pPr>
      <w:r>
        <w:rPr>
          <w:sz w:val="20"/>
        </w:rPr>
        <w:t>SRC</w:t>
      </w:r>
      <w:r>
        <w:rPr>
          <w:sz w:val="20"/>
        </w:rPr>
        <w:tab/>
        <w:t>Safety Review Committee</w:t>
      </w:r>
    </w:p>
    <w:p w14:paraId="73FB1F02" w14:textId="77777777" w:rsidR="005E785F" w:rsidRDefault="003621E8">
      <w:pPr>
        <w:pStyle w:val="ListBullet"/>
        <w:numPr>
          <w:ilvl w:val="0"/>
          <w:numId w:val="10"/>
        </w:numPr>
        <w:tabs>
          <w:tab w:val="left" w:pos="1701"/>
        </w:tabs>
        <w:spacing w:before="80" w:after="80"/>
        <w:jc w:val="left"/>
        <w:rPr>
          <w:sz w:val="20"/>
        </w:rPr>
      </w:pPr>
      <w:r>
        <w:rPr>
          <w:sz w:val="20"/>
        </w:rPr>
        <w:t>SUSAR</w:t>
      </w:r>
      <w:r>
        <w:rPr>
          <w:sz w:val="20"/>
        </w:rPr>
        <w:tab/>
      </w:r>
      <w:r>
        <w:rPr>
          <w:color w:val="000000"/>
          <w:sz w:val="20"/>
        </w:rPr>
        <w:t xml:space="preserve">suspected unexpected serious </w:t>
      </w:r>
      <w:r>
        <w:rPr>
          <w:color w:val="000000"/>
          <w:sz w:val="20"/>
        </w:rPr>
        <w:tab/>
        <w:t>adverse reaction</w:t>
      </w:r>
    </w:p>
    <w:p w14:paraId="73FB1F03" w14:textId="02D0E84D" w:rsidR="005E785F" w:rsidRDefault="003621E8">
      <w:pPr>
        <w:pStyle w:val="ListBullet"/>
        <w:numPr>
          <w:ilvl w:val="0"/>
          <w:numId w:val="10"/>
        </w:numPr>
        <w:tabs>
          <w:tab w:val="left" w:pos="1701"/>
        </w:tabs>
        <w:spacing w:before="80" w:after="80"/>
        <w:jc w:val="left"/>
        <w:rPr>
          <w:sz w:val="20"/>
        </w:rPr>
      </w:pPr>
      <w:r>
        <w:rPr>
          <w:sz w:val="20"/>
        </w:rPr>
        <w:t>t</w:t>
      </w:r>
      <w:r>
        <w:rPr>
          <w:sz w:val="20"/>
          <w:vertAlign w:val="subscript"/>
        </w:rPr>
        <w:t>½</w:t>
      </w:r>
      <w:r>
        <w:rPr>
          <w:sz w:val="20"/>
        </w:rPr>
        <w:tab/>
        <w:t>terminal elimination half-life</w:t>
      </w:r>
    </w:p>
    <w:p w14:paraId="02A81F34" w14:textId="17954886" w:rsidR="005E785F" w:rsidRDefault="003621E8">
      <w:pPr>
        <w:pStyle w:val="ListBullet"/>
        <w:numPr>
          <w:ilvl w:val="0"/>
          <w:numId w:val="10"/>
        </w:numPr>
        <w:tabs>
          <w:tab w:val="left" w:pos="1701"/>
        </w:tabs>
        <w:spacing w:before="80" w:after="80"/>
        <w:jc w:val="left"/>
        <w:rPr>
          <w:sz w:val="20"/>
        </w:rPr>
      </w:pPr>
      <w:r>
        <w:rPr>
          <w:sz w:val="20"/>
        </w:rPr>
        <w:t>TEAE</w:t>
      </w:r>
      <w:r>
        <w:rPr>
          <w:sz w:val="20"/>
        </w:rPr>
        <w:tab/>
        <w:t xml:space="preserve">Treatment Emergent Adverse </w:t>
      </w:r>
      <w:r>
        <w:rPr>
          <w:sz w:val="20"/>
        </w:rPr>
        <w:tab/>
        <w:t>Event</w:t>
      </w:r>
    </w:p>
    <w:p w14:paraId="550BF64C" w14:textId="16CB44B4" w:rsidR="005E785F" w:rsidRDefault="003621E8">
      <w:pPr>
        <w:pStyle w:val="ListBullet"/>
        <w:numPr>
          <w:ilvl w:val="0"/>
          <w:numId w:val="10"/>
        </w:numPr>
        <w:tabs>
          <w:tab w:val="left" w:pos="1701"/>
        </w:tabs>
        <w:spacing w:before="80" w:after="80"/>
        <w:jc w:val="left"/>
        <w:rPr>
          <w:sz w:val="20"/>
        </w:rPr>
      </w:pPr>
      <w:r>
        <w:rPr>
          <w:sz w:val="20"/>
        </w:rPr>
        <w:t>TSH</w:t>
      </w:r>
      <w:r>
        <w:rPr>
          <w:sz w:val="20"/>
        </w:rPr>
        <w:tab/>
        <w:t xml:space="preserve">thyroid stimulating hormone </w:t>
      </w:r>
    </w:p>
    <w:p w14:paraId="25917EFE" w14:textId="53C4D212" w:rsidR="005E785F" w:rsidRDefault="003621E8">
      <w:pPr>
        <w:pStyle w:val="ListBullet"/>
        <w:numPr>
          <w:ilvl w:val="0"/>
          <w:numId w:val="10"/>
        </w:numPr>
        <w:tabs>
          <w:tab w:val="left" w:pos="1701"/>
        </w:tabs>
        <w:spacing w:before="80" w:after="80"/>
        <w:jc w:val="left"/>
        <w:rPr>
          <w:sz w:val="20"/>
        </w:rPr>
      </w:pPr>
      <w:r>
        <w:rPr>
          <w:sz w:val="20"/>
        </w:rPr>
        <w:t>TLR9</w:t>
      </w:r>
      <w:r>
        <w:rPr>
          <w:sz w:val="20"/>
        </w:rPr>
        <w:tab/>
        <w:t xml:space="preserve">Toll-like receptor-9 </w:t>
      </w:r>
    </w:p>
    <w:p w14:paraId="73FB1F04" w14:textId="28E4DB30" w:rsidR="005E785F" w:rsidRDefault="003621E8">
      <w:pPr>
        <w:pStyle w:val="ListBullet"/>
        <w:numPr>
          <w:ilvl w:val="0"/>
          <w:numId w:val="10"/>
        </w:numPr>
        <w:tabs>
          <w:tab w:val="left" w:pos="1701"/>
        </w:tabs>
        <w:spacing w:before="80" w:after="80"/>
        <w:ind w:left="284"/>
        <w:jc w:val="left"/>
        <w:rPr>
          <w:sz w:val="20"/>
        </w:rPr>
      </w:pPr>
      <w:r>
        <w:rPr>
          <w:sz w:val="20"/>
        </w:rPr>
        <w:t>T</w:t>
      </w:r>
      <w:r>
        <w:rPr>
          <w:sz w:val="20"/>
          <w:vertAlign w:val="subscript"/>
        </w:rPr>
        <w:t>max</w:t>
      </w:r>
      <w:r>
        <w:rPr>
          <w:sz w:val="20"/>
        </w:rPr>
        <w:tab/>
        <w:t>the time to C</w:t>
      </w:r>
      <w:r>
        <w:rPr>
          <w:sz w:val="20"/>
          <w:vertAlign w:val="subscript"/>
        </w:rPr>
        <w:t>max</w:t>
      </w:r>
      <w:r>
        <w:rPr>
          <w:sz w:val="20"/>
        </w:rPr>
        <w:t xml:space="preserve"> </w:t>
      </w:r>
    </w:p>
    <w:p w14:paraId="6EB98465" w14:textId="0B15A508" w:rsidR="009B2BBA" w:rsidRDefault="009B2BBA">
      <w:pPr>
        <w:pStyle w:val="ListBullet"/>
        <w:numPr>
          <w:ilvl w:val="0"/>
          <w:numId w:val="10"/>
        </w:numPr>
        <w:tabs>
          <w:tab w:val="left" w:pos="1701"/>
        </w:tabs>
        <w:spacing w:before="80" w:after="80"/>
        <w:ind w:left="284"/>
        <w:jc w:val="left"/>
        <w:rPr>
          <w:sz w:val="20"/>
        </w:rPr>
      </w:pPr>
      <w:r>
        <w:rPr>
          <w:sz w:val="20"/>
        </w:rPr>
        <w:t>TMF</w:t>
      </w:r>
      <w:r>
        <w:rPr>
          <w:sz w:val="20"/>
        </w:rPr>
        <w:tab/>
        <w:t>Trial Master File</w:t>
      </w:r>
    </w:p>
    <w:p w14:paraId="75E066B6" w14:textId="77777777" w:rsidR="005E785F" w:rsidRDefault="003621E8">
      <w:pPr>
        <w:pStyle w:val="ListBullet"/>
        <w:numPr>
          <w:ilvl w:val="0"/>
          <w:numId w:val="10"/>
        </w:numPr>
        <w:tabs>
          <w:tab w:val="left" w:pos="1701"/>
        </w:tabs>
        <w:spacing w:before="80" w:after="80"/>
        <w:ind w:left="284"/>
        <w:jc w:val="left"/>
        <w:rPr>
          <w:sz w:val="20"/>
        </w:rPr>
      </w:pPr>
      <w:r>
        <w:rPr>
          <w:sz w:val="20"/>
        </w:rPr>
        <w:t>TK</w:t>
      </w:r>
      <w:r>
        <w:rPr>
          <w:sz w:val="20"/>
        </w:rPr>
        <w:tab/>
        <w:t>toxicokinetic</w:t>
      </w:r>
    </w:p>
    <w:p w14:paraId="73FB1F08" w14:textId="61A79A89" w:rsidR="005E785F" w:rsidRDefault="003621E8">
      <w:pPr>
        <w:pStyle w:val="ListBullet"/>
        <w:numPr>
          <w:ilvl w:val="0"/>
          <w:numId w:val="10"/>
        </w:numPr>
        <w:tabs>
          <w:tab w:val="left" w:pos="1701"/>
        </w:tabs>
        <w:spacing w:before="80" w:after="80"/>
        <w:ind w:left="284"/>
        <w:jc w:val="left"/>
        <w:rPr>
          <w:sz w:val="20"/>
        </w:rPr>
      </w:pPr>
      <w:r>
        <w:rPr>
          <w:sz w:val="20"/>
        </w:rPr>
        <w:t>UK</w:t>
      </w:r>
      <w:r>
        <w:rPr>
          <w:sz w:val="20"/>
        </w:rPr>
        <w:tab/>
        <w:t>United Kingdom</w:t>
      </w:r>
    </w:p>
    <w:p w14:paraId="387BD29D" w14:textId="5E6130F3" w:rsidR="005E785F" w:rsidRDefault="003621E8">
      <w:pPr>
        <w:pStyle w:val="ListBullet"/>
        <w:numPr>
          <w:ilvl w:val="0"/>
          <w:numId w:val="10"/>
        </w:numPr>
        <w:tabs>
          <w:tab w:val="left" w:pos="1701"/>
        </w:tabs>
        <w:spacing w:before="80" w:after="80"/>
        <w:ind w:left="284"/>
        <w:jc w:val="left"/>
        <w:rPr>
          <w:sz w:val="20"/>
        </w:rPr>
      </w:pPr>
      <w:r>
        <w:rPr>
          <w:sz w:val="20"/>
        </w:rPr>
        <w:t>VL</w:t>
      </w:r>
      <w:r>
        <w:rPr>
          <w:sz w:val="20"/>
        </w:rPr>
        <w:tab/>
        <w:t>visceral leishmaniasis</w:t>
      </w:r>
    </w:p>
    <w:p w14:paraId="519FCF04" w14:textId="6AB772A6" w:rsidR="005E785F" w:rsidRDefault="003621E8">
      <w:pPr>
        <w:pStyle w:val="ListBullet"/>
        <w:numPr>
          <w:ilvl w:val="0"/>
          <w:numId w:val="10"/>
        </w:numPr>
        <w:tabs>
          <w:tab w:val="left" w:pos="1701"/>
        </w:tabs>
        <w:spacing w:before="80" w:after="80"/>
        <w:ind w:left="284"/>
        <w:jc w:val="left"/>
        <w:rPr>
          <w:sz w:val="20"/>
        </w:rPr>
      </w:pPr>
      <w:r>
        <w:rPr>
          <w:sz w:val="20"/>
        </w:rPr>
        <w:t>UBC</w:t>
      </w:r>
      <w:r>
        <w:rPr>
          <w:sz w:val="20"/>
        </w:rPr>
        <w:tab/>
        <w:t xml:space="preserve">United BioSource </w:t>
      </w:r>
      <w:r>
        <w:rPr>
          <w:sz w:val="20"/>
        </w:rPr>
        <w:tab/>
        <w:t>Corporation</w:t>
      </w:r>
    </w:p>
    <w:p w14:paraId="73FB1F09" w14:textId="77777777" w:rsidR="005E785F" w:rsidRDefault="003621E8">
      <w:pPr>
        <w:pStyle w:val="ListBullet"/>
        <w:numPr>
          <w:ilvl w:val="0"/>
          <w:numId w:val="10"/>
        </w:numPr>
        <w:tabs>
          <w:tab w:val="left" w:pos="1701"/>
        </w:tabs>
        <w:spacing w:before="80" w:after="80"/>
        <w:ind w:left="284"/>
        <w:jc w:val="left"/>
        <w:rPr>
          <w:sz w:val="20"/>
        </w:rPr>
      </w:pPr>
      <w:r>
        <w:rPr>
          <w:sz w:val="20"/>
        </w:rPr>
        <w:t>USA</w:t>
      </w:r>
      <w:r>
        <w:rPr>
          <w:sz w:val="20"/>
        </w:rPr>
        <w:tab/>
        <w:t>United States of America</w:t>
      </w:r>
    </w:p>
    <w:p w14:paraId="0CE99DF0" w14:textId="77777777" w:rsidR="009B2BBA" w:rsidRPr="00A529B5" w:rsidRDefault="003621E8" w:rsidP="009B2BBA">
      <w:pPr>
        <w:pStyle w:val="ListBullet"/>
        <w:numPr>
          <w:ilvl w:val="0"/>
          <w:numId w:val="10"/>
        </w:numPr>
        <w:tabs>
          <w:tab w:val="left" w:pos="1701"/>
        </w:tabs>
        <w:spacing w:before="80" w:after="80"/>
        <w:ind w:left="284"/>
        <w:jc w:val="left"/>
        <w:rPr>
          <w:sz w:val="20"/>
        </w:rPr>
      </w:pPr>
      <w:r w:rsidRPr="00A529B5">
        <w:rPr>
          <w:sz w:val="20"/>
        </w:rPr>
        <w:t>WBC</w:t>
      </w:r>
      <w:r w:rsidRPr="00A529B5">
        <w:rPr>
          <w:sz w:val="20"/>
        </w:rPr>
        <w:tab/>
        <w:t>white blood cell(s)</w:t>
      </w:r>
      <w:bookmarkEnd w:id="24"/>
    </w:p>
    <w:p w14:paraId="20CB5083" w14:textId="77777777" w:rsidR="009B2BBA" w:rsidRPr="00A529B5" w:rsidRDefault="009B2BBA" w:rsidP="009B2BBA">
      <w:pPr>
        <w:pStyle w:val="ListBullet"/>
        <w:numPr>
          <w:ilvl w:val="0"/>
          <w:numId w:val="10"/>
        </w:numPr>
        <w:tabs>
          <w:tab w:val="left" w:pos="1701"/>
        </w:tabs>
        <w:spacing w:before="80" w:after="80"/>
        <w:ind w:left="284"/>
        <w:jc w:val="left"/>
        <w:rPr>
          <w:sz w:val="20"/>
        </w:rPr>
      </w:pPr>
      <w:r w:rsidRPr="00A529B5">
        <w:rPr>
          <w:szCs w:val="24"/>
        </w:rPr>
        <w:t>ºC</w:t>
      </w:r>
      <w:r w:rsidRPr="00A529B5">
        <w:rPr>
          <w:szCs w:val="24"/>
        </w:rPr>
        <w:tab/>
        <w:t>degrees Celsius</w:t>
      </w:r>
    </w:p>
    <w:p w14:paraId="73FB1F0C" w14:textId="58611E11" w:rsidR="009B2BBA" w:rsidRPr="009B2BBA" w:rsidRDefault="009B2BBA" w:rsidP="009B2BBA">
      <w:pPr>
        <w:pStyle w:val="ListBullet"/>
        <w:numPr>
          <w:ilvl w:val="0"/>
          <w:numId w:val="10"/>
        </w:numPr>
        <w:tabs>
          <w:tab w:val="left" w:pos="1701"/>
        </w:tabs>
        <w:spacing w:before="80" w:after="80"/>
        <w:ind w:left="284"/>
        <w:jc w:val="left"/>
        <w:rPr>
          <w:sz w:val="20"/>
        </w:rPr>
        <w:sectPr w:rsidR="009B2BBA" w:rsidRPr="009B2BBA">
          <w:type w:val="continuous"/>
          <w:pgSz w:w="11907" w:h="16839" w:code="9"/>
          <w:pgMar w:top="1440" w:right="1440" w:bottom="1440" w:left="1440" w:header="540" w:footer="720" w:gutter="0"/>
          <w:cols w:num="2" w:space="720"/>
          <w:docGrid w:linePitch="254"/>
        </w:sectPr>
      </w:pPr>
      <w:r w:rsidRPr="00A529B5">
        <w:rPr>
          <w:szCs w:val="24"/>
        </w:rPr>
        <w:t>%</w:t>
      </w:r>
      <w:r w:rsidRPr="00A529B5">
        <w:rPr>
          <w:szCs w:val="24"/>
        </w:rPr>
        <w:tab/>
        <w:t>percent</w:t>
      </w:r>
    </w:p>
    <w:p w14:paraId="73FB1F0E" w14:textId="494ECE9B" w:rsidR="005E785F" w:rsidRDefault="003621E8">
      <w:pPr>
        <w:pStyle w:val="Heading1"/>
      </w:pPr>
      <w:r>
        <w:br w:type="page"/>
      </w:r>
      <w:bookmarkStart w:id="26" w:name="_Toc74904334"/>
      <w:r>
        <w:lastRenderedPageBreak/>
        <w:t>ETHICS</w:t>
      </w:r>
      <w:bookmarkEnd w:id="25"/>
      <w:bookmarkEnd w:id="26"/>
    </w:p>
    <w:p w14:paraId="73FB1F0F" w14:textId="61FE5C18" w:rsidR="005E785F" w:rsidRDefault="003621E8">
      <w:pPr>
        <w:pStyle w:val="Heading2"/>
      </w:pPr>
      <w:bookmarkStart w:id="27" w:name="_Toc74904335"/>
      <w:bookmarkStart w:id="28" w:name="_Toc200273908"/>
      <w:r>
        <w:t>Research Ethics Committee or Institutional Review Board</w:t>
      </w:r>
      <w:bookmarkEnd w:id="27"/>
      <w:r>
        <w:t xml:space="preserve"> </w:t>
      </w:r>
      <w:bookmarkEnd w:id="28"/>
    </w:p>
    <w:p w14:paraId="73FB1F11" w14:textId="26273C82" w:rsidR="005E785F" w:rsidRDefault="003621E8">
      <w:pPr>
        <w:pStyle w:val="C-BodyText"/>
        <w:spacing w:line="240" w:lineRule="auto"/>
        <w:jc w:val="both"/>
        <w:rPr>
          <w:lang w:val="en-GB"/>
        </w:rPr>
      </w:pPr>
      <w:r>
        <w:rPr>
          <w:lang w:val="en-GB"/>
        </w:rPr>
        <w:t>This study protocol will be submitted to the Research Ethics Committee (REC) for review and provision of a favourable opinion.  The favourable opinion of the REC must be obtained before commencement of any study procedures.</w:t>
      </w:r>
    </w:p>
    <w:p w14:paraId="73FB1F12" w14:textId="2B30BF12" w:rsidR="005E785F" w:rsidRDefault="003621E8">
      <w:pPr>
        <w:pStyle w:val="C-BodyText"/>
        <w:spacing w:line="240" w:lineRule="auto"/>
        <w:jc w:val="both"/>
        <w:rPr>
          <w:lang w:val="en-GB"/>
        </w:rPr>
      </w:pPr>
      <w:r>
        <w:rPr>
          <w:lang w:val="en-GB"/>
        </w:rPr>
        <w:t xml:space="preserve">The favourable opinion is conditional upon the Sponsor registering the clinical trial in a publicly accessible database, within 6 weeks of the first participant recruited or following confirmation of an appropriate Health Research Authority (HRA) deferral.  </w:t>
      </w:r>
    </w:p>
    <w:p w14:paraId="73FB1F13" w14:textId="724A061A" w:rsidR="005E785F" w:rsidRDefault="003621E8">
      <w:pPr>
        <w:pStyle w:val="C-BodyText"/>
        <w:spacing w:line="240" w:lineRule="auto"/>
        <w:jc w:val="both"/>
        <w:rPr>
          <w:lang w:val="en-GB"/>
        </w:rPr>
      </w:pPr>
      <w:r>
        <w:rPr>
          <w:lang w:val="en-GB"/>
        </w:rPr>
        <w:t>All substantial protocol amendments must receive favourable opinion from the REC responsible for the study. Non-substantial amendments will not require prior favourable opinion by the REC.</w:t>
      </w:r>
    </w:p>
    <w:p w14:paraId="73FB1F14" w14:textId="77777777" w:rsidR="005E785F" w:rsidRDefault="003621E8">
      <w:pPr>
        <w:pStyle w:val="C-BodyText"/>
        <w:spacing w:line="240" w:lineRule="auto"/>
        <w:jc w:val="both"/>
        <w:rPr>
          <w:lang w:val="en-GB"/>
        </w:rPr>
      </w:pPr>
      <w:r>
        <w:rPr>
          <w:lang w:val="en-GB"/>
        </w:rPr>
        <w:t>If the study is stopped due to adverse events (AEs) it will not be recommenced without reference to the REC responsible for the study.</w:t>
      </w:r>
    </w:p>
    <w:p w14:paraId="73FB1F15" w14:textId="19D08AF7" w:rsidR="005E785F" w:rsidRDefault="003621E8">
      <w:pPr>
        <w:pStyle w:val="C-BodyText"/>
        <w:spacing w:line="240" w:lineRule="auto"/>
        <w:jc w:val="both"/>
        <w:rPr>
          <w:lang w:val="en-GB"/>
        </w:rPr>
      </w:pPr>
      <w:r>
        <w:rPr>
          <w:lang w:val="en-GB"/>
        </w:rPr>
        <w:t>The outcome of the study (e.g., completed) will be reported to the REC responsible for the study within 90 days of completion of the last participant’s final study procedures. In the event of the study being prematurely terminated, a report will be submitted to the REC responsible for the study within 15 days.</w:t>
      </w:r>
    </w:p>
    <w:p w14:paraId="73FB1F16" w14:textId="240C070C" w:rsidR="005E785F" w:rsidRDefault="003621E8">
      <w:pPr>
        <w:pStyle w:val="C-BodyText"/>
        <w:spacing w:line="240" w:lineRule="auto"/>
        <w:jc w:val="both"/>
        <w:rPr>
          <w:lang w:val="en-GB"/>
        </w:rPr>
      </w:pPr>
      <w:r>
        <w:rPr>
          <w:lang w:val="en-GB"/>
        </w:rPr>
        <w:t>A summary of the clinical study report will be submitted to the REC responsible for the study within 1 year of completion of the last participant’s final study procedures.</w:t>
      </w:r>
    </w:p>
    <w:p w14:paraId="0C41F41F" w14:textId="77777777" w:rsidR="005E785F" w:rsidRDefault="003621E8">
      <w:pPr>
        <w:pStyle w:val="C-BodyText"/>
        <w:spacing w:line="240" w:lineRule="auto"/>
        <w:jc w:val="both"/>
        <w:rPr>
          <w:lang w:val="en-GB"/>
        </w:rPr>
      </w:pPr>
      <w:r>
        <w:rPr>
          <w:szCs w:val="24"/>
        </w:rPr>
        <w:t xml:space="preserve">The REC will be informed that Simbec-Orion is a commercial organisation and that the study is funded by DNDi, through the support of the Japanese Global Health Innovative Technology Fund (GHIT) and DNDi core donors. The participants who take part in the clinical study will be paid for their inconvenience and have been informed that there will be no benefits gained by their participation. All potential conflicts of interest will be declared by the Investigators. </w:t>
      </w:r>
    </w:p>
    <w:p w14:paraId="73FB1F18" w14:textId="1F548855" w:rsidR="005E785F" w:rsidRDefault="003621E8">
      <w:pPr>
        <w:pStyle w:val="Heading2"/>
      </w:pPr>
      <w:bookmarkStart w:id="29" w:name="_Toc74904336"/>
      <w:r>
        <w:t>Ethical Conduct of the Study</w:t>
      </w:r>
      <w:bookmarkEnd w:id="29"/>
    </w:p>
    <w:p w14:paraId="13D2372F" w14:textId="0E91B619" w:rsidR="005E785F" w:rsidRDefault="003621E8">
      <w:pPr>
        <w:pStyle w:val="C-BodyText"/>
        <w:spacing w:line="240" w:lineRule="auto"/>
        <w:jc w:val="both"/>
        <w:rPr>
          <w:lang w:val="en-GB"/>
        </w:rPr>
      </w:pPr>
      <w:r>
        <w:rPr>
          <w:lang w:val="en-GB"/>
        </w:rPr>
        <w:t>The Principal Investigator (PI) shall be responsible for ensuring that the clinical study is performed in accordance with the Declaration of Helsinki (Brazil 2013)</w:t>
      </w:r>
      <w:r>
        <w:rPr>
          <w:color w:val="0000FF"/>
          <w:vertAlign w:val="superscript"/>
          <w:lang w:val="en-GB"/>
        </w:rPr>
        <w:t>[0</w:t>
      </w:r>
      <w:r>
        <w:rPr>
          <w:color w:val="0000FF"/>
          <w:vertAlign w:val="superscript"/>
          <w:lang w:val="en-GB"/>
        </w:rPr>
        <w:fldChar w:fldCharType="begin"/>
      </w:r>
      <w:r>
        <w:rPr>
          <w:color w:val="0000FF"/>
          <w:vertAlign w:val="superscript"/>
          <w:lang w:val="en-GB"/>
        </w:rPr>
        <w:instrText xml:space="preserve"> REF _Ref65270170 \r \h </w:instrText>
      </w:r>
      <w:r>
        <w:rPr>
          <w:color w:val="0000FF"/>
          <w:vertAlign w:val="superscript"/>
          <w:lang w:val="en-GB"/>
        </w:rPr>
      </w:r>
      <w:r>
        <w:rPr>
          <w:color w:val="0000FF"/>
          <w:vertAlign w:val="superscript"/>
          <w:lang w:val="en-GB"/>
        </w:rPr>
        <w:fldChar w:fldCharType="separate"/>
      </w:r>
      <w:r>
        <w:rPr>
          <w:color w:val="0000FF"/>
          <w:vertAlign w:val="superscript"/>
          <w:lang w:val="en-GB"/>
        </w:rPr>
        <w:t>2</w:t>
      </w:r>
      <w:r>
        <w:rPr>
          <w:color w:val="0000FF"/>
          <w:vertAlign w:val="superscript"/>
          <w:lang w:val="en-GB"/>
        </w:rPr>
        <w:fldChar w:fldCharType="end"/>
      </w:r>
      <w:r>
        <w:rPr>
          <w:color w:val="0000FF"/>
          <w:vertAlign w:val="superscript"/>
          <w:lang w:val="en-GB"/>
        </w:rPr>
        <w:t>]</w:t>
      </w:r>
      <w:r>
        <w:rPr>
          <w:lang w:val="en-GB"/>
        </w:rPr>
        <w:t>. It will comply with International Council on Harmonisation (ICH) Good Clinical Practice (GCP)</w:t>
      </w:r>
      <w:r>
        <w:rPr>
          <w:color w:val="0000FF"/>
          <w:vertAlign w:val="superscript"/>
          <w:lang w:val="en-GB"/>
        </w:rPr>
        <w:t>[0</w:t>
      </w:r>
      <w:r>
        <w:rPr>
          <w:color w:val="0000FF"/>
          <w:highlight w:val="yellow"/>
          <w:vertAlign w:val="superscript"/>
          <w:lang w:val="en-GB"/>
        </w:rPr>
        <w:fldChar w:fldCharType="begin"/>
      </w:r>
      <w:r>
        <w:rPr>
          <w:color w:val="0000FF"/>
          <w:vertAlign w:val="superscript"/>
          <w:lang w:val="en-GB"/>
        </w:rPr>
        <w:instrText xml:space="preserve"> REF _Ref65270188 \r \h </w:instrText>
      </w:r>
      <w:r>
        <w:rPr>
          <w:color w:val="0000FF"/>
          <w:highlight w:val="yellow"/>
          <w:vertAlign w:val="superscript"/>
          <w:lang w:val="en-GB"/>
        </w:rPr>
      </w:r>
      <w:r>
        <w:rPr>
          <w:color w:val="0000FF"/>
          <w:highlight w:val="yellow"/>
          <w:vertAlign w:val="superscript"/>
          <w:lang w:val="en-GB"/>
        </w:rPr>
        <w:fldChar w:fldCharType="separate"/>
      </w:r>
      <w:r>
        <w:rPr>
          <w:color w:val="0000FF"/>
          <w:vertAlign w:val="superscript"/>
          <w:lang w:val="en-GB"/>
        </w:rPr>
        <w:t>3</w:t>
      </w:r>
      <w:r>
        <w:rPr>
          <w:color w:val="0000FF"/>
          <w:highlight w:val="yellow"/>
          <w:vertAlign w:val="superscript"/>
          <w:lang w:val="en-GB"/>
        </w:rPr>
        <w:fldChar w:fldCharType="end"/>
      </w:r>
      <w:r>
        <w:rPr>
          <w:color w:val="0000FF"/>
          <w:vertAlign w:val="superscript"/>
          <w:lang w:val="en-GB"/>
        </w:rPr>
        <w:t>]</w:t>
      </w:r>
      <w:r>
        <w:rPr>
          <w:lang w:val="en-GB"/>
        </w:rPr>
        <w:t xml:space="preserve"> and applicable regulatory requirements.</w:t>
      </w:r>
    </w:p>
    <w:p w14:paraId="73FB1F23" w14:textId="4674E531" w:rsidR="005E785F" w:rsidRDefault="003621E8">
      <w:pPr>
        <w:pStyle w:val="Heading2"/>
      </w:pPr>
      <w:bookmarkStart w:id="30" w:name="_Toc16166759"/>
      <w:bookmarkStart w:id="31" w:name="_Toc74904337"/>
      <w:bookmarkEnd w:id="30"/>
      <w:r>
        <w:t>Participant Information and Consent</w:t>
      </w:r>
      <w:bookmarkEnd w:id="31"/>
    </w:p>
    <w:p w14:paraId="73FB1F24" w14:textId="5E9E3815" w:rsidR="005E785F" w:rsidRDefault="003621E8">
      <w:pPr>
        <w:pStyle w:val="C-BodyText"/>
        <w:spacing w:line="240" w:lineRule="auto"/>
        <w:jc w:val="both"/>
        <w:rPr>
          <w:lang w:val="en-GB"/>
        </w:rPr>
      </w:pPr>
      <w:r>
        <w:rPr>
          <w:lang w:val="en-GB"/>
        </w:rPr>
        <w:t xml:space="preserve">Potential participants who volunteer for participation in the study will be informed of the aims, methods, anticipated benefits and potential hazards of the study and any possible discomfort it may entail.  Information will be given </w:t>
      </w:r>
      <w:r>
        <w:rPr>
          <w:szCs w:val="24"/>
          <w:lang w:val="en-GB"/>
        </w:rPr>
        <w:t>in both oral and written form and in the manner deemed appropriate by the Clinical Unit standard operating procedures (SOPs).</w:t>
      </w:r>
      <w:r>
        <w:rPr>
          <w:lang w:val="en-GB"/>
        </w:rPr>
        <w:t xml:space="preserve"> Each participant will also be informed of his/her right to withdraw from the study at any time, for any reason.</w:t>
      </w:r>
    </w:p>
    <w:p w14:paraId="73FB1F25" w14:textId="081ED7B4" w:rsidR="005E785F" w:rsidRDefault="003621E8">
      <w:pPr>
        <w:spacing w:before="120" w:after="120"/>
        <w:jc w:val="both"/>
        <w:rPr>
          <w:lang w:val="en-GB"/>
        </w:rPr>
      </w:pPr>
      <w:r>
        <w:rPr>
          <w:lang w:val="en-GB"/>
        </w:rPr>
        <w:t xml:space="preserve">A written explanation (participant information sheet) and informed consent form (ICF)will be provided, and the participant will be allowed sufficient time to consider the study information. Prior to signing the ICF, the participant will be given an opportunity to discuss any issues </w:t>
      </w:r>
      <w:r>
        <w:rPr>
          <w:lang w:val="en-GB"/>
        </w:rPr>
        <w:lastRenderedPageBreak/>
        <w:t>concerning the study with an Investigator who has suitable knowledge of the study and will have all questions answered openly and honestly.</w:t>
      </w:r>
    </w:p>
    <w:p w14:paraId="73FB1F26" w14:textId="0BD2D085" w:rsidR="005E785F" w:rsidRDefault="003621E8">
      <w:pPr>
        <w:spacing w:before="120" w:after="120"/>
        <w:jc w:val="both"/>
        <w:rPr>
          <w:lang w:val="en-GB"/>
        </w:rPr>
      </w:pPr>
      <w:r>
        <w:rPr>
          <w:lang w:val="en-GB"/>
        </w:rPr>
        <w:t>If the participant is willing to participate in the study, the ICF will be signed and personally dated by the participant and the person taking consent. The participant will receive a copy of the ICF together with the participant information sheet. The original signed ICF will be retained with the study records at the Investigator site.</w:t>
      </w:r>
      <w:r>
        <w:rPr>
          <w:szCs w:val="24"/>
          <w:lang w:val="en-GB"/>
        </w:rPr>
        <w:t xml:space="preserve"> In addition, the actions and completion of the consenting process will be recorded in the participant’s medical record (i.e., source document)</w:t>
      </w:r>
      <w:r>
        <w:rPr>
          <w:lang w:val="en-GB"/>
        </w:rPr>
        <w:t>.</w:t>
      </w:r>
    </w:p>
    <w:p w14:paraId="73FB1F27" w14:textId="77777777" w:rsidR="005E785F" w:rsidRDefault="005E785F">
      <w:pPr>
        <w:spacing w:before="120" w:after="120"/>
        <w:jc w:val="both"/>
        <w:rPr>
          <w:lang w:val="en-GB"/>
        </w:rPr>
      </w:pPr>
    </w:p>
    <w:p w14:paraId="73FB1F28" w14:textId="2400E773" w:rsidR="005E785F" w:rsidRDefault="003621E8">
      <w:pPr>
        <w:pStyle w:val="Heading1"/>
      </w:pPr>
      <w:bookmarkStart w:id="32" w:name="_Toc351382458"/>
      <w:bookmarkEnd w:id="32"/>
      <w:r>
        <w:br w:type="page"/>
      </w:r>
      <w:bookmarkStart w:id="33" w:name="_Toc74904338"/>
      <w:r>
        <w:lastRenderedPageBreak/>
        <w:t>INVESTIGATORS AND STUDY ADMINISTRATIVE STRUCTURE</w:t>
      </w:r>
      <w:bookmarkEnd w:id="33"/>
    </w:p>
    <w:p w14:paraId="73FB1F29" w14:textId="50C9D0B3" w:rsidR="005E785F" w:rsidRDefault="003621E8">
      <w:pPr>
        <w:pStyle w:val="C-BodyText"/>
        <w:spacing w:line="240" w:lineRule="auto"/>
        <w:jc w:val="both"/>
        <w:rPr>
          <w:lang w:val="en-GB"/>
        </w:rPr>
      </w:pPr>
      <w:r>
        <w:rPr>
          <w:lang w:val="en-GB"/>
        </w:rPr>
        <w:t>The study will be performed at a single site, Simbec-Orion Clinical Pharmacology Unit. The overall responsibility for the study will rest with the PI, Dr Annelize Koch.  The Project Manager will act on behalf of the PI to ensure the smooth and efficient running of all aspects of the study.</w:t>
      </w:r>
    </w:p>
    <w:p w14:paraId="73FB1F2A" w14:textId="4EA48598" w:rsidR="005E785F" w:rsidRDefault="003621E8">
      <w:pPr>
        <w:pStyle w:val="Heading2"/>
      </w:pPr>
      <w:bookmarkStart w:id="34" w:name="_Toc74904339"/>
      <w:r>
        <w:t>Study Personnel</w:t>
      </w:r>
      <w:bookmarkEnd w:id="34"/>
    </w:p>
    <w:p w14:paraId="14EB6018" w14:textId="77777777" w:rsidR="005E785F" w:rsidRDefault="003621E8">
      <w:pPr>
        <w:tabs>
          <w:tab w:val="left" w:pos="3600"/>
        </w:tabs>
        <w:spacing w:before="120" w:after="120"/>
        <w:jc w:val="both"/>
        <w:rPr>
          <w:rFonts w:cs="Times New Roman"/>
          <w:b/>
          <w:lang w:val="en-GB"/>
        </w:rPr>
      </w:pPr>
      <w:r>
        <w:rPr>
          <w:rFonts w:cs="Times New Roman"/>
          <w:b/>
          <w:lang w:val="en-GB"/>
        </w:rPr>
        <w:t xml:space="preserve">Contract Research Organisation: </w:t>
      </w:r>
      <w:r>
        <w:rPr>
          <w:rFonts w:cs="Times New Roman"/>
          <w:bCs/>
          <w:lang w:val="en-GB"/>
        </w:rPr>
        <w:t>Simbec-Orion, United Kingdom</w:t>
      </w:r>
    </w:p>
    <w:p w14:paraId="24D24440" w14:textId="1E298DBC" w:rsidR="005E785F" w:rsidRDefault="003621E8">
      <w:pPr>
        <w:numPr>
          <w:ilvl w:val="0"/>
          <w:numId w:val="48"/>
        </w:numPr>
        <w:tabs>
          <w:tab w:val="left" w:pos="3969"/>
        </w:tabs>
        <w:spacing w:before="120" w:after="120"/>
        <w:jc w:val="both"/>
        <w:rPr>
          <w:rFonts w:cs="Times New Roman"/>
          <w:iCs/>
          <w:lang w:val="en-GB"/>
        </w:rPr>
      </w:pPr>
      <w:r>
        <w:rPr>
          <w:rFonts w:cs="Times New Roman"/>
          <w:lang w:val="en-GB"/>
        </w:rPr>
        <w:t>Principal Investigator:</w:t>
      </w:r>
      <w:r>
        <w:rPr>
          <w:rFonts w:cs="Times New Roman"/>
          <w:lang w:val="en-GB"/>
        </w:rPr>
        <w:tab/>
      </w:r>
      <w:r>
        <w:rPr>
          <w:rFonts w:cs="Times New Roman"/>
          <w:lang w:val="en-GB"/>
        </w:rPr>
        <w:tab/>
        <w:t>Annelize Koch</w:t>
      </w:r>
    </w:p>
    <w:p w14:paraId="31910253" w14:textId="77777777" w:rsidR="005E785F" w:rsidRDefault="003621E8">
      <w:pPr>
        <w:numPr>
          <w:ilvl w:val="0"/>
          <w:numId w:val="48"/>
        </w:numPr>
        <w:tabs>
          <w:tab w:val="left" w:pos="3960"/>
        </w:tabs>
        <w:spacing w:before="120" w:after="120"/>
        <w:rPr>
          <w:rFonts w:cs="Times New Roman"/>
          <w:iCs/>
          <w:lang w:val="en-GB"/>
        </w:rPr>
      </w:pPr>
      <w:r>
        <w:rPr>
          <w:rFonts w:cs="Times New Roman"/>
          <w:iCs/>
          <w:lang w:val="en-GB"/>
        </w:rPr>
        <w:t xml:space="preserve">Project Manager (Main Contact): </w:t>
      </w:r>
      <w:r>
        <w:rPr>
          <w:rFonts w:cs="Times New Roman"/>
          <w:iCs/>
          <w:lang w:val="en-GB"/>
        </w:rPr>
        <w:tab/>
        <w:t>Lan Tann</w:t>
      </w:r>
    </w:p>
    <w:p w14:paraId="2312F109" w14:textId="77777777" w:rsidR="005E785F" w:rsidRDefault="003621E8">
      <w:pPr>
        <w:numPr>
          <w:ilvl w:val="0"/>
          <w:numId w:val="48"/>
        </w:numPr>
        <w:tabs>
          <w:tab w:val="left" w:pos="3960"/>
        </w:tabs>
        <w:spacing w:before="120" w:after="120"/>
        <w:rPr>
          <w:rFonts w:cs="Times New Roman"/>
          <w:iCs/>
          <w:lang w:val="en-GB"/>
        </w:rPr>
      </w:pPr>
      <w:r>
        <w:rPr>
          <w:rFonts w:cs="Times New Roman"/>
          <w:iCs/>
          <w:lang w:val="en-GB"/>
        </w:rPr>
        <w:t>Project Manager Deputy:</w:t>
      </w:r>
      <w:r>
        <w:rPr>
          <w:rFonts w:cs="Times New Roman"/>
          <w:iCs/>
          <w:lang w:val="en-GB"/>
        </w:rPr>
        <w:tab/>
      </w:r>
      <w:r>
        <w:rPr>
          <w:rFonts w:cs="Times New Roman"/>
          <w:iCs/>
          <w:lang w:val="en-GB"/>
        </w:rPr>
        <w:tab/>
        <w:t>Matilda Greenstreet</w:t>
      </w:r>
    </w:p>
    <w:p w14:paraId="28B5B9AB" w14:textId="77777777" w:rsidR="005E785F" w:rsidRDefault="003621E8">
      <w:pPr>
        <w:numPr>
          <w:ilvl w:val="0"/>
          <w:numId w:val="48"/>
        </w:numPr>
        <w:tabs>
          <w:tab w:val="left" w:pos="3960"/>
        </w:tabs>
        <w:spacing w:before="120" w:after="120"/>
        <w:jc w:val="both"/>
        <w:rPr>
          <w:rFonts w:cs="Times New Roman"/>
          <w:lang w:val="en-GB"/>
        </w:rPr>
      </w:pPr>
      <w:r>
        <w:rPr>
          <w:rFonts w:cs="Times New Roman"/>
          <w:iCs/>
          <w:lang w:val="en-GB"/>
        </w:rPr>
        <w:t xml:space="preserve">Pharmacokinetics (PK): </w:t>
      </w:r>
      <w:r>
        <w:rPr>
          <w:rFonts w:cs="Times New Roman"/>
          <w:iCs/>
          <w:lang w:val="en-GB"/>
        </w:rPr>
        <w:tab/>
      </w:r>
      <w:r>
        <w:rPr>
          <w:rFonts w:cs="Times New Roman"/>
          <w:iCs/>
          <w:lang w:val="en-GB"/>
        </w:rPr>
        <w:tab/>
        <w:t>Simon Hutchings</w:t>
      </w:r>
    </w:p>
    <w:p w14:paraId="5EA08EF7" w14:textId="5BC32503" w:rsidR="005E785F" w:rsidRDefault="003621E8">
      <w:pPr>
        <w:numPr>
          <w:ilvl w:val="0"/>
          <w:numId w:val="48"/>
        </w:numPr>
        <w:tabs>
          <w:tab w:val="left" w:pos="3960"/>
        </w:tabs>
        <w:spacing w:before="120" w:after="120"/>
        <w:jc w:val="both"/>
        <w:rPr>
          <w:rFonts w:cs="Times New Roman"/>
          <w:lang w:val="en-GB"/>
        </w:rPr>
      </w:pPr>
      <w:r>
        <w:rPr>
          <w:rFonts w:cs="Times New Roman"/>
          <w:lang w:val="en-GB"/>
        </w:rPr>
        <w:t xml:space="preserve">Statistics: </w:t>
      </w:r>
      <w:r>
        <w:rPr>
          <w:rFonts w:cs="Times New Roman"/>
          <w:lang w:val="en-GB"/>
        </w:rPr>
        <w:tab/>
      </w:r>
      <w:r>
        <w:rPr>
          <w:rFonts w:cs="Times New Roman"/>
          <w:lang w:val="en-GB"/>
        </w:rPr>
        <w:tab/>
        <w:t>Kerry Williams</w:t>
      </w:r>
    </w:p>
    <w:p w14:paraId="50997C43" w14:textId="77777777" w:rsidR="005E785F" w:rsidRDefault="003621E8">
      <w:pPr>
        <w:numPr>
          <w:ilvl w:val="0"/>
          <w:numId w:val="48"/>
        </w:numPr>
        <w:tabs>
          <w:tab w:val="left" w:pos="3969"/>
        </w:tabs>
        <w:spacing w:before="120" w:after="120"/>
        <w:jc w:val="both"/>
        <w:rPr>
          <w:rFonts w:cs="Times New Roman"/>
          <w:szCs w:val="24"/>
          <w:lang w:val="en-GB"/>
        </w:rPr>
      </w:pPr>
      <w:r>
        <w:rPr>
          <w:rFonts w:cs="Times New Roman"/>
          <w:szCs w:val="24"/>
          <w:lang w:val="en-GB"/>
        </w:rPr>
        <w:t>Data Management:</w:t>
      </w:r>
      <w:r>
        <w:rPr>
          <w:rFonts w:cs="Times New Roman"/>
          <w:szCs w:val="24"/>
          <w:lang w:val="en-GB"/>
        </w:rPr>
        <w:tab/>
      </w:r>
      <w:r>
        <w:rPr>
          <w:rFonts w:cs="Times New Roman"/>
          <w:szCs w:val="24"/>
          <w:lang w:val="en-GB"/>
        </w:rPr>
        <w:tab/>
        <w:t>Richard Stickley</w:t>
      </w:r>
    </w:p>
    <w:p w14:paraId="2B40EAB6" w14:textId="77777777" w:rsidR="005E785F" w:rsidRDefault="003621E8">
      <w:pPr>
        <w:numPr>
          <w:ilvl w:val="0"/>
          <w:numId w:val="48"/>
        </w:numPr>
        <w:tabs>
          <w:tab w:val="left" w:pos="3969"/>
        </w:tabs>
        <w:spacing w:before="120" w:after="120"/>
        <w:jc w:val="both"/>
        <w:rPr>
          <w:rFonts w:cs="Times New Roman"/>
          <w:iCs/>
          <w:lang w:val="en-GB"/>
        </w:rPr>
      </w:pPr>
      <w:bookmarkStart w:id="35" w:name="_Hlk48651395"/>
      <w:r>
        <w:rPr>
          <w:rFonts w:cs="Times New Roman"/>
          <w:lang w:val="en-GB"/>
        </w:rPr>
        <w:t>Laboratory Services (Safety Labs):</w:t>
      </w:r>
      <w:bookmarkEnd w:id="35"/>
      <w:r>
        <w:rPr>
          <w:rFonts w:cs="Times New Roman"/>
          <w:lang w:val="en-GB"/>
        </w:rPr>
        <w:tab/>
      </w:r>
      <w:r>
        <w:rPr>
          <w:rFonts w:cs="Times New Roman"/>
          <w:iCs/>
          <w:lang w:val="en-GB"/>
        </w:rPr>
        <w:t>Sara Howell</w:t>
      </w:r>
    </w:p>
    <w:p w14:paraId="74790FD2" w14:textId="77777777" w:rsidR="005E785F" w:rsidRDefault="003621E8">
      <w:pPr>
        <w:numPr>
          <w:ilvl w:val="0"/>
          <w:numId w:val="48"/>
        </w:numPr>
        <w:tabs>
          <w:tab w:val="left" w:pos="3969"/>
        </w:tabs>
        <w:spacing w:before="120" w:after="120"/>
        <w:ind w:left="709"/>
        <w:jc w:val="both"/>
        <w:rPr>
          <w:rFonts w:cs="Times New Roman"/>
          <w:iCs/>
          <w:lang w:val="en-GB"/>
        </w:rPr>
      </w:pPr>
      <w:r>
        <w:rPr>
          <w:rFonts w:cs="Times New Roman"/>
          <w:lang w:val="en-GB"/>
        </w:rPr>
        <w:t>Pharmacy:</w:t>
      </w:r>
      <w:r>
        <w:rPr>
          <w:rFonts w:cs="Times New Roman"/>
          <w:lang w:val="en-GB"/>
        </w:rPr>
        <w:tab/>
      </w:r>
      <w:r>
        <w:rPr>
          <w:rFonts w:cs="Times New Roman"/>
          <w:lang w:val="en-GB"/>
        </w:rPr>
        <w:tab/>
        <w:t>Rebecca Price-Davies</w:t>
      </w:r>
    </w:p>
    <w:p w14:paraId="6360E4F9" w14:textId="77777777" w:rsidR="005E785F" w:rsidRDefault="003621E8">
      <w:pPr>
        <w:spacing w:before="120" w:after="120"/>
        <w:jc w:val="both"/>
        <w:rPr>
          <w:rFonts w:cs="Times New Roman"/>
          <w:lang w:val="en-GB"/>
        </w:rPr>
      </w:pPr>
      <w:r>
        <w:rPr>
          <w:rFonts w:cs="Times New Roman"/>
          <w:lang w:val="en-GB"/>
        </w:rPr>
        <w:t>The PI will delegate study-related activities according to staff responsibilities and job descriptions. This will be documented in a study-specific delegation of responsibilities form.</w:t>
      </w:r>
    </w:p>
    <w:p w14:paraId="173CFDB3" w14:textId="77777777" w:rsidR="005E785F" w:rsidRDefault="003621E8">
      <w:pPr>
        <w:spacing w:before="120" w:after="120"/>
        <w:jc w:val="both"/>
        <w:rPr>
          <w:rFonts w:cs="Times New Roman"/>
          <w:b/>
          <w:lang w:val="en-GB"/>
        </w:rPr>
      </w:pPr>
      <w:r>
        <w:rPr>
          <w:rFonts w:cs="Times New Roman"/>
          <w:b/>
          <w:lang w:val="en-GB"/>
        </w:rPr>
        <w:t xml:space="preserve">Sponsor: </w:t>
      </w:r>
      <w:r>
        <w:rPr>
          <w:rFonts w:cs="Times New Roman"/>
          <w:bCs/>
          <w:lang w:val="en-GB"/>
        </w:rPr>
        <w:t>DNDi, Switzerland</w:t>
      </w:r>
    </w:p>
    <w:p w14:paraId="19DD7C52" w14:textId="32658720" w:rsidR="005E785F" w:rsidRDefault="003621E8">
      <w:pPr>
        <w:numPr>
          <w:ilvl w:val="0"/>
          <w:numId w:val="49"/>
        </w:numPr>
        <w:spacing w:before="120" w:after="120"/>
        <w:jc w:val="both"/>
        <w:rPr>
          <w:rFonts w:cs="Times New Roman"/>
          <w:lang w:val="en-GB"/>
        </w:rPr>
      </w:pPr>
      <w:r>
        <w:rPr>
          <w:rFonts w:cs="Times New Roman"/>
          <w:lang w:val="en-GB"/>
        </w:rPr>
        <w:t>Clinical Trial Manager (Main Contact):</w:t>
      </w:r>
      <w:r>
        <w:rPr>
          <w:rFonts w:cs="Times New Roman"/>
          <w:lang w:val="en-GB"/>
        </w:rPr>
        <w:tab/>
        <w:t>Séverine Blesson</w:t>
      </w:r>
    </w:p>
    <w:p w14:paraId="7BFDA213" w14:textId="2B56CB2E" w:rsidR="005E785F" w:rsidRDefault="003621E8">
      <w:pPr>
        <w:pStyle w:val="ListParagraph"/>
        <w:numPr>
          <w:ilvl w:val="0"/>
          <w:numId w:val="49"/>
        </w:numPr>
        <w:rPr>
          <w:rFonts w:cs="Times New Roman"/>
          <w:lang w:val="en-GB"/>
        </w:rPr>
      </w:pPr>
      <w:r>
        <w:rPr>
          <w:rFonts w:cs="Times New Roman"/>
          <w:lang w:val="en-GB"/>
        </w:rPr>
        <w:t>Clinical Trial Manager (Deputy):</w:t>
      </w:r>
      <w:r>
        <w:rPr>
          <w:rFonts w:cs="Times New Roman"/>
          <w:lang w:val="en-GB"/>
        </w:rPr>
        <w:tab/>
      </w:r>
      <w:r>
        <w:rPr>
          <w:rFonts w:cs="Times New Roman"/>
          <w:lang w:val="en-GB"/>
        </w:rPr>
        <w:tab/>
      </w:r>
      <w:r>
        <w:rPr>
          <w:rFonts w:cs="Times New Roman"/>
          <w:lang w:val="en-GB"/>
        </w:rPr>
        <w:tab/>
        <w:t>Bethania Blum</w:t>
      </w:r>
    </w:p>
    <w:p w14:paraId="60F7036B" w14:textId="41F9E5E7" w:rsidR="005E785F" w:rsidRDefault="003621E8">
      <w:pPr>
        <w:numPr>
          <w:ilvl w:val="0"/>
          <w:numId w:val="49"/>
        </w:numPr>
        <w:spacing w:before="120" w:after="120"/>
        <w:jc w:val="both"/>
        <w:rPr>
          <w:rFonts w:cs="Times New Roman"/>
          <w:lang w:val="en-GB"/>
        </w:rPr>
      </w:pPr>
      <w:r>
        <w:rPr>
          <w:rFonts w:cs="Times New Roman"/>
          <w:lang w:val="en-GB"/>
        </w:rPr>
        <w:t>Sponsor’s Medical Responsible / Responsible Physician:</w:t>
      </w:r>
      <w:r>
        <w:rPr>
          <w:rFonts w:cs="Times New Roman"/>
          <w:lang w:val="en-GB"/>
        </w:rPr>
        <w:tab/>
        <w:t xml:space="preserve"> Byron Arana </w:t>
      </w:r>
    </w:p>
    <w:p w14:paraId="7F4B1175" w14:textId="77777777" w:rsidR="005E785F" w:rsidRDefault="003621E8">
      <w:pPr>
        <w:spacing w:before="120" w:after="120"/>
        <w:jc w:val="both"/>
        <w:rPr>
          <w:rFonts w:cs="Times New Roman"/>
          <w:lang w:val="en-GB"/>
        </w:rPr>
      </w:pPr>
      <w:r>
        <w:rPr>
          <w:rFonts w:cs="Times New Roman"/>
          <w:b/>
          <w:lang w:val="en-GB"/>
        </w:rPr>
        <w:t xml:space="preserve">Monitor: </w:t>
      </w:r>
      <w:r>
        <w:rPr>
          <w:rFonts w:cs="Times New Roman"/>
          <w:bCs/>
          <w:lang w:val="en-GB"/>
        </w:rPr>
        <w:t>Simbec-Orion Clinical Development, United Kingdom</w:t>
      </w:r>
    </w:p>
    <w:p w14:paraId="7DE9C3CA" w14:textId="77777777" w:rsidR="005E785F" w:rsidRDefault="003621E8">
      <w:pPr>
        <w:spacing w:before="120" w:after="120" w:line="280" w:lineRule="atLeast"/>
        <w:jc w:val="both"/>
        <w:rPr>
          <w:rFonts w:cs="Times New Roman"/>
          <w:b/>
          <w:lang w:val="en-GB"/>
        </w:rPr>
      </w:pPr>
      <w:r>
        <w:rPr>
          <w:rFonts w:cs="Times New Roman"/>
          <w:b/>
          <w:lang w:val="en-GB"/>
        </w:rPr>
        <w:t xml:space="preserve">Pharmacovigilance (PV): </w:t>
      </w:r>
    </w:p>
    <w:p w14:paraId="0C091A31" w14:textId="77777777" w:rsidR="005E785F" w:rsidRDefault="003621E8">
      <w:pPr>
        <w:numPr>
          <w:ilvl w:val="0"/>
          <w:numId w:val="50"/>
        </w:numPr>
        <w:spacing w:before="120" w:after="120" w:line="280" w:lineRule="atLeast"/>
        <w:jc w:val="both"/>
        <w:rPr>
          <w:rFonts w:cs="Times New Roman"/>
          <w:bCs/>
          <w:lang w:val="en-GB"/>
        </w:rPr>
      </w:pPr>
      <w:r>
        <w:rPr>
          <w:rFonts w:cs="Times New Roman"/>
          <w:bCs/>
          <w:lang w:val="en-GB"/>
        </w:rPr>
        <w:t>DNDi PV, Switzerland</w:t>
      </w:r>
    </w:p>
    <w:p w14:paraId="543E7C60" w14:textId="77777777" w:rsidR="005E785F" w:rsidRDefault="003621E8">
      <w:pPr>
        <w:numPr>
          <w:ilvl w:val="0"/>
          <w:numId w:val="50"/>
        </w:numPr>
        <w:spacing w:before="120" w:after="120" w:line="280" w:lineRule="atLeast"/>
        <w:jc w:val="both"/>
        <w:rPr>
          <w:rFonts w:cs="Times New Roman"/>
          <w:b/>
          <w:lang w:val="en-GB"/>
        </w:rPr>
      </w:pPr>
      <w:r>
        <w:rPr>
          <w:rFonts w:cs="Times New Roman"/>
          <w:bCs/>
          <w:lang w:val="en-GB"/>
        </w:rPr>
        <w:t>PV provider, United BioSource Corporation (UBC), Switzerland</w:t>
      </w:r>
    </w:p>
    <w:p w14:paraId="35318BA8" w14:textId="1B841583" w:rsidR="005E785F" w:rsidRDefault="003621E8">
      <w:pPr>
        <w:pStyle w:val="TitlePageText"/>
        <w:spacing w:before="240" w:after="0"/>
        <w:rPr>
          <w:rFonts w:ascii="Times New Roman" w:hAnsi="Times New Roman"/>
          <w:sz w:val="24"/>
          <w:szCs w:val="24"/>
          <w:lang w:val="fr-FR"/>
        </w:rPr>
      </w:pPr>
      <w:r>
        <w:rPr>
          <w:rFonts w:ascii="Times New Roman" w:hAnsi="Times New Roman"/>
          <w:b/>
          <w:sz w:val="24"/>
          <w:szCs w:val="24"/>
        </w:rPr>
        <w:t xml:space="preserve">Bio-analytics: </w:t>
      </w:r>
      <w:r>
        <w:rPr>
          <w:rFonts w:ascii="Times New Roman" w:hAnsi="Times New Roman"/>
          <w:sz w:val="24"/>
          <w:szCs w:val="24"/>
        </w:rPr>
        <w:t>Oncodesign</w:t>
      </w:r>
      <w:r>
        <w:rPr>
          <w:rFonts w:ascii="Times New Roman" w:hAnsi="Times New Roman"/>
          <w:sz w:val="24"/>
          <w:szCs w:val="24"/>
          <w:lang w:val="fr-FR"/>
        </w:rPr>
        <w:t>, France</w:t>
      </w:r>
    </w:p>
    <w:p w14:paraId="73FB1F3F" w14:textId="0B48604D" w:rsidR="005E785F" w:rsidRDefault="003621E8">
      <w:pPr>
        <w:pStyle w:val="Heading2"/>
      </w:pPr>
      <w:bookmarkStart w:id="36" w:name="_Toc74904340"/>
      <w:r>
        <w:t>Indemnity Arrangements</w:t>
      </w:r>
      <w:bookmarkEnd w:id="36"/>
    </w:p>
    <w:p w14:paraId="73FB1F40" w14:textId="7D75384E" w:rsidR="005E785F" w:rsidRDefault="003621E8">
      <w:pPr>
        <w:autoSpaceDE w:val="0"/>
        <w:autoSpaceDN w:val="0"/>
        <w:adjustRightInd w:val="0"/>
        <w:spacing w:before="120" w:after="120"/>
        <w:jc w:val="both"/>
        <w:rPr>
          <w:rFonts w:cs="Times New Roman"/>
          <w:szCs w:val="24"/>
          <w:lang w:val="en-GB"/>
        </w:rPr>
      </w:pPr>
      <w:r>
        <w:rPr>
          <w:rFonts w:cs="Times New Roman"/>
          <w:szCs w:val="24"/>
          <w:lang w:val="en-GB"/>
        </w:rPr>
        <w:t xml:space="preserve">The Sponsor and Simbec-Orion carry insurance to pay compensation for injury, accident, ill health or death caused by participation in this study without regard to proof of negligence in accordance with the insurance and compensation in the event of injury in Phase I clinical trials 2012, guidance issued by the Association of the British Pharmaceutical Industry (ABPI), the BioIndustry Association (BIA) and the Clinical Contract Research Association (CCRA) in </w:t>
      </w:r>
      <w:r>
        <w:rPr>
          <w:rFonts w:cs="Times New Roman"/>
          <w:szCs w:val="24"/>
          <w:lang w:val="en-GB"/>
        </w:rPr>
        <w:lastRenderedPageBreak/>
        <w:t>consultation with the Department of Health (DoH) and the National Research Ethics Service (NRES)</w:t>
      </w:r>
      <w:r>
        <w:rPr>
          <w:rFonts w:cs="Times New Roman"/>
          <w:color w:val="0000FF"/>
          <w:szCs w:val="24"/>
          <w:vertAlign w:val="superscript"/>
          <w:lang w:val="en-GB"/>
        </w:rPr>
        <w:t>[0</w:t>
      </w:r>
      <w:r>
        <w:rPr>
          <w:rFonts w:cs="Times New Roman"/>
          <w:color w:val="0000FF"/>
          <w:szCs w:val="24"/>
          <w:vertAlign w:val="superscript"/>
          <w:lang w:val="en-GB"/>
        </w:rPr>
        <w:fldChar w:fldCharType="begin"/>
      </w:r>
      <w:r>
        <w:rPr>
          <w:rFonts w:cs="Times New Roman"/>
          <w:color w:val="0000FF"/>
          <w:szCs w:val="24"/>
          <w:vertAlign w:val="superscript"/>
          <w:lang w:val="en-GB"/>
        </w:rPr>
        <w:instrText xml:space="preserve"> REF _Ref65270468 \r \h  \* MERGEFORMAT </w:instrText>
      </w:r>
      <w:r>
        <w:rPr>
          <w:rFonts w:cs="Times New Roman"/>
          <w:color w:val="0000FF"/>
          <w:szCs w:val="24"/>
          <w:vertAlign w:val="superscript"/>
          <w:lang w:val="en-GB"/>
        </w:rPr>
      </w:r>
      <w:r>
        <w:rPr>
          <w:rFonts w:cs="Times New Roman"/>
          <w:color w:val="0000FF"/>
          <w:szCs w:val="24"/>
          <w:vertAlign w:val="superscript"/>
          <w:lang w:val="en-GB"/>
        </w:rPr>
        <w:fldChar w:fldCharType="separate"/>
      </w:r>
      <w:r>
        <w:rPr>
          <w:rFonts w:cs="Times New Roman"/>
          <w:color w:val="0000FF"/>
          <w:szCs w:val="24"/>
          <w:vertAlign w:val="superscript"/>
          <w:lang w:val="en-GB"/>
        </w:rPr>
        <w:t>4</w:t>
      </w:r>
      <w:r>
        <w:rPr>
          <w:rFonts w:cs="Times New Roman"/>
          <w:color w:val="0000FF"/>
          <w:szCs w:val="24"/>
          <w:vertAlign w:val="superscript"/>
          <w:lang w:val="en-GB"/>
        </w:rPr>
        <w:fldChar w:fldCharType="end"/>
      </w:r>
      <w:r>
        <w:rPr>
          <w:rFonts w:cs="Times New Roman"/>
          <w:color w:val="0000FF"/>
          <w:szCs w:val="24"/>
          <w:vertAlign w:val="superscript"/>
          <w:lang w:val="en-GB"/>
        </w:rPr>
        <w:t>]</w:t>
      </w:r>
      <w:r>
        <w:rPr>
          <w:rFonts w:cs="Times New Roman"/>
          <w:szCs w:val="24"/>
          <w:lang w:val="en-GB"/>
        </w:rPr>
        <w:t>.</w:t>
      </w:r>
    </w:p>
    <w:p w14:paraId="73FB1F44" w14:textId="608999A0" w:rsidR="005E785F" w:rsidRDefault="003621E8">
      <w:pPr>
        <w:pStyle w:val="Heading1"/>
      </w:pPr>
      <w:bookmarkStart w:id="37" w:name="_Toc200273914"/>
      <w:r>
        <w:br w:type="page"/>
      </w:r>
      <w:bookmarkStart w:id="38" w:name="_Toc74904341"/>
      <w:r>
        <w:lastRenderedPageBreak/>
        <w:t>INTRODUCTION</w:t>
      </w:r>
      <w:bookmarkEnd w:id="37"/>
      <w:bookmarkEnd w:id="38"/>
    </w:p>
    <w:p w14:paraId="6C4F9000" w14:textId="4A26332D" w:rsidR="005E785F" w:rsidRDefault="003621E8">
      <w:pPr>
        <w:pStyle w:val="C-BodyText"/>
        <w:jc w:val="both"/>
        <w:rPr>
          <w:lang w:val="en-GB"/>
        </w:rPr>
      </w:pPr>
      <w:bookmarkStart w:id="39" w:name="_Hlk4581010"/>
      <w:r>
        <w:rPr>
          <w:lang w:val="en-GB"/>
        </w:rPr>
        <w:t>Leishmaniasis is generally seen as one of the most neglected tropical diseases and has strong links with poverty. It comprises a complex vector-borne disease, caused by more than 20 species of the protozoan genus Leishmania, ranging from localized skin ulcers (cutaneous leishmaniasis, CL) to lethal systemic disease (visceral leishmaniasis, VL). Leishmaniasis is endemic in 101 countries/territories, with 350 million people at risk.</w:t>
      </w:r>
    </w:p>
    <w:p w14:paraId="33776320" w14:textId="5386B92D" w:rsidR="005E785F" w:rsidRDefault="003621E8">
      <w:pPr>
        <w:pStyle w:val="C-BodyText"/>
        <w:jc w:val="both"/>
        <w:rPr>
          <w:lang w:val="en-GB"/>
        </w:rPr>
      </w:pPr>
      <w:bookmarkStart w:id="40" w:name="_Hlk65572140"/>
      <w:bookmarkEnd w:id="40"/>
      <w:r>
        <w:rPr>
          <w:szCs w:val="24"/>
        </w:rPr>
        <w:t xml:space="preserve">Antimonials continue to  be the first line treatment in most CL endemic countries despites its toxicity, difficult administration and the variable efficacy showed across different countries and species of Leishmania parasites causing CL. Miltefosine, recently registered at Food and Drug Administration (FDA, United States) for the treatment of CL in the New World (NW), is not available in most countries and its efficacy for infections due to </w:t>
      </w:r>
      <w:r>
        <w:rPr>
          <w:i/>
          <w:szCs w:val="24"/>
        </w:rPr>
        <w:t>L. braziliensis</w:t>
      </w:r>
      <w:r>
        <w:rPr>
          <w:szCs w:val="24"/>
        </w:rPr>
        <w:t>, the parasite responsible for the majority of CL cases in the NW, varies from 50% to 85%.</w:t>
      </w:r>
    </w:p>
    <w:p w14:paraId="74CBA196" w14:textId="77777777" w:rsidR="005E785F" w:rsidRDefault="003621E8">
      <w:pPr>
        <w:pStyle w:val="C-BodyText"/>
        <w:jc w:val="both"/>
        <w:rPr>
          <w:lang w:val="en-GB"/>
        </w:rPr>
      </w:pPr>
      <w:r>
        <w:t>DNDi Cutaneous Leishmaniasis strategy aims to develop a short, safe and efficacious treatment for CL that can be used at any healthcare level in all disease-endemic areas.</w:t>
      </w:r>
    </w:p>
    <w:p w14:paraId="73331A38" w14:textId="108969E6" w:rsidR="005E785F" w:rsidRDefault="003621E8">
      <w:pPr>
        <w:pStyle w:val="C-BodyText"/>
        <w:jc w:val="both"/>
        <w:rPr>
          <w:lang w:val="en-GB"/>
        </w:rPr>
      </w:pPr>
      <w:r>
        <w:rPr>
          <w:lang w:val="en-GB"/>
        </w:rPr>
        <w:t xml:space="preserve">DNDi has developed CpG ODN D35. </w:t>
      </w:r>
    </w:p>
    <w:p w14:paraId="7275B0A9" w14:textId="6D88ABD0" w:rsidR="005E785F" w:rsidRDefault="003621E8">
      <w:pPr>
        <w:pStyle w:val="C-BodyText"/>
        <w:numPr>
          <w:ilvl w:val="0"/>
          <w:numId w:val="74"/>
        </w:numPr>
        <w:jc w:val="both"/>
        <w:rPr>
          <w:lang w:val="en-GB"/>
        </w:rPr>
      </w:pPr>
      <w:r>
        <w:rPr>
          <w:lang w:val="en-GB"/>
        </w:rPr>
        <w:t xml:space="preserve">Oligodeoxynucleotides (ODN) that contain unmethylated CpG dinucleotides, known as CpG-ODNs. According to their </w:t>
      </w:r>
      <w:r>
        <w:rPr>
          <w:i/>
          <w:iCs/>
          <w:lang w:val="en-GB"/>
        </w:rPr>
        <w:t>in vitro</w:t>
      </w:r>
      <w:r>
        <w:rPr>
          <w:lang w:val="en-GB"/>
        </w:rPr>
        <w:t xml:space="preserve"> activities and chemical compositions, three major classes of ODN are described. Class A (also known as class D) are characterised by strong plasmacytoid dendritic cell (pDCs) and Natural Killer (NK) cell activation, resulting in high levels of </w:t>
      </w:r>
      <w:r>
        <w:rPr>
          <w:i/>
          <w:iCs/>
          <w:lang w:val="en-GB"/>
        </w:rPr>
        <w:t>IFN-α</w:t>
      </w:r>
      <w:r>
        <w:rPr>
          <w:lang w:val="en-GB"/>
        </w:rPr>
        <w:t xml:space="preserve"> and </w:t>
      </w:r>
      <w:r>
        <w:rPr>
          <w:i/>
          <w:iCs/>
          <w:lang w:val="en-GB"/>
        </w:rPr>
        <w:t>IFN-γ</w:t>
      </w:r>
      <w:r>
        <w:rPr>
          <w:lang w:val="en-GB"/>
        </w:rPr>
        <w:t xml:space="preserve"> production. Class B (also known as class K) are characterized by promoting a strong B cell activation. Class C have immune activities intermediate to the A- and B-classes and can activate not only B cells but also pDCs and NK cells as well.</w:t>
      </w:r>
    </w:p>
    <w:p w14:paraId="4CE6014E" w14:textId="3EF6828C" w:rsidR="005E785F" w:rsidRDefault="003621E8">
      <w:pPr>
        <w:pStyle w:val="C-BodyText"/>
        <w:numPr>
          <w:ilvl w:val="0"/>
          <w:numId w:val="74"/>
        </w:numPr>
        <w:jc w:val="both"/>
        <w:rPr>
          <w:lang w:val="en-GB"/>
        </w:rPr>
      </w:pPr>
      <w:r>
        <w:rPr>
          <w:rFonts w:cs="Calibri"/>
          <w:szCs w:val="24"/>
        </w:rPr>
        <w:t xml:space="preserve">CpG ODN D35, is a class A CpG ODN TLR9 agonist. It is a short, single-stranded synthetic DNA molecule (20 bases in length) that contains un-methylated Cytosine-Guanine (CG) dinucleotide motifs that can be detected by TLR9 on pDCs in humans.  </w:t>
      </w:r>
    </w:p>
    <w:p w14:paraId="548F361F" w14:textId="03BD437E" w:rsidR="005E785F" w:rsidRDefault="003621E8">
      <w:pPr>
        <w:pStyle w:val="C-BodyText"/>
        <w:numPr>
          <w:ilvl w:val="0"/>
          <w:numId w:val="74"/>
        </w:numPr>
        <w:jc w:val="both"/>
        <w:rPr>
          <w:lang w:val="en-GB"/>
        </w:rPr>
      </w:pPr>
      <w:r>
        <w:rPr>
          <w:rFonts w:cs="Calibri"/>
          <w:szCs w:val="24"/>
        </w:rPr>
        <w:t xml:space="preserve">CpG ODN D35 stimulates maturation and activation of pDCs and production of pro-inflammatory cytokines, such as </w:t>
      </w:r>
      <w:r>
        <w:rPr>
          <w:rFonts w:cs="Calibri"/>
          <w:i/>
          <w:iCs/>
          <w:szCs w:val="24"/>
        </w:rPr>
        <w:t>IFN-α</w:t>
      </w:r>
      <w:r>
        <w:rPr>
          <w:rFonts w:cs="Calibri"/>
          <w:szCs w:val="24"/>
        </w:rPr>
        <w:t xml:space="preserve"> and </w:t>
      </w:r>
      <w:r>
        <w:rPr>
          <w:rFonts w:cs="Calibri"/>
          <w:i/>
          <w:iCs/>
          <w:szCs w:val="24"/>
        </w:rPr>
        <w:t>IFN-γ</w:t>
      </w:r>
      <w:r>
        <w:rPr>
          <w:rFonts w:cs="Calibri"/>
          <w:szCs w:val="24"/>
        </w:rPr>
        <w:t xml:space="preserve">, which are required for control of the </w:t>
      </w:r>
      <w:r>
        <w:rPr>
          <w:rFonts w:cs="Calibri"/>
          <w:i/>
          <w:szCs w:val="24"/>
        </w:rPr>
        <w:t>Leishmania</w:t>
      </w:r>
      <w:r>
        <w:rPr>
          <w:rFonts w:cs="Calibri"/>
          <w:szCs w:val="24"/>
        </w:rPr>
        <w:t xml:space="preserve"> infection. CpG ODN D35 has little or no effect on B cells and does not foster the Th2 type responses associated with other classes of CpG ODN.</w:t>
      </w:r>
    </w:p>
    <w:p w14:paraId="6ABD5FEA" w14:textId="126A5DFD" w:rsidR="005E785F" w:rsidRDefault="003621E8">
      <w:pPr>
        <w:pStyle w:val="C-BodyText"/>
        <w:jc w:val="both"/>
        <w:rPr>
          <w:lang w:val="en-GB"/>
        </w:rPr>
      </w:pPr>
      <w:r>
        <w:rPr>
          <w:lang w:val="en-GB"/>
        </w:rPr>
        <w:t>Given its properties, CpG ODN D35 in combination with chemotherapy has the potential to significantly improve the treatment of patients with complicated CL diseases or patients with leishmaniasis recidivans, conditions for which the standard treatment has shown to have limited efficacy (&lt;60% cure rate) or require multiple treatment cycles. In addition, it is expected that CpG ODN D35 will reduce the required standard chemotherapy injections of antimonials and its related AE which may reduce the suffering of patients and improve compliance, particularly in children.</w:t>
      </w:r>
    </w:p>
    <w:p w14:paraId="07696BBB" w14:textId="1F435A21" w:rsidR="005E785F" w:rsidRDefault="003621E8">
      <w:pPr>
        <w:pStyle w:val="C-BodyText"/>
        <w:jc w:val="both"/>
        <w:rPr>
          <w:lang w:val="en-GB"/>
        </w:rPr>
      </w:pPr>
      <w:r>
        <w:rPr>
          <w:lang w:val="en-GB"/>
        </w:rPr>
        <w:t>This study is the first to administer CpG ODN D35 to humans.</w:t>
      </w:r>
    </w:p>
    <w:p w14:paraId="44056CC3" w14:textId="241FA011" w:rsidR="005E785F" w:rsidRDefault="003621E8">
      <w:pPr>
        <w:pStyle w:val="Heading2"/>
      </w:pPr>
      <w:bookmarkStart w:id="41" w:name="_Toc74904342"/>
      <w:r>
        <w:t>Physical, Chemical, Pharmaceutical Properties and Formulation</w:t>
      </w:r>
      <w:bookmarkEnd w:id="41"/>
    </w:p>
    <w:p w14:paraId="7E22F00F" w14:textId="005FE5CC" w:rsidR="005E785F" w:rsidRDefault="003621E8">
      <w:pPr>
        <w:pStyle w:val="C-BodyText"/>
        <w:jc w:val="both"/>
        <w:rPr>
          <w:lang w:val="en-GB"/>
        </w:rPr>
      </w:pPr>
      <w:r>
        <w:rPr>
          <w:lang w:val="en-GB"/>
        </w:rPr>
        <w:t xml:space="preserve">The active pharmaceutical ingredient (API) is CpG ODN D35. </w:t>
      </w:r>
    </w:p>
    <w:p w14:paraId="294063A7" w14:textId="4FB09A24" w:rsidR="005E785F" w:rsidRDefault="003621E8">
      <w:pPr>
        <w:pStyle w:val="C-BodyText"/>
        <w:jc w:val="both"/>
        <w:rPr>
          <w:lang w:val="en-GB"/>
        </w:rPr>
      </w:pPr>
      <w:r>
        <w:rPr>
          <w:lang w:val="en-GB"/>
        </w:rPr>
        <w:lastRenderedPageBreak/>
        <w:t xml:space="preserve">The investigational product will be supplied as solution for </w:t>
      </w:r>
      <w:bookmarkStart w:id="42" w:name="_Hlk65572445"/>
      <w:r>
        <w:rPr>
          <w:lang w:val="en-GB"/>
        </w:rPr>
        <w:t xml:space="preserve">subcutaneous (SC) </w:t>
      </w:r>
      <w:bookmarkEnd w:id="42"/>
      <w:r>
        <w:rPr>
          <w:lang w:val="en-GB"/>
        </w:rPr>
        <w:t>injection in a sterile 2R Type I vial sealed with ETFE coated bromobutyl stopper and aluminium overseal. Each vial contains 15 mg/mL of CpG ODN D35 as a 2.5 mL single-use solution. The investigational product also contains the following non-active ingredient: trehalose dihydrate (88 mg/mL) as a tonicity agent.</w:t>
      </w:r>
    </w:p>
    <w:p w14:paraId="7A74E2ED" w14:textId="7378E4E9" w:rsidR="005E785F" w:rsidRDefault="003621E8">
      <w:pPr>
        <w:pStyle w:val="C-BodyText"/>
        <w:jc w:val="both"/>
        <w:rPr>
          <w:lang w:val="en-GB"/>
        </w:rPr>
      </w:pPr>
      <w:r>
        <w:rPr>
          <w:lang w:val="en-GB"/>
        </w:rPr>
        <w:t xml:space="preserve">A placebo for CPG ODN D35 solution for injection is also provided. The placebo solution for injection is made using the same non-active excipient trehalose dihydrate (88 mg/mL) as the investigational product. </w:t>
      </w:r>
      <w:r>
        <w:rPr>
          <w:szCs w:val="24"/>
        </w:rPr>
        <w:t>The placebo has no obvious coloration whereas the CpG ODN D35 solution 15 mg/mL has a slight yellow tinge. Therefore, syringes used to administer the drug product to the subjects will be covered prior to their presentation to the Investigator to ensure blinding in clinical trials.</w:t>
      </w:r>
    </w:p>
    <w:p w14:paraId="7D70B31D" w14:textId="59AA1D28" w:rsidR="005E785F" w:rsidRDefault="003621E8">
      <w:pPr>
        <w:pStyle w:val="C-BodyText"/>
        <w:jc w:val="both"/>
        <w:rPr>
          <w:lang w:val="en-GB"/>
        </w:rPr>
      </w:pPr>
      <w:r>
        <w:rPr>
          <w:lang w:val="en-GB"/>
        </w:rPr>
        <w:t>CpG ODN D35 solution 15 mg/mL should be stored at 2-8°C and upright in the original container.</w:t>
      </w:r>
    </w:p>
    <w:p w14:paraId="68C8FF02" w14:textId="77777777" w:rsidR="005E785F" w:rsidRDefault="003621E8">
      <w:pPr>
        <w:pStyle w:val="Heading2"/>
      </w:pPr>
      <w:bookmarkStart w:id="43" w:name="_Toc74904343"/>
      <w:bookmarkStart w:id="44" w:name="_Toc51666581"/>
      <w:r>
        <w:t>Nonclinical Studies</w:t>
      </w:r>
      <w:bookmarkEnd w:id="43"/>
    </w:p>
    <w:p w14:paraId="4620E62F" w14:textId="11A0B244" w:rsidR="005E785F" w:rsidRDefault="003621E8">
      <w:pPr>
        <w:pStyle w:val="Heading3"/>
      </w:pPr>
      <w:bookmarkStart w:id="45" w:name="_Toc74904344"/>
      <w:r>
        <w:t>Nonclinical Pharmacology</w:t>
      </w:r>
      <w:bookmarkEnd w:id="44"/>
      <w:bookmarkEnd w:id="45"/>
    </w:p>
    <w:p w14:paraId="022BFE1E" w14:textId="7B0661D8" w:rsidR="005E785F" w:rsidRDefault="003621E8">
      <w:pPr>
        <w:spacing w:before="120" w:after="120"/>
        <w:jc w:val="both"/>
        <w:rPr>
          <w:lang w:val="pt-BR" w:eastAsia="pt-BR"/>
        </w:rPr>
      </w:pPr>
      <w:r>
        <w:rPr>
          <w:lang w:val="pt-BR" w:eastAsia="pt-BR"/>
        </w:rPr>
        <w:t xml:space="preserve">The pharmacological activity of an early research batch of CpG ODN D35 was investigated </w:t>
      </w:r>
      <w:r>
        <w:rPr>
          <w:i/>
          <w:iCs/>
          <w:lang w:val="pt-BR" w:eastAsia="pt-BR"/>
        </w:rPr>
        <w:t>in vitro</w:t>
      </w:r>
      <w:r>
        <w:rPr>
          <w:lang w:val="pt-BR" w:eastAsia="pt-BR"/>
        </w:rPr>
        <w:t xml:space="preserve"> and </w:t>
      </w:r>
      <w:r>
        <w:rPr>
          <w:i/>
          <w:iCs/>
          <w:lang w:val="pt-BR" w:eastAsia="pt-BR"/>
        </w:rPr>
        <w:t>in vivo</w:t>
      </w:r>
      <w:r>
        <w:rPr>
          <w:lang w:val="pt-BR" w:eastAsia="pt-BR"/>
        </w:rPr>
        <w:t xml:space="preserve"> and provided first evidence that CpG ODN D35 is an efficacious Class A TLR9 agonist potentially suitable for various indication</w:t>
      </w:r>
      <w:r>
        <w:rPr>
          <w:color w:val="0000FF"/>
          <w:vertAlign w:val="superscript"/>
          <w:lang w:val="pt-BR" w:eastAsia="pt-BR"/>
        </w:rPr>
        <w:t>[0</w:t>
      </w:r>
      <w:r>
        <w:rPr>
          <w:color w:val="0000FF"/>
          <w:vertAlign w:val="superscript"/>
          <w:lang w:val="pt-BR" w:eastAsia="pt-BR"/>
        </w:rPr>
        <w:fldChar w:fldCharType="begin"/>
      </w:r>
      <w:r>
        <w:rPr>
          <w:color w:val="0000FF"/>
          <w:vertAlign w:val="superscript"/>
          <w:lang w:val="pt-BR" w:eastAsia="pt-BR"/>
        </w:rPr>
        <w:instrText xml:space="preserve"> REF _Ref65483217 \r \h  \* MERGEFORMAT </w:instrText>
      </w:r>
      <w:r>
        <w:rPr>
          <w:color w:val="0000FF"/>
          <w:vertAlign w:val="superscript"/>
          <w:lang w:val="pt-BR" w:eastAsia="pt-BR"/>
        </w:rPr>
      </w:r>
      <w:r>
        <w:rPr>
          <w:color w:val="0000FF"/>
          <w:vertAlign w:val="superscript"/>
          <w:lang w:val="pt-BR" w:eastAsia="pt-BR"/>
        </w:rPr>
        <w:fldChar w:fldCharType="separate"/>
      </w:r>
      <w:r>
        <w:rPr>
          <w:color w:val="0000FF"/>
          <w:vertAlign w:val="superscript"/>
          <w:lang w:val="pt-BR" w:eastAsia="pt-BR"/>
        </w:rPr>
        <w:t>5</w:t>
      </w:r>
      <w:r>
        <w:rPr>
          <w:color w:val="0000FF"/>
          <w:vertAlign w:val="superscript"/>
          <w:lang w:val="pt-BR" w:eastAsia="pt-BR"/>
        </w:rPr>
        <w:fldChar w:fldCharType="end"/>
      </w:r>
      <w:r>
        <w:rPr>
          <w:color w:val="0000FF"/>
          <w:vertAlign w:val="superscript"/>
          <w:lang w:val="pt-BR" w:eastAsia="pt-BR"/>
        </w:rPr>
        <w:t>-0</w:t>
      </w:r>
      <w:r>
        <w:rPr>
          <w:color w:val="0000FF"/>
          <w:vertAlign w:val="superscript"/>
          <w:lang w:val="pt-BR" w:eastAsia="pt-BR"/>
        </w:rPr>
        <w:fldChar w:fldCharType="begin"/>
      </w:r>
      <w:r>
        <w:rPr>
          <w:color w:val="0000FF"/>
          <w:vertAlign w:val="superscript"/>
          <w:lang w:val="pt-BR" w:eastAsia="pt-BR"/>
        </w:rPr>
        <w:instrText xml:space="preserve"> REF _Ref65483230 \r \h  \* MERGEFORMAT </w:instrText>
      </w:r>
      <w:r>
        <w:rPr>
          <w:color w:val="0000FF"/>
          <w:vertAlign w:val="superscript"/>
          <w:lang w:val="pt-BR" w:eastAsia="pt-BR"/>
        </w:rPr>
      </w:r>
      <w:r>
        <w:rPr>
          <w:color w:val="0000FF"/>
          <w:vertAlign w:val="superscript"/>
          <w:lang w:val="pt-BR" w:eastAsia="pt-BR"/>
        </w:rPr>
        <w:fldChar w:fldCharType="separate"/>
      </w:r>
      <w:r>
        <w:rPr>
          <w:color w:val="0000FF"/>
          <w:vertAlign w:val="superscript"/>
          <w:lang w:val="pt-BR" w:eastAsia="pt-BR"/>
        </w:rPr>
        <w:t>9</w:t>
      </w:r>
      <w:r>
        <w:rPr>
          <w:color w:val="0000FF"/>
          <w:vertAlign w:val="superscript"/>
          <w:lang w:val="pt-BR" w:eastAsia="pt-BR"/>
        </w:rPr>
        <w:fldChar w:fldCharType="end"/>
      </w:r>
      <w:r>
        <w:rPr>
          <w:color w:val="0000FF"/>
          <w:vertAlign w:val="superscript"/>
          <w:lang w:val="pt-BR" w:eastAsia="pt-BR"/>
        </w:rPr>
        <w:t>]</w:t>
      </w:r>
      <w:r>
        <w:rPr>
          <w:lang w:val="pt-BR" w:eastAsia="pt-BR"/>
        </w:rPr>
        <w:t xml:space="preserve">. </w:t>
      </w:r>
    </w:p>
    <w:p w14:paraId="01C98DDF" w14:textId="0A0BB2A1" w:rsidR="005E785F" w:rsidRDefault="003621E8">
      <w:pPr>
        <w:spacing w:before="120" w:after="120"/>
        <w:jc w:val="both"/>
        <w:rPr>
          <w:lang w:val="pt-BR" w:eastAsia="pt-BR"/>
        </w:rPr>
      </w:pPr>
      <w:r>
        <w:rPr>
          <w:lang w:val="pt-BR" w:eastAsia="pt-BR"/>
        </w:rPr>
        <w:t>Subsequent non-clinical development was conducted with an optimised drug candidate and focused on providing evidence on biological activity of the newly produced batch in comparison to the early research batches as well on showing proof-of-principle in relevant animal models to support the development of CpG ODN D35 for treatment of CL patients.</w:t>
      </w:r>
    </w:p>
    <w:p w14:paraId="71328652" w14:textId="1C4DC92C" w:rsidR="005E785F" w:rsidRDefault="003621E8">
      <w:pPr>
        <w:jc w:val="both"/>
        <w:rPr>
          <w:rFonts w:cs="Times New Roman"/>
          <w:szCs w:val="24"/>
        </w:rPr>
      </w:pPr>
      <w:r>
        <w:rPr>
          <w:rFonts w:cs="Times New Roman"/>
          <w:i/>
          <w:szCs w:val="24"/>
        </w:rPr>
        <w:t>In vivo</w:t>
      </w:r>
      <w:r>
        <w:rPr>
          <w:rFonts w:cs="Times New Roman"/>
          <w:szCs w:val="24"/>
        </w:rPr>
        <w:t xml:space="preserve"> studies in cynomolgus monkeys showed that a single SC treatment with CpG ODN D35 at dose levels of ≥1 mg/kg was sufficient to induce a local and systemic (distant from injection site) pharmacological effect as shown by analysis of cytokine response (IFN-α, IFN-γ, CXCL10/IP-10 and IL-6) in peripheral blood mononuclear cells (PBMCs) and in skin collected at the injection site or skin distant from the injection site. Treatment was well tolerated up to the highest tested dose of 12 mg/kg. At 3 mg/kg a plateau in cytokine response was reached locally and systemically since an increase of the dose did not result in a further increase in the inflammatory response (cytokine response). However, in tissue samples collected from the contralateral, distant site of injection, cytokine mRNA levels increased with dose with highest response observed at the highest tested dose of 12 mg/kg. The pharmacological activity of CpG ODN D35 dose levels ≥1 mg/kg (SC) was confirmed in a combined safety and efficacy study conducted in cynomolgus monkeys. This study also provided evidence for a sustained effect of CpG ODN D35 since cytokine levels did not return to baseline in skin biopsies taken 3 weeks after the last dosing. </w:t>
      </w:r>
    </w:p>
    <w:p w14:paraId="566949EC" w14:textId="038BB484" w:rsidR="005E785F" w:rsidRDefault="003621E8">
      <w:pPr>
        <w:pStyle w:val="Heading4"/>
      </w:pPr>
      <w:bookmarkStart w:id="46" w:name="_Toc74904345"/>
      <w:r>
        <w:t>Primary Pharmacodynamics</w:t>
      </w:r>
      <w:bookmarkEnd w:id="46"/>
    </w:p>
    <w:p w14:paraId="2ED2A1BC" w14:textId="1AC340D8" w:rsidR="005E785F" w:rsidRDefault="003621E8">
      <w:pPr>
        <w:spacing w:before="120" w:after="120"/>
        <w:jc w:val="both"/>
        <w:rPr>
          <w:lang w:val="pt-BR" w:eastAsia="pt-BR"/>
        </w:rPr>
      </w:pPr>
      <w:r>
        <w:rPr>
          <w:rFonts w:cs="Times New Roman"/>
          <w:i/>
          <w:iCs/>
          <w:szCs w:val="24"/>
        </w:rPr>
        <w:t>In vitro</w:t>
      </w:r>
      <w:r>
        <w:rPr>
          <w:rFonts w:cs="Times New Roman"/>
          <w:szCs w:val="24"/>
        </w:rPr>
        <w:t xml:space="preserve"> studies in PBMCs of different species were conducted to support the selection of species for non-clinical testing. </w:t>
      </w:r>
      <w:r>
        <w:rPr>
          <w:rFonts w:cs="Times New Roman"/>
          <w:i/>
          <w:iCs/>
          <w:szCs w:val="24"/>
        </w:rPr>
        <w:t>In vivo</w:t>
      </w:r>
      <w:r>
        <w:rPr>
          <w:rFonts w:cs="Times New Roman"/>
          <w:szCs w:val="24"/>
        </w:rPr>
        <w:t xml:space="preserve"> studies were subsequently initiated</w:t>
      </w:r>
      <w:r>
        <w:rPr>
          <w:lang w:val="pt-BR" w:eastAsia="pt-BR"/>
        </w:rPr>
        <w:t xml:space="preserve"> in cynomolgus monkey and rhesus macaques which were identified as pharmacologically relevant species. To support the use of CpG ODN D35 as adjuvant therapy to a chemotherapy in CL patients, a co-</w:t>
      </w:r>
      <w:r>
        <w:rPr>
          <w:lang w:val="pt-BR" w:eastAsia="pt-BR"/>
        </w:rPr>
        <w:lastRenderedPageBreak/>
        <w:t xml:space="preserve">treatment with CpG ODN D35 and pentavalent antimony was included in a subset of these studies. </w:t>
      </w:r>
    </w:p>
    <w:p w14:paraId="665F0DFB" w14:textId="6F2B69DC" w:rsidR="005E785F" w:rsidRDefault="003621E8">
      <w:pPr>
        <w:spacing w:before="120" w:after="120"/>
        <w:jc w:val="both"/>
        <w:rPr>
          <w:lang w:val="pt-BR" w:eastAsia="pt-BR"/>
        </w:rPr>
      </w:pPr>
      <w:r>
        <w:rPr>
          <w:lang w:val="pt-BR" w:eastAsia="pt-BR"/>
        </w:rPr>
        <w:t xml:space="preserve">In addition, a proof-of-concept study in </w:t>
      </w:r>
      <w:r>
        <w:rPr>
          <w:i/>
          <w:iCs/>
          <w:lang w:val="pt-BR" w:eastAsia="pt-BR"/>
        </w:rPr>
        <w:t>Leishmania major</w:t>
      </w:r>
      <w:r>
        <w:rPr>
          <w:lang w:val="pt-BR" w:eastAsia="pt-BR"/>
        </w:rPr>
        <w:t xml:space="preserve"> infected rhesus macaques was performed. That study included the assessment of efficacy after application of CpG ODN D35 as single treatment or after a co-treatment with pentavalent antimony.</w:t>
      </w:r>
    </w:p>
    <w:p w14:paraId="077DF89D" w14:textId="4791265A" w:rsidR="005E785F" w:rsidRDefault="003621E8">
      <w:pPr>
        <w:pStyle w:val="Heading4"/>
      </w:pPr>
      <w:bookmarkStart w:id="47" w:name="_Toc74904346"/>
      <w:r>
        <w:t>Safety Pharmacology</w:t>
      </w:r>
      <w:bookmarkEnd w:id="47"/>
    </w:p>
    <w:p w14:paraId="2F4C44F4" w14:textId="77777777" w:rsidR="005E785F" w:rsidRDefault="003621E8">
      <w:pPr>
        <w:pStyle w:val="C-BodyText"/>
        <w:jc w:val="both"/>
        <w:rPr>
          <w:lang w:val="en-GB"/>
        </w:rPr>
      </w:pPr>
      <w:r>
        <w:rPr>
          <w:lang w:val="en-GB"/>
        </w:rPr>
        <w:t xml:space="preserve">No stand-alone safety pharmacology studies were conducted with CpG ODN D35. </w:t>
      </w:r>
    </w:p>
    <w:p w14:paraId="66E8ED01" w14:textId="4F9B4D13" w:rsidR="005E785F" w:rsidRDefault="003621E8">
      <w:pPr>
        <w:pStyle w:val="C-BodyText"/>
        <w:jc w:val="both"/>
        <w:rPr>
          <w:lang w:val="en-GB"/>
        </w:rPr>
      </w:pPr>
      <w:r>
        <w:rPr>
          <w:lang w:val="en-GB"/>
        </w:rPr>
        <w:t>Assessment of the cardiovascular and respiratory systems were included in the good laboratory practice (GLP) repeat-dose toxicity study conducted in cynomolgus monkeys (Study No. 20180061TCYP). Detailed monitoring of clinical signs was included in this study, which allows for the identification of potential effects on the central nervous system (CNS). Based on the data collected in this study, CpG ODN D35 was found to exhibit no effect on the cardiovascular, respiratory or CNS after SC dosing every two weeks up to a dose of 15.9 mg/kg for a total of 4 doses.</w:t>
      </w:r>
    </w:p>
    <w:p w14:paraId="6ADDD1F8" w14:textId="0FBBC6F1" w:rsidR="005E785F" w:rsidRDefault="003621E8">
      <w:pPr>
        <w:pStyle w:val="Heading4"/>
      </w:pPr>
      <w:bookmarkStart w:id="48" w:name="_Toc74904347"/>
      <w:r>
        <w:t>Pharmacodynamic Drug Interaction</w:t>
      </w:r>
      <w:bookmarkEnd w:id="48"/>
    </w:p>
    <w:p w14:paraId="1757AF26" w14:textId="4B8F3B32" w:rsidR="005E785F" w:rsidRDefault="003621E8">
      <w:pPr>
        <w:pStyle w:val="C-BodyText"/>
        <w:jc w:val="both"/>
        <w:rPr>
          <w:lang w:val="en-GB"/>
        </w:rPr>
      </w:pPr>
      <w:r>
        <w:rPr>
          <w:lang w:val="en-GB"/>
        </w:rPr>
        <w:t xml:space="preserve">The pharmacodynamic (PD) interaction of CpG ODN D35 with antimonial treatment was investigated in </w:t>
      </w:r>
      <w:r>
        <w:rPr>
          <w:i/>
          <w:iCs/>
          <w:lang w:val="en-GB"/>
        </w:rPr>
        <w:t>in vitro</w:t>
      </w:r>
      <w:r>
        <w:rPr>
          <w:lang w:val="en-GB"/>
        </w:rPr>
        <w:t xml:space="preserve"> and </w:t>
      </w:r>
      <w:r>
        <w:rPr>
          <w:i/>
          <w:iCs/>
          <w:lang w:val="en-GB"/>
        </w:rPr>
        <w:t>in vivo</w:t>
      </w:r>
      <w:r>
        <w:rPr>
          <w:lang w:val="en-GB"/>
        </w:rPr>
        <w:t xml:space="preserve"> studies </w:t>
      </w:r>
      <w:r>
        <w:rPr>
          <w:color w:val="0000FF"/>
          <w:vertAlign w:val="superscript"/>
          <w:lang w:val="en-GB"/>
        </w:rPr>
        <w:t>[</w:t>
      </w:r>
      <w:r>
        <w:rPr>
          <w:color w:val="0000FF"/>
          <w:vertAlign w:val="superscript"/>
          <w:lang w:val="en-GB"/>
        </w:rPr>
        <w:fldChar w:fldCharType="begin"/>
      </w:r>
      <w:r>
        <w:rPr>
          <w:color w:val="0000FF"/>
          <w:vertAlign w:val="superscript"/>
          <w:lang w:val="en-GB"/>
        </w:rPr>
        <w:instrText xml:space="preserve"> REF _Ref65483535 \r \h  \* MERGEFORMAT </w:instrText>
      </w:r>
      <w:r>
        <w:rPr>
          <w:color w:val="0000FF"/>
          <w:vertAlign w:val="superscript"/>
          <w:lang w:val="en-GB"/>
        </w:rPr>
      </w:r>
      <w:r>
        <w:rPr>
          <w:color w:val="0000FF"/>
          <w:vertAlign w:val="superscript"/>
          <w:lang w:val="en-GB"/>
        </w:rPr>
        <w:fldChar w:fldCharType="separate"/>
      </w:r>
      <w:r>
        <w:rPr>
          <w:color w:val="0000FF"/>
          <w:vertAlign w:val="superscript"/>
          <w:lang w:val="en-GB"/>
        </w:rPr>
        <w:t>10</w:t>
      </w:r>
      <w:r>
        <w:rPr>
          <w:color w:val="0000FF"/>
          <w:vertAlign w:val="superscript"/>
          <w:lang w:val="en-GB"/>
        </w:rPr>
        <w:fldChar w:fldCharType="end"/>
      </w:r>
      <w:r>
        <w:rPr>
          <w:color w:val="0000FF"/>
          <w:vertAlign w:val="superscript"/>
          <w:lang w:val="en-GB"/>
        </w:rPr>
        <w:t>]</w:t>
      </w:r>
      <w:r>
        <w:rPr>
          <w:lang w:val="en-GB"/>
        </w:rPr>
        <w:t>. The results of those studies support the use of CpG ODN D35 as adjuvant therapy for antimonial treatment of CL patients.</w:t>
      </w:r>
    </w:p>
    <w:p w14:paraId="0ADF60FF" w14:textId="7F9C17DD" w:rsidR="005E785F" w:rsidRDefault="003621E8">
      <w:pPr>
        <w:pStyle w:val="Heading3"/>
      </w:pPr>
      <w:bookmarkStart w:id="49" w:name="_Toc74904348"/>
      <w:r>
        <w:t>Nonclinical Pharmacokinetics and Metabolism</w:t>
      </w:r>
      <w:bookmarkEnd w:id="49"/>
      <w:r>
        <w:t xml:space="preserve"> </w:t>
      </w:r>
    </w:p>
    <w:p w14:paraId="4FE91022" w14:textId="1F25CD38" w:rsidR="005E785F" w:rsidRDefault="003621E8">
      <w:pPr>
        <w:pStyle w:val="C-BodyText"/>
        <w:jc w:val="both"/>
        <w:rPr>
          <w:lang w:val="en-GB"/>
        </w:rPr>
      </w:pPr>
      <w:r>
        <w:rPr>
          <w:lang w:val="en-GB"/>
        </w:rPr>
        <w:t xml:space="preserve">The pharmacokinetic (PK) profile of CpG ODN D35 was evaluated in rats and monkeys after single SC or intravenous (IV) administration. A study investigating the stability of the test item in human and monkey plasma was conducted. Assessment of toxicokinetic (TK) was included in the repeat-dose toxicity studies conducted in cynomolgus monkeys. An overview of pharmacokinetic studies is provided in </w:t>
      </w:r>
      <w:r>
        <w:rPr>
          <w:color w:val="0000FF"/>
          <w:lang w:val="en-GB"/>
        </w:rPr>
        <w:fldChar w:fldCharType="begin"/>
      </w:r>
      <w:r>
        <w:rPr>
          <w:color w:val="0000FF"/>
          <w:lang w:val="en-GB"/>
        </w:rPr>
        <w:instrText xml:space="preserve"> REF _Ref66858651 \h  \* MERGEFORMAT </w:instrText>
      </w:r>
      <w:r>
        <w:rPr>
          <w:color w:val="0000FF"/>
          <w:lang w:val="en-GB"/>
        </w:rPr>
      </w:r>
      <w:r>
        <w:rPr>
          <w:color w:val="0000FF"/>
          <w:lang w:val="en-GB"/>
        </w:rPr>
        <w:fldChar w:fldCharType="separate"/>
      </w:r>
      <w:r>
        <w:rPr>
          <w:color w:val="0000FF"/>
        </w:rPr>
        <w:t>Table 1</w:t>
      </w:r>
      <w:r>
        <w:rPr>
          <w:color w:val="0000FF"/>
          <w:lang w:val="en-GB"/>
        </w:rPr>
        <w:fldChar w:fldCharType="end"/>
      </w:r>
      <w:r>
        <w:rPr>
          <w:color w:val="0000FF"/>
          <w:vertAlign w:val="superscript"/>
          <w:lang w:val="en-GB"/>
        </w:rPr>
        <w:t>[</w:t>
      </w:r>
      <w:r>
        <w:rPr>
          <w:color w:val="0000FF"/>
          <w:vertAlign w:val="superscript"/>
          <w:lang w:val="en-GB"/>
        </w:rPr>
        <w:fldChar w:fldCharType="begin"/>
      </w:r>
      <w:r>
        <w:rPr>
          <w:color w:val="0000FF"/>
          <w:vertAlign w:val="superscript"/>
          <w:lang w:val="en-GB"/>
        </w:rPr>
        <w:instrText xml:space="preserve"> REF _Ref65483649 \r \h  \* MERGEFORMAT </w:instrText>
      </w:r>
      <w:r>
        <w:rPr>
          <w:color w:val="0000FF"/>
          <w:vertAlign w:val="superscript"/>
          <w:lang w:val="en-GB"/>
        </w:rPr>
      </w:r>
      <w:r>
        <w:rPr>
          <w:color w:val="0000FF"/>
          <w:vertAlign w:val="superscript"/>
          <w:lang w:val="en-GB"/>
        </w:rPr>
        <w:fldChar w:fldCharType="separate"/>
      </w:r>
      <w:r>
        <w:rPr>
          <w:color w:val="0000FF"/>
          <w:vertAlign w:val="superscript"/>
          <w:lang w:val="en-GB"/>
        </w:rPr>
        <w:t>11</w:t>
      </w:r>
      <w:r>
        <w:rPr>
          <w:color w:val="0000FF"/>
          <w:vertAlign w:val="superscript"/>
          <w:lang w:val="en-GB"/>
        </w:rPr>
        <w:fldChar w:fldCharType="end"/>
      </w:r>
      <w:r>
        <w:rPr>
          <w:color w:val="0000FF"/>
          <w:vertAlign w:val="superscript"/>
          <w:lang w:val="en-GB"/>
        </w:rPr>
        <w:t>].</w:t>
      </w:r>
    </w:p>
    <w:p w14:paraId="7FE35F21" w14:textId="0402FCF0" w:rsidR="005E785F" w:rsidRDefault="003621E8">
      <w:pPr>
        <w:pStyle w:val="Caption"/>
        <w:rPr>
          <w:lang w:val="en-GB"/>
        </w:rPr>
      </w:pPr>
      <w:bookmarkStart w:id="50" w:name="_Ref66858651"/>
      <w:bookmarkStart w:id="51" w:name="_Ref65246419"/>
      <w:bookmarkStart w:id="52" w:name="_Toc66992762"/>
      <w:r>
        <w:lastRenderedPageBreak/>
        <w:t xml:space="preserve">Table </w:t>
      </w:r>
      <w:r w:rsidR="00747B9C">
        <w:fldChar w:fldCharType="begin"/>
      </w:r>
      <w:r w:rsidR="00747B9C">
        <w:instrText xml:space="preserve"> SEQ Table \* ARABIC </w:instrText>
      </w:r>
      <w:r w:rsidR="00747B9C">
        <w:fldChar w:fldCharType="separate"/>
      </w:r>
      <w:r>
        <w:t>1</w:t>
      </w:r>
      <w:r w:rsidR="00747B9C">
        <w:fldChar w:fldCharType="end"/>
      </w:r>
      <w:bookmarkEnd w:id="50"/>
      <w:r>
        <w:rPr>
          <w:lang w:val="en-GB"/>
        </w:rPr>
        <w:t xml:space="preserve"> Overview of Pharmacokinetic Studies and Key Results</w:t>
      </w:r>
      <w:bookmarkEnd w:id="51"/>
      <w:bookmarkEnd w:id="52"/>
    </w:p>
    <w:tbl>
      <w:tblPr>
        <w:tblStyle w:val="TableGrid"/>
        <w:tblW w:w="5000" w:type="pct"/>
        <w:tblLook w:val="04A0" w:firstRow="1" w:lastRow="0" w:firstColumn="1" w:lastColumn="0" w:noHBand="0" w:noVBand="1"/>
      </w:tblPr>
      <w:tblGrid>
        <w:gridCol w:w="1490"/>
        <w:gridCol w:w="1403"/>
        <w:gridCol w:w="1399"/>
        <w:gridCol w:w="1508"/>
        <w:gridCol w:w="3217"/>
      </w:tblGrid>
      <w:tr w:rsidR="005E785F" w14:paraId="2B580D53" w14:textId="77777777">
        <w:trPr>
          <w:trHeight w:val="727"/>
        </w:trPr>
        <w:tc>
          <w:tcPr>
            <w:tcW w:w="826" w:type="pct"/>
          </w:tcPr>
          <w:p w14:paraId="50C57557" w14:textId="77777777" w:rsidR="005E785F" w:rsidRDefault="003621E8">
            <w:pPr>
              <w:pStyle w:val="BayerTableColumnHeadings"/>
              <w:spacing w:before="40" w:after="40"/>
              <w:rPr>
                <w:rFonts w:ascii="Times New Roman" w:hAnsi="Times New Roman" w:cs="Times New Roman"/>
                <w:lang w:val="en-GB"/>
              </w:rPr>
            </w:pPr>
            <w:r>
              <w:rPr>
                <w:rFonts w:ascii="Times New Roman" w:hAnsi="Times New Roman" w:cs="Times New Roman"/>
                <w:lang w:val="en-GB"/>
              </w:rPr>
              <w:t>Study Number (GLP Status)</w:t>
            </w:r>
          </w:p>
        </w:tc>
        <w:tc>
          <w:tcPr>
            <w:tcW w:w="778" w:type="pct"/>
          </w:tcPr>
          <w:p w14:paraId="42336A4A" w14:textId="77777777" w:rsidR="005E785F" w:rsidRDefault="003621E8">
            <w:pPr>
              <w:pStyle w:val="BayerTableColumnHeadings"/>
              <w:spacing w:before="40" w:after="40"/>
              <w:rPr>
                <w:rFonts w:ascii="Times New Roman" w:hAnsi="Times New Roman" w:cs="Times New Roman"/>
                <w:lang w:val="en-GB"/>
              </w:rPr>
            </w:pPr>
            <w:r>
              <w:rPr>
                <w:rFonts w:ascii="Times New Roman" w:hAnsi="Times New Roman" w:cs="Times New Roman"/>
                <w:lang w:val="en-GB"/>
              </w:rPr>
              <w:t>Model</w:t>
            </w:r>
          </w:p>
        </w:tc>
        <w:tc>
          <w:tcPr>
            <w:tcW w:w="776" w:type="pct"/>
          </w:tcPr>
          <w:p w14:paraId="49817100" w14:textId="77777777" w:rsidR="005E785F" w:rsidRDefault="003621E8">
            <w:pPr>
              <w:pStyle w:val="BayerTableColumnHeadings"/>
              <w:spacing w:before="40" w:after="40"/>
              <w:rPr>
                <w:rFonts w:ascii="Times New Roman" w:hAnsi="Times New Roman" w:cs="Times New Roman"/>
                <w:lang w:val="en-GB"/>
              </w:rPr>
            </w:pPr>
            <w:r>
              <w:rPr>
                <w:rFonts w:ascii="Times New Roman" w:hAnsi="Times New Roman" w:cs="Times New Roman"/>
                <w:lang w:val="en-GB"/>
              </w:rPr>
              <w:t>Study Design</w:t>
            </w:r>
          </w:p>
        </w:tc>
        <w:tc>
          <w:tcPr>
            <w:tcW w:w="836" w:type="pct"/>
          </w:tcPr>
          <w:p w14:paraId="05D8D7DB" w14:textId="77777777" w:rsidR="005E785F" w:rsidRDefault="003621E8">
            <w:pPr>
              <w:pStyle w:val="BayerTableColumnHeadings"/>
              <w:spacing w:before="40" w:after="40"/>
              <w:rPr>
                <w:rFonts w:ascii="Times New Roman" w:hAnsi="Times New Roman" w:cs="Times New Roman"/>
                <w:lang w:val="en-GB"/>
              </w:rPr>
            </w:pPr>
            <w:r>
              <w:rPr>
                <w:rFonts w:ascii="Times New Roman" w:hAnsi="Times New Roman" w:cs="Times New Roman"/>
                <w:lang w:val="en-GB"/>
              </w:rPr>
              <w:t xml:space="preserve">Dose </w:t>
            </w:r>
          </w:p>
          <w:p w14:paraId="6ADDB1A4" w14:textId="77777777" w:rsidR="005E785F" w:rsidRDefault="003621E8">
            <w:pPr>
              <w:pStyle w:val="BayerTableColumnHeadings"/>
              <w:spacing w:before="40" w:after="40"/>
              <w:rPr>
                <w:rFonts w:ascii="Times New Roman" w:hAnsi="Times New Roman" w:cs="Times New Roman"/>
                <w:lang w:val="en-GB"/>
              </w:rPr>
            </w:pPr>
            <w:r>
              <w:rPr>
                <w:rFonts w:ascii="Times New Roman" w:hAnsi="Times New Roman" w:cs="Times New Roman"/>
                <w:lang w:val="en-GB"/>
              </w:rPr>
              <w:t>(mg/kg)</w:t>
            </w:r>
          </w:p>
        </w:tc>
        <w:tc>
          <w:tcPr>
            <w:tcW w:w="1784" w:type="pct"/>
          </w:tcPr>
          <w:p w14:paraId="55F4CC8C" w14:textId="77777777" w:rsidR="005E785F" w:rsidRDefault="003621E8">
            <w:pPr>
              <w:pStyle w:val="BayerTableColumnHeadings"/>
              <w:spacing w:before="40" w:after="40"/>
              <w:rPr>
                <w:rFonts w:ascii="Times New Roman" w:hAnsi="Times New Roman" w:cs="Times New Roman"/>
                <w:lang w:val="en-GB"/>
              </w:rPr>
            </w:pPr>
            <w:r>
              <w:rPr>
                <w:rFonts w:ascii="Times New Roman" w:hAnsi="Times New Roman" w:cs="Times New Roman"/>
                <w:lang w:val="en-GB"/>
              </w:rPr>
              <w:t>Key Outcome</w:t>
            </w:r>
          </w:p>
        </w:tc>
      </w:tr>
      <w:tr w:rsidR="005E785F" w14:paraId="6C33B2A6" w14:textId="77777777">
        <w:trPr>
          <w:trHeight w:val="454"/>
        </w:trPr>
        <w:tc>
          <w:tcPr>
            <w:tcW w:w="5000" w:type="pct"/>
            <w:gridSpan w:val="5"/>
          </w:tcPr>
          <w:p w14:paraId="6C03E34B" w14:textId="77777777" w:rsidR="005E785F" w:rsidRDefault="003621E8">
            <w:pPr>
              <w:pStyle w:val="BayerTableStyleLeftJustified"/>
              <w:spacing w:before="40" w:after="40"/>
              <w:rPr>
                <w:rFonts w:ascii="Times New Roman" w:hAnsi="Times New Roman" w:cs="Times New Roman"/>
                <w:b/>
                <w:bCs/>
                <w:lang w:val="en-GB"/>
              </w:rPr>
            </w:pPr>
            <w:r>
              <w:rPr>
                <w:rFonts w:ascii="Times New Roman" w:hAnsi="Times New Roman" w:cs="Times New Roman"/>
                <w:b/>
                <w:bCs/>
                <w:lang w:val="en-GB"/>
              </w:rPr>
              <w:t>Absorption</w:t>
            </w:r>
          </w:p>
        </w:tc>
      </w:tr>
      <w:tr w:rsidR="005E785F" w14:paraId="48C5248E" w14:textId="77777777">
        <w:trPr>
          <w:trHeight w:val="1208"/>
        </w:trPr>
        <w:tc>
          <w:tcPr>
            <w:tcW w:w="826" w:type="pct"/>
          </w:tcPr>
          <w:p w14:paraId="165974A1" w14:textId="77777777" w:rsidR="005E785F" w:rsidRDefault="003621E8">
            <w:pPr>
              <w:pStyle w:val="BayerTableStyleLeftJustified"/>
              <w:spacing w:before="40" w:after="40"/>
              <w:rPr>
                <w:rFonts w:ascii="Times New Roman" w:hAnsi="Times New Roman" w:cs="Times New Roman"/>
                <w:color w:val="0000FF"/>
                <w:lang w:val="en-GB"/>
              </w:rPr>
            </w:pPr>
            <w:r>
              <w:rPr>
                <w:rFonts w:ascii="Times New Roman" w:hAnsi="Times New Roman" w:cs="Times New Roman"/>
                <w:color w:val="0000FF"/>
                <w:lang w:val="en-GB"/>
              </w:rPr>
              <w:t>FSR-IPL-190307</w:t>
            </w:r>
          </w:p>
          <w:p w14:paraId="00DC14BE" w14:textId="77777777" w:rsidR="005E785F" w:rsidRDefault="003621E8">
            <w:pPr>
              <w:pStyle w:val="BayerTableStyleLeftJustified"/>
              <w:spacing w:before="40" w:after="40"/>
              <w:rPr>
                <w:rFonts w:ascii="Times New Roman" w:hAnsi="Times New Roman" w:cs="Times New Roman"/>
                <w:lang w:val="en-GB"/>
              </w:rPr>
            </w:pPr>
            <w:r>
              <w:rPr>
                <w:rFonts w:ascii="Times New Roman" w:hAnsi="Times New Roman" w:cs="Times New Roman"/>
                <w:lang w:val="en-GB"/>
              </w:rPr>
              <w:t>(non-GLP)</w:t>
            </w:r>
          </w:p>
        </w:tc>
        <w:tc>
          <w:tcPr>
            <w:tcW w:w="778" w:type="pct"/>
          </w:tcPr>
          <w:p w14:paraId="16145EBE" w14:textId="77777777" w:rsidR="005E785F" w:rsidRDefault="003621E8">
            <w:pPr>
              <w:pStyle w:val="BayerTableStyleLeftJustified"/>
              <w:spacing w:before="40" w:after="40"/>
              <w:rPr>
                <w:rFonts w:ascii="Times New Roman" w:hAnsi="Times New Roman" w:cs="Times New Roman"/>
                <w:lang w:val="en-GB"/>
              </w:rPr>
            </w:pPr>
            <w:r>
              <w:rPr>
                <w:rFonts w:ascii="Times New Roman" w:hAnsi="Times New Roman" w:cs="Times New Roman"/>
                <w:lang w:val="en-GB"/>
              </w:rPr>
              <w:t>OFA SD rat</w:t>
            </w:r>
          </w:p>
        </w:tc>
        <w:tc>
          <w:tcPr>
            <w:tcW w:w="776" w:type="pct"/>
          </w:tcPr>
          <w:p w14:paraId="26836ED3" w14:textId="77777777" w:rsidR="005E785F" w:rsidRDefault="003621E8">
            <w:pPr>
              <w:pStyle w:val="BayerTableStyleLeftJustified"/>
              <w:spacing w:before="40" w:after="40"/>
              <w:rPr>
                <w:rFonts w:ascii="Times New Roman" w:hAnsi="Times New Roman" w:cs="Times New Roman"/>
                <w:lang w:val="en-GB"/>
              </w:rPr>
            </w:pPr>
            <w:r>
              <w:rPr>
                <w:rFonts w:ascii="Times New Roman" w:hAnsi="Times New Roman" w:cs="Times New Roman"/>
                <w:lang w:val="en-GB"/>
              </w:rPr>
              <w:t>s.c. / i.v.</w:t>
            </w:r>
          </w:p>
          <w:p w14:paraId="1B3F64CA" w14:textId="77777777" w:rsidR="005E785F" w:rsidRDefault="003621E8">
            <w:pPr>
              <w:pStyle w:val="BayerTableStyleLeftJustified"/>
              <w:spacing w:before="40" w:after="40"/>
              <w:rPr>
                <w:rFonts w:ascii="Times New Roman" w:hAnsi="Times New Roman" w:cs="Times New Roman"/>
                <w:lang w:val="en-GB"/>
              </w:rPr>
            </w:pPr>
            <w:r>
              <w:rPr>
                <w:rFonts w:ascii="Times New Roman" w:hAnsi="Times New Roman" w:cs="Times New Roman"/>
                <w:lang w:val="en-GB"/>
              </w:rPr>
              <w:t>single dose</w:t>
            </w:r>
          </w:p>
        </w:tc>
        <w:tc>
          <w:tcPr>
            <w:tcW w:w="836" w:type="pct"/>
          </w:tcPr>
          <w:p w14:paraId="6A0A6A31" w14:textId="77777777" w:rsidR="005E785F" w:rsidRDefault="003621E8">
            <w:pPr>
              <w:pStyle w:val="BayerTableStyleLeftJustified"/>
              <w:spacing w:before="40" w:after="40"/>
              <w:rPr>
                <w:rFonts w:ascii="Times New Roman" w:hAnsi="Times New Roman" w:cs="Times New Roman"/>
                <w:lang w:val="en-GB"/>
              </w:rPr>
            </w:pPr>
            <w:r>
              <w:rPr>
                <w:rFonts w:ascii="Times New Roman" w:hAnsi="Times New Roman" w:cs="Times New Roman"/>
                <w:lang w:val="en-GB"/>
              </w:rPr>
              <w:t>s.c. = 159</w:t>
            </w:r>
          </w:p>
          <w:p w14:paraId="2C98C2F7" w14:textId="77777777" w:rsidR="005E785F" w:rsidRDefault="003621E8">
            <w:pPr>
              <w:pStyle w:val="BayerTableStyleLeftJustified"/>
              <w:spacing w:before="40" w:after="40"/>
              <w:rPr>
                <w:rFonts w:ascii="Times New Roman" w:hAnsi="Times New Roman" w:cs="Times New Roman"/>
                <w:lang w:val="en-GB"/>
              </w:rPr>
            </w:pPr>
            <w:r>
              <w:rPr>
                <w:rFonts w:ascii="Times New Roman" w:hAnsi="Times New Roman" w:cs="Times New Roman"/>
                <w:lang w:val="en-GB"/>
              </w:rPr>
              <w:t>i.v. = 318</w:t>
            </w:r>
          </w:p>
        </w:tc>
        <w:tc>
          <w:tcPr>
            <w:tcW w:w="1784" w:type="pct"/>
          </w:tcPr>
          <w:p w14:paraId="7B7C41C3" w14:textId="77777777" w:rsidR="005E785F" w:rsidRDefault="003621E8">
            <w:pPr>
              <w:pStyle w:val="BayerTableStyleLeftJustified"/>
              <w:spacing w:before="40" w:after="40"/>
              <w:rPr>
                <w:rFonts w:ascii="Times New Roman" w:hAnsi="Times New Roman" w:cs="Times New Roman"/>
                <w:u w:val="single"/>
                <w:lang w:val="en-GB"/>
              </w:rPr>
            </w:pPr>
            <w:r>
              <w:rPr>
                <w:rFonts w:ascii="Times New Roman" w:hAnsi="Times New Roman" w:cs="Times New Roman"/>
                <w:u w:val="single"/>
                <w:lang w:val="en-GB"/>
              </w:rPr>
              <w:t>s.c.:</w:t>
            </w:r>
          </w:p>
          <w:p w14:paraId="68F3D358" w14:textId="77777777" w:rsidR="005E785F" w:rsidRDefault="003621E8">
            <w:pPr>
              <w:pStyle w:val="BayerTableStyleLeftJustified"/>
              <w:spacing w:before="40" w:after="40"/>
              <w:rPr>
                <w:rFonts w:ascii="Times New Roman" w:hAnsi="Times New Roman" w:cs="Times New Roman"/>
                <w:lang w:val="en-GB"/>
              </w:rPr>
            </w:pPr>
            <w:r>
              <w:rPr>
                <w:rFonts w:ascii="Times New Roman" w:hAnsi="Times New Roman" w:cs="Times New Roman"/>
                <w:lang w:val="en-GB"/>
              </w:rPr>
              <w:t>C</w:t>
            </w:r>
            <w:r>
              <w:rPr>
                <w:rFonts w:ascii="Times New Roman" w:hAnsi="Times New Roman" w:cs="Times New Roman"/>
                <w:vertAlign w:val="subscript"/>
                <w:lang w:val="en-GB"/>
              </w:rPr>
              <w:t>max</w:t>
            </w:r>
            <w:r>
              <w:rPr>
                <w:rFonts w:ascii="Times New Roman" w:hAnsi="Times New Roman" w:cs="Times New Roman"/>
                <w:lang w:val="en-GB"/>
              </w:rPr>
              <w:t>=4,703 ng/mL; T</w:t>
            </w:r>
            <w:r>
              <w:rPr>
                <w:rFonts w:ascii="Times New Roman" w:hAnsi="Times New Roman" w:cs="Times New Roman"/>
                <w:vertAlign w:val="subscript"/>
                <w:lang w:val="en-GB"/>
              </w:rPr>
              <w:t>max</w:t>
            </w:r>
            <w:r>
              <w:rPr>
                <w:rFonts w:ascii="Times New Roman" w:hAnsi="Times New Roman" w:cs="Times New Roman"/>
                <w:lang w:val="en-GB"/>
              </w:rPr>
              <w:t>=15 min</w:t>
            </w:r>
          </w:p>
          <w:p w14:paraId="6CFFBA65" w14:textId="77777777" w:rsidR="005E785F" w:rsidRDefault="003621E8">
            <w:pPr>
              <w:pStyle w:val="BayerTableStyleLeftJustified"/>
              <w:spacing w:before="40" w:after="40"/>
              <w:rPr>
                <w:rFonts w:ascii="Times New Roman" w:hAnsi="Times New Roman" w:cs="Times New Roman"/>
                <w:u w:val="single"/>
                <w:lang w:val="en-GB"/>
              </w:rPr>
            </w:pPr>
            <w:r>
              <w:rPr>
                <w:rFonts w:ascii="Times New Roman" w:hAnsi="Times New Roman" w:cs="Times New Roman"/>
                <w:u w:val="single"/>
                <w:lang w:val="en-GB"/>
              </w:rPr>
              <w:t>i.v.:</w:t>
            </w:r>
          </w:p>
          <w:p w14:paraId="299EB652" w14:textId="77777777" w:rsidR="005E785F" w:rsidRDefault="003621E8">
            <w:pPr>
              <w:pStyle w:val="BayerTableStyleLeftJustified"/>
              <w:spacing w:before="40" w:after="40"/>
              <w:rPr>
                <w:rFonts w:ascii="Times New Roman" w:hAnsi="Times New Roman" w:cs="Times New Roman"/>
                <w:lang w:val="en-GB"/>
              </w:rPr>
            </w:pPr>
            <w:r>
              <w:rPr>
                <w:rFonts w:ascii="Times New Roman" w:hAnsi="Times New Roman" w:cs="Times New Roman"/>
                <w:lang w:val="en-GB"/>
              </w:rPr>
              <w:t>C</w:t>
            </w:r>
            <w:r>
              <w:rPr>
                <w:rFonts w:ascii="Times New Roman" w:hAnsi="Times New Roman" w:cs="Times New Roman"/>
                <w:vertAlign w:val="subscript"/>
                <w:lang w:val="en-GB"/>
              </w:rPr>
              <w:t>max</w:t>
            </w:r>
            <w:r>
              <w:rPr>
                <w:rFonts w:ascii="Times New Roman" w:hAnsi="Times New Roman" w:cs="Times New Roman"/>
                <w:lang w:val="en-GB"/>
              </w:rPr>
              <w:t>=107,605 ng/mL; T</w:t>
            </w:r>
            <w:r>
              <w:rPr>
                <w:rFonts w:ascii="Times New Roman" w:hAnsi="Times New Roman" w:cs="Times New Roman"/>
                <w:vertAlign w:val="subscript"/>
                <w:lang w:val="en-GB"/>
              </w:rPr>
              <w:t>max</w:t>
            </w:r>
            <w:r>
              <w:rPr>
                <w:rFonts w:ascii="Times New Roman" w:hAnsi="Times New Roman" w:cs="Times New Roman"/>
                <w:lang w:val="en-GB"/>
              </w:rPr>
              <w:t>=15 min</w:t>
            </w:r>
            <w:r>
              <w:rPr>
                <w:rFonts w:ascii="Times New Roman" w:hAnsi="Times New Roman" w:cs="Times New Roman"/>
                <w:vertAlign w:val="superscript"/>
                <w:lang w:val="en-GB"/>
              </w:rPr>
              <w:t xml:space="preserve"> #</w:t>
            </w:r>
          </w:p>
        </w:tc>
      </w:tr>
      <w:tr w:rsidR="005E785F" w14:paraId="6EB65731" w14:textId="77777777">
        <w:trPr>
          <w:trHeight w:val="1208"/>
        </w:trPr>
        <w:tc>
          <w:tcPr>
            <w:tcW w:w="826" w:type="pct"/>
          </w:tcPr>
          <w:p w14:paraId="4E184157" w14:textId="77777777" w:rsidR="005E785F" w:rsidRDefault="003621E8">
            <w:pPr>
              <w:pStyle w:val="BayerTableStyleLeftJustified"/>
              <w:spacing w:before="40" w:after="40"/>
              <w:rPr>
                <w:rFonts w:ascii="Times New Roman" w:hAnsi="Times New Roman" w:cs="Times New Roman"/>
                <w:color w:val="0000FF"/>
                <w:lang w:val="en-GB"/>
              </w:rPr>
            </w:pPr>
            <w:r>
              <w:rPr>
                <w:rFonts w:ascii="Times New Roman" w:hAnsi="Times New Roman" w:cs="Times New Roman"/>
                <w:color w:val="0000FF"/>
                <w:lang w:val="en-GB"/>
              </w:rPr>
              <w:t>20180059STP</w:t>
            </w:r>
          </w:p>
          <w:p w14:paraId="138F73B6" w14:textId="77777777" w:rsidR="005E785F" w:rsidRDefault="003621E8">
            <w:pPr>
              <w:pStyle w:val="BayerTableStyleLeftJustified"/>
              <w:spacing w:before="40" w:after="40"/>
              <w:rPr>
                <w:rFonts w:ascii="Times New Roman" w:hAnsi="Times New Roman" w:cs="Times New Roman"/>
                <w:lang w:val="en-GB"/>
              </w:rPr>
            </w:pPr>
            <w:r>
              <w:rPr>
                <w:rFonts w:ascii="Times New Roman" w:hAnsi="Times New Roman" w:cs="Times New Roman"/>
                <w:lang w:val="en-GB"/>
              </w:rPr>
              <w:t>(non-GLP)</w:t>
            </w:r>
          </w:p>
        </w:tc>
        <w:tc>
          <w:tcPr>
            <w:tcW w:w="778" w:type="pct"/>
          </w:tcPr>
          <w:p w14:paraId="0156BD13" w14:textId="77777777" w:rsidR="005E785F" w:rsidRDefault="003621E8">
            <w:pPr>
              <w:pStyle w:val="BayerTableStyleLeftJustified"/>
              <w:spacing w:before="40" w:after="40"/>
              <w:rPr>
                <w:rFonts w:ascii="Times New Roman" w:hAnsi="Times New Roman" w:cs="Times New Roman"/>
                <w:lang w:val="en-GB"/>
              </w:rPr>
            </w:pPr>
            <w:r>
              <w:rPr>
                <w:rFonts w:ascii="Times New Roman" w:hAnsi="Times New Roman" w:cs="Times New Roman"/>
                <w:lang w:val="en-GB"/>
              </w:rPr>
              <w:t>Cynomolgus monkey</w:t>
            </w:r>
          </w:p>
        </w:tc>
        <w:tc>
          <w:tcPr>
            <w:tcW w:w="776" w:type="pct"/>
          </w:tcPr>
          <w:p w14:paraId="77A03EF7" w14:textId="77777777" w:rsidR="005E785F" w:rsidRDefault="003621E8">
            <w:pPr>
              <w:pStyle w:val="BayerTableStyleLeftJustified"/>
              <w:spacing w:before="40" w:after="40"/>
              <w:rPr>
                <w:rFonts w:ascii="Times New Roman" w:hAnsi="Times New Roman" w:cs="Times New Roman"/>
                <w:lang w:val="en-GB"/>
              </w:rPr>
            </w:pPr>
            <w:r>
              <w:rPr>
                <w:rFonts w:ascii="Times New Roman" w:hAnsi="Times New Roman" w:cs="Times New Roman"/>
                <w:lang w:val="en-GB"/>
              </w:rPr>
              <w:t>s.c. / i.v.</w:t>
            </w:r>
          </w:p>
          <w:p w14:paraId="599C8B5B" w14:textId="77777777" w:rsidR="005E785F" w:rsidRDefault="003621E8">
            <w:pPr>
              <w:pStyle w:val="BayerTableStyleLeftJustified"/>
              <w:spacing w:before="40" w:after="40"/>
              <w:rPr>
                <w:rFonts w:ascii="Times New Roman" w:hAnsi="Times New Roman" w:cs="Times New Roman"/>
                <w:lang w:val="en-GB"/>
              </w:rPr>
            </w:pPr>
            <w:r>
              <w:rPr>
                <w:rFonts w:ascii="Times New Roman" w:hAnsi="Times New Roman" w:cs="Times New Roman"/>
                <w:lang w:val="en-GB"/>
              </w:rPr>
              <w:t>single dose</w:t>
            </w:r>
          </w:p>
        </w:tc>
        <w:tc>
          <w:tcPr>
            <w:tcW w:w="836" w:type="pct"/>
          </w:tcPr>
          <w:p w14:paraId="659B1093" w14:textId="77777777" w:rsidR="005E785F" w:rsidRDefault="003621E8">
            <w:pPr>
              <w:pStyle w:val="BayerTableStyleLeftJustified"/>
              <w:spacing w:before="40" w:after="40"/>
              <w:rPr>
                <w:rFonts w:ascii="Times New Roman" w:hAnsi="Times New Roman" w:cs="Times New Roman"/>
                <w:lang w:val="en-GB"/>
              </w:rPr>
            </w:pPr>
            <w:r>
              <w:rPr>
                <w:rFonts w:ascii="Times New Roman" w:hAnsi="Times New Roman" w:cs="Times New Roman"/>
                <w:lang w:val="en-GB"/>
              </w:rPr>
              <w:t>s.c. / i.v. = 2*</w:t>
            </w:r>
          </w:p>
        </w:tc>
        <w:tc>
          <w:tcPr>
            <w:tcW w:w="1784" w:type="pct"/>
          </w:tcPr>
          <w:p w14:paraId="08D7D489" w14:textId="77777777" w:rsidR="005E785F" w:rsidRDefault="003621E8">
            <w:pPr>
              <w:pStyle w:val="BayerTableStyleLeftJustified"/>
              <w:spacing w:before="40" w:after="40"/>
              <w:rPr>
                <w:rFonts w:ascii="Times New Roman" w:hAnsi="Times New Roman" w:cs="Times New Roman"/>
                <w:u w:val="single"/>
                <w:lang w:val="en-GB"/>
              </w:rPr>
            </w:pPr>
            <w:r>
              <w:rPr>
                <w:rFonts w:ascii="Times New Roman" w:hAnsi="Times New Roman" w:cs="Times New Roman"/>
                <w:u w:val="single"/>
                <w:lang w:val="en-GB"/>
              </w:rPr>
              <w:t>s.c.:</w:t>
            </w:r>
          </w:p>
          <w:p w14:paraId="5B014C48" w14:textId="77777777" w:rsidR="005E785F" w:rsidRDefault="003621E8">
            <w:pPr>
              <w:pStyle w:val="BayerTableStyleLeftJustified"/>
              <w:spacing w:before="40" w:after="40"/>
              <w:rPr>
                <w:rFonts w:ascii="Times New Roman" w:hAnsi="Times New Roman" w:cs="Times New Roman"/>
                <w:lang w:val="en-GB"/>
              </w:rPr>
            </w:pPr>
            <w:r>
              <w:rPr>
                <w:rFonts w:ascii="Times New Roman" w:hAnsi="Times New Roman" w:cs="Times New Roman"/>
                <w:lang w:val="en-GB"/>
              </w:rPr>
              <w:t>C</w:t>
            </w:r>
            <w:r>
              <w:rPr>
                <w:rFonts w:ascii="Times New Roman" w:hAnsi="Times New Roman" w:cs="Times New Roman"/>
                <w:vertAlign w:val="subscript"/>
                <w:lang w:val="en-GB"/>
              </w:rPr>
              <w:t>max</w:t>
            </w:r>
            <w:r>
              <w:rPr>
                <w:rFonts w:ascii="Times New Roman" w:hAnsi="Times New Roman" w:cs="Times New Roman"/>
                <w:lang w:val="en-GB"/>
              </w:rPr>
              <w:t>=124.1 ng/mL, T</w:t>
            </w:r>
            <w:r>
              <w:rPr>
                <w:rFonts w:ascii="Times New Roman" w:hAnsi="Times New Roman" w:cs="Times New Roman"/>
                <w:vertAlign w:val="subscript"/>
                <w:lang w:val="en-GB"/>
              </w:rPr>
              <w:t>max</w:t>
            </w:r>
            <w:r>
              <w:rPr>
                <w:rFonts w:ascii="Times New Roman" w:hAnsi="Times New Roman" w:cs="Times New Roman"/>
                <w:lang w:val="en-GB"/>
              </w:rPr>
              <w:t>=15 min</w:t>
            </w:r>
          </w:p>
          <w:p w14:paraId="5BD84F0E" w14:textId="77777777" w:rsidR="005E785F" w:rsidRDefault="003621E8">
            <w:pPr>
              <w:pStyle w:val="BayerTableStyleLeftJustified"/>
              <w:spacing w:before="40" w:after="40"/>
              <w:rPr>
                <w:rFonts w:ascii="Times New Roman" w:hAnsi="Times New Roman" w:cs="Times New Roman"/>
                <w:lang w:val="en-GB"/>
              </w:rPr>
            </w:pPr>
            <w:r>
              <w:rPr>
                <w:rFonts w:ascii="Times New Roman" w:hAnsi="Times New Roman" w:cs="Times New Roman"/>
                <w:lang w:val="en-GB"/>
              </w:rPr>
              <w:t>AUC</w:t>
            </w:r>
            <w:r>
              <w:rPr>
                <w:rFonts w:ascii="Times New Roman" w:hAnsi="Times New Roman" w:cs="Times New Roman"/>
                <w:vertAlign w:val="subscript"/>
                <w:lang w:val="en-GB"/>
              </w:rPr>
              <w:t>last</w:t>
            </w:r>
            <w:r>
              <w:rPr>
                <w:rFonts w:ascii="Times New Roman" w:hAnsi="Times New Roman" w:cs="Times New Roman"/>
                <w:lang w:val="en-GB"/>
              </w:rPr>
              <w:t xml:space="preserve"> = 56.7 ng*h/mL</w:t>
            </w:r>
          </w:p>
          <w:p w14:paraId="145DB151" w14:textId="77777777" w:rsidR="005E785F" w:rsidRDefault="003621E8">
            <w:pPr>
              <w:pStyle w:val="BayerTableStyleLeftJustified"/>
              <w:spacing w:before="40" w:after="40"/>
              <w:rPr>
                <w:rFonts w:ascii="Times New Roman" w:hAnsi="Times New Roman" w:cs="Times New Roman"/>
                <w:lang w:val="en-GB"/>
              </w:rPr>
            </w:pPr>
            <w:r>
              <w:rPr>
                <w:rFonts w:ascii="Times New Roman" w:hAnsi="Times New Roman" w:cs="Times New Roman"/>
                <w:lang w:val="en-GB"/>
              </w:rPr>
              <w:t>Bioavailability=0.96-3.28%</w:t>
            </w:r>
          </w:p>
          <w:p w14:paraId="6968331C" w14:textId="77777777" w:rsidR="005E785F" w:rsidRDefault="003621E8">
            <w:pPr>
              <w:pStyle w:val="BayerTableStyleLeftJustified"/>
              <w:spacing w:before="40" w:after="40"/>
              <w:rPr>
                <w:rFonts w:ascii="Times New Roman" w:hAnsi="Times New Roman" w:cs="Times New Roman"/>
                <w:u w:val="single"/>
                <w:lang w:val="en-GB"/>
              </w:rPr>
            </w:pPr>
            <w:r>
              <w:rPr>
                <w:rFonts w:ascii="Times New Roman" w:hAnsi="Times New Roman" w:cs="Times New Roman"/>
                <w:u w:val="single"/>
                <w:lang w:val="en-GB"/>
              </w:rPr>
              <w:t>i.v.:</w:t>
            </w:r>
          </w:p>
          <w:p w14:paraId="5D7DAC56" w14:textId="77777777" w:rsidR="005E785F" w:rsidRDefault="003621E8">
            <w:pPr>
              <w:pStyle w:val="BayerTableStyleLeftJustified"/>
              <w:spacing w:before="40" w:after="40"/>
              <w:rPr>
                <w:rFonts w:ascii="Times New Roman" w:hAnsi="Times New Roman" w:cs="Times New Roman"/>
                <w:lang w:val="en-GB"/>
              </w:rPr>
            </w:pPr>
            <w:r>
              <w:rPr>
                <w:rFonts w:ascii="Times New Roman" w:hAnsi="Times New Roman" w:cs="Times New Roman"/>
                <w:lang w:val="en-GB"/>
              </w:rPr>
              <w:t>C</w:t>
            </w:r>
            <w:r>
              <w:rPr>
                <w:rFonts w:ascii="Times New Roman" w:hAnsi="Times New Roman" w:cs="Times New Roman"/>
                <w:vertAlign w:val="subscript"/>
                <w:lang w:val="en-GB"/>
              </w:rPr>
              <w:t>max</w:t>
            </w:r>
            <w:r>
              <w:rPr>
                <w:rFonts w:ascii="Times New Roman" w:hAnsi="Times New Roman" w:cs="Times New Roman"/>
                <w:lang w:val="en-GB"/>
              </w:rPr>
              <w:t>=10,488.7 ng/mL; T</w:t>
            </w:r>
            <w:r>
              <w:rPr>
                <w:rFonts w:ascii="Times New Roman" w:hAnsi="Times New Roman" w:cs="Times New Roman"/>
                <w:vertAlign w:val="subscript"/>
                <w:lang w:val="en-GB"/>
              </w:rPr>
              <w:t>max</w:t>
            </w:r>
            <w:r>
              <w:rPr>
                <w:rFonts w:ascii="Times New Roman" w:hAnsi="Times New Roman" w:cs="Times New Roman"/>
                <w:lang w:val="en-GB"/>
              </w:rPr>
              <w:t>=5 min</w:t>
            </w:r>
            <w:r>
              <w:rPr>
                <w:rFonts w:ascii="Times New Roman" w:hAnsi="Times New Roman" w:cs="Times New Roman"/>
                <w:vertAlign w:val="superscript"/>
                <w:lang w:val="en-GB"/>
              </w:rPr>
              <w:t>#</w:t>
            </w:r>
          </w:p>
          <w:p w14:paraId="3949400D" w14:textId="77777777" w:rsidR="005E785F" w:rsidRDefault="003621E8">
            <w:pPr>
              <w:pStyle w:val="BayerTableStyleLeftJustified"/>
              <w:spacing w:before="40" w:after="40"/>
              <w:rPr>
                <w:rFonts w:ascii="Times New Roman" w:hAnsi="Times New Roman" w:cs="Times New Roman"/>
                <w:lang w:val="en-GB"/>
              </w:rPr>
            </w:pPr>
            <w:r>
              <w:rPr>
                <w:rFonts w:ascii="Times New Roman" w:hAnsi="Times New Roman" w:cs="Times New Roman"/>
                <w:lang w:val="en-GB"/>
              </w:rPr>
              <w:t>AUC</w:t>
            </w:r>
            <w:r>
              <w:rPr>
                <w:rFonts w:ascii="Times New Roman" w:hAnsi="Times New Roman" w:cs="Times New Roman"/>
                <w:vertAlign w:val="subscript"/>
                <w:lang w:val="en-GB"/>
              </w:rPr>
              <w:t>last</w:t>
            </w:r>
            <w:r>
              <w:rPr>
                <w:rFonts w:ascii="Times New Roman" w:hAnsi="Times New Roman" w:cs="Times New Roman"/>
                <w:lang w:val="en-GB"/>
              </w:rPr>
              <w:t>=3,210.4 ng/mL</w:t>
            </w:r>
          </w:p>
          <w:p w14:paraId="4A2B0046" w14:textId="77777777" w:rsidR="005E785F" w:rsidRDefault="003621E8">
            <w:pPr>
              <w:pStyle w:val="BayerTableStyleLeftJustified"/>
              <w:spacing w:before="40" w:after="40"/>
              <w:rPr>
                <w:rFonts w:ascii="Times New Roman" w:hAnsi="Times New Roman" w:cs="Times New Roman"/>
                <w:lang w:val="en-GB"/>
              </w:rPr>
            </w:pPr>
            <w:r>
              <w:rPr>
                <w:rFonts w:ascii="Times New Roman" w:hAnsi="Times New Roman" w:cs="Times New Roman"/>
                <w:lang w:val="en-GB"/>
              </w:rPr>
              <w:t>t</w:t>
            </w:r>
            <w:r>
              <w:rPr>
                <w:rFonts w:ascii="Times New Roman" w:hAnsi="Times New Roman" w:cs="Times New Roman"/>
                <w:vertAlign w:val="subscript"/>
                <w:lang w:val="en-GB"/>
              </w:rPr>
              <w:t>1/2</w:t>
            </w:r>
            <w:r>
              <w:rPr>
                <w:rFonts w:ascii="Times New Roman" w:hAnsi="Times New Roman" w:cs="Times New Roman"/>
                <w:lang w:val="en-GB"/>
              </w:rPr>
              <w:t>=0.2 h</w:t>
            </w:r>
          </w:p>
        </w:tc>
      </w:tr>
      <w:tr w:rsidR="005E785F" w14:paraId="68A1993B" w14:textId="77777777">
        <w:trPr>
          <w:trHeight w:val="315"/>
        </w:trPr>
        <w:tc>
          <w:tcPr>
            <w:tcW w:w="5000" w:type="pct"/>
            <w:gridSpan w:val="5"/>
          </w:tcPr>
          <w:p w14:paraId="643BE3DE" w14:textId="77777777" w:rsidR="005E785F" w:rsidRDefault="003621E8">
            <w:pPr>
              <w:pStyle w:val="BayerTableStyleLeftJustified"/>
              <w:spacing w:before="40" w:after="40"/>
              <w:rPr>
                <w:rFonts w:ascii="Times New Roman" w:hAnsi="Times New Roman" w:cs="Times New Roman"/>
                <w:b/>
                <w:bCs/>
                <w:u w:val="single"/>
                <w:lang w:val="en-GB"/>
              </w:rPr>
            </w:pPr>
            <w:r>
              <w:rPr>
                <w:rFonts w:ascii="Times New Roman" w:hAnsi="Times New Roman" w:cs="Times New Roman"/>
                <w:b/>
                <w:bCs/>
                <w:lang w:val="en-GB"/>
              </w:rPr>
              <w:t>Distribution</w:t>
            </w:r>
          </w:p>
        </w:tc>
      </w:tr>
      <w:tr w:rsidR="005E785F" w14:paraId="38E2D548" w14:textId="77777777">
        <w:trPr>
          <w:trHeight w:val="762"/>
        </w:trPr>
        <w:tc>
          <w:tcPr>
            <w:tcW w:w="826" w:type="pct"/>
          </w:tcPr>
          <w:p w14:paraId="1A80679E" w14:textId="77777777" w:rsidR="005E785F" w:rsidRDefault="003621E8">
            <w:pPr>
              <w:pStyle w:val="BayerTableStyleLeftJustified"/>
              <w:spacing w:before="40" w:after="40"/>
              <w:rPr>
                <w:rFonts w:ascii="Times New Roman" w:hAnsi="Times New Roman" w:cs="Times New Roman"/>
                <w:color w:val="0000FF"/>
                <w:lang w:val="en-GB"/>
              </w:rPr>
            </w:pPr>
            <w:r>
              <w:rPr>
                <w:rFonts w:ascii="Times New Roman" w:hAnsi="Times New Roman" w:cs="Times New Roman"/>
                <w:color w:val="0000FF"/>
                <w:lang w:val="en-GB"/>
              </w:rPr>
              <w:t>190154 ET</w:t>
            </w:r>
          </w:p>
          <w:p w14:paraId="4B13E38D" w14:textId="77777777" w:rsidR="005E785F" w:rsidRDefault="003621E8">
            <w:pPr>
              <w:pStyle w:val="BayerTableStyleLeftJustified"/>
              <w:spacing w:before="40" w:after="40"/>
              <w:rPr>
                <w:rFonts w:ascii="Times New Roman" w:hAnsi="Times New Roman" w:cs="Times New Roman"/>
                <w:lang w:val="en-GB"/>
              </w:rPr>
            </w:pPr>
            <w:r>
              <w:rPr>
                <w:rFonts w:ascii="Times New Roman" w:hAnsi="Times New Roman" w:cs="Times New Roman"/>
                <w:lang w:val="en-GB"/>
              </w:rPr>
              <w:t>(non-GLP)</w:t>
            </w:r>
          </w:p>
        </w:tc>
        <w:tc>
          <w:tcPr>
            <w:tcW w:w="778" w:type="pct"/>
          </w:tcPr>
          <w:p w14:paraId="550D792E" w14:textId="77777777" w:rsidR="005E785F" w:rsidRDefault="003621E8">
            <w:pPr>
              <w:pStyle w:val="BayerTableStyleLeftJustified"/>
              <w:spacing w:before="40" w:after="40"/>
              <w:rPr>
                <w:rFonts w:ascii="Times New Roman" w:hAnsi="Times New Roman" w:cs="Times New Roman"/>
                <w:lang w:val="en-GB"/>
              </w:rPr>
            </w:pPr>
            <w:r>
              <w:rPr>
                <w:rFonts w:ascii="Times New Roman" w:hAnsi="Times New Roman" w:cs="Times New Roman"/>
                <w:lang w:val="en-GB"/>
              </w:rPr>
              <w:t>Monkey and human plasma</w:t>
            </w:r>
          </w:p>
        </w:tc>
        <w:tc>
          <w:tcPr>
            <w:tcW w:w="776" w:type="pct"/>
          </w:tcPr>
          <w:p w14:paraId="00EEB534" w14:textId="77777777" w:rsidR="005E785F" w:rsidRDefault="003621E8">
            <w:pPr>
              <w:pStyle w:val="BayerTableStyleLeftJustified"/>
              <w:spacing w:before="40" w:after="40"/>
              <w:rPr>
                <w:rFonts w:ascii="Times New Roman" w:hAnsi="Times New Roman" w:cs="Times New Roman"/>
                <w:lang w:val="en-GB"/>
              </w:rPr>
            </w:pPr>
            <w:r>
              <w:rPr>
                <w:rFonts w:ascii="Times New Roman" w:hAnsi="Times New Roman" w:cs="Times New Roman"/>
                <w:i/>
                <w:iCs/>
                <w:lang w:val="en-GB"/>
              </w:rPr>
              <w:t xml:space="preserve">In vitro </w:t>
            </w:r>
            <w:r>
              <w:rPr>
                <w:rFonts w:ascii="Times New Roman" w:hAnsi="Times New Roman" w:cs="Times New Roman"/>
                <w:lang w:val="en-GB"/>
              </w:rPr>
              <w:t>stability at 37°C</w:t>
            </w:r>
          </w:p>
        </w:tc>
        <w:tc>
          <w:tcPr>
            <w:tcW w:w="836" w:type="pct"/>
          </w:tcPr>
          <w:p w14:paraId="60AA370C" w14:textId="77777777" w:rsidR="005E785F" w:rsidRDefault="003621E8">
            <w:pPr>
              <w:pStyle w:val="BayerTableStyleLeftJustified"/>
              <w:spacing w:before="40" w:after="40"/>
              <w:rPr>
                <w:rFonts w:ascii="Times New Roman" w:hAnsi="Times New Roman" w:cs="Times New Roman"/>
                <w:lang w:val="en-GB"/>
              </w:rPr>
            </w:pPr>
            <w:r>
              <w:rPr>
                <w:rFonts w:ascii="Times New Roman" w:hAnsi="Times New Roman" w:cs="Times New Roman"/>
                <w:lang w:val="en-GB"/>
              </w:rPr>
              <w:t xml:space="preserve">75 ng/mL, </w:t>
            </w:r>
            <w:r>
              <w:rPr>
                <w:rFonts w:ascii="Times New Roman" w:hAnsi="Times New Roman" w:cs="Times New Roman"/>
                <w:lang w:val="en-GB"/>
              </w:rPr>
              <w:br/>
              <w:t>800 ng/mL</w:t>
            </w:r>
          </w:p>
        </w:tc>
        <w:tc>
          <w:tcPr>
            <w:tcW w:w="1784" w:type="pct"/>
          </w:tcPr>
          <w:p w14:paraId="7D0EB92C" w14:textId="77777777" w:rsidR="005E785F" w:rsidRDefault="003621E8">
            <w:pPr>
              <w:pStyle w:val="BayerTableStyleLeftJustified"/>
              <w:spacing w:before="40" w:after="40"/>
              <w:rPr>
                <w:rFonts w:ascii="Times New Roman" w:hAnsi="Times New Roman" w:cs="Times New Roman"/>
                <w:lang w:val="en-GB"/>
              </w:rPr>
            </w:pPr>
            <w:r>
              <w:rPr>
                <w:rFonts w:ascii="Times New Roman" w:hAnsi="Times New Roman" w:cs="Times New Roman"/>
                <w:lang w:val="en-GB"/>
              </w:rPr>
              <w:t>CpG ODN D35 is stable in human and monkey plasma at 37°C for at least 4 hours</w:t>
            </w:r>
          </w:p>
        </w:tc>
      </w:tr>
      <w:tr w:rsidR="005E785F" w14:paraId="53F0FD7A" w14:textId="77777777">
        <w:trPr>
          <w:trHeight w:val="217"/>
        </w:trPr>
        <w:tc>
          <w:tcPr>
            <w:tcW w:w="826" w:type="pct"/>
          </w:tcPr>
          <w:p w14:paraId="711CEE37" w14:textId="77777777" w:rsidR="005E785F" w:rsidRDefault="003621E8">
            <w:pPr>
              <w:pStyle w:val="BayerTableStyleLeftJustified"/>
              <w:spacing w:before="40" w:after="40"/>
              <w:rPr>
                <w:rFonts w:ascii="Times New Roman" w:hAnsi="Times New Roman" w:cs="Times New Roman"/>
                <w:lang w:val="en-GB"/>
              </w:rPr>
            </w:pPr>
            <w:r>
              <w:rPr>
                <w:rFonts w:ascii="Times New Roman" w:hAnsi="Times New Roman" w:cs="Times New Roman"/>
                <w:lang w:val="en-GB"/>
              </w:rPr>
              <w:t>Metabolism</w:t>
            </w:r>
          </w:p>
        </w:tc>
        <w:tc>
          <w:tcPr>
            <w:tcW w:w="4174" w:type="pct"/>
            <w:gridSpan w:val="4"/>
          </w:tcPr>
          <w:p w14:paraId="7DEBA39F" w14:textId="77777777" w:rsidR="005E785F" w:rsidRDefault="003621E8">
            <w:pPr>
              <w:pStyle w:val="BayerTableStyleLeftJustified"/>
              <w:spacing w:before="40" w:after="40"/>
              <w:rPr>
                <w:rFonts w:ascii="Times New Roman" w:hAnsi="Times New Roman" w:cs="Times New Roman"/>
                <w:lang w:val="en-GB"/>
              </w:rPr>
            </w:pPr>
            <w:r>
              <w:rPr>
                <w:rFonts w:ascii="Times New Roman" w:hAnsi="Times New Roman" w:cs="Times New Roman"/>
                <w:lang w:val="en-GB"/>
              </w:rPr>
              <w:t>No metabolism studies were performed.</w:t>
            </w:r>
          </w:p>
        </w:tc>
      </w:tr>
      <w:tr w:rsidR="005E785F" w14:paraId="04A66FD2" w14:textId="77777777">
        <w:trPr>
          <w:trHeight w:val="289"/>
        </w:trPr>
        <w:tc>
          <w:tcPr>
            <w:tcW w:w="826" w:type="pct"/>
          </w:tcPr>
          <w:p w14:paraId="5F390EC1" w14:textId="77777777" w:rsidR="005E785F" w:rsidRDefault="003621E8">
            <w:pPr>
              <w:pStyle w:val="BayerTableStyleLeftJustified"/>
              <w:spacing w:before="40" w:after="40"/>
              <w:rPr>
                <w:rFonts w:ascii="Times New Roman" w:hAnsi="Times New Roman" w:cs="Times New Roman"/>
                <w:lang w:val="en-GB"/>
              </w:rPr>
            </w:pPr>
            <w:r>
              <w:rPr>
                <w:rFonts w:ascii="Times New Roman" w:hAnsi="Times New Roman" w:cs="Times New Roman"/>
                <w:lang w:val="en-GB"/>
              </w:rPr>
              <w:t>Excretion</w:t>
            </w:r>
          </w:p>
        </w:tc>
        <w:tc>
          <w:tcPr>
            <w:tcW w:w="4174" w:type="pct"/>
            <w:gridSpan w:val="4"/>
          </w:tcPr>
          <w:p w14:paraId="2AF7EF5C" w14:textId="77777777" w:rsidR="005E785F" w:rsidRDefault="003621E8">
            <w:pPr>
              <w:pStyle w:val="BayerTableStyleLeftJustified"/>
              <w:spacing w:before="40" w:after="40"/>
              <w:rPr>
                <w:rFonts w:ascii="Times New Roman" w:hAnsi="Times New Roman" w:cs="Times New Roman"/>
                <w:lang w:val="en-GB"/>
              </w:rPr>
            </w:pPr>
            <w:r>
              <w:rPr>
                <w:rFonts w:ascii="Times New Roman" w:hAnsi="Times New Roman" w:cs="Times New Roman"/>
                <w:lang w:val="en-GB"/>
              </w:rPr>
              <w:t>No excretion studies were performed.</w:t>
            </w:r>
          </w:p>
        </w:tc>
      </w:tr>
      <w:tr w:rsidR="005E785F" w14:paraId="34539B6B" w14:textId="77777777">
        <w:trPr>
          <w:trHeight w:val="289"/>
        </w:trPr>
        <w:tc>
          <w:tcPr>
            <w:tcW w:w="5000" w:type="pct"/>
            <w:gridSpan w:val="5"/>
          </w:tcPr>
          <w:p w14:paraId="0D955110" w14:textId="3B377AA6" w:rsidR="005E785F" w:rsidRDefault="003621E8">
            <w:pPr>
              <w:pStyle w:val="BayerTableStyleLeftJustified"/>
              <w:spacing w:before="40" w:after="40"/>
              <w:rPr>
                <w:rFonts w:ascii="Times New Roman" w:hAnsi="Times New Roman" w:cs="Times New Roman"/>
                <w:lang w:val="en-GB"/>
              </w:rPr>
            </w:pPr>
            <w:r>
              <w:rPr>
                <w:rFonts w:ascii="Times New Roman" w:hAnsi="Times New Roman" w:cs="Times New Roman"/>
                <w:szCs w:val="16"/>
              </w:rPr>
              <w:t>Footnote: AUC</w:t>
            </w:r>
            <w:r>
              <w:rPr>
                <w:rFonts w:ascii="Times New Roman" w:hAnsi="Times New Roman" w:cs="Times New Roman"/>
                <w:vertAlign w:val="subscript"/>
              </w:rPr>
              <w:t>last</w:t>
            </w:r>
            <w:r>
              <w:rPr>
                <w:rFonts w:ascii="Times New Roman" w:hAnsi="Times New Roman" w:cs="Times New Roman"/>
                <w:szCs w:val="16"/>
              </w:rPr>
              <w:t xml:space="preserve"> – area under the curve from first assay to the last quantifiable concentration, C</w:t>
            </w:r>
            <w:r>
              <w:rPr>
                <w:rFonts w:ascii="Times New Roman" w:hAnsi="Times New Roman" w:cs="Times New Roman"/>
                <w:vertAlign w:val="subscript"/>
              </w:rPr>
              <w:t>max</w:t>
            </w:r>
            <w:r>
              <w:rPr>
                <w:rFonts w:ascii="Times New Roman" w:hAnsi="Times New Roman" w:cs="Times New Roman"/>
                <w:szCs w:val="16"/>
              </w:rPr>
              <w:t xml:space="preserve"> – maximum plasma concentration, F - Female, GLP – good laboratory practice, i.v. – intravenous, kg – kilogram, M - Male, mg – milligram, s.c. – subcutaneous, T</w:t>
            </w:r>
            <w:r>
              <w:rPr>
                <w:rFonts w:ascii="Times New Roman" w:hAnsi="Times New Roman" w:cs="Times New Roman"/>
                <w:vertAlign w:val="subscript"/>
              </w:rPr>
              <w:t>max</w:t>
            </w:r>
            <w:r>
              <w:rPr>
                <w:rFonts w:ascii="Times New Roman" w:hAnsi="Times New Roman" w:cs="Times New Roman"/>
                <w:szCs w:val="16"/>
              </w:rPr>
              <w:t xml:space="preserve"> – time to maximum plasma concentration, t</w:t>
            </w:r>
            <w:r>
              <w:rPr>
                <w:rFonts w:ascii="Times New Roman" w:hAnsi="Times New Roman" w:cs="Times New Roman"/>
                <w:vertAlign w:val="subscript"/>
              </w:rPr>
              <w:t>1/2</w:t>
            </w:r>
            <w:r>
              <w:rPr>
                <w:rFonts w:ascii="Times New Roman" w:hAnsi="Times New Roman" w:cs="Times New Roman"/>
                <w:szCs w:val="16"/>
              </w:rPr>
              <w:t xml:space="preserve"> – terminal half-life of elimination; * Due to a technical error, actual dose levels were 1.61, 2.49 and 2 mg/kg for s.c.; </w:t>
            </w:r>
            <w:r>
              <w:rPr>
                <w:rFonts w:ascii="Times New Roman" w:hAnsi="Times New Roman" w:cs="Times New Roman"/>
                <w:vertAlign w:val="superscript"/>
              </w:rPr>
              <w:t xml:space="preserve"># </w:t>
            </w:r>
            <w:r>
              <w:rPr>
                <w:rFonts w:ascii="Times New Roman" w:hAnsi="Times New Roman" w:cs="Times New Roman"/>
                <w:szCs w:val="16"/>
              </w:rPr>
              <w:t>Earliest sampling timepoint</w:t>
            </w:r>
          </w:p>
        </w:tc>
      </w:tr>
    </w:tbl>
    <w:p w14:paraId="41F42F2C" w14:textId="77777777" w:rsidR="005E785F" w:rsidRDefault="003621E8">
      <w:pPr>
        <w:pStyle w:val="Heading3"/>
      </w:pPr>
      <w:bookmarkStart w:id="53" w:name="_Ref57985993"/>
      <w:bookmarkStart w:id="54" w:name="_Toc74904349"/>
      <w:r>
        <w:t>Toxicology</w:t>
      </w:r>
      <w:bookmarkEnd w:id="53"/>
      <w:bookmarkEnd w:id="54"/>
      <w:r>
        <w:t xml:space="preserve"> </w:t>
      </w:r>
    </w:p>
    <w:p w14:paraId="1B9A3249" w14:textId="7880E3B7" w:rsidR="005E785F" w:rsidRDefault="003621E8">
      <w:pPr>
        <w:pStyle w:val="BodyTextFull"/>
        <w:rPr>
          <w:rFonts w:ascii="Times New Roman" w:hAnsi="Times New Roman" w:cs="Times New Roman"/>
          <w:sz w:val="24"/>
          <w:szCs w:val="24"/>
          <w:lang w:val="en-GB"/>
        </w:rPr>
      </w:pPr>
      <w:r>
        <w:rPr>
          <w:rFonts w:ascii="Times New Roman" w:hAnsi="Times New Roman" w:cs="Times New Roman"/>
          <w:sz w:val="24"/>
          <w:szCs w:val="24"/>
        </w:rPr>
        <w:t>Detailed toxicology data are presented in the Investigator’s Brochure (IB)</w:t>
      </w:r>
      <w:r>
        <w:rPr>
          <w:rFonts w:ascii="Times New Roman" w:hAnsi="Times New Roman" w:cs="Times New Roman"/>
          <w:color w:val="0000FF"/>
          <w:vertAlign w:val="superscript"/>
        </w:rPr>
        <w:t>[</w:t>
      </w:r>
      <w:r>
        <w:rPr>
          <w:rFonts w:ascii="Times New Roman" w:hAnsi="Times New Roman" w:cs="Times New Roman"/>
          <w:color w:val="0000FF"/>
          <w:sz w:val="24"/>
          <w:szCs w:val="24"/>
          <w:vertAlign w:val="superscript"/>
          <w:lang w:val="en-GB"/>
        </w:rPr>
        <w:fldChar w:fldCharType="begin"/>
      </w:r>
      <w:r>
        <w:rPr>
          <w:rFonts w:ascii="Times New Roman" w:hAnsi="Times New Roman" w:cs="Times New Roman"/>
          <w:color w:val="0000FF"/>
          <w:sz w:val="24"/>
          <w:szCs w:val="24"/>
          <w:vertAlign w:val="superscript"/>
          <w:lang w:val="en-GB"/>
        </w:rPr>
        <w:instrText xml:space="preserve"> REF _Ref65483649 \r \h  \* MERGEFORMAT </w:instrText>
      </w:r>
      <w:r>
        <w:rPr>
          <w:rFonts w:ascii="Times New Roman" w:hAnsi="Times New Roman" w:cs="Times New Roman"/>
          <w:color w:val="0000FF"/>
          <w:sz w:val="24"/>
          <w:szCs w:val="24"/>
          <w:vertAlign w:val="superscript"/>
          <w:lang w:val="en-GB"/>
        </w:rPr>
      </w:r>
      <w:r>
        <w:rPr>
          <w:rFonts w:ascii="Times New Roman" w:hAnsi="Times New Roman" w:cs="Times New Roman"/>
          <w:color w:val="0000FF"/>
          <w:sz w:val="24"/>
          <w:szCs w:val="24"/>
          <w:vertAlign w:val="superscript"/>
          <w:lang w:val="en-GB"/>
        </w:rPr>
        <w:fldChar w:fldCharType="separate"/>
      </w:r>
      <w:r>
        <w:rPr>
          <w:rFonts w:ascii="Times New Roman" w:hAnsi="Times New Roman" w:cs="Times New Roman"/>
          <w:color w:val="0000FF"/>
          <w:sz w:val="24"/>
          <w:szCs w:val="24"/>
          <w:vertAlign w:val="superscript"/>
          <w:lang w:val="en-GB"/>
        </w:rPr>
        <w:t>11</w:t>
      </w:r>
      <w:r>
        <w:rPr>
          <w:rFonts w:ascii="Times New Roman" w:hAnsi="Times New Roman" w:cs="Times New Roman"/>
          <w:color w:val="0000FF"/>
          <w:sz w:val="24"/>
          <w:szCs w:val="24"/>
          <w:vertAlign w:val="superscript"/>
          <w:lang w:val="en-GB"/>
        </w:rPr>
        <w:fldChar w:fldCharType="end"/>
      </w:r>
      <w:r>
        <w:rPr>
          <w:rFonts w:ascii="Times New Roman" w:hAnsi="Times New Roman" w:cs="Times New Roman"/>
          <w:color w:val="0000FF"/>
          <w:sz w:val="24"/>
          <w:szCs w:val="24"/>
          <w:vertAlign w:val="superscript"/>
          <w:lang w:val="en-GB"/>
        </w:rPr>
        <w:t>]</w:t>
      </w:r>
      <w:r>
        <w:rPr>
          <w:rFonts w:ascii="Times New Roman" w:hAnsi="Times New Roman" w:cs="Times New Roman"/>
          <w:sz w:val="24"/>
          <w:szCs w:val="24"/>
        </w:rPr>
        <w:t>. A summary is presented below.</w:t>
      </w:r>
    </w:p>
    <w:p w14:paraId="0587C8D4" w14:textId="77777777" w:rsidR="005E785F" w:rsidRDefault="003621E8">
      <w:pPr>
        <w:pStyle w:val="BodyTextFull"/>
        <w:rPr>
          <w:rFonts w:ascii="Times New Roman" w:hAnsi="Times New Roman" w:cs="Times New Roman"/>
          <w:sz w:val="24"/>
          <w:szCs w:val="24"/>
          <w:lang w:val="en-GB"/>
        </w:rPr>
      </w:pPr>
      <w:r>
        <w:rPr>
          <w:rFonts w:ascii="Times New Roman" w:hAnsi="Times New Roman" w:cs="Times New Roman"/>
          <w:sz w:val="24"/>
          <w:szCs w:val="24"/>
        </w:rPr>
        <w:t xml:space="preserve">General toxicity of CpG ODN D35 was investigated in the cynomolgus monkey, which was identified as relevant species in </w:t>
      </w:r>
      <w:r>
        <w:rPr>
          <w:rFonts w:ascii="Times New Roman" w:hAnsi="Times New Roman" w:cs="Times New Roman"/>
          <w:i/>
          <w:sz w:val="24"/>
          <w:szCs w:val="24"/>
        </w:rPr>
        <w:t>in vitro</w:t>
      </w:r>
      <w:r>
        <w:rPr>
          <w:rFonts w:ascii="Times New Roman" w:hAnsi="Times New Roman" w:cs="Times New Roman"/>
          <w:sz w:val="24"/>
          <w:szCs w:val="24"/>
        </w:rPr>
        <w:t xml:space="preserve"> studies studying the cytokine response after incubation with CpG ODN D35 in PBMCs from various species. No maximum tolerated dose could be identified after single dosing as a SC treatment was well tolerated up to the highest tested dose of 15.9 mg/kg. </w:t>
      </w:r>
    </w:p>
    <w:p w14:paraId="45302A3B" w14:textId="7F67F55B" w:rsidR="005E785F" w:rsidRDefault="003621E8">
      <w:pPr>
        <w:pStyle w:val="BodyTextFull"/>
        <w:rPr>
          <w:rFonts w:ascii="Times New Roman" w:hAnsi="Times New Roman" w:cs="Times New Roman"/>
          <w:sz w:val="24"/>
          <w:szCs w:val="24"/>
        </w:rPr>
      </w:pPr>
      <w:r>
        <w:rPr>
          <w:rFonts w:ascii="Times New Roman" w:hAnsi="Times New Roman" w:cs="Times New Roman"/>
          <w:sz w:val="24"/>
          <w:szCs w:val="24"/>
        </w:rPr>
        <w:t>In the pivotal GLP study in cynomolgus monkeys (</w:t>
      </w:r>
      <w:r>
        <w:rPr>
          <w:rFonts w:ascii="Times New Roman" w:hAnsi="Times New Roman" w:cs="Times New Roman"/>
          <w:color w:val="0000FF"/>
          <w:sz w:val="24"/>
          <w:szCs w:val="24"/>
        </w:rPr>
        <w:fldChar w:fldCharType="begin"/>
      </w:r>
      <w:r>
        <w:rPr>
          <w:rFonts w:ascii="Times New Roman" w:hAnsi="Times New Roman" w:cs="Times New Roman"/>
          <w:color w:val="0000FF"/>
          <w:sz w:val="24"/>
          <w:szCs w:val="24"/>
        </w:rPr>
        <w:instrText xml:space="preserve"> REF _Ref66985529 \h  \* MERGEFORMAT </w:instrText>
      </w:r>
      <w:r>
        <w:rPr>
          <w:rFonts w:ascii="Times New Roman" w:hAnsi="Times New Roman" w:cs="Times New Roman"/>
          <w:color w:val="0000FF"/>
          <w:sz w:val="24"/>
          <w:szCs w:val="24"/>
        </w:rPr>
      </w:r>
      <w:r>
        <w:rPr>
          <w:rFonts w:ascii="Times New Roman" w:hAnsi="Times New Roman" w:cs="Times New Roman"/>
          <w:color w:val="0000FF"/>
          <w:sz w:val="24"/>
          <w:szCs w:val="24"/>
        </w:rPr>
        <w:fldChar w:fldCharType="separate"/>
      </w:r>
      <w:r>
        <w:rPr>
          <w:rFonts w:ascii="Times New Roman" w:hAnsi="Times New Roman" w:cs="Times New Roman"/>
          <w:color w:val="0000FF"/>
          <w:sz w:val="24"/>
          <w:szCs w:val="24"/>
        </w:rPr>
        <w:t>Table 2</w:t>
      </w:r>
      <w:r>
        <w:rPr>
          <w:rFonts w:ascii="Times New Roman" w:hAnsi="Times New Roman" w:cs="Times New Roman"/>
          <w:color w:val="0000FF"/>
          <w:sz w:val="24"/>
          <w:szCs w:val="24"/>
        </w:rPr>
        <w:fldChar w:fldCharType="end"/>
      </w:r>
      <w:r>
        <w:rPr>
          <w:rFonts w:ascii="Times New Roman" w:hAnsi="Times New Roman" w:cs="Times New Roman"/>
          <w:sz w:val="24"/>
          <w:szCs w:val="24"/>
        </w:rPr>
        <w:t>), CpG ODN D35 was administered SC for 43 days every two weeks (i.e., a total of 4 doses) and a 4-week recovery period. A NOAEL of 15.9 mg/kg (highest tested dose) was determined for systemic effects (</w:t>
      </w:r>
      <w:bookmarkStart w:id="55" w:name="_Hlk67129618"/>
      <w:r>
        <w:rPr>
          <w:rFonts w:ascii="Times New Roman" w:hAnsi="Times New Roman" w:cs="Times New Roman"/>
          <w:sz w:val="24"/>
          <w:szCs w:val="24"/>
        </w:rPr>
        <w:t>C</w:t>
      </w:r>
      <w:r>
        <w:rPr>
          <w:rFonts w:ascii="Times New Roman" w:hAnsi="Times New Roman" w:cs="Times New Roman"/>
          <w:vertAlign w:val="subscript"/>
        </w:rPr>
        <w:t>max</w:t>
      </w:r>
      <w:r>
        <w:rPr>
          <w:rFonts w:ascii="Times New Roman" w:hAnsi="Times New Roman" w:cs="Times New Roman"/>
          <w:sz w:val="24"/>
          <w:szCs w:val="24"/>
        </w:rPr>
        <w:t xml:space="preserve"> = 1230.7 and 1359.7 ng/mL and AUC</w:t>
      </w:r>
      <w:r>
        <w:rPr>
          <w:rFonts w:ascii="Times New Roman" w:hAnsi="Times New Roman" w:cs="Times New Roman"/>
          <w:vertAlign w:val="subscript"/>
        </w:rPr>
        <w:t>last</w:t>
      </w:r>
      <w:r>
        <w:rPr>
          <w:rFonts w:ascii="Times New Roman" w:hAnsi="Times New Roman" w:cs="Times New Roman"/>
          <w:sz w:val="24"/>
          <w:szCs w:val="24"/>
        </w:rPr>
        <w:t xml:space="preserve"> = 755.8 and 626.7 ng*h/mL for males and females, respectively in plasma</w:t>
      </w:r>
      <w:bookmarkEnd w:id="55"/>
      <w:r>
        <w:rPr>
          <w:rFonts w:ascii="Times New Roman" w:hAnsi="Times New Roman" w:cs="Times New Roman"/>
          <w:sz w:val="24"/>
          <w:szCs w:val="24"/>
        </w:rPr>
        <w:t xml:space="preserve">). The only adverse findings related to the test item were local reactions at the injection site including thickened skin, swelling and redness. Those findings correlated with histopathological changes as haemorrhages, SC oedema, and inflammatory cell infiltrates, </w:t>
      </w:r>
      <w:r>
        <w:rPr>
          <w:rFonts w:ascii="Times New Roman" w:hAnsi="Times New Roman" w:cs="Times New Roman"/>
          <w:sz w:val="24"/>
          <w:szCs w:val="24"/>
        </w:rPr>
        <w:lastRenderedPageBreak/>
        <w:t xml:space="preserve">occasionally accompanied by necrosis, presence of granular basophilic macrophages, extracellular subcutaneous granular material and inflammatory cysts. These signs were observed in all test item treated animals, but severity increased with dose. These signs of local intolerance might be related to the presence of the test item at the injection site, which was detected in every test item-treated group with highest tissue concentrations observed for the high dose animals. Ongoing recovery was visible at the end of the treatment-free period (4 weeks) and no test item was found at the injection site of the high dose animals at end of recovery. </w:t>
      </w:r>
    </w:p>
    <w:p w14:paraId="3CD02F1A" w14:textId="1A3EB4CB" w:rsidR="005E785F" w:rsidRDefault="003621E8">
      <w:pPr>
        <w:pStyle w:val="Caption"/>
        <w:rPr>
          <w:lang w:val="en-GB"/>
        </w:rPr>
      </w:pPr>
      <w:bookmarkStart w:id="56" w:name="_Ref66985529"/>
      <w:bookmarkStart w:id="57" w:name="_Toc66992763"/>
      <w:r>
        <w:t xml:space="preserve">Table </w:t>
      </w:r>
      <w:r w:rsidR="00747B9C">
        <w:fldChar w:fldCharType="begin"/>
      </w:r>
      <w:r w:rsidR="00747B9C">
        <w:instrText xml:space="preserve"> SEQ Table \* ARABIC </w:instrText>
      </w:r>
      <w:r w:rsidR="00747B9C">
        <w:fldChar w:fldCharType="separate"/>
      </w:r>
      <w:r>
        <w:t>2</w:t>
      </w:r>
      <w:r w:rsidR="00747B9C">
        <w:fldChar w:fldCharType="end"/>
      </w:r>
      <w:bookmarkEnd w:id="56"/>
      <w:r>
        <w:rPr>
          <w:lang w:val="en-GB"/>
        </w:rPr>
        <w:t xml:space="preserve"> Non-Clinical GLP Repeated Toxicity Study Conducted with CpG ODN D35 and Key Outcome</w:t>
      </w:r>
      <w:bookmarkEnd w:id="57"/>
    </w:p>
    <w:tbl>
      <w:tblPr>
        <w:tblStyle w:val="TableGrid"/>
        <w:tblW w:w="5000" w:type="pct"/>
        <w:tblLook w:val="04A0" w:firstRow="1" w:lastRow="0" w:firstColumn="1" w:lastColumn="0" w:noHBand="0" w:noVBand="1"/>
      </w:tblPr>
      <w:tblGrid>
        <w:gridCol w:w="1667"/>
        <w:gridCol w:w="1239"/>
        <w:gridCol w:w="1353"/>
        <w:gridCol w:w="1695"/>
        <w:gridCol w:w="3063"/>
      </w:tblGrid>
      <w:tr w:rsidR="005E785F" w14:paraId="2D9F9764" w14:textId="77777777">
        <w:trPr>
          <w:tblHeader/>
        </w:trPr>
        <w:tc>
          <w:tcPr>
            <w:tcW w:w="928" w:type="pct"/>
          </w:tcPr>
          <w:p w14:paraId="19ABC7F2" w14:textId="77777777" w:rsidR="005E785F" w:rsidRDefault="003621E8">
            <w:pPr>
              <w:pStyle w:val="Paragraph"/>
              <w:spacing w:before="40" w:after="40"/>
              <w:rPr>
                <w:rFonts w:ascii="Times New Roman" w:hAnsi="Times New Roman" w:cs="Times New Roman"/>
                <w:b/>
                <w:bCs/>
                <w:sz w:val="20"/>
                <w:lang w:val="en-GB" w:eastAsia="en-US"/>
              </w:rPr>
            </w:pPr>
            <w:r>
              <w:rPr>
                <w:rFonts w:ascii="Times New Roman" w:hAnsi="Times New Roman" w:cs="Times New Roman"/>
                <w:b/>
                <w:bCs/>
                <w:sz w:val="20"/>
                <w:lang w:val="en-GB" w:eastAsia="en-US"/>
              </w:rPr>
              <w:t>Study No / GLP Status</w:t>
            </w:r>
          </w:p>
        </w:tc>
        <w:tc>
          <w:tcPr>
            <w:tcW w:w="673" w:type="pct"/>
          </w:tcPr>
          <w:p w14:paraId="6E225E09" w14:textId="77777777" w:rsidR="005E785F" w:rsidRDefault="003621E8">
            <w:pPr>
              <w:pStyle w:val="Paragraph"/>
              <w:spacing w:before="40" w:after="40"/>
              <w:rPr>
                <w:rFonts w:ascii="Times New Roman" w:hAnsi="Times New Roman" w:cs="Times New Roman"/>
                <w:b/>
                <w:bCs/>
                <w:sz w:val="20"/>
                <w:lang w:val="en-GB" w:eastAsia="en-US"/>
              </w:rPr>
            </w:pPr>
            <w:r>
              <w:rPr>
                <w:rFonts w:ascii="Times New Roman" w:hAnsi="Times New Roman" w:cs="Times New Roman"/>
                <w:b/>
                <w:bCs/>
                <w:sz w:val="20"/>
                <w:lang w:val="en-GB" w:eastAsia="en-US"/>
              </w:rPr>
              <w:t>Model / RoA</w:t>
            </w:r>
          </w:p>
        </w:tc>
        <w:tc>
          <w:tcPr>
            <w:tcW w:w="754" w:type="pct"/>
          </w:tcPr>
          <w:p w14:paraId="377E7848" w14:textId="77777777" w:rsidR="005E785F" w:rsidRDefault="003621E8">
            <w:pPr>
              <w:pStyle w:val="Paragraph"/>
              <w:spacing w:before="40" w:after="40"/>
              <w:rPr>
                <w:rFonts w:ascii="Times New Roman" w:hAnsi="Times New Roman" w:cs="Times New Roman"/>
                <w:b/>
                <w:bCs/>
                <w:sz w:val="20"/>
                <w:lang w:val="en-GB" w:eastAsia="en-US"/>
              </w:rPr>
            </w:pPr>
            <w:r>
              <w:rPr>
                <w:rFonts w:ascii="Times New Roman" w:hAnsi="Times New Roman" w:cs="Times New Roman"/>
                <w:b/>
                <w:bCs/>
                <w:sz w:val="20"/>
                <w:lang w:val="en-GB" w:eastAsia="en-US"/>
              </w:rPr>
              <w:t>Study Design</w:t>
            </w:r>
          </w:p>
        </w:tc>
        <w:tc>
          <w:tcPr>
            <w:tcW w:w="943" w:type="pct"/>
          </w:tcPr>
          <w:p w14:paraId="09D9231F" w14:textId="77777777" w:rsidR="005E785F" w:rsidRDefault="003621E8">
            <w:pPr>
              <w:pStyle w:val="Paragraph"/>
              <w:spacing w:before="40" w:after="40"/>
              <w:rPr>
                <w:rFonts w:ascii="Times New Roman" w:hAnsi="Times New Roman" w:cs="Times New Roman"/>
                <w:b/>
                <w:bCs/>
                <w:sz w:val="20"/>
                <w:lang w:val="en-GB" w:eastAsia="en-US"/>
              </w:rPr>
            </w:pPr>
            <w:r>
              <w:rPr>
                <w:rFonts w:ascii="Times New Roman" w:hAnsi="Times New Roman" w:cs="Times New Roman"/>
                <w:b/>
                <w:bCs/>
                <w:sz w:val="20"/>
              </w:rPr>
              <w:t>Dose / Concentration / No of Animals per Group</w:t>
            </w:r>
          </w:p>
        </w:tc>
        <w:tc>
          <w:tcPr>
            <w:tcW w:w="1701" w:type="pct"/>
          </w:tcPr>
          <w:p w14:paraId="6A25223E" w14:textId="77777777" w:rsidR="005E785F" w:rsidRDefault="003621E8">
            <w:pPr>
              <w:pStyle w:val="Paragraph"/>
              <w:spacing w:before="40" w:after="40"/>
              <w:rPr>
                <w:rFonts w:ascii="Times New Roman" w:hAnsi="Times New Roman" w:cs="Times New Roman"/>
                <w:b/>
                <w:bCs/>
                <w:sz w:val="20"/>
                <w:lang w:val="en-GB" w:eastAsia="en-US"/>
              </w:rPr>
            </w:pPr>
            <w:r>
              <w:rPr>
                <w:rFonts w:ascii="Times New Roman" w:hAnsi="Times New Roman" w:cs="Times New Roman"/>
                <w:b/>
                <w:bCs/>
                <w:sz w:val="20"/>
                <w:lang w:val="en-GB" w:eastAsia="en-US"/>
              </w:rPr>
              <w:t>Key Outcome</w:t>
            </w:r>
          </w:p>
        </w:tc>
      </w:tr>
      <w:tr w:rsidR="005E785F" w14:paraId="609A9460" w14:textId="77777777">
        <w:tc>
          <w:tcPr>
            <w:tcW w:w="5000" w:type="pct"/>
            <w:gridSpan w:val="5"/>
          </w:tcPr>
          <w:p w14:paraId="5E7F9C43" w14:textId="77777777" w:rsidR="005E785F" w:rsidRDefault="003621E8">
            <w:pPr>
              <w:pStyle w:val="Paragraph"/>
              <w:spacing w:before="40" w:after="40"/>
              <w:rPr>
                <w:rFonts w:ascii="Times New Roman" w:hAnsi="Times New Roman" w:cs="Times New Roman"/>
                <w:b/>
                <w:bCs/>
                <w:sz w:val="20"/>
                <w:lang w:val="en-GB" w:eastAsia="en-US"/>
              </w:rPr>
            </w:pPr>
            <w:r>
              <w:rPr>
                <w:rFonts w:ascii="Times New Roman" w:hAnsi="Times New Roman" w:cs="Times New Roman"/>
                <w:b/>
                <w:bCs/>
                <w:sz w:val="20"/>
                <w:lang w:val="en-GB" w:eastAsia="en-US"/>
              </w:rPr>
              <w:t>Repeat-Dose Toxicity</w:t>
            </w:r>
          </w:p>
        </w:tc>
      </w:tr>
      <w:tr w:rsidR="005E785F" w14:paraId="29F5FDC5" w14:textId="77777777">
        <w:tc>
          <w:tcPr>
            <w:tcW w:w="928" w:type="pct"/>
          </w:tcPr>
          <w:p w14:paraId="253AFF24" w14:textId="77777777" w:rsidR="005E785F" w:rsidRDefault="003621E8">
            <w:pPr>
              <w:pStyle w:val="Paragraph"/>
              <w:spacing w:before="40" w:after="40"/>
              <w:rPr>
                <w:rFonts w:ascii="Times New Roman" w:hAnsi="Times New Roman" w:cs="Times New Roman"/>
                <w:color w:val="0000FF"/>
                <w:sz w:val="20"/>
                <w:lang w:val="en-GB"/>
              </w:rPr>
            </w:pPr>
            <w:r>
              <w:rPr>
                <w:rFonts w:ascii="Times New Roman" w:hAnsi="Times New Roman" w:cs="Times New Roman"/>
                <w:color w:val="0000FF"/>
                <w:sz w:val="20"/>
                <w:lang w:val="en-GB"/>
              </w:rPr>
              <w:t>20180061TCYP</w:t>
            </w:r>
            <w:r>
              <w:rPr>
                <w:rStyle w:val="referencesintextChar"/>
                <w:rFonts w:ascii="Times New Roman" w:hAnsi="Times New Roman" w:cs="Times New Roman"/>
                <w:sz w:val="20"/>
              </w:rPr>
              <w:fldChar w:fldCharType="begin"/>
            </w:r>
            <w:r>
              <w:rPr>
                <w:rStyle w:val="referencesintextChar"/>
                <w:rFonts w:ascii="Times New Roman" w:hAnsi="Times New Roman" w:cs="Times New Roman"/>
                <w:sz w:val="20"/>
              </w:rPr>
              <w:instrText xml:space="preserve"> NOTEREF _Ref62809623 \h  \* MERGEFORMAT </w:instrText>
            </w:r>
            <w:r>
              <w:rPr>
                <w:rStyle w:val="referencesintextChar"/>
                <w:rFonts w:ascii="Times New Roman" w:hAnsi="Times New Roman" w:cs="Times New Roman"/>
                <w:sz w:val="20"/>
              </w:rPr>
            </w:r>
            <w:r>
              <w:rPr>
                <w:rStyle w:val="referencesintextChar"/>
                <w:rFonts w:ascii="Times New Roman" w:hAnsi="Times New Roman" w:cs="Times New Roman"/>
                <w:sz w:val="20"/>
              </w:rPr>
              <w:fldChar w:fldCharType="separate"/>
            </w:r>
            <w:r>
              <w:rPr>
                <w:rStyle w:val="referencesintextChar"/>
                <w:rFonts w:ascii="Times New Roman" w:hAnsi="Times New Roman" w:cs="Times New Roman"/>
                <w:sz w:val="20"/>
              </w:rPr>
              <w:t>27</w:t>
            </w:r>
            <w:r>
              <w:rPr>
                <w:rStyle w:val="referencesintextChar"/>
                <w:rFonts w:ascii="Times New Roman" w:hAnsi="Times New Roman" w:cs="Times New Roman"/>
                <w:sz w:val="20"/>
              </w:rPr>
              <w:fldChar w:fldCharType="end"/>
            </w:r>
          </w:p>
          <w:p w14:paraId="635AE0DE" w14:textId="77777777" w:rsidR="005E785F" w:rsidRDefault="003621E8">
            <w:pPr>
              <w:pStyle w:val="Paragraph"/>
              <w:spacing w:before="40" w:after="40"/>
              <w:rPr>
                <w:rFonts w:ascii="Times New Roman" w:hAnsi="Times New Roman" w:cs="Times New Roman"/>
                <w:sz w:val="20"/>
                <w:lang w:val="en-GB" w:eastAsia="en-US"/>
              </w:rPr>
            </w:pPr>
            <w:r>
              <w:rPr>
                <w:rFonts w:ascii="Times New Roman" w:hAnsi="Times New Roman" w:cs="Times New Roman"/>
                <w:color w:val="000000" w:themeColor="text1"/>
                <w:sz w:val="20"/>
                <w:lang w:val="en-GB"/>
              </w:rPr>
              <w:t>(GLP)</w:t>
            </w:r>
          </w:p>
        </w:tc>
        <w:tc>
          <w:tcPr>
            <w:tcW w:w="673" w:type="pct"/>
          </w:tcPr>
          <w:p w14:paraId="307187DB" w14:textId="77777777" w:rsidR="005E785F" w:rsidRDefault="003621E8">
            <w:pPr>
              <w:pStyle w:val="Paragraph"/>
              <w:spacing w:before="40" w:after="40"/>
              <w:rPr>
                <w:rFonts w:ascii="Times New Roman" w:hAnsi="Times New Roman" w:cs="Times New Roman"/>
                <w:sz w:val="20"/>
                <w:lang w:val="en-GB" w:eastAsia="en-US"/>
              </w:rPr>
            </w:pPr>
            <w:r>
              <w:rPr>
                <w:rFonts w:ascii="Times New Roman" w:hAnsi="Times New Roman" w:cs="Times New Roman"/>
                <w:sz w:val="20"/>
                <w:lang w:val="en-GB" w:eastAsia="en-US"/>
              </w:rPr>
              <w:t xml:space="preserve">Cynomolgus monkey / </w:t>
            </w:r>
          </w:p>
          <w:p w14:paraId="0E75A2EB" w14:textId="77777777" w:rsidR="005E785F" w:rsidRDefault="003621E8">
            <w:pPr>
              <w:pStyle w:val="Paragraph"/>
              <w:spacing w:before="40" w:after="40"/>
              <w:rPr>
                <w:rFonts w:ascii="Times New Roman" w:hAnsi="Times New Roman" w:cs="Times New Roman"/>
                <w:sz w:val="20"/>
                <w:lang w:val="en-GB" w:eastAsia="en-US"/>
              </w:rPr>
            </w:pPr>
            <w:r>
              <w:rPr>
                <w:rFonts w:ascii="Times New Roman" w:hAnsi="Times New Roman" w:cs="Times New Roman"/>
                <w:sz w:val="20"/>
                <w:lang w:val="en-GB" w:eastAsia="en-US"/>
              </w:rPr>
              <w:t>s.c.</w:t>
            </w:r>
          </w:p>
        </w:tc>
        <w:tc>
          <w:tcPr>
            <w:tcW w:w="754" w:type="pct"/>
          </w:tcPr>
          <w:p w14:paraId="51F7DA5A" w14:textId="77777777" w:rsidR="005E785F" w:rsidRDefault="003621E8">
            <w:pPr>
              <w:pStyle w:val="Paragraph"/>
              <w:spacing w:before="40" w:after="40"/>
              <w:rPr>
                <w:rFonts w:ascii="Times New Roman" w:hAnsi="Times New Roman" w:cs="Times New Roman"/>
                <w:sz w:val="20"/>
                <w:lang w:val="en-GB" w:eastAsia="en-US"/>
              </w:rPr>
            </w:pPr>
            <w:r>
              <w:rPr>
                <w:rFonts w:ascii="Times New Roman" w:hAnsi="Times New Roman" w:cs="Times New Roman"/>
                <w:sz w:val="20"/>
                <w:lang w:val="en-GB" w:eastAsia="en-US"/>
              </w:rPr>
              <w:t>Repeated dosing every 2 weeks for 43 days followed by 4 weeks of recovery</w:t>
            </w:r>
          </w:p>
        </w:tc>
        <w:tc>
          <w:tcPr>
            <w:tcW w:w="943" w:type="pct"/>
          </w:tcPr>
          <w:p w14:paraId="2C808564" w14:textId="77777777" w:rsidR="005E785F" w:rsidRDefault="003621E8">
            <w:pPr>
              <w:pStyle w:val="Paragraph"/>
              <w:spacing w:before="40" w:after="40"/>
              <w:rPr>
                <w:rFonts w:ascii="Times New Roman" w:hAnsi="Times New Roman" w:cs="Times New Roman"/>
                <w:sz w:val="20"/>
                <w:lang w:val="en-GB" w:eastAsia="en-US"/>
              </w:rPr>
            </w:pPr>
            <w:r>
              <w:rPr>
                <w:rFonts w:ascii="Times New Roman" w:hAnsi="Times New Roman" w:cs="Times New Roman"/>
                <w:sz w:val="20"/>
              </w:rPr>
              <w:t>0, 2, 6, 15.9 mg/kg</w:t>
            </w:r>
          </w:p>
          <w:p w14:paraId="598A06DF" w14:textId="77777777" w:rsidR="005E785F" w:rsidRDefault="003621E8">
            <w:pPr>
              <w:pStyle w:val="Paragraph"/>
              <w:spacing w:before="40" w:after="40"/>
              <w:rPr>
                <w:rFonts w:ascii="Times New Roman" w:hAnsi="Times New Roman" w:cs="Times New Roman"/>
                <w:sz w:val="20"/>
                <w:lang w:val="en-GB" w:eastAsia="en-US"/>
              </w:rPr>
            </w:pPr>
            <w:r>
              <w:rPr>
                <w:rFonts w:ascii="Times New Roman" w:hAnsi="Times New Roman" w:cs="Times New Roman"/>
                <w:sz w:val="20"/>
              </w:rPr>
              <w:t>n=3M+3F/group (main study)</w:t>
            </w:r>
          </w:p>
          <w:p w14:paraId="1F368609" w14:textId="77777777" w:rsidR="005E785F" w:rsidRDefault="003621E8">
            <w:pPr>
              <w:pStyle w:val="Paragraph"/>
              <w:spacing w:before="40" w:after="40"/>
              <w:rPr>
                <w:rFonts w:ascii="Times New Roman" w:hAnsi="Times New Roman" w:cs="Times New Roman"/>
                <w:sz w:val="20"/>
                <w:lang w:val="en-GB" w:eastAsia="en-US"/>
              </w:rPr>
            </w:pPr>
            <w:r>
              <w:rPr>
                <w:rFonts w:ascii="Times New Roman" w:hAnsi="Times New Roman" w:cs="Times New Roman"/>
                <w:sz w:val="20"/>
              </w:rPr>
              <w:t>n=2M+2F/group (recovery; for control and high dose group only)</w:t>
            </w:r>
          </w:p>
        </w:tc>
        <w:tc>
          <w:tcPr>
            <w:tcW w:w="1701" w:type="pct"/>
          </w:tcPr>
          <w:p w14:paraId="09C0C5C3" w14:textId="77777777" w:rsidR="005E785F" w:rsidRDefault="003621E8">
            <w:pPr>
              <w:pStyle w:val="Paragraph"/>
              <w:spacing w:before="40" w:after="40"/>
              <w:rPr>
                <w:rFonts w:ascii="Times New Roman" w:hAnsi="Times New Roman" w:cs="Times New Roman"/>
                <w:sz w:val="20"/>
                <w:lang w:val="en-GB" w:eastAsia="en-US"/>
              </w:rPr>
            </w:pPr>
            <w:r>
              <w:rPr>
                <w:rFonts w:ascii="Times New Roman" w:hAnsi="Times New Roman" w:cs="Times New Roman"/>
                <w:sz w:val="20"/>
                <w:lang w:val="en-GB" w:eastAsia="en-US"/>
              </w:rPr>
              <w:t>Treatment well tolerated systemically up to the highest tested dose.</w:t>
            </w:r>
            <w:r>
              <w:rPr>
                <w:rFonts w:ascii="Times New Roman" w:hAnsi="Times New Roman" w:cs="Times New Roman"/>
                <w:sz w:val="20"/>
                <w:lang w:val="en-GB"/>
              </w:rPr>
              <w:br/>
            </w:r>
            <w:r>
              <w:rPr>
                <w:rFonts w:ascii="Times New Roman" w:hAnsi="Times New Roman" w:cs="Times New Roman"/>
                <w:sz w:val="20"/>
                <w:lang w:val="en-GB" w:eastAsia="en-US"/>
              </w:rPr>
              <w:t>Adverse, test item-related findings restricted to local reactions at administration site (observed in all CpG ODN D35 groups). Trend towards recovery observed, although full recovery was not reached after 4 weeks of treatment-free period.</w:t>
            </w:r>
            <w:r>
              <w:rPr>
                <w:rFonts w:ascii="Times New Roman" w:hAnsi="Times New Roman" w:cs="Times New Roman"/>
                <w:sz w:val="20"/>
                <w:lang w:val="en-GB"/>
              </w:rPr>
              <w:br/>
            </w:r>
            <w:r>
              <w:rPr>
                <w:rFonts w:ascii="Times New Roman" w:hAnsi="Times New Roman" w:cs="Times New Roman"/>
                <w:sz w:val="20"/>
                <w:lang w:val="en-GB" w:eastAsia="en-US"/>
              </w:rPr>
              <w:t>NOAEL(systemic) = 15.9 mg/kg</w:t>
            </w:r>
          </w:p>
          <w:p w14:paraId="436F900C" w14:textId="718DEF70" w:rsidR="005E785F" w:rsidRDefault="003621E8">
            <w:pPr>
              <w:pStyle w:val="Paragraph"/>
              <w:spacing w:before="40" w:after="40"/>
              <w:rPr>
                <w:rFonts w:ascii="Times New Roman" w:hAnsi="Times New Roman" w:cs="Times New Roman"/>
                <w:sz w:val="20"/>
                <w:lang w:val="en-GB" w:eastAsia="en-US"/>
              </w:rPr>
            </w:pPr>
            <w:r>
              <w:rPr>
                <w:rFonts w:ascii="Times New Roman" w:hAnsi="Times New Roman" w:cs="Times New Roman"/>
                <w:sz w:val="20"/>
                <w:lang w:val="en-GB" w:eastAsia="en-US"/>
              </w:rPr>
              <w:t>No NOAEL for local adverse findings</w:t>
            </w:r>
            <w:r>
              <w:rPr>
                <w:rFonts w:ascii="Times New Roman" w:hAnsi="Times New Roman" w:cs="Times New Roman"/>
                <w:sz w:val="20"/>
                <w:lang w:val="en-GB" w:eastAsia="en-US"/>
              </w:rPr>
              <w:br/>
              <w:t>C</w:t>
            </w:r>
            <w:r>
              <w:rPr>
                <w:rFonts w:ascii="Times New Roman" w:hAnsi="Times New Roman" w:cs="Times New Roman"/>
                <w:sz w:val="20"/>
                <w:vertAlign w:val="subscript"/>
                <w:lang w:val="en-GB" w:eastAsia="en-US"/>
              </w:rPr>
              <w:t>max</w:t>
            </w:r>
            <w:r>
              <w:rPr>
                <w:rFonts w:ascii="Times New Roman" w:hAnsi="Times New Roman" w:cs="Times New Roman"/>
                <w:sz w:val="20"/>
                <w:lang w:val="en-GB" w:eastAsia="en-US"/>
              </w:rPr>
              <w:t xml:space="preserve"> (Day 43)=1230.7 (M) / 1359.7 ng/mL (F);</w:t>
            </w:r>
            <w:r>
              <w:rPr>
                <w:rFonts w:ascii="Times New Roman" w:hAnsi="Times New Roman" w:cs="Times New Roman"/>
                <w:sz w:val="20"/>
                <w:lang w:val="en-GB"/>
              </w:rPr>
              <w:br/>
            </w:r>
            <w:r>
              <w:rPr>
                <w:rFonts w:ascii="Times New Roman" w:hAnsi="Times New Roman" w:cs="Times New Roman"/>
                <w:sz w:val="20"/>
                <w:lang w:val="en-GB" w:eastAsia="en-US"/>
              </w:rPr>
              <w:t>AUC</w:t>
            </w:r>
            <w:r>
              <w:rPr>
                <w:rFonts w:ascii="Times New Roman" w:hAnsi="Times New Roman" w:cs="Times New Roman"/>
                <w:sz w:val="20"/>
                <w:vertAlign w:val="subscript"/>
                <w:lang w:val="en-GB" w:eastAsia="en-US"/>
              </w:rPr>
              <w:t xml:space="preserve">last </w:t>
            </w:r>
            <w:r>
              <w:rPr>
                <w:rFonts w:ascii="Times New Roman" w:hAnsi="Times New Roman" w:cs="Times New Roman"/>
                <w:sz w:val="20"/>
                <w:lang w:val="en-GB" w:eastAsia="en-US"/>
              </w:rPr>
              <w:t>(Day 43)=755.8 (M) / 626.7 (F) ng*h/mL</w:t>
            </w:r>
          </w:p>
        </w:tc>
      </w:tr>
    </w:tbl>
    <w:p w14:paraId="5D152723" w14:textId="77777777" w:rsidR="005E785F" w:rsidRDefault="003621E8">
      <w:pPr>
        <w:pStyle w:val="Tablelegend"/>
        <w:rPr>
          <w:rFonts w:ascii="Times New Roman" w:hAnsi="Times New Roman" w:cs="Times New Roman"/>
          <w:sz w:val="20"/>
          <w:szCs w:val="20"/>
          <w:lang w:val="en-GB"/>
        </w:rPr>
      </w:pPr>
      <w:r>
        <w:rPr>
          <w:rFonts w:ascii="Times New Roman" w:hAnsi="Times New Roman" w:cs="Times New Roman"/>
          <w:sz w:val="20"/>
          <w:szCs w:val="20"/>
        </w:rPr>
        <w:t>AUC – area under curve; C</w:t>
      </w:r>
      <w:r>
        <w:rPr>
          <w:rFonts w:ascii="Times New Roman" w:hAnsi="Times New Roman" w:cs="Times New Roman"/>
          <w:sz w:val="20"/>
          <w:szCs w:val="20"/>
          <w:vertAlign w:val="subscript"/>
        </w:rPr>
        <w:t>max</w:t>
      </w:r>
      <w:r>
        <w:rPr>
          <w:rFonts w:ascii="Times New Roman" w:hAnsi="Times New Roman" w:cs="Times New Roman"/>
          <w:sz w:val="20"/>
          <w:szCs w:val="20"/>
        </w:rPr>
        <w:t xml:space="preserve"> – maximum plasma concentration, F - Female, GLP – good laboratory practice, i.v. – intravenous(ly), M - Male, MTD – maximum tolerated dose, NOAEL – no observed adverse effect level, RoA – route of administration, s.c. – subcutaneous(ly), SD – Sprague Dawley</w:t>
      </w:r>
    </w:p>
    <w:p w14:paraId="211B3555" w14:textId="3C33BF38" w:rsidR="005E785F" w:rsidRDefault="003621E8">
      <w:pPr>
        <w:pStyle w:val="BodyTextFull"/>
        <w:rPr>
          <w:rFonts w:ascii="Times New Roman" w:hAnsi="Times New Roman" w:cs="Times New Roman"/>
          <w:sz w:val="24"/>
          <w:szCs w:val="24"/>
          <w:lang w:val="en-GB"/>
        </w:rPr>
      </w:pPr>
      <w:r>
        <w:rPr>
          <w:rFonts w:ascii="Times New Roman" w:hAnsi="Times New Roman" w:cs="Times New Roman"/>
          <w:sz w:val="24"/>
          <w:szCs w:val="24"/>
          <w:lang w:val="en-GB"/>
        </w:rPr>
        <w:t xml:space="preserve">Based upon the toxicity program outlined above, the safety profile of CpG ODN D35 provided evidence that the investigational product is systemically well tolerated. The only adverse effects observed for CpG ODN D35 were signs of local intolerance at the injection site, when applied at a concentration of 15.9 mg/mL. However, considering the mode of action of CpG ODN D35 as a pro-inflammatory stimulant, the occurrence of signs of pro-inflammatory reactions at the injection site are expected and consistent with the known involvement of TLR9-induced signalling pathways. The presence of granular macrophages as well as subcutaneous granular basophilic material might indicate the accumulation of the test item at the injection site. This is supported by the analysis of biopsies taken from the injection site, which confirmed the presence of CpG ODN D35. Ongoing recovery was evident in the GLP toxicity study suggesting that this effect is transient.  It is of further interest to note that although marked changes were present in the subcutaneous tissue with CpG ODN D35, the non-human primates </w:t>
      </w:r>
      <w:r>
        <w:rPr>
          <w:rFonts w:ascii="Times New Roman" w:hAnsi="Times New Roman" w:cs="Times New Roman"/>
          <w:sz w:val="24"/>
          <w:szCs w:val="24"/>
          <w:lang w:val="en-GB"/>
        </w:rPr>
        <w:lastRenderedPageBreak/>
        <w:t>did not demonstrate any clinical signs of response to local irritation and that there was no indication of any systemic toxicity related to the administration including fever.</w:t>
      </w:r>
    </w:p>
    <w:p w14:paraId="2BD9D2A0" w14:textId="77777777" w:rsidR="005E785F" w:rsidRDefault="003621E8">
      <w:pPr>
        <w:pStyle w:val="BodyTextFull"/>
        <w:rPr>
          <w:rFonts w:ascii="Times New Roman" w:hAnsi="Times New Roman" w:cs="Times New Roman"/>
          <w:sz w:val="24"/>
          <w:szCs w:val="24"/>
          <w:lang w:val="en-GB"/>
        </w:rPr>
      </w:pPr>
      <w:r>
        <w:rPr>
          <w:rFonts w:ascii="Times New Roman" w:hAnsi="Times New Roman" w:cs="Times New Roman"/>
          <w:sz w:val="24"/>
          <w:szCs w:val="24"/>
          <w:lang w:val="en-GB"/>
        </w:rPr>
        <w:t>Non-clinical testing of CpG ODN D35 did not reveal any sign for induction of flu-like symptoms. However, considering the clinical experience with ODNs and TLR9-activators, such an effect cannot be excluded for CpG ODN D35 and patients will be monitored closely after test item administration.</w:t>
      </w:r>
    </w:p>
    <w:p w14:paraId="645EDB96" w14:textId="77777777" w:rsidR="005E785F" w:rsidRDefault="003621E8">
      <w:pPr>
        <w:pStyle w:val="BodyTextFull"/>
        <w:rPr>
          <w:rFonts w:ascii="Times New Roman" w:hAnsi="Times New Roman" w:cs="Times New Roman"/>
          <w:sz w:val="24"/>
          <w:szCs w:val="24"/>
          <w:lang w:val="en-GB"/>
        </w:rPr>
      </w:pPr>
      <w:r>
        <w:rPr>
          <w:rFonts w:ascii="Times New Roman" w:hAnsi="Times New Roman" w:cs="Times New Roman"/>
          <w:sz w:val="24"/>
          <w:szCs w:val="24"/>
        </w:rPr>
        <w:t xml:space="preserve">In addition to the assessment of general toxicity, the standard battery </w:t>
      </w:r>
      <w:r>
        <w:rPr>
          <w:rFonts w:ascii="Times New Roman" w:hAnsi="Times New Roman" w:cs="Times New Roman"/>
          <w:i/>
          <w:sz w:val="24"/>
          <w:szCs w:val="24"/>
        </w:rPr>
        <w:t>in vitro</w:t>
      </w:r>
      <w:r>
        <w:rPr>
          <w:rFonts w:ascii="Times New Roman" w:hAnsi="Times New Roman" w:cs="Times New Roman"/>
          <w:sz w:val="24"/>
          <w:szCs w:val="24"/>
        </w:rPr>
        <w:t xml:space="preserve"> and </w:t>
      </w:r>
      <w:r>
        <w:rPr>
          <w:rFonts w:ascii="Times New Roman" w:hAnsi="Times New Roman" w:cs="Times New Roman"/>
          <w:i/>
          <w:sz w:val="24"/>
          <w:szCs w:val="24"/>
        </w:rPr>
        <w:t>in vivo</w:t>
      </w:r>
      <w:r>
        <w:rPr>
          <w:rFonts w:ascii="Times New Roman" w:hAnsi="Times New Roman" w:cs="Times New Roman"/>
          <w:sz w:val="24"/>
          <w:szCs w:val="24"/>
        </w:rPr>
        <w:t xml:space="preserve"> genotoxicity studies was performed according to ICH and OECD guidelines. </w:t>
      </w:r>
      <w:bookmarkStart w:id="58" w:name="_Hlk65250293"/>
      <w:r>
        <w:rPr>
          <w:rFonts w:ascii="Times New Roman" w:hAnsi="Times New Roman" w:cs="Times New Roman"/>
          <w:sz w:val="24"/>
          <w:szCs w:val="24"/>
        </w:rPr>
        <w:t xml:space="preserve">CpG ODN D35 </w:t>
      </w:r>
      <w:bookmarkEnd w:id="58"/>
      <w:r>
        <w:rPr>
          <w:rFonts w:ascii="Times New Roman" w:hAnsi="Times New Roman" w:cs="Times New Roman"/>
          <w:sz w:val="24"/>
          <w:szCs w:val="24"/>
        </w:rPr>
        <w:t>does not have genotoxic potential in these</w:t>
      </w:r>
      <w:r>
        <w:rPr>
          <w:rFonts w:ascii="Times New Roman" w:hAnsi="Times New Roman" w:cs="Times New Roman"/>
          <w:i/>
          <w:sz w:val="24"/>
          <w:szCs w:val="24"/>
        </w:rPr>
        <w:t xml:space="preserve"> in vitro</w:t>
      </w:r>
      <w:r>
        <w:rPr>
          <w:rFonts w:ascii="Times New Roman" w:hAnsi="Times New Roman" w:cs="Times New Roman"/>
          <w:sz w:val="24"/>
          <w:szCs w:val="24"/>
        </w:rPr>
        <w:t xml:space="preserve"> and </w:t>
      </w:r>
      <w:r>
        <w:rPr>
          <w:rFonts w:ascii="Times New Roman" w:hAnsi="Times New Roman" w:cs="Times New Roman"/>
          <w:i/>
          <w:sz w:val="24"/>
          <w:szCs w:val="24"/>
        </w:rPr>
        <w:t>in vivo</w:t>
      </w:r>
      <w:r>
        <w:rPr>
          <w:rFonts w:ascii="Times New Roman" w:hAnsi="Times New Roman" w:cs="Times New Roman"/>
          <w:sz w:val="24"/>
          <w:szCs w:val="24"/>
        </w:rPr>
        <w:t xml:space="preserve"> studies. </w:t>
      </w:r>
    </w:p>
    <w:p w14:paraId="5B0C2D25" w14:textId="5505F0D4" w:rsidR="005E785F" w:rsidRDefault="003621E8">
      <w:pPr>
        <w:pStyle w:val="BodyTextFull"/>
        <w:rPr>
          <w:rFonts w:ascii="Times New Roman" w:hAnsi="Times New Roman" w:cs="Times New Roman"/>
          <w:sz w:val="24"/>
          <w:szCs w:val="24"/>
          <w:lang w:val="en-GB"/>
        </w:rPr>
      </w:pPr>
      <w:r>
        <w:rPr>
          <w:rFonts w:ascii="Times New Roman" w:hAnsi="Times New Roman" w:cs="Times New Roman"/>
          <w:sz w:val="24"/>
          <w:szCs w:val="24"/>
          <w:lang w:val="en-GB"/>
        </w:rPr>
        <w:t>No dedicated studies on reproductive or developmental toxicity studies were conducted. The histopathological assessment of male and female reproductive organs, which was conducted as part of the GLP repeat-dose toxicity studies, identified no findings up to a dose of 15.9 mg/kg administered SC every two weeks for a total of 4 doses.</w:t>
      </w:r>
    </w:p>
    <w:p w14:paraId="59C51B1D" w14:textId="7431C51A" w:rsidR="005E785F" w:rsidRPr="00BB4B07" w:rsidRDefault="003621E8" w:rsidP="00BB4B07">
      <w:pPr>
        <w:pStyle w:val="Heading2"/>
      </w:pPr>
      <w:bookmarkStart w:id="59" w:name="_Toc74904350"/>
      <w:r w:rsidRPr="00BB4B07">
        <w:t>Effects in Humans</w:t>
      </w:r>
      <w:bookmarkEnd w:id="59"/>
    </w:p>
    <w:p w14:paraId="261B086C" w14:textId="77777777" w:rsidR="005E785F" w:rsidRDefault="003621E8">
      <w:pPr>
        <w:pStyle w:val="C-BodyText"/>
        <w:jc w:val="both"/>
        <w:rPr>
          <w:lang w:val="en-GB"/>
        </w:rPr>
      </w:pPr>
      <w:r>
        <w:rPr>
          <w:szCs w:val="24"/>
        </w:rPr>
        <w:t>Not applicable. CpG ODN D35 has never been administered and tested in humans.</w:t>
      </w:r>
    </w:p>
    <w:p w14:paraId="1993DFAB" w14:textId="7A51D524" w:rsidR="005E785F" w:rsidRDefault="003621E8">
      <w:pPr>
        <w:pStyle w:val="C-BodyText"/>
        <w:jc w:val="both"/>
        <w:rPr>
          <w:lang w:val="en-GB"/>
        </w:rPr>
      </w:pPr>
      <w:r>
        <w:rPr>
          <w:lang w:val="en-GB"/>
        </w:rPr>
        <w:t xml:space="preserve">Further details of the non-clinical studies and a summary of the known and potential risks and benefits to human participants of </w:t>
      </w:r>
      <w:r>
        <w:rPr>
          <w:szCs w:val="24"/>
          <w:lang w:val="en-GB"/>
        </w:rPr>
        <w:t>CpG ODN D35</w:t>
      </w:r>
      <w:r>
        <w:rPr>
          <w:lang w:val="en-GB"/>
        </w:rPr>
        <w:t xml:space="preserve"> can be found in the Investigator’s Brochure (IB)</w:t>
      </w:r>
      <w:r>
        <w:rPr>
          <w:color w:val="0000FF"/>
          <w:vertAlign w:val="superscript"/>
          <w:lang w:val="en-GB"/>
        </w:rPr>
        <w:t>[</w:t>
      </w:r>
      <w:r>
        <w:rPr>
          <w:color w:val="0000FF"/>
          <w:highlight w:val="yellow"/>
          <w:vertAlign w:val="superscript"/>
          <w:lang w:val="en-GB"/>
        </w:rPr>
        <w:fldChar w:fldCharType="begin"/>
      </w:r>
      <w:r>
        <w:rPr>
          <w:color w:val="0000FF"/>
          <w:vertAlign w:val="superscript"/>
          <w:lang w:val="en-GB"/>
        </w:rPr>
        <w:instrText xml:space="preserve"> REF _Ref65483649 \r \h </w:instrText>
      </w:r>
      <w:r>
        <w:rPr>
          <w:color w:val="0000FF"/>
          <w:highlight w:val="yellow"/>
          <w:vertAlign w:val="superscript"/>
          <w:lang w:val="en-GB"/>
        </w:rPr>
      </w:r>
      <w:r>
        <w:rPr>
          <w:color w:val="0000FF"/>
          <w:highlight w:val="yellow"/>
          <w:vertAlign w:val="superscript"/>
          <w:lang w:val="en-GB"/>
        </w:rPr>
        <w:fldChar w:fldCharType="separate"/>
      </w:r>
      <w:r>
        <w:rPr>
          <w:color w:val="0000FF"/>
          <w:vertAlign w:val="superscript"/>
          <w:lang w:val="en-GB"/>
        </w:rPr>
        <w:t>11</w:t>
      </w:r>
      <w:r>
        <w:rPr>
          <w:color w:val="0000FF"/>
          <w:highlight w:val="yellow"/>
          <w:vertAlign w:val="superscript"/>
          <w:lang w:val="en-GB"/>
        </w:rPr>
        <w:fldChar w:fldCharType="end"/>
      </w:r>
      <w:r>
        <w:rPr>
          <w:color w:val="0000FF"/>
          <w:vertAlign w:val="superscript"/>
          <w:lang w:val="en-GB"/>
        </w:rPr>
        <w:t>]</w:t>
      </w:r>
      <w:r>
        <w:rPr>
          <w:color w:val="0000FF"/>
          <w:lang w:val="en-GB"/>
        </w:rPr>
        <w:t xml:space="preserve">. </w:t>
      </w:r>
    </w:p>
    <w:p w14:paraId="16351519" w14:textId="4263B6CC" w:rsidR="005E785F" w:rsidRDefault="003621E8">
      <w:pPr>
        <w:pStyle w:val="C-BodyText"/>
        <w:jc w:val="both"/>
        <w:rPr>
          <w:lang w:val="en-GB"/>
        </w:rPr>
      </w:pPr>
      <w:r>
        <w:rPr>
          <w:lang w:val="en-GB"/>
        </w:rPr>
        <w:t>The study will be conducted in compliance with the protocol, GCP and the applicable regulatory requirement(s), as indicated in the ICH GCP E6 (R2) guidelines</w:t>
      </w:r>
      <w:r>
        <w:rPr>
          <w:color w:val="0000FF"/>
          <w:vertAlign w:val="superscript"/>
          <w:lang w:val="en-GB"/>
        </w:rPr>
        <w:t>[0</w:t>
      </w:r>
      <w:r>
        <w:rPr>
          <w:color w:val="0000FF"/>
          <w:vertAlign w:val="superscript"/>
          <w:lang w:val="en-GB"/>
        </w:rPr>
        <w:fldChar w:fldCharType="begin"/>
      </w:r>
      <w:r>
        <w:rPr>
          <w:color w:val="0000FF"/>
          <w:vertAlign w:val="superscript"/>
          <w:lang w:val="en-GB"/>
        </w:rPr>
        <w:instrText xml:space="preserve"> REF _Ref65270188 \r \h </w:instrText>
      </w:r>
      <w:r>
        <w:rPr>
          <w:color w:val="0000FF"/>
          <w:vertAlign w:val="superscript"/>
          <w:lang w:val="en-GB"/>
        </w:rPr>
      </w:r>
      <w:r>
        <w:rPr>
          <w:color w:val="0000FF"/>
          <w:vertAlign w:val="superscript"/>
          <w:lang w:val="en-GB"/>
        </w:rPr>
        <w:fldChar w:fldCharType="separate"/>
      </w:r>
      <w:r>
        <w:rPr>
          <w:color w:val="0000FF"/>
          <w:vertAlign w:val="superscript"/>
          <w:lang w:val="en-GB"/>
        </w:rPr>
        <w:t>3</w:t>
      </w:r>
      <w:r>
        <w:rPr>
          <w:color w:val="0000FF"/>
          <w:vertAlign w:val="superscript"/>
          <w:lang w:val="en-GB"/>
        </w:rPr>
        <w:fldChar w:fldCharType="end"/>
      </w:r>
      <w:r>
        <w:rPr>
          <w:color w:val="0000FF"/>
          <w:vertAlign w:val="superscript"/>
          <w:lang w:val="en-GB"/>
        </w:rPr>
        <w:t>]</w:t>
      </w:r>
      <w:r>
        <w:rPr>
          <w:lang w:val="en-GB"/>
        </w:rPr>
        <w:t>.</w:t>
      </w:r>
    </w:p>
    <w:p w14:paraId="600F9947" w14:textId="77777777" w:rsidR="005E785F" w:rsidRDefault="003621E8" w:rsidP="00A529B5">
      <w:pPr>
        <w:pStyle w:val="Heading2"/>
      </w:pPr>
      <w:bookmarkStart w:id="60" w:name="_Ref481144427"/>
      <w:bookmarkStart w:id="61" w:name="_Toc54089367"/>
      <w:bookmarkStart w:id="62" w:name="_Toc74904351"/>
      <w:r>
        <w:t>Risk-Benefit Assessment</w:t>
      </w:r>
      <w:bookmarkEnd w:id="60"/>
      <w:bookmarkEnd w:id="61"/>
      <w:bookmarkEnd w:id="62"/>
    </w:p>
    <w:p w14:paraId="6D740174" w14:textId="77777777" w:rsidR="005E785F" w:rsidRDefault="003621E8">
      <w:pPr>
        <w:pStyle w:val="BodyTextFull"/>
        <w:rPr>
          <w:rFonts w:ascii="Times New Roman" w:hAnsi="Times New Roman" w:cs="Times New Roman"/>
          <w:sz w:val="24"/>
          <w:szCs w:val="24"/>
          <w:lang w:val="en-GB"/>
        </w:rPr>
      </w:pPr>
      <w:bookmarkStart w:id="63" w:name="_Toc54102559"/>
      <w:r>
        <w:rPr>
          <w:rFonts w:ascii="Times New Roman" w:hAnsi="Times New Roman" w:cs="Times New Roman"/>
          <w:sz w:val="24"/>
          <w:szCs w:val="24"/>
          <w:lang w:val="en-GB"/>
        </w:rPr>
        <w:t>No benefit will be observed in healthy volunteers.</w:t>
      </w:r>
    </w:p>
    <w:p w14:paraId="6353C16E" w14:textId="61AD88C1" w:rsidR="005E785F" w:rsidRDefault="003621E8">
      <w:pPr>
        <w:pStyle w:val="BodyTextFull"/>
        <w:rPr>
          <w:rFonts w:ascii="Times New Roman" w:hAnsi="Times New Roman" w:cs="Times New Roman"/>
          <w:sz w:val="24"/>
          <w:szCs w:val="24"/>
          <w:lang w:val="en-GB"/>
        </w:rPr>
      </w:pPr>
      <w:r>
        <w:rPr>
          <w:rFonts w:ascii="Times New Roman" w:hAnsi="Times New Roman" w:cs="Times New Roman"/>
          <w:sz w:val="24"/>
          <w:szCs w:val="24"/>
          <w:lang w:val="en-GB"/>
        </w:rPr>
        <w:t>Several measures to minimize the risks to healthy subjects have been taken with respect to the following study design elements.</w:t>
      </w:r>
    </w:p>
    <w:p w14:paraId="28222DD8" w14:textId="09BB6373" w:rsidR="005E785F" w:rsidRDefault="003621E8">
      <w:pPr>
        <w:pStyle w:val="BodyTextFull"/>
        <w:numPr>
          <w:ilvl w:val="0"/>
          <w:numId w:val="72"/>
        </w:numPr>
        <w:rPr>
          <w:rFonts w:ascii="Times New Roman" w:hAnsi="Times New Roman" w:cs="Times New Roman"/>
          <w:sz w:val="24"/>
          <w:szCs w:val="24"/>
          <w:lang w:val="en-GB"/>
        </w:rPr>
      </w:pPr>
      <w:r>
        <w:rPr>
          <w:rFonts w:ascii="Times New Roman" w:hAnsi="Times New Roman" w:cs="Times New Roman"/>
          <w:sz w:val="24"/>
          <w:szCs w:val="24"/>
        </w:rPr>
        <w:t xml:space="preserve">Each cohort will follow a sentinel dose escalation schedule. 2 subjects in a sentinel group (1 subject on active drug and a subject on placebo) will be dosed at each dose level and monitored for 72 hours prior to dosing the rest of the 2 sub-groups. </w:t>
      </w:r>
    </w:p>
    <w:p w14:paraId="1A588B7E" w14:textId="47E58264" w:rsidR="005E785F" w:rsidRDefault="003621E8">
      <w:pPr>
        <w:pStyle w:val="BodyTextFull"/>
        <w:ind w:left="720"/>
        <w:rPr>
          <w:rFonts w:ascii="Times New Roman" w:hAnsi="Times New Roman" w:cs="Times New Roman"/>
          <w:sz w:val="24"/>
          <w:szCs w:val="24"/>
          <w:lang w:val="en-GB"/>
        </w:rPr>
      </w:pPr>
      <w:r>
        <w:rPr>
          <w:rFonts w:ascii="Times New Roman" w:hAnsi="Times New Roman" w:cs="Times New Roman"/>
          <w:sz w:val="24"/>
          <w:szCs w:val="24"/>
        </w:rPr>
        <w:t>No more than 3 volunteers will be dosed the same day, and 30 minutes between dosing of 2 volunteers will be ensured (except sentinels as this is known that one is receiving placebo). This is implemented to allow interruption of dosing of the rest of the sub-group in case of a severe reaction such as anaphylaxis occurring.</w:t>
      </w:r>
    </w:p>
    <w:p w14:paraId="3178D334" w14:textId="77777777" w:rsidR="005E785F" w:rsidRDefault="003621E8">
      <w:pPr>
        <w:pStyle w:val="BodyText"/>
        <w:numPr>
          <w:ilvl w:val="0"/>
          <w:numId w:val="72"/>
        </w:numPr>
        <w:rPr>
          <w:rFonts w:cs="Arial"/>
          <w:sz w:val="20"/>
        </w:rPr>
      </w:pPr>
      <w:r>
        <w:t xml:space="preserve">For dose escalation to proceed, data from the preceding dose level must be available from a minimum of 6 evaluable subjects who have completed the planned safety assessments up to Day 4 (72h after dosing) and all planned PK assessments after dosing to ensure at least 4 subjects had received active IMP. </w:t>
      </w:r>
    </w:p>
    <w:p w14:paraId="776F6847" w14:textId="2767AA85" w:rsidR="005E785F" w:rsidRDefault="003621E8">
      <w:pPr>
        <w:pStyle w:val="BodyTextFull"/>
        <w:numPr>
          <w:ilvl w:val="0"/>
          <w:numId w:val="72"/>
        </w:numPr>
        <w:rPr>
          <w:rFonts w:ascii="Times New Roman" w:hAnsi="Times New Roman" w:cs="Times New Roman"/>
          <w:sz w:val="24"/>
          <w:szCs w:val="24"/>
          <w:lang w:val="en-GB"/>
        </w:rPr>
      </w:pPr>
      <w:r>
        <w:rPr>
          <w:rFonts w:ascii="Times New Roman" w:hAnsi="Times New Roman" w:cs="Times New Roman"/>
          <w:sz w:val="24"/>
          <w:szCs w:val="24"/>
          <w:lang w:val="en-GB"/>
        </w:rPr>
        <w:t xml:space="preserve">The decision must be documented in writing by the SRC at the dose escalation review meeting (DERM) before the next escalated dose level is administered to volunteers. </w:t>
      </w:r>
    </w:p>
    <w:p w14:paraId="3020E664" w14:textId="4F474198" w:rsidR="005E785F" w:rsidRDefault="003621E8">
      <w:pPr>
        <w:pStyle w:val="BodyTextFull"/>
        <w:numPr>
          <w:ilvl w:val="0"/>
          <w:numId w:val="72"/>
        </w:numPr>
        <w:rPr>
          <w:rFonts w:ascii="Times New Roman" w:hAnsi="Times New Roman" w:cs="Times New Roman"/>
          <w:sz w:val="24"/>
          <w:szCs w:val="24"/>
          <w:lang w:val="en-GB"/>
        </w:rPr>
      </w:pPr>
      <w:r>
        <w:rPr>
          <w:rFonts w:ascii="Times New Roman" w:hAnsi="Times New Roman" w:cs="Times New Roman"/>
          <w:sz w:val="24"/>
          <w:szCs w:val="24"/>
          <w:lang w:val="en-GB"/>
        </w:rPr>
        <w:lastRenderedPageBreak/>
        <w:t>Potential risk of local injection site reactions: Based on pre-clinical studies (</w:t>
      </w:r>
      <w:r>
        <w:rPr>
          <w:rFonts w:ascii="Times New Roman" w:hAnsi="Times New Roman" w:cs="Times New Roman"/>
          <w:sz w:val="24"/>
          <w:szCs w:val="24"/>
        </w:rPr>
        <w:t>Corresponding to changes noted in Maximum Tolerated Dose (MTD) and Repeated Dose Range Finding Study in the cynomolgus monkey by the SC route), the most common effects that may be anticipated in humans are injection site reactions such as oedema and thickening of skin. In animals, this is correlated with inflammatory changes and necrosis, subcutaneous accumulation of granular material and presence of basophilic granular macrophages at the histopathology examination. These local and microscopic changes were observed at all tested dose levels, but the severity of effects was proportional to dose with highest severity observed at the highest dose of 15.9 mg/kg. Occurrence of local reactions will be monitored during the clinical trial.</w:t>
      </w:r>
    </w:p>
    <w:p w14:paraId="79B43562" w14:textId="26264207" w:rsidR="005E785F" w:rsidRDefault="003621E8">
      <w:pPr>
        <w:pStyle w:val="BodyTextFull"/>
        <w:numPr>
          <w:ilvl w:val="0"/>
          <w:numId w:val="72"/>
        </w:numPr>
        <w:rPr>
          <w:rFonts w:ascii="Times New Roman" w:hAnsi="Times New Roman" w:cs="Times New Roman"/>
          <w:sz w:val="24"/>
          <w:szCs w:val="24"/>
          <w:lang w:val="en-GB"/>
        </w:rPr>
      </w:pPr>
      <w:r>
        <w:rPr>
          <w:rFonts w:ascii="Times New Roman" w:hAnsi="Times New Roman" w:cs="Times New Roman"/>
          <w:sz w:val="24"/>
          <w:szCs w:val="24"/>
        </w:rPr>
        <w:t xml:space="preserve">Potential Risk of systemic immune reactions: Concern has been raised in the clinical development of other classes of CpGs (developed as vaccine adjuvants) that they might activate autoreactive B cells and thus increase the risk of autoimmune disease. Baseline assessment of auto-antibodies in healthy subjects, as support for eligibility assessment, was not considered as titrations of autoantibodies did not warrant the absence of later development of the disease. Moreover, the risk of CpG ODN D35 to trigger the development of any auto-immune disease is considered very low as Class A CpGs are designed to activate plasmacytoid cells and not B cells. However, samples will be taken at baseline (Day 1 pre-dose) to analyse retrospectively (if required due to development of any auto-immune disease after study participation). Analysis could include the following biological markers (anti-dsDNA, anti-ssDNA, rheumatoid factor, anti-nuclear antibody, or others) in relation to auto-immune diseases. </w:t>
      </w:r>
    </w:p>
    <w:p w14:paraId="2196DF94" w14:textId="36FE8A31" w:rsidR="005E785F" w:rsidRDefault="003621E8">
      <w:pPr>
        <w:pStyle w:val="BodyTextFull"/>
        <w:numPr>
          <w:ilvl w:val="0"/>
          <w:numId w:val="72"/>
        </w:numPr>
        <w:rPr>
          <w:rFonts w:ascii="Times New Roman" w:hAnsi="Times New Roman" w:cs="Times New Roman"/>
          <w:sz w:val="24"/>
          <w:szCs w:val="24"/>
          <w:lang w:val="en-GB"/>
        </w:rPr>
      </w:pPr>
      <w:r>
        <w:rPr>
          <w:rFonts w:ascii="Times New Roman" w:hAnsi="Times New Roman" w:cs="Times New Roman"/>
          <w:sz w:val="24"/>
          <w:szCs w:val="24"/>
          <w:lang w:val="en-GB"/>
        </w:rPr>
        <w:t xml:space="preserve">Potential Risk of cytokine release syndrome: Due to the pharmacological effect of Class A CpG ODN, as a TLR9 agonist, and the activation of Th1 cytokine production, a cytokine release syndrome (CRS) cannot be fully excluded even with a low and short-term systemic exposure linked to the subcutaneous injection, and the reassuring nonclinical data and clinical experience with CpG ODNs whatever the class. </w:t>
      </w:r>
      <w:r>
        <w:rPr>
          <w:rFonts w:ascii="Times New Roman" w:hAnsi="Times New Roman" w:cs="Times New Roman"/>
          <w:sz w:val="24"/>
          <w:szCs w:val="24"/>
        </w:rPr>
        <w:t xml:space="preserve">Some risk mitigation measures include: sentinel dosing, delayed dosing of the main cohort (approximately 72 hours post-sentinel dose), dividing the main cohort into 2 sub-groups 24 hours apart, limiting the number of volunteers dosed the same day, time imposed in between 2 volunteers dosing, follow up of specific markers of inflammation (such as CRP) and availability of IL-6 dosing onsite in case of need for exploration of the inflammatory response. These form a mitigation plan, alongside usual precautions associated with First-in-Human trials and will take into account the potential of prolonged pharmacodynamic effect that may result from how the synthetic molecule is designed to resist degradation (prolongation of the half-life from 5-10 minutes to 30-60 minutes of the phosphorothioate compound as compared to non-phosphorothioated natural phosphodiester DNA). A specific emergency treatment section is dedicated to this question in </w:t>
      </w:r>
      <w:r>
        <w:rPr>
          <w:rFonts w:ascii="Times New Roman" w:hAnsi="Times New Roman" w:cs="Times New Roman"/>
          <w:color w:val="0000FF"/>
          <w:sz w:val="24"/>
          <w:szCs w:val="24"/>
        </w:rPr>
        <w:t xml:space="preserve">Section </w:t>
      </w:r>
      <w:r>
        <w:rPr>
          <w:rFonts w:ascii="Times New Roman" w:hAnsi="Times New Roman" w:cs="Times New Roman"/>
          <w:color w:val="0000FF"/>
          <w:sz w:val="24"/>
          <w:szCs w:val="24"/>
        </w:rPr>
        <w:fldChar w:fldCharType="begin"/>
      </w:r>
      <w:r>
        <w:rPr>
          <w:rFonts w:ascii="Times New Roman" w:hAnsi="Times New Roman" w:cs="Times New Roman"/>
          <w:color w:val="0000FF"/>
          <w:sz w:val="24"/>
          <w:szCs w:val="24"/>
        </w:rPr>
        <w:instrText xml:space="preserve"> REF _Ref67038450 \r \h  \* MERGEFORMAT </w:instrText>
      </w:r>
      <w:r>
        <w:rPr>
          <w:rFonts w:ascii="Times New Roman" w:hAnsi="Times New Roman" w:cs="Times New Roman"/>
          <w:color w:val="0000FF"/>
          <w:sz w:val="24"/>
          <w:szCs w:val="24"/>
        </w:rPr>
      </w:r>
      <w:r>
        <w:rPr>
          <w:rFonts w:ascii="Times New Roman" w:hAnsi="Times New Roman" w:cs="Times New Roman"/>
          <w:color w:val="0000FF"/>
          <w:sz w:val="24"/>
          <w:szCs w:val="24"/>
        </w:rPr>
        <w:fldChar w:fldCharType="separate"/>
      </w:r>
      <w:r>
        <w:rPr>
          <w:rFonts w:ascii="Times New Roman" w:hAnsi="Times New Roman" w:cs="Times New Roman"/>
          <w:color w:val="0000FF"/>
          <w:sz w:val="24"/>
          <w:szCs w:val="24"/>
        </w:rPr>
        <w:t>10.6.11</w:t>
      </w:r>
      <w:r>
        <w:rPr>
          <w:rFonts w:ascii="Times New Roman" w:hAnsi="Times New Roman" w:cs="Times New Roman"/>
          <w:color w:val="0000FF"/>
          <w:sz w:val="24"/>
          <w:szCs w:val="24"/>
        </w:rPr>
        <w:fldChar w:fldCharType="end"/>
      </w:r>
      <w:r>
        <w:rPr>
          <w:rFonts w:ascii="Times New Roman" w:hAnsi="Times New Roman" w:cs="Times New Roman"/>
          <w:sz w:val="24"/>
          <w:szCs w:val="24"/>
          <w:lang w:val="en-GB"/>
        </w:rPr>
        <w:t>.</w:t>
      </w:r>
    </w:p>
    <w:p w14:paraId="058650AD" w14:textId="545A1DC1" w:rsidR="005E785F" w:rsidRDefault="003621E8">
      <w:pPr>
        <w:pStyle w:val="BodyTextFull"/>
        <w:numPr>
          <w:ilvl w:val="0"/>
          <w:numId w:val="72"/>
        </w:numPr>
        <w:rPr>
          <w:rFonts w:ascii="Times New Roman" w:hAnsi="Times New Roman" w:cs="Times New Roman"/>
          <w:sz w:val="24"/>
          <w:szCs w:val="24"/>
          <w:lang w:val="en-GB"/>
        </w:rPr>
      </w:pPr>
      <w:r>
        <w:rPr>
          <w:rFonts w:ascii="Times New Roman" w:hAnsi="Times New Roman" w:cs="Times New Roman"/>
          <w:sz w:val="24"/>
          <w:szCs w:val="24"/>
          <w:lang w:val="en-GB"/>
        </w:rPr>
        <w:t xml:space="preserve">Potential risk of anaphylaxis: Even though no clear signal was observed in nonclinical </w:t>
      </w:r>
      <w:r>
        <w:rPr>
          <w:rFonts w:ascii="Times New Roman" w:hAnsi="Times New Roman" w:cs="Times New Roman"/>
          <w:i/>
          <w:iCs/>
          <w:sz w:val="24"/>
          <w:szCs w:val="24"/>
          <w:lang w:val="en-GB"/>
        </w:rPr>
        <w:t>in vivo</w:t>
      </w:r>
      <w:r>
        <w:rPr>
          <w:rFonts w:ascii="Times New Roman" w:hAnsi="Times New Roman" w:cs="Times New Roman"/>
          <w:sz w:val="24"/>
          <w:szCs w:val="24"/>
          <w:lang w:val="en-GB"/>
        </w:rPr>
        <w:t xml:space="preserve"> studies, or with other CpG ODNs nor the excipients, a risk of anaphylaxis remains possible with a SC injection of oligonucleotides. However, during this first in human (FIH) trial, the clinical site has the appropriate equipment and the site staff well trained to treat acute hypersensitivity reactions, e.g., with epinephrine/noradrenalin, antihistamines, intravenous glucocorticoids, volume expanders and/or vasopressors.</w:t>
      </w:r>
    </w:p>
    <w:p w14:paraId="495458EC" w14:textId="77777777" w:rsidR="005E785F" w:rsidRDefault="003621E8">
      <w:pPr>
        <w:pStyle w:val="BodyTextFull"/>
        <w:numPr>
          <w:ilvl w:val="0"/>
          <w:numId w:val="72"/>
        </w:numPr>
        <w:rPr>
          <w:rFonts w:ascii="Times New Roman" w:hAnsi="Times New Roman" w:cs="Times New Roman"/>
          <w:sz w:val="24"/>
          <w:szCs w:val="24"/>
          <w:lang w:val="en-GB"/>
        </w:rPr>
      </w:pPr>
      <w:r>
        <w:rPr>
          <w:rFonts w:ascii="Times New Roman" w:hAnsi="Times New Roman" w:cs="Times New Roman"/>
          <w:sz w:val="24"/>
          <w:szCs w:val="24"/>
          <w:lang w:val="en-GB"/>
        </w:rPr>
        <w:lastRenderedPageBreak/>
        <w:t>Other safety parameters will be monitored during the study.</w:t>
      </w:r>
    </w:p>
    <w:p w14:paraId="3976B254" w14:textId="7159D5FC" w:rsidR="005E785F" w:rsidRDefault="003621E8">
      <w:pPr>
        <w:pStyle w:val="BodyTextFull"/>
        <w:numPr>
          <w:ilvl w:val="1"/>
          <w:numId w:val="72"/>
        </w:numPr>
        <w:rPr>
          <w:rFonts w:ascii="Times New Roman" w:hAnsi="Times New Roman" w:cs="Times New Roman"/>
          <w:sz w:val="24"/>
          <w:szCs w:val="24"/>
          <w:lang w:val="en-GB"/>
        </w:rPr>
      </w:pPr>
      <w:r>
        <w:rPr>
          <w:rFonts w:ascii="Times New Roman" w:hAnsi="Times New Roman" w:cs="Times New Roman"/>
          <w:sz w:val="24"/>
          <w:szCs w:val="24"/>
          <w:lang w:val="en-GB"/>
        </w:rPr>
        <w:t xml:space="preserve">As a precaution, electrocardiogram (ECG) parameters will be carefully monitored to identify any possible prolongation of the QTc interval in healthy volunteers. </w:t>
      </w:r>
    </w:p>
    <w:p w14:paraId="45CBF3BA" w14:textId="77777777" w:rsidR="005E785F" w:rsidRDefault="003621E8">
      <w:pPr>
        <w:pStyle w:val="BodyTextFull"/>
        <w:numPr>
          <w:ilvl w:val="1"/>
          <w:numId w:val="72"/>
        </w:numPr>
        <w:rPr>
          <w:rFonts w:ascii="Times New Roman" w:hAnsi="Times New Roman" w:cs="Times New Roman"/>
          <w:sz w:val="24"/>
          <w:szCs w:val="24"/>
          <w:lang w:val="en-GB"/>
        </w:rPr>
      </w:pPr>
      <w:r>
        <w:rPr>
          <w:rFonts w:ascii="Times New Roman" w:hAnsi="Times New Roman" w:cs="Times New Roman"/>
          <w:sz w:val="24"/>
          <w:szCs w:val="24"/>
          <w:lang w:val="en-GB"/>
        </w:rPr>
        <w:t xml:space="preserve">Slight changes in monocytes, neutrophils and eosinophil counts were observed in pre-clinical studies which will be monitored during the study. </w:t>
      </w:r>
    </w:p>
    <w:p w14:paraId="0B67B5D4" w14:textId="61517060" w:rsidR="005E785F" w:rsidRDefault="003621E8">
      <w:pPr>
        <w:pStyle w:val="BodyTextFull"/>
        <w:numPr>
          <w:ilvl w:val="1"/>
          <w:numId w:val="72"/>
        </w:numPr>
        <w:rPr>
          <w:rFonts w:ascii="Times New Roman" w:hAnsi="Times New Roman" w:cs="Times New Roman"/>
          <w:sz w:val="24"/>
          <w:szCs w:val="24"/>
          <w:lang w:val="en-GB"/>
        </w:rPr>
      </w:pPr>
      <w:r>
        <w:rPr>
          <w:rFonts w:ascii="Times New Roman" w:hAnsi="Times New Roman" w:cs="Times New Roman"/>
          <w:sz w:val="24"/>
          <w:szCs w:val="24"/>
        </w:rPr>
        <w:t>No changes in blood chemistry including CRP, body weight, or temperature were observed in pre-clinical studies. These will be monitored as a standard assessment in the study with special attention to CRP in the scope of CRS occurrence monitoring.</w:t>
      </w:r>
    </w:p>
    <w:p w14:paraId="5C1A40E0" w14:textId="36A54F19" w:rsidR="005E785F" w:rsidRDefault="003621E8">
      <w:pPr>
        <w:pStyle w:val="BodyTextFull"/>
        <w:numPr>
          <w:ilvl w:val="1"/>
          <w:numId w:val="72"/>
        </w:numPr>
        <w:rPr>
          <w:rFonts w:ascii="Times New Roman" w:hAnsi="Times New Roman" w:cs="Times New Roman"/>
          <w:sz w:val="24"/>
          <w:szCs w:val="24"/>
          <w:lang w:val="en-GB"/>
        </w:rPr>
      </w:pPr>
      <w:r>
        <w:rPr>
          <w:rFonts w:ascii="Times New Roman" w:hAnsi="Times New Roman" w:cs="Times New Roman"/>
          <w:sz w:val="24"/>
          <w:szCs w:val="24"/>
        </w:rPr>
        <w:t xml:space="preserve">No changes in coagulation parameters were observed in pre-clinical studies with CpG ODN D35. However, a low incidence of complement activation (relative to the alternative pathway) and some drug concentration-dependent prolongation of activated partial thromboplastin time (aPTT) have been noted after systemic administration of other CpG ODNs. Coagulation parameters, including aPTT, will be monitored as a standard assessment in the study, and complement evaluation will be triggered in case of fever above 38.5°C  (see </w:t>
      </w:r>
      <w:r>
        <w:rPr>
          <w:rFonts w:ascii="Times New Roman" w:hAnsi="Times New Roman" w:cs="Times New Roman"/>
          <w:color w:val="0000FF"/>
          <w:sz w:val="24"/>
          <w:szCs w:val="24"/>
        </w:rPr>
        <w:t xml:space="preserve">Section </w:t>
      </w:r>
      <w:r>
        <w:rPr>
          <w:rFonts w:ascii="Times New Roman" w:hAnsi="Times New Roman" w:cs="Times New Roman"/>
          <w:color w:val="0000FF"/>
          <w:sz w:val="24"/>
          <w:szCs w:val="24"/>
        </w:rPr>
        <w:fldChar w:fldCharType="begin"/>
      </w:r>
      <w:r>
        <w:rPr>
          <w:rFonts w:ascii="Times New Roman" w:hAnsi="Times New Roman" w:cs="Times New Roman"/>
          <w:color w:val="0000FF"/>
          <w:sz w:val="24"/>
          <w:szCs w:val="24"/>
        </w:rPr>
        <w:instrText xml:space="preserve"> REF _Ref67038618 \r \h </w:instrText>
      </w:r>
      <w:r>
        <w:rPr>
          <w:rFonts w:ascii="Times New Roman" w:hAnsi="Times New Roman" w:cs="Times New Roman"/>
          <w:color w:val="0000FF"/>
          <w:sz w:val="24"/>
          <w:szCs w:val="24"/>
        </w:rPr>
      </w:r>
      <w:r>
        <w:rPr>
          <w:rFonts w:ascii="Times New Roman" w:hAnsi="Times New Roman" w:cs="Times New Roman"/>
          <w:color w:val="0000FF"/>
          <w:sz w:val="24"/>
          <w:szCs w:val="24"/>
        </w:rPr>
        <w:fldChar w:fldCharType="separate"/>
      </w:r>
      <w:r>
        <w:rPr>
          <w:rFonts w:ascii="Times New Roman" w:hAnsi="Times New Roman" w:cs="Times New Roman"/>
          <w:color w:val="0000FF"/>
          <w:sz w:val="24"/>
          <w:szCs w:val="24"/>
        </w:rPr>
        <w:t>10.6.11</w:t>
      </w:r>
      <w:r>
        <w:rPr>
          <w:rFonts w:ascii="Times New Roman" w:hAnsi="Times New Roman" w:cs="Times New Roman"/>
          <w:color w:val="0000FF"/>
          <w:sz w:val="24"/>
          <w:szCs w:val="24"/>
        </w:rPr>
        <w:fldChar w:fldCharType="end"/>
      </w:r>
      <w:r>
        <w:rPr>
          <w:rFonts w:ascii="Times New Roman" w:hAnsi="Times New Roman" w:cs="Times New Roman"/>
          <w:sz w:val="24"/>
          <w:szCs w:val="24"/>
        </w:rPr>
        <w:t>).</w:t>
      </w:r>
      <w:r>
        <w:rPr>
          <w:rFonts w:cs="Arial"/>
          <w:szCs w:val="22"/>
        </w:rPr>
        <w:t xml:space="preserve"> </w:t>
      </w:r>
    </w:p>
    <w:p w14:paraId="01EE7E5A" w14:textId="14069CFF" w:rsidR="005E785F" w:rsidRDefault="003621E8" w:rsidP="00A529B5">
      <w:pPr>
        <w:pStyle w:val="Heading2"/>
      </w:pPr>
      <w:bookmarkStart w:id="64" w:name="_Toc74904352"/>
      <w:r>
        <w:t>Coronavirus Disease 2019 (COVID-19) Risk/Benefit Assessment</w:t>
      </w:r>
      <w:bookmarkEnd w:id="63"/>
      <w:bookmarkEnd w:id="64"/>
    </w:p>
    <w:p w14:paraId="3571F50C" w14:textId="24BFC329" w:rsidR="005E785F" w:rsidRDefault="003621E8">
      <w:pPr>
        <w:spacing w:before="120" w:after="120" w:line="280" w:lineRule="atLeast"/>
        <w:jc w:val="both"/>
        <w:rPr>
          <w:rFonts w:cs="Times New Roman"/>
          <w:lang w:val="en-GB"/>
        </w:rPr>
      </w:pPr>
      <w:r>
        <w:rPr>
          <w:rFonts w:cs="Times New Roman"/>
          <w:lang w:val="en-GB"/>
        </w:rPr>
        <w:t>This study is to be conducted in healthy adult participants who are deemed to not be at higher risk of COVID-19 as per National Health Service (NHS) Guidance (</w:t>
      </w:r>
      <w:hyperlink r:id="rId16" w:history="1">
        <w:r>
          <w:rPr>
            <w:rFonts w:cs="Times New Roman"/>
            <w:color w:val="0000FF"/>
            <w:u w:val="single"/>
            <w:lang w:val="en-GB"/>
          </w:rPr>
          <w:t>https://www.nhs.uk/conditions/coronavirus-covid-19/people-at-higher-risk/whos-at-higher-risk-from-coronavirus/</w:t>
        </w:r>
      </w:hyperlink>
      <w:r>
        <w:rPr>
          <w:rFonts w:cs="Times New Roman"/>
          <w:lang w:val="en-GB"/>
        </w:rPr>
        <w:t>).</w:t>
      </w:r>
    </w:p>
    <w:p w14:paraId="6FD2A999" w14:textId="7ED83E6E" w:rsidR="005E785F" w:rsidRDefault="003621E8">
      <w:pPr>
        <w:spacing w:before="120" w:after="120" w:line="280" w:lineRule="atLeast"/>
        <w:jc w:val="both"/>
        <w:rPr>
          <w:rFonts w:cs="Times New Roman"/>
          <w:color w:val="0B0C0C"/>
          <w:szCs w:val="24"/>
          <w:shd w:val="clear" w:color="auto" w:fill="FFFFFF"/>
          <w:lang w:val="en-GB"/>
        </w:rPr>
      </w:pPr>
      <w:r>
        <w:rPr>
          <w:rFonts w:cs="Times New Roman"/>
          <w:lang w:val="en-GB"/>
        </w:rPr>
        <w:t xml:space="preserve">The safety of the participant is the primary concern; this study is to be conducted at Simbec-Orion Clinical Pharmacology Unit which is a Phase I accredited unit with extensive experience in conducting Phase I trials of similar design. Simbec-Orion prioritise the health and wellbeing of their clinical trial participants and, as such, have implemented a number of COVID-19 policies and risk mitigating actions. Prior to attendance at site, participants will be contacted to ensure they are not displaying any COVID-19 symptoms; site COVID-19 policies will be explained to them at this time. Where appropriate, </w:t>
      </w:r>
      <w:r w:rsidR="00B62215">
        <w:rPr>
          <w:rFonts w:cs="Times New Roman"/>
          <w:lang w:val="en-GB"/>
        </w:rPr>
        <w:t>P</w:t>
      </w:r>
      <w:r>
        <w:rPr>
          <w:rFonts w:cs="Times New Roman"/>
          <w:lang w:val="en-GB"/>
        </w:rPr>
        <w:t xml:space="preserve">erspex screens are in place and appropriate social distancing is enforced. Where this is not possible, appropriate personal protective equipment (PPE) will be worn. </w:t>
      </w:r>
    </w:p>
    <w:p w14:paraId="7FC1340F" w14:textId="77777777" w:rsidR="005E785F" w:rsidRDefault="003621E8">
      <w:pPr>
        <w:spacing w:before="120" w:after="120" w:line="280" w:lineRule="atLeast"/>
        <w:jc w:val="both"/>
        <w:rPr>
          <w:rFonts w:cs="Times New Roman"/>
          <w:lang w:val="en-GB"/>
        </w:rPr>
      </w:pPr>
      <w:r>
        <w:rPr>
          <w:rFonts w:cs="Times New Roman"/>
          <w:color w:val="0B0C0C"/>
          <w:szCs w:val="24"/>
          <w:shd w:val="clear" w:color="auto" w:fill="FFFFFF"/>
          <w:lang w:val="en-GB"/>
        </w:rPr>
        <w:t xml:space="preserve">Simbec-Orion Clinical Pharmacology unit is a dedicated trial facility and, as such, staffing levels will not be affected by the potential burden presented by COVID-19 to other medical facilities. </w:t>
      </w:r>
      <w:r>
        <w:rPr>
          <w:rFonts w:cs="Times New Roman"/>
          <w:lang w:val="en-GB"/>
        </w:rPr>
        <w:t xml:space="preserve">All employees present at the clinical site are aware of the COVID-19 specific working requirements and will work to the relevant ‘Working Safely’ Policy.  </w:t>
      </w:r>
      <w:r>
        <w:rPr>
          <w:rFonts w:cs="Times New Roman"/>
          <w:color w:val="0B0C0C"/>
          <w:szCs w:val="24"/>
          <w:shd w:val="clear" w:color="auto" w:fill="FFFFFF"/>
          <w:lang w:val="en-GB"/>
        </w:rPr>
        <w:t xml:space="preserve"> </w:t>
      </w:r>
    </w:p>
    <w:p w14:paraId="2AF49230" w14:textId="7D44C5C0" w:rsidR="005E785F" w:rsidRDefault="003621E8">
      <w:pPr>
        <w:spacing w:before="120" w:after="120" w:line="280" w:lineRule="atLeast"/>
        <w:jc w:val="both"/>
        <w:rPr>
          <w:rFonts w:cs="Times New Roman"/>
          <w:lang w:val="en-GB"/>
        </w:rPr>
      </w:pPr>
      <w:r>
        <w:rPr>
          <w:rFonts w:cs="Times New Roman"/>
          <w:lang w:val="en-GB"/>
        </w:rPr>
        <w:t xml:space="preserve">Medicines and Healthcare products Regulatory Agency (MHRA) Phase I Accreditation requirement No. 3 details the requirement for an agreement with a local hospital for supporting emergencies arising from the clinical trials performed by Simbec-Orion. This agreement is in place with Cwm Taf University Health Board and Prince Charles Hospital (PCH) for this purpose. Cwm Taf University Health Board and PCH have confirmed capacity to support any </w:t>
      </w:r>
      <w:r>
        <w:rPr>
          <w:rFonts w:cs="Times New Roman"/>
          <w:lang w:val="en-GB"/>
        </w:rPr>
        <w:lastRenderedPageBreak/>
        <w:t>acute serious AEs (SAEs) during the COVID-19 pandemic (details contained within Simbec-Orion Clinical General Risk Assessment).</w:t>
      </w:r>
    </w:p>
    <w:p w14:paraId="31A81EA7" w14:textId="44D2A56E" w:rsidR="005E785F" w:rsidRDefault="003621E8">
      <w:pPr>
        <w:spacing w:before="120" w:after="120" w:line="280" w:lineRule="atLeast"/>
        <w:jc w:val="both"/>
        <w:rPr>
          <w:rFonts w:cs="Times New Roman"/>
          <w:lang w:val="en-GB"/>
        </w:rPr>
      </w:pPr>
      <w:r>
        <w:rPr>
          <w:rFonts w:cs="Times New Roman"/>
          <w:szCs w:val="24"/>
          <w:lang w:val="en-GB"/>
        </w:rPr>
        <w:t xml:space="preserve">The investigational medicinal product (IMP) is not an </w:t>
      </w:r>
      <w:r>
        <w:rPr>
          <w:lang w:val="en-GB"/>
        </w:rPr>
        <w:t xml:space="preserve">immunosuppressant. There is no scientific evidence that CpG ODN D35 increases a participant’s susceptibility to COVID-19 or will exacerbate a participant’s condition should they contract COVID-19. In addition, all participants will remain in-house for the duration of the study under the medical supervision of the PI throughout.  </w:t>
      </w:r>
    </w:p>
    <w:p w14:paraId="145AF9F8" w14:textId="77777777" w:rsidR="005E785F" w:rsidRDefault="003621E8">
      <w:pPr>
        <w:spacing w:before="120" w:after="120" w:line="280" w:lineRule="atLeast"/>
        <w:jc w:val="both"/>
        <w:rPr>
          <w:rFonts w:cs="Times New Roman"/>
          <w:lang w:val="en-GB"/>
        </w:rPr>
      </w:pPr>
      <w:r>
        <w:rPr>
          <w:lang w:val="en-GB"/>
        </w:rPr>
        <w:t xml:space="preserve">Both the Study and Site Risk Assessments will be continually monitored and updated throughout the trial and it is currently deemed acceptable to conduct the trial without it impacting or being impacted by the COVID-19 pandemic. </w:t>
      </w:r>
    </w:p>
    <w:p w14:paraId="7474E630" w14:textId="60213FD4" w:rsidR="005E785F" w:rsidRDefault="003621E8">
      <w:pPr>
        <w:spacing w:before="120" w:after="120" w:line="280" w:lineRule="atLeast"/>
        <w:jc w:val="both"/>
        <w:rPr>
          <w:rFonts w:cs="Times New Roman"/>
          <w:lang w:val="en-GB"/>
        </w:rPr>
      </w:pPr>
      <w:bookmarkStart w:id="65" w:name="_Hlk66118655"/>
      <w:r>
        <w:rPr>
          <w:rFonts w:cs="Times New Roman"/>
          <w:szCs w:val="24"/>
        </w:rPr>
        <w:t>In addition, the Sponsor has conducted a risk assessment in consideration of the ongoing COVID-19 vaccine deployment programme including assessment of the potential risks associated with concomitant vaccination whilst participating in this trial.</w:t>
      </w:r>
    </w:p>
    <w:p w14:paraId="43AFA80A" w14:textId="776EDC8B" w:rsidR="005E785F" w:rsidRDefault="003621E8">
      <w:pPr>
        <w:spacing w:before="120" w:after="120" w:line="280" w:lineRule="atLeast"/>
        <w:jc w:val="both"/>
        <w:rPr>
          <w:rFonts w:cs="Times New Roman"/>
          <w:lang w:val="en-GB"/>
        </w:rPr>
      </w:pPr>
      <w:r>
        <w:rPr>
          <w:rFonts w:cs="Times New Roman"/>
          <w:szCs w:val="24"/>
        </w:rPr>
        <w:t>The Sponsor has determined that the outcome of the risk assessment, undertaken in conjunction with the study team, is as follows: Knowledge on the IMP is currently insufficient to assess the potential impact of IMP on the efficacy of COVID-19 vaccination or to assess the impact of COVID vaccination on IMP safety. If given concomitantly, it could possibly be difficult to discriminate if the AEs observed during the study are due to the IMP or due to COVID-19 vaccine. In addition, the study participants are young healthy volunteers, by definition without any co-morbidity, and are in consequence, in a category of subjects without any immediate risk of developing a severe form of COVID-19, and not considered the top priority for the UK vaccine campaign. Therefore, participants will not be permitted to have their COVID-19 vaccine injections whilst in the study (from 28 days prior to dosing until 28 days post-dose). Participants will be informed that if they are invited to receive a COVID-19 vaccination during the study and wish to receive the vaccine that they will be withdrawn from participation in the study. The Investigator will check that any participants who may have a pre-booked appointment for a COVID-19 vaccination, are not in breach of this requirement.</w:t>
      </w:r>
      <w:bookmarkEnd w:id="65"/>
    </w:p>
    <w:p w14:paraId="44CE50FD" w14:textId="1370B8AE" w:rsidR="005E785F" w:rsidRDefault="003621E8">
      <w:pPr>
        <w:jc w:val="both"/>
        <w:rPr>
          <w:lang w:val="en-GB"/>
        </w:rPr>
      </w:pPr>
      <w:r>
        <w:br w:type="page"/>
      </w:r>
    </w:p>
    <w:p w14:paraId="11D62EDD" w14:textId="552EE7AE" w:rsidR="005E785F" w:rsidRDefault="003621E8">
      <w:pPr>
        <w:pStyle w:val="Heading1"/>
      </w:pPr>
      <w:bookmarkStart w:id="66" w:name="_Toc389020821"/>
      <w:bookmarkStart w:id="67" w:name="_Toc74904353"/>
      <w:bookmarkStart w:id="68" w:name="_Hlk4581065"/>
      <w:bookmarkEnd w:id="39"/>
      <w:r>
        <w:lastRenderedPageBreak/>
        <w:t>STUDY OBJECTIVE</w:t>
      </w:r>
      <w:bookmarkEnd w:id="66"/>
      <w:r>
        <w:t>S</w:t>
      </w:r>
      <w:bookmarkStart w:id="69" w:name="_Toc7521719"/>
      <w:bookmarkEnd w:id="67"/>
    </w:p>
    <w:p w14:paraId="60D08C68" w14:textId="64E3A173" w:rsidR="005E785F" w:rsidRDefault="003621E8">
      <w:pPr>
        <w:pStyle w:val="Heading2"/>
      </w:pPr>
      <w:bookmarkStart w:id="70" w:name="_Toc74904354"/>
      <w:r>
        <w:t>Primary Objective</w:t>
      </w:r>
      <w:bookmarkEnd w:id="70"/>
    </w:p>
    <w:p w14:paraId="3BA74D7E" w14:textId="2BDE9370" w:rsidR="005E785F" w:rsidRDefault="003621E8">
      <w:pPr>
        <w:pStyle w:val="ListParagraph"/>
        <w:numPr>
          <w:ilvl w:val="0"/>
          <w:numId w:val="40"/>
        </w:numPr>
        <w:jc w:val="both"/>
        <w:rPr>
          <w:lang w:val="en-GB"/>
        </w:rPr>
      </w:pPr>
      <w:r>
        <w:rPr>
          <w:lang w:val="en-GB"/>
        </w:rPr>
        <w:t>To assess the safety and tolerability of a single subcutaneous dose of CpG ODN D35 in healthy male subjects.</w:t>
      </w:r>
    </w:p>
    <w:p w14:paraId="1C54C134" w14:textId="77777777" w:rsidR="005E785F" w:rsidRDefault="003621E8">
      <w:pPr>
        <w:pStyle w:val="Heading2"/>
      </w:pPr>
      <w:bookmarkStart w:id="71" w:name="_Toc74904355"/>
      <w:r>
        <w:t>Secondary Objectives</w:t>
      </w:r>
      <w:bookmarkEnd w:id="71"/>
    </w:p>
    <w:p w14:paraId="7A84A6FA" w14:textId="40FB2F9A" w:rsidR="005E785F" w:rsidRDefault="003621E8">
      <w:pPr>
        <w:pStyle w:val="ListParagraph"/>
        <w:numPr>
          <w:ilvl w:val="0"/>
          <w:numId w:val="40"/>
        </w:numPr>
        <w:jc w:val="both"/>
        <w:rPr>
          <w:lang w:val="en-GB"/>
        </w:rPr>
      </w:pPr>
      <w:r>
        <w:rPr>
          <w:lang w:val="en-GB"/>
        </w:rPr>
        <w:t xml:space="preserve">To determine PK parameters of CpG ODN D35 in plasma after single subcutaneous dose in healthy male subjects. </w:t>
      </w:r>
    </w:p>
    <w:p w14:paraId="4E06C2C6" w14:textId="46D4A139" w:rsidR="005E785F" w:rsidRDefault="003621E8">
      <w:pPr>
        <w:pStyle w:val="Heading2"/>
      </w:pPr>
      <w:bookmarkStart w:id="72" w:name="_Toc74904356"/>
      <w:r>
        <w:t>PD and Exploratory Objectives</w:t>
      </w:r>
      <w:bookmarkEnd w:id="72"/>
    </w:p>
    <w:p w14:paraId="0B9969EF" w14:textId="6BAED3B5" w:rsidR="005E785F" w:rsidRDefault="003621E8">
      <w:pPr>
        <w:pStyle w:val="ListParagraph"/>
        <w:numPr>
          <w:ilvl w:val="0"/>
          <w:numId w:val="40"/>
        </w:numPr>
        <w:jc w:val="both"/>
        <w:rPr>
          <w:lang w:val="en-GB"/>
        </w:rPr>
      </w:pPr>
      <w:r>
        <w:rPr>
          <w:rFonts w:cs="Times New Roman"/>
          <w:szCs w:val="24"/>
        </w:rPr>
        <w:t>To investigate changes from baseline levels of serum cytokine and chemokine parameters (CXCL10, IFN-γ, IL-6, optional: IFN-α, MIP1</w:t>
      </w:r>
      <w:r>
        <w:rPr>
          <w:rFonts w:cs="Times New Roman"/>
          <w:sz w:val="20"/>
        </w:rPr>
        <w:t>α</w:t>
      </w:r>
      <w:r>
        <w:rPr>
          <w:rFonts w:cs="Times New Roman"/>
          <w:szCs w:val="24"/>
        </w:rPr>
        <w:t>, IL-10, TNFα and/or other parameters) after a single subcutaneous dose of CpG ODN D35.</w:t>
      </w:r>
    </w:p>
    <w:p w14:paraId="5F947B76" w14:textId="096CA569" w:rsidR="005E785F" w:rsidRDefault="003621E8">
      <w:pPr>
        <w:pStyle w:val="ListParagraph"/>
        <w:numPr>
          <w:ilvl w:val="0"/>
          <w:numId w:val="40"/>
        </w:numPr>
        <w:jc w:val="both"/>
        <w:rPr>
          <w:lang w:val="en-GB"/>
        </w:rPr>
      </w:pPr>
      <w:r>
        <w:rPr>
          <w:lang w:val="en-GB"/>
        </w:rPr>
        <w:t>To investigate changes of mRNA markers after a single subcutaneous dose of CpG ODN D35, by exploratory analysis of cytokine and chemokine gene expression.</w:t>
      </w:r>
    </w:p>
    <w:p w14:paraId="382592A4" w14:textId="1EB93D43" w:rsidR="005E785F" w:rsidRDefault="003621E8">
      <w:pPr>
        <w:pStyle w:val="ListParagraph"/>
        <w:numPr>
          <w:ilvl w:val="0"/>
          <w:numId w:val="40"/>
        </w:numPr>
        <w:jc w:val="both"/>
        <w:rPr>
          <w:lang w:val="en-GB"/>
        </w:rPr>
      </w:pPr>
      <w:r>
        <w:rPr>
          <w:rFonts w:cs="Times New Roman"/>
          <w:szCs w:val="24"/>
        </w:rPr>
        <w:t>To investigate immunological markers in PBMC isolate (for example, CXCL10, Mx1, CD80, OAS1, IRF7, IFI1 and/or other parameters).</w:t>
      </w:r>
    </w:p>
    <w:bookmarkEnd w:id="68"/>
    <w:bookmarkEnd w:id="69"/>
    <w:p w14:paraId="73FB1F5A" w14:textId="493E2D66" w:rsidR="005E785F" w:rsidRDefault="003621E8">
      <w:pPr>
        <w:pStyle w:val="Heading1"/>
      </w:pPr>
      <w:r>
        <w:br w:type="page"/>
      </w:r>
      <w:bookmarkStart w:id="73" w:name="_Toc74904357"/>
      <w:r>
        <w:lastRenderedPageBreak/>
        <w:t>INVESTIGATIONAL PLAN</w:t>
      </w:r>
      <w:bookmarkEnd w:id="73"/>
    </w:p>
    <w:p w14:paraId="73FB1F5B" w14:textId="7CEF1D24" w:rsidR="005E785F" w:rsidRDefault="003621E8">
      <w:pPr>
        <w:pStyle w:val="Heading2"/>
      </w:pPr>
      <w:bookmarkStart w:id="74" w:name="_Toc74904358"/>
      <w:r>
        <w:t>Overall Study Design and Plan</w:t>
      </w:r>
      <w:bookmarkEnd w:id="74"/>
    </w:p>
    <w:p w14:paraId="498EE025" w14:textId="57B5D40F" w:rsidR="005E785F" w:rsidRDefault="003621E8">
      <w:pPr>
        <w:pStyle w:val="ExampleText"/>
        <w:spacing w:before="120" w:after="120"/>
        <w:rPr>
          <w:rFonts w:ascii="Times New Roman" w:hAnsi="Times New Roman"/>
          <w:i w:val="0"/>
          <w:color w:val="000000"/>
          <w:sz w:val="24"/>
          <w:szCs w:val="24"/>
          <w:lang w:val="en-US"/>
        </w:rPr>
      </w:pPr>
      <w:r>
        <w:rPr>
          <w:rFonts w:ascii="Times New Roman" w:hAnsi="Times New Roman"/>
          <w:i w:val="0"/>
          <w:color w:val="000000"/>
          <w:sz w:val="24"/>
          <w:szCs w:val="24"/>
          <w:lang w:val="en-US"/>
        </w:rPr>
        <w:t xml:space="preserve">The study is a Phase 1 single centre, double-blind, randomised, placebo-controlled, parallel-group, single ascending dose study of CpG ODN D35 administered subcutaneously in healthy male subjects aged between 18 and 50 years. </w:t>
      </w:r>
    </w:p>
    <w:p w14:paraId="4AF9E840" w14:textId="0709B2DC" w:rsidR="005E785F" w:rsidRDefault="003621E8">
      <w:pPr>
        <w:pStyle w:val="BodyText"/>
        <w:rPr>
          <w:szCs w:val="24"/>
          <w:lang w:val="en-US"/>
        </w:rPr>
      </w:pPr>
      <w:r>
        <w:rPr>
          <w:szCs w:val="24"/>
        </w:rPr>
        <w:t>The study will consist of up to 4 cohorts of 8 male subjects (cohort 4 is optional). Subjects will be randomly assigned to receive a single SC dose of CpG ODN D35 (6 subjects) or placebo (2 subjects) in a sequential escalating manner.</w:t>
      </w:r>
    </w:p>
    <w:p w14:paraId="0929C322" w14:textId="1A1F5939" w:rsidR="005E785F" w:rsidRDefault="003621E8">
      <w:pPr>
        <w:pStyle w:val="BodyText"/>
        <w:rPr>
          <w:szCs w:val="24"/>
          <w:lang w:val="en-US"/>
        </w:rPr>
      </w:pPr>
      <w:r>
        <w:rPr>
          <w:szCs w:val="24"/>
          <w:lang w:val="en-US"/>
        </w:rPr>
        <w:t xml:space="preserve">Each cohort will follow a sentinel dose escalation schedule. </w:t>
      </w:r>
    </w:p>
    <w:p w14:paraId="704FADFF" w14:textId="032FA173" w:rsidR="005E785F" w:rsidRDefault="003621E8">
      <w:pPr>
        <w:pStyle w:val="BodyText"/>
        <w:numPr>
          <w:ilvl w:val="0"/>
          <w:numId w:val="37"/>
        </w:numPr>
        <w:rPr>
          <w:szCs w:val="24"/>
          <w:lang w:val="en-US"/>
        </w:rPr>
      </w:pPr>
      <w:r>
        <w:rPr>
          <w:szCs w:val="24"/>
        </w:rPr>
        <w:t xml:space="preserve">Two (2) subjects will be dosed in each sentinel group (1 subject on active IMP and 1 subject on placebo). </w:t>
      </w:r>
      <w:bookmarkStart w:id="75" w:name="_Hlk66890208"/>
      <w:r>
        <w:rPr>
          <w:szCs w:val="24"/>
        </w:rPr>
        <w:t>This design allows maintenance of the “blind”.</w:t>
      </w:r>
      <w:bookmarkEnd w:id="75"/>
    </w:p>
    <w:p w14:paraId="3BD30C2B" w14:textId="2CFCC276" w:rsidR="005E785F" w:rsidRDefault="003621E8">
      <w:pPr>
        <w:pStyle w:val="BodyText"/>
        <w:numPr>
          <w:ilvl w:val="0"/>
          <w:numId w:val="37"/>
        </w:numPr>
        <w:rPr>
          <w:szCs w:val="24"/>
          <w:lang w:val="en-US"/>
        </w:rPr>
      </w:pPr>
      <w:r>
        <w:rPr>
          <w:szCs w:val="24"/>
        </w:rPr>
        <w:t xml:space="preserve">The 6 remaining subjects will be randomized and split into two sub-groups with 3 subjects in each sub-group. The decision to proceed with the administration of the first sub-group of 3 subjects will be taken by the Investigator based on clinical and biological safety data after at least a 72-hour observation period of the sentinel subjects. The 3 subjects from the second sub-group will be dosed upon  Investigator assessment after approximately a 24-hour observation period of the first subject of the first sub-group.  </w:t>
      </w:r>
    </w:p>
    <w:p w14:paraId="64FD6F27" w14:textId="0A62B6C7" w:rsidR="005E785F" w:rsidRDefault="003621E8">
      <w:pPr>
        <w:pStyle w:val="BodyText"/>
        <w:numPr>
          <w:ilvl w:val="0"/>
          <w:numId w:val="37"/>
        </w:numPr>
        <w:rPr>
          <w:szCs w:val="24"/>
          <w:lang w:val="en-US"/>
        </w:rPr>
      </w:pPr>
      <w:r>
        <w:rPr>
          <w:szCs w:val="24"/>
          <w:lang w:val="en-US"/>
        </w:rPr>
        <w:t>At the end of each dose level, an interim safety report will be issued by the Investigator, for review by the SRC. No more than 3 subjects will be administered CpG ODN D35 on each day. A minimum interval of 30 minutes between dosing of any 2 subjects will be ensured (not required for sentinels).</w:t>
      </w:r>
    </w:p>
    <w:p w14:paraId="42D2FCA5" w14:textId="287CB2AB" w:rsidR="005E785F" w:rsidRDefault="003621E8">
      <w:pPr>
        <w:pStyle w:val="C-BodyText"/>
        <w:spacing w:line="240" w:lineRule="auto"/>
        <w:jc w:val="both"/>
        <w:rPr>
          <w:color w:val="0000FF"/>
          <w:szCs w:val="24"/>
        </w:rPr>
      </w:pPr>
      <w:r>
        <w:rPr>
          <w:szCs w:val="24"/>
        </w:rPr>
        <w:t xml:space="preserve">Each cohort will follow a Screening Period, Treatment Period and Post Study Follow-up visit (approximately 6 weeks for each individual, from the screening to post study follow-up). The study sequence is presented in </w:t>
      </w:r>
      <w:r>
        <w:rPr>
          <w:bCs/>
          <w:color w:val="0000FF"/>
          <w:szCs w:val="24"/>
          <w:lang w:val="en-GB"/>
        </w:rPr>
        <w:fldChar w:fldCharType="begin"/>
      </w:r>
      <w:r>
        <w:rPr>
          <w:bCs/>
          <w:color w:val="0000FF"/>
          <w:szCs w:val="24"/>
          <w:lang w:val="en-GB"/>
        </w:rPr>
        <w:instrText xml:space="preserve"> REF _Ref51666733 \h  \* MERGEFORMAT </w:instrText>
      </w:r>
      <w:r>
        <w:rPr>
          <w:bCs/>
          <w:color w:val="0000FF"/>
          <w:szCs w:val="24"/>
          <w:lang w:val="en-GB"/>
        </w:rPr>
      </w:r>
      <w:r>
        <w:rPr>
          <w:bCs/>
          <w:color w:val="0000FF"/>
          <w:szCs w:val="24"/>
          <w:lang w:val="en-GB"/>
        </w:rPr>
        <w:fldChar w:fldCharType="separate"/>
      </w:r>
      <w:r>
        <w:rPr>
          <w:color w:val="0000FF"/>
          <w:szCs w:val="24"/>
          <w:lang w:val="en-GB"/>
        </w:rPr>
        <w:t>Figure 1</w:t>
      </w:r>
      <w:r>
        <w:rPr>
          <w:bCs/>
          <w:color w:val="0000FF"/>
          <w:szCs w:val="24"/>
          <w:lang w:val="en-GB"/>
        </w:rPr>
        <w:fldChar w:fldCharType="end"/>
      </w:r>
      <w:r>
        <w:rPr>
          <w:color w:val="0000FF"/>
          <w:szCs w:val="24"/>
        </w:rPr>
        <w:t>.</w:t>
      </w:r>
    </w:p>
    <w:p w14:paraId="04F64FF1" w14:textId="77777777" w:rsidR="005E785F" w:rsidRDefault="003621E8">
      <w:pPr>
        <w:keepNext/>
        <w:spacing w:before="120" w:after="120" w:line="280" w:lineRule="atLeast"/>
        <w:ind w:left="1440" w:hanging="1440"/>
        <w:rPr>
          <w:rFonts w:cs="Times New Roman"/>
          <w:b/>
          <w:bCs/>
          <w:sz w:val="20"/>
        </w:rPr>
      </w:pPr>
      <w:bookmarkStart w:id="76" w:name="_Ref66992877"/>
      <w:bookmarkStart w:id="77" w:name="_Ref299023663"/>
      <w:bookmarkStart w:id="78" w:name="_Toc534971678"/>
      <w:r>
        <w:rPr>
          <w:rFonts w:cs="Times New Roman"/>
          <w:b/>
          <w:bCs/>
          <w:szCs w:val="24"/>
        </w:rPr>
        <w:lastRenderedPageBreak/>
        <w:t xml:space="preserve">Figure </w:t>
      </w:r>
      <w:r>
        <w:rPr>
          <w:rFonts w:cs="Times New Roman"/>
          <w:b/>
          <w:bCs/>
          <w:szCs w:val="24"/>
        </w:rPr>
        <w:fldChar w:fldCharType="begin"/>
      </w:r>
      <w:r>
        <w:rPr>
          <w:rFonts w:cs="Times New Roman"/>
          <w:b/>
          <w:bCs/>
          <w:szCs w:val="24"/>
        </w:rPr>
        <w:instrText xml:space="preserve"> SEQ Figure \* ARABIC </w:instrText>
      </w:r>
      <w:r>
        <w:rPr>
          <w:rFonts w:cs="Times New Roman"/>
          <w:b/>
          <w:bCs/>
          <w:szCs w:val="24"/>
        </w:rPr>
        <w:fldChar w:fldCharType="separate"/>
      </w:r>
      <w:r>
        <w:rPr>
          <w:rFonts w:cs="Times New Roman"/>
          <w:b/>
          <w:bCs/>
          <w:szCs w:val="24"/>
        </w:rPr>
        <w:t>1</w:t>
      </w:r>
      <w:r>
        <w:rPr>
          <w:rFonts w:cs="Times New Roman"/>
          <w:b/>
          <w:bCs/>
          <w:szCs w:val="24"/>
        </w:rPr>
        <w:fldChar w:fldCharType="end"/>
      </w:r>
      <w:r>
        <w:rPr>
          <w:rFonts w:cs="Times New Roman"/>
          <w:b/>
          <w:bCs/>
          <w:sz w:val="20"/>
        </w:rPr>
        <w:t>:</w:t>
      </w:r>
      <w:r>
        <w:rPr>
          <w:rFonts w:cs="Times New Roman"/>
          <w:b/>
          <w:bCs/>
          <w:sz w:val="20"/>
        </w:rPr>
        <w:tab/>
        <w:t>Study Sequence</w:t>
      </w:r>
      <w:bookmarkEnd w:id="76"/>
    </w:p>
    <w:tbl>
      <w:tblPr>
        <w:tblW w:w="0" w:type="auto"/>
        <w:jc w:val="center"/>
        <w:tblLook w:val="01E0" w:firstRow="1" w:lastRow="1" w:firstColumn="1" w:lastColumn="1" w:noHBand="0" w:noVBand="0"/>
      </w:tblPr>
      <w:tblGrid>
        <w:gridCol w:w="2268"/>
      </w:tblGrid>
      <w:tr w:rsidR="005E785F" w14:paraId="25D895DC" w14:textId="77777777">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786574AA" w14:textId="77777777" w:rsidR="005E785F" w:rsidRDefault="003621E8">
            <w:pPr>
              <w:keepNext/>
              <w:jc w:val="center"/>
              <w:rPr>
                <w:rFonts w:cs="Times New Roman"/>
                <w:bCs/>
                <w:sz w:val="20"/>
                <w:lang w:val="en-GB"/>
              </w:rPr>
            </w:pPr>
            <w:r>
              <w:rPr>
                <w:rFonts w:cs="Times New Roman"/>
                <w:bCs/>
                <w:sz w:val="20"/>
                <w:lang w:val="en-GB"/>
              </w:rPr>
              <w:t>Day -28 to Day -2</w:t>
            </w:r>
          </w:p>
          <w:p w14:paraId="67398CB9" w14:textId="77777777" w:rsidR="005E785F" w:rsidRDefault="003621E8">
            <w:pPr>
              <w:keepNext/>
              <w:jc w:val="center"/>
              <w:rPr>
                <w:rFonts w:cs="Times New Roman"/>
                <w:bCs/>
                <w:sz w:val="20"/>
                <w:lang w:val="en-GB"/>
              </w:rPr>
            </w:pPr>
            <w:r>
              <w:rPr>
                <w:rFonts w:cs="Times New Roman"/>
                <w:bCs/>
                <w:sz w:val="20"/>
                <w:lang w:val="en-GB"/>
              </w:rPr>
              <w:t>Screening</w:t>
            </w:r>
          </w:p>
        </w:tc>
      </w:tr>
      <w:tr w:rsidR="005E785F" w14:paraId="0F2DDCAA" w14:textId="77777777">
        <w:trPr>
          <w:jc w:val="center"/>
        </w:trPr>
        <w:tc>
          <w:tcPr>
            <w:tcW w:w="2268" w:type="dxa"/>
            <w:tcBorders>
              <w:top w:val="single" w:sz="4" w:space="0" w:color="auto"/>
              <w:bottom w:val="single" w:sz="4" w:space="0" w:color="auto"/>
            </w:tcBorders>
            <w:vAlign w:val="center"/>
          </w:tcPr>
          <w:p w14:paraId="00F9EE0B" w14:textId="77777777" w:rsidR="005E785F" w:rsidRDefault="003621E8">
            <w:pPr>
              <w:keepNext/>
              <w:jc w:val="center"/>
              <w:rPr>
                <w:rFonts w:cs="Times New Roman"/>
                <w:bCs/>
                <w:sz w:val="20"/>
                <w:lang w:val="en-GB"/>
              </w:rPr>
            </w:pPr>
            <w:r>
              <w:rPr>
                <w:rFonts w:eastAsia="Symbol" w:cs="Times New Roman"/>
                <w:sz w:val="20"/>
                <w:lang w:val="en-GB"/>
              </w:rPr>
              <w:t>˅</w:t>
            </w:r>
          </w:p>
        </w:tc>
      </w:tr>
      <w:tr w:rsidR="005E785F" w14:paraId="24A53E73" w14:textId="77777777">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6D770FDE" w14:textId="77777777" w:rsidR="005E785F" w:rsidRDefault="003621E8">
            <w:pPr>
              <w:keepNext/>
              <w:jc w:val="center"/>
              <w:rPr>
                <w:rFonts w:cs="Times New Roman"/>
                <w:bCs/>
                <w:sz w:val="20"/>
                <w:lang w:val="en-GB"/>
              </w:rPr>
            </w:pPr>
            <w:r>
              <w:rPr>
                <w:rFonts w:cs="Times New Roman"/>
                <w:bCs/>
                <w:sz w:val="20"/>
                <w:lang w:val="en-GB"/>
              </w:rPr>
              <w:t>Day -1</w:t>
            </w:r>
          </w:p>
          <w:p w14:paraId="0BA8A024" w14:textId="77777777" w:rsidR="005E785F" w:rsidRDefault="003621E8">
            <w:pPr>
              <w:keepNext/>
              <w:jc w:val="center"/>
              <w:rPr>
                <w:rFonts w:cs="Times New Roman"/>
                <w:bCs/>
                <w:sz w:val="20"/>
                <w:lang w:val="en-GB"/>
              </w:rPr>
            </w:pPr>
            <w:r>
              <w:rPr>
                <w:rFonts w:cs="Times New Roman"/>
                <w:bCs/>
                <w:sz w:val="20"/>
                <w:lang w:val="en-GB"/>
              </w:rPr>
              <w:t>Admission</w:t>
            </w:r>
          </w:p>
          <w:p w14:paraId="5F1430E9" w14:textId="77777777" w:rsidR="005E785F" w:rsidRDefault="003621E8">
            <w:pPr>
              <w:keepNext/>
              <w:jc w:val="center"/>
              <w:rPr>
                <w:rFonts w:cs="Times New Roman"/>
                <w:bCs/>
                <w:sz w:val="20"/>
                <w:lang w:val="en-GB"/>
              </w:rPr>
            </w:pPr>
            <w:r>
              <w:rPr>
                <w:rFonts w:cs="Times New Roman"/>
                <w:bCs/>
                <w:sz w:val="20"/>
                <w:lang w:val="en-GB"/>
              </w:rPr>
              <w:t xml:space="preserve">Baseline Biology </w:t>
            </w:r>
          </w:p>
        </w:tc>
      </w:tr>
      <w:tr w:rsidR="005E785F" w14:paraId="726351B0" w14:textId="77777777">
        <w:trPr>
          <w:jc w:val="center"/>
        </w:trPr>
        <w:tc>
          <w:tcPr>
            <w:tcW w:w="2268" w:type="dxa"/>
            <w:tcBorders>
              <w:top w:val="single" w:sz="4" w:space="0" w:color="auto"/>
            </w:tcBorders>
            <w:vAlign w:val="center"/>
          </w:tcPr>
          <w:p w14:paraId="72599984" w14:textId="77777777" w:rsidR="005E785F" w:rsidRDefault="003621E8">
            <w:pPr>
              <w:keepNext/>
              <w:jc w:val="center"/>
              <w:rPr>
                <w:rFonts w:cs="Times New Roman"/>
                <w:bCs/>
                <w:sz w:val="20"/>
                <w:lang w:val="en-GB"/>
              </w:rPr>
            </w:pPr>
            <w:r>
              <w:rPr>
                <w:rFonts w:eastAsia="Symbol" w:cs="Times New Roman"/>
                <w:sz w:val="20"/>
                <w:lang w:val="en-GB"/>
              </w:rPr>
              <w:t>˅</w:t>
            </w:r>
          </w:p>
        </w:tc>
      </w:tr>
      <w:tr w:rsidR="005E785F" w14:paraId="610626B3" w14:textId="77777777">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6741CD23" w14:textId="77777777" w:rsidR="005E785F" w:rsidRDefault="003621E8">
            <w:pPr>
              <w:keepNext/>
              <w:jc w:val="center"/>
              <w:rPr>
                <w:rFonts w:cs="Times New Roman"/>
                <w:bCs/>
                <w:sz w:val="20"/>
                <w:lang w:val="en-GB"/>
              </w:rPr>
            </w:pPr>
            <w:r>
              <w:rPr>
                <w:rFonts w:cs="Times New Roman"/>
                <w:bCs/>
                <w:sz w:val="20"/>
                <w:lang w:val="en-GB"/>
              </w:rPr>
              <w:t>Day 1</w:t>
            </w:r>
          </w:p>
          <w:p w14:paraId="6267AFD3" w14:textId="77777777" w:rsidR="005E785F" w:rsidRDefault="003621E8">
            <w:pPr>
              <w:keepNext/>
              <w:jc w:val="center"/>
              <w:rPr>
                <w:rFonts w:cs="Times New Roman"/>
                <w:bCs/>
                <w:sz w:val="20"/>
                <w:lang w:val="en-GB"/>
              </w:rPr>
            </w:pPr>
            <w:r>
              <w:rPr>
                <w:rFonts w:cs="Times New Roman"/>
                <w:bCs/>
                <w:sz w:val="20"/>
                <w:lang w:val="en-GB"/>
              </w:rPr>
              <w:t>Randomisation</w:t>
            </w:r>
          </w:p>
          <w:p w14:paraId="3ED11203" w14:textId="77777777" w:rsidR="005E785F" w:rsidRDefault="003621E8">
            <w:pPr>
              <w:keepNext/>
              <w:jc w:val="center"/>
              <w:rPr>
                <w:rFonts w:cs="Times New Roman"/>
                <w:bCs/>
                <w:sz w:val="20"/>
                <w:lang w:val="en-GB"/>
              </w:rPr>
            </w:pPr>
            <w:r>
              <w:rPr>
                <w:rFonts w:cs="Times New Roman"/>
                <w:sz w:val="20"/>
                <w:lang w:val="en-GB"/>
              </w:rPr>
              <w:t>CpG ODN D35 or placebo</w:t>
            </w:r>
          </w:p>
          <w:p w14:paraId="75ACC731" w14:textId="77777777" w:rsidR="005E785F" w:rsidRDefault="003621E8">
            <w:pPr>
              <w:keepNext/>
              <w:jc w:val="center"/>
              <w:rPr>
                <w:rFonts w:cs="Times New Roman"/>
                <w:bCs/>
                <w:sz w:val="20"/>
                <w:lang w:val="en-GB"/>
              </w:rPr>
            </w:pPr>
            <w:r>
              <w:rPr>
                <w:rFonts w:cs="Times New Roman"/>
                <w:bCs/>
                <w:sz w:val="20"/>
                <w:lang w:val="en-GB"/>
              </w:rPr>
              <w:t>Dose</w:t>
            </w:r>
          </w:p>
          <w:p w14:paraId="0062954C" w14:textId="77777777" w:rsidR="005E785F" w:rsidRDefault="003621E8">
            <w:pPr>
              <w:keepNext/>
              <w:jc w:val="center"/>
              <w:rPr>
                <w:rFonts w:cs="Times New Roman"/>
                <w:bCs/>
                <w:sz w:val="20"/>
                <w:lang w:val="en-GB"/>
              </w:rPr>
            </w:pPr>
            <w:r>
              <w:rPr>
                <w:rFonts w:cs="Times New Roman"/>
                <w:bCs/>
                <w:sz w:val="20"/>
                <w:lang w:val="en-GB"/>
              </w:rPr>
              <w:t>Subjects under close medical supervision for at least 12-14 hours post-dose</w:t>
            </w:r>
          </w:p>
        </w:tc>
      </w:tr>
      <w:tr w:rsidR="005E785F" w14:paraId="71B8EBE6" w14:textId="77777777">
        <w:trPr>
          <w:jc w:val="center"/>
        </w:trPr>
        <w:tc>
          <w:tcPr>
            <w:tcW w:w="2268" w:type="dxa"/>
            <w:tcBorders>
              <w:top w:val="single" w:sz="4" w:space="0" w:color="auto"/>
              <w:left w:val="dashed" w:sz="4" w:space="0" w:color="auto"/>
              <w:bottom w:val="single" w:sz="4" w:space="0" w:color="auto"/>
              <w:right w:val="dashed" w:sz="4" w:space="0" w:color="auto"/>
            </w:tcBorders>
            <w:vAlign w:val="center"/>
          </w:tcPr>
          <w:p w14:paraId="440793AB" w14:textId="77777777" w:rsidR="005E785F" w:rsidRDefault="003621E8">
            <w:pPr>
              <w:keepNext/>
              <w:jc w:val="center"/>
              <w:rPr>
                <w:rFonts w:cs="Times New Roman"/>
                <w:bCs/>
                <w:sz w:val="20"/>
                <w:lang w:val="en-GB"/>
              </w:rPr>
            </w:pPr>
            <w:r>
              <w:rPr>
                <w:rFonts w:eastAsia="Symbol" w:cs="Times New Roman"/>
                <w:sz w:val="20"/>
                <w:lang w:val="en-GB"/>
              </w:rPr>
              <w:t>˅</w:t>
            </w:r>
          </w:p>
        </w:tc>
      </w:tr>
      <w:tr w:rsidR="005E785F" w14:paraId="4C41C568" w14:textId="77777777">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5E3EBC28" w14:textId="77777777" w:rsidR="005E785F" w:rsidRDefault="003621E8">
            <w:pPr>
              <w:keepNext/>
              <w:jc w:val="center"/>
              <w:rPr>
                <w:rFonts w:cs="Times New Roman"/>
                <w:bCs/>
                <w:sz w:val="20"/>
                <w:lang w:val="en-GB"/>
              </w:rPr>
            </w:pPr>
            <w:r>
              <w:rPr>
                <w:rFonts w:cs="Times New Roman"/>
                <w:bCs/>
                <w:sz w:val="20"/>
                <w:lang w:val="en-GB"/>
              </w:rPr>
              <w:t>Day 1-3</w:t>
            </w:r>
          </w:p>
          <w:p w14:paraId="27C53010" w14:textId="77777777" w:rsidR="005E785F" w:rsidRDefault="003621E8">
            <w:pPr>
              <w:keepNext/>
              <w:jc w:val="center"/>
              <w:rPr>
                <w:rFonts w:cs="Times New Roman"/>
                <w:bCs/>
                <w:sz w:val="20"/>
                <w:lang w:val="en-GB"/>
              </w:rPr>
            </w:pPr>
            <w:r>
              <w:rPr>
                <w:rFonts w:cs="Times New Roman"/>
                <w:bCs/>
                <w:sz w:val="20"/>
                <w:lang w:val="en-GB"/>
              </w:rPr>
              <w:t>Inpatient</w:t>
            </w:r>
          </w:p>
          <w:p w14:paraId="52D18E02" w14:textId="77777777" w:rsidR="005E785F" w:rsidRDefault="003621E8">
            <w:pPr>
              <w:keepNext/>
              <w:jc w:val="center"/>
              <w:rPr>
                <w:rFonts w:cs="Times New Roman"/>
                <w:bCs/>
                <w:sz w:val="20"/>
                <w:lang w:val="en-GB"/>
              </w:rPr>
            </w:pPr>
            <w:r>
              <w:rPr>
                <w:rFonts w:cs="Times New Roman"/>
                <w:bCs/>
                <w:sz w:val="20"/>
                <w:lang w:val="en-GB"/>
              </w:rPr>
              <w:t>Monitoring</w:t>
            </w:r>
          </w:p>
        </w:tc>
      </w:tr>
      <w:tr w:rsidR="005E785F" w14:paraId="174C76D3" w14:textId="77777777">
        <w:trPr>
          <w:jc w:val="center"/>
        </w:trPr>
        <w:tc>
          <w:tcPr>
            <w:tcW w:w="2268" w:type="dxa"/>
            <w:tcBorders>
              <w:top w:val="single" w:sz="4" w:space="0" w:color="auto"/>
              <w:bottom w:val="single" w:sz="4" w:space="0" w:color="auto"/>
            </w:tcBorders>
            <w:vAlign w:val="center"/>
          </w:tcPr>
          <w:p w14:paraId="123F0917" w14:textId="77777777" w:rsidR="005E785F" w:rsidRDefault="003621E8">
            <w:pPr>
              <w:keepNext/>
              <w:jc w:val="center"/>
              <w:rPr>
                <w:rFonts w:cs="Times New Roman"/>
                <w:bCs/>
                <w:sz w:val="20"/>
                <w:lang w:val="en-GB"/>
              </w:rPr>
            </w:pPr>
            <w:r>
              <w:rPr>
                <w:rFonts w:eastAsia="Symbol" w:cs="Times New Roman"/>
                <w:sz w:val="20"/>
                <w:lang w:val="en-GB"/>
              </w:rPr>
              <w:t>˅</w:t>
            </w:r>
          </w:p>
        </w:tc>
      </w:tr>
      <w:tr w:rsidR="005E785F" w14:paraId="1762DA48" w14:textId="77777777">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6B772A5B" w14:textId="77777777" w:rsidR="005E785F" w:rsidRDefault="003621E8">
            <w:pPr>
              <w:keepNext/>
              <w:jc w:val="center"/>
              <w:rPr>
                <w:rFonts w:cs="Times New Roman"/>
                <w:bCs/>
                <w:sz w:val="20"/>
                <w:lang w:val="en-GB"/>
              </w:rPr>
            </w:pPr>
            <w:r>
              <w:rPr>
                <w:rFonts w:cs="Times New Roman"/>
                <w:bCs/>
                <w:sz w:val="20"/>
                <w:lang w:val="en-GB"/>
              </w:rPr>
              <w:t xml:space="preserve">Day 4 </w:t>
            </w:r>
          </w:p>
          <w:p w14:paraId="55A0DD9E" w14:textId="77777777" w:rsidR="005E785F" w:rsidRDefault="003621E8">
            <w:pPr>
              <w:keepNext/>
              <w:jc w:val="center"/>
              <w:rPr>
                <w:rFonts w:cs="Times New Roman"/>
                <w:bCs/>
                <w:sz w:val="20"/>
                <w:lang w:val="en-GB"/>
              </w:rPr>
            </w:pPr>
            <w:r>
              <w:rPr>
                <w:rFonts w:cs="Times New Roman"/>
                <w:bCs/>
                <w:sz w:val="20"/>
                <w:lang w:val="en-GB"/>
              </w:rPr>
              <w:t>Subject discharge</w:t>
            </w:r>
          </w:p>
        </w:tc>
      </w:tr>
      <w:tr w:rsidR="005E785F" w14:paraId="6D85831D" w14:textId="77777777">
        <w:trPr>
          <w:jc w:val="center"/>
        </w:trPr>
        <w:tc>
          <w:tcPr>
            <w:tcW w:w="2268" w:type="dxa"/>
            <w:tcBorders>
              <w:top w:val="single" w:sz="4" w:space="0" w:color="auto"/>
              <w:bottom w:val="single" w:sz="4" w:space="0" w:color="auto"/>
            </w:tcBorders>
            <w:vAlign w:val="center"/>
          </w:tcPr>
          <w:p w14:paraId="465CB481" w14:textId="77777777" w:rsidR="005E785F" w:rsidRDefault="003621E8">
            <w:pPr>
              <w:keepNext/>
              <w:jc w:val="center"/>
              <w:rPr>
                <w:rFonts w:cs="Times New Roman"/>
                <w:bCs/>
                <w:sz w:val="20"/>
                <w:lang w:val="en-GB"/>
              </w:rPr>
            </w:pPr>
            <w:r>
              <w:rPr>
                <w:rFonts w:eastAsia="Symbol" w:cs="Times New Roman"/>
                <w:sz w:val="20"/>
                <w:lang w:val="en-GB"/>
              </w:rPr>
              <w:t>˅</w:t>
            </w:r>
          </w:p>
        </w:tc>
      </w:tr>
      <w:tr w:rsidR="005E785F" w14:paraId="00C64EB0" w14:textId="77777777">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3603EFF7" w14:textId="77777777" w:rsidR="005E785F" w:rsidRDefault="003621E8">
            <w:pPr>
              <w:jc w:val="center"/>
              <w:rPr>
                <w:rFonts w:cs="Times New Roman"/>
                <w:sz w:val="20"/>
                <w:lang w:val="en-GB"/>
              </w:rPr>
            </w:pPr>
            <w:r>
              <w:rPr>
                <w:rFonts w:cs="Times New Roman"/>
                <w:sz w:val="20"/>
                <w:lang w:val="en-GB"/>
              </w:rPr>
              <w:t xml:space="preserve">Day 7 (Re-visit) </w:t>
            </w:r>
          </w:p>
          <w:p w14:paraId="50199718" w14:textId="77777777" w:rsidR="005E785F" w:rsidRDefault="003621E8">
            <w:pPr>
              <w:jc w:val="center"/>
              <w:rPr>
                <w:rFonts w:cs="Times New Roman"/>
                <w:bCs/>
                <w:sz w:val="20"/>
                <w:lang w:val="en-GB"/>
              </w:rPr>
            </w:pPr>
            <w:r>
              <w:rPr>
                <w:rFonts w:cs="Times New Roman"/>
                <w:sz w:val="20"/>
                <w:lang w:val="en-GB"/>
              </w:rPr>
              <w:t>Day 14 (</w:t>
            </w:r>
            <w:r>
              <w:rPr>
                <w:rFonts w:cs="Times New Roman"/>
                <w:bCs/>
                <w:sz w:val="20"/>
                <w:lang w:val="en-GB"/>
              </w:rPr>
              <w:t>Follow-Up Visit)</w:t>
            </w:r>
          </w:p>
        </w:tc>
      </w:tr>
      <w:bookmarkEnd w:id="77"/>
      <w:bookmarkEnd w:id="78"/>
    </w:tbl>
    <w:p w14:paraId="6AA41CAA" w14:textId="77777777" w:rsidR="005E785F" w:rsidRDefault="005E785F">
      <w:pPr>
        <w:pStyle w:val="C-BodyText"/>
        <w:spacing w:line="240" w:lineRule="auto"/>
        <w:jc w:val="both"/>
        <w:rPr>
          <w:bCs/>
          <w:szCs w:val="24"/>
          <w:lang w:val="en-GB"/>
        </w:rPr>
      </w:pPr>
    </w:p>
    <w:p w14:paraId="73FB1F67" w14:textId="511E186E" w:rsidR="005E785F" w:rsidRDefault="003621E8">
      <w:pPr>
        <w:pStyle w:val="C-BodyText"/>
        <w:spacing w:line="240" w:lineRule="auto"/>
        <w:jc w:val="both"/>
        <w:rPr>
          <w:lang w:val="en-GB"/>
        </w:rPr>
      </w:pPr>
      <w:r>
        <w:rPr>
          <w:lang w:val="en-GB"/>
        </w:rPr>
        <w:t>The clinical phase is anticipated to take place between May and August 2021. The end of trial is defined as last participant last visit.</w:t>
      </w:r>
    </w:p>
    <w:p w14:paraId="73FB1F68" w14:textId="547D8D43" w:rsidR="005E785F" w:rsidRDefault="003621E8">
      <w:pPr>
        <w:pStyle w:val="C-BodyText"/>
        <w:spacing w:line="240" w:lineRule="auto"/>
        <w:jc w:val="both"/>
        <w:rPr>
          <w:lang w:val="en-GB"/>
        </w:rPr>
      </w:pPr>
      <w:r>
        <w:rPr>
          <w:lang w:val="en-GB"/>
        </w:rPr>
        <w:t>The study will take place in the Clinical Unit of Simbec-Orion Clinical Pharmacology (Clinical Unit) under full medical and nursing supervision.</w:t>
      </w:r>
    </w:p>
    <w:p w14:paraId="73FB1F69" w14:textId="4BEEF96E" w:rsidR="005E785F" w:rsidRDefault="003621E8">
      <w:pPr>
        <w:pStyle w:val="C-BodyText"/>
        <w:spacing w:line="240" w:lineRule="auto"/>
        <w:jc w:val="both"/>
        <w:rPr>
          <w:lang w:val="en-GB"/>
        </w:rPr>
      </w:pPr>
      <w:r>
        <w:rPr>
          <w:lang w:val="en-GB"/>
        </w:rPr>
        <w:t xml:space="preserve">A schedule of all study assessments is provided in </w:t>
      </w:r>
      <w:r>
        <w:rPr>
          <w:color w:val="0000FF"/>
          <w:lang w:val="en-GB"/>
        </w:rPr>
        <w:fldChar w:fldCharType="begin"/>
      </w:r>
      <w:r>
        <w:rPr>
          <w:color w:val="0000FF"/>
          <w:lang w:val="en-GB"/>
        </w:rPr>
        <w:instrText xml:space="preserve"> REF _Ref66109390 \h </w:instrText>
      </w:r>
      <w:r>
        <w:rPr>
          <w:color w:val="0000FF"/>
          <w:lang w:val="en-GB"/>
        </w:rPr>
      </w:r>
      <w:r>
        <w:rPr>
          <w:color w:val="0000FF"/>
          <w:lang w:val="en-GB"/>
        </w:rPr>
        <w:fldChar w:fldCharType="separate"/>
      </w:r>
      <w:r>
        <w:rPr>
          <w:color w:val="0000FF"/>
        </w:rPr>
        <w:t>Table 5</w:t>
      </w:r>
      <w:r>
        <w:rPr>
          <w:color w:val="0000FF"/>
          <w:lang w:val="en-GB"/>
        </w:rPr>
        <w:fldChar w:fldCharType="end"/>
      </w:r>
      <w:r>
        <w:rPr>
          <w:lang w:val="en-GB"/>
        </w:rPr>
        <w:t>.</w:t>
      </w:r>
    </w:p>
    <w:p w14:paraId="73FB1F6F" w14:textId="6C05C09B" w:rsidR="005E785F" w:rsidRDefault="003621E8">
      <w:pPr>
        <w:pStyle w:val="Heading2"/>
      </w:pPr>
      <w:bookmarkStart w:id="79" w:name="_Ref66986123"/>
      <w:bookmarkStart w:id="80" w:name="_Ref66986130"/>
      <w:bookmarkStart w:id="81" w:name="_Ref66986837"/>
      <w:bookmarkStart w:id="82" w:name="_Toc74904359"/>
      <w:r>
        <w:t>Dose Escalation Procedures and Stopping Criteria</w:t>
      </w:r>
      <w:bookmarkEnd w:id="79"/>
      <w:bookmarkEnd w:id="80"/>
      <w:bookmarkEnd w:id="81"/>
      <w:bookmarkEnd w:id="82"/>
    </w:p>
    <w:p w14:paraId="73FB1F70" w14:textId="77777777" w:rsidR="005E785F" w:rsidRDefault="003621E8">
      <w:pPr>
        <w:pStyle w:val="Heading3"/>
      </w:pPr>
      <w:bookmarkStart w:id="83" w:name="_Toc442875279"/>
      <w:bookmarkStart w:id="84" w:name="_Toc74904360"/>
      <w:bookmarkEnd w:id="83"/>
      <w:r>
        <w:t>Dose Escalation Procedures</w:t>
      </w:r>
      <w:bookmarkEnd w:id="84"/>
      <w:r>
        <w:t xml:space="preserve"> </w:t>
      </w:r>
    </w:p>
    <w:p w14:paraId="1A529F9C" w14:textId="77777777" w:rsidR="005E785F" w:rsidRDefault="003621E8">
      <w:pPr>
        <w:pStyle w:val="BodyText"/>
        <w:rPr>
          <w:rFonts w:cs="Arial"/>
          <w:sz w:val="20"/>
        </w:rPr>
      </w:pPr>
      <w:r>
        <w:t xml:space="preserve">For dose escalation to proceed, data from the preceding dose level must be available from a minimum of 6 evaluable subjects who have completed the planned safety assessments up to Day 4 (72h after dosing) and all planned PK assessments after dosing to ensure at least 4 subjects had received active IMP. </w:t>
      </w:r>
    </w:p>
    <w:p w14:paraId="6EC1E741" w14:textId="77777777" w:rsidR="005E785F" w:rsidRDefault="003621E8">
      <w:pPr>
        <w:pStyle w:val="BodyText"/>
      </w:pPr>
      <w:r>
        <w:t>All available safety data, including follow-up data from lower/previous dose cohorts, will be reviewed at the time of dose-escalation.</w:t>
      </w:r>
    </w:p>
    <w:p w14:paraId="10D5027D" w14:textId="52DF2442" w:rsidR="005E785F" w:rsidRDefault="003621E8">
      <w:pPr>
        <w:spacing w:before="120" w:after="120"/>
        <w:jc w:val="both"/>
        <w:rPr>
          <w:lang w:val="en-GB"/>
        </w:rPr>
      </w:pPr>
      <w:r>
        <w:rPr>
          <w:rFonts w:cs="Times New Roman"/>
          <w:szCs w:val="24"/>
        </w:rPr>
        <w:t>Subjects will be deemed as evaluable for dose escalation purposes if they have received the planned study dose and had sufficient plasma samples collected to estimate, if possible C</w:t>
      </w:r>
      <w:r>
        <w:rPr>
          <w:rFonts w:cs="Times New Roman"/>
          <w:vertAlign w:val="subscript"/>
        </w:rPr>
        <w:t>max</w:t>
      </w:r>
      <w:r>
        <w:rPr>
          <w:rFonts w:cs="Times New Roman"/>
          <w:szCs w:val="24"/>
        </w:rPr>
        <w:t xml:space="preserve"> and AUC</w:t>
      </w:r>
      <w:r>
        <w:rPr>
          <w:rFonts w:cs="Times New Roman"/>
          <w:vertAlign w:val="subscript"/>
        </w:rPr>
        <w:t>last</w:t>
      </w:r>
      <w:r>
        <w:rPr>
          <w:rFonts w:cs="Times New Roman"/>
          <w:szCs w:val="24"/>
        </w:rPr>
        <w:t xml:space="preserve"> irrespective of whether they have received active or placebo treatment.</w:t>
      </w:r>
    </w:p>
    <w:p w14:paraId="1A3B8065" w14:textId="59658715" w:rsidR="005E785F" w:rsidRDefault="003621E8">
      <w:pPr>
        <w:spacing w:before="120" w:after="120"/>
        <w:jc w:val="both"/>
        <w:rPr>
          <w:lang w:val="en-GB"/>
        </w:rPr>
      </w:pPr>
      <w:r>
        <w:rPr>
          <w:rFonts w:cs="Times New Roman"/>
          <w:szCs w:val="24"/>
        </w:rPr>
        <w:lastRenderedPageBreak/>
        <w:t>Planned doses may be modified following a review of emerging data. Dose escalation will be dependent upon the accrual of acceptable safety (and PK) data. If it is not appropriate to escalate the dose according to the proposed dose escalation schedule, then the same dose (only where no dose escalation stopping rules have been met), an intermediate dose or a lower dose may be given following discussion between the Sponsor and the PI (or deputy). The timing, type and number of safety, PK and PD assessments may be modified. The number and/ or volume of blood samples per assessment may be increased as long as the total volume of blood drawn for a participant does not exceed 10% of the pre-specified total blood volume or surpass 500 mL (except when extra blood samples need to be taken for safety reasons).</w:t>
      </w:r>
    </w:p>
    <w:p w14:paraId="4DE9AAC2" w14:textId="3F57DEFC" w:rsidR="005E785F" w:rsidRDefault="003621E8">
      <w:pPr>
        <w:spacing w:before="120" w:after="120"/>
        <w:jc w:val="both"/>
        <w:rPr>
          <w:lang w:val="en-GB"/>
        </w:rPr>
      </w:pPr>
      <w:r>
        <w:rPr>
          <w:lang w:val="en-GB"/>
        </w:rPr>
        <w:t>There will be a Telephone Conference at a pre-appointed time to involve the Simbec-Orion Project Manager and Principal Investigator (or deputy) and the Sponsor’s representative(s), including the Sponsor's Responsible Physician.  After discussion of all the data, the decision will be made whether to dose escalate and a written document (dose escalation approval form) signed by the PI (or deputy) and Sponsor will be produced ratifying that decision. Full minutes, to be agreed by all parties, will be produced for each discussion regarding dose escalation and filed in the Investigator site file (ISF).  A copy of the signed dose escalation approval form will be provided to the Simbec-Orion Pharmacist and this will allow the IMP to be assembled for the next dose level.</w:t>
      </w:r>
    </w:p>
    <w:p w14:paraId="1848C373" w14:textId="669C0386" w:rsidR="005E785F" w:rsidRDefault="003621E8">
      <w:pPr>
        <w:pStyle w:val="Heading3"/>
      </w:pPr>
      <w:bookmarkStart w:id="85" w:name="_Toc74904361"/>
      <w:r>
        <w:t>Trial Stopping Criteria</w:t>
      </w:r>
      <w:bookmarkEnd w:id="85"/>
    </w:p>
    <w:p w14:paraId="3A7EC6A1" w14:textId="01946038" w:rsidR="005E785F" w:rsidRDefault="003621E8">
      <w:pPr>
        <w:spacing w:before="120" w:after="120"/>
        <w:jc w:val="both"/>
        <w:rPr>
          <w:lang w:val="en-GB"/>
        </w:rPr>
      </w:pPr>
      <w:r>
        <w:rPr>
          <w:lang w:val="en-GB"/>
        </w:rPr>
        <w:t xml:space="preserve">Dosing will be temporarily stopped (via an initial email notification to REC/MHRA and then a temporary halt substantial amendment) pending evaluation of all available data if any of the following criteria are fulfilled: </w:t>
      </w:r>
    </w:p>
    <w:p w14:paraId="77B960F4" w14:textId="17D322EA" w:rsidR="005E785F" w:rsidRDefault="003621E8">
      <w:pPr>
        <w:pStyle w:val="ListParagraph"/>
        <w:numPr>
          <w:ilvl w:val="0"/>
          <w:numId w:val="40"/>
        </w:numPr>
        <w:spacing w:before="120" w:after="120"/>
        <w:jc w:val="both"/>
        <w:rPr>
          <w:lang w:val="en-GB"/>
        </w:rPr>
      </w:pPr>
      <w:r>
        <w:rPr>
          <w:rFonts w:cs="Times New Roman"/>
          <w:szCs w:val="24"/>
        </w:rPr>
        <w:t xml:space="preserve">A serious adverse reaction (SAR) (i.e., a serious adverse event (SAE) considered at least possibly related to CpG ODN D35) in one subject, or  </w:t>
      </w:r>
    </w:p>
    <w:p w14:paraId="1DC96EAC" w14:textId="52F882C0" w:rsidR="005E785F" w:rsidRDefault="003621E8">
      <w:pPr>
        <w:pStyle w:val="ListParagraph"/>
        <w:numPr>
          <w:ilvl w:val="0"/>
          <w:numId w:val="40"/>
        </w:numPr>
        <w:spacing w:before="120" w:after="120"/>
        <w:jc w:val="both"/>
        <w:rPr>
          <w:lang w:val="en-GB"/>
        </w:rPr>
      </w:pPr>
      <w:r>
        <w:rPr>
          <w:rFonts w:cs="Times New Roman"/>
          <w:szCs w:val="24"/>
        </w:rPr>
        <w:t>‘Severe’ non‐serious adverse reactions (AR) (i.e., severe non‐serious adverse events considered as, at least, possibly related to CpG ODN D35) in two subjects in the same cohort, independent of within or not within the same system‐organ class.</w:t>
      </w:r>
    </w:p>
    <w:p w14:paraId="099A73E3" w14:textId="3E9E6865" w:rsidR="005E785F" w:rsidRDefault="003621E8">
      <w:pPr>
        <w:pStyle w:val="ListParagraph"/>
        <w:numPr>
          <w:ilvl w:val="0"/>
          <w:numId w:val="40"/>
        </w:numPr>
        <w:spacing w:before="120" w:after="120"/>
        <w:jc w:val="both"/>
        <w:rPr>
          <w:lang w:val="en-GB"/>
        </w:rPr>
      </w:pPr>
      <w:r>
        <w:rPr>
          <w:lang w:val="en-GB"/>
        </w:rPr>
        <w:t>Any other event deemed to pose an unacceptable risk to individuals by the PI.</w:t>
      </w:r>
    </w:p>
    <w:p w14:paraId="055C859D" w14:textId="3C58668E" w:rsidR="005E785F" w:rsidRDefault="003621E8">
      <w:pPr>
        <w:spacing w:before="120" w:after="120"/>
        <w:jc w:val="both"/>
        <w:rPr>
          <w:lang w:val="en-GB"/>
        </w:rPr>
      </w:pPr>
      <w:r>
        <w:rPr>
          <w:lang w:val="en-GB"/>
        </w:rPr>
        <w:t>If, after an internal safety review, it is appropriate to restart the trial, a substantial amendment will be submitted to the MHRA and Ethics Committee</w:t>
      </w:r>
      <w:r>
        <w:t xml:space="preserve"> </w:t>
      </w:r>
      <w:r>
        <w:rPr>
          <w:lang w:val="en-GB"/>
        </w:rPr>
        <w:t>within a period of 2 years from the temporary halt date, providing the justification for the restart. The trial will not restart until the amendment has been approved by MHRA and Ethics Committee.</w:t>
      </w:r>
    </w:p>
    <w:p w14:paraId="497E89B6" w14:textId="4946579C" w:rsidR="005E785F" w:rsidRDefault="003621E8">
      <w:pPr>
        <w:pStyle w:val="Heading3"/>
      </w:pPr>
      <w:bookmarkStart w:id="86" w:name="_Toc74904362"/>
      <w:r>
        <w:t>Dose Escalation Stopping Criteria</w:t>
      </w:r>
      <w:bookmarkEnd w:id="86"/>
    </w:p>
    <w:p w14:paraId="1675F55E" w14:textId="77777777" w:rsidR="005E785F" w:rsidRDefault="003621E8">
      <w:pPr>
        <w:spacing w:before="120" w:after="120"/>
        <w:jc w:val="both"/>
        <w:rPr>
          <w:lang w:val="en-GB"/>
        </w:rPr>
      </w:pPr>
      <w:r>
        <w:rPr>
          <w:lang w:val="en-GB"/>
        </w:rPr>
        <w:t>A dose level will not be repeated, or increased, if the results of safety tests give the Sponsor or Investigator cause for concern, or if:</w:t>
      </w:r>
    </w:p>
    <w:p w14:paraId="4652E05A" w14:textId="5222EC38" w:rsidR="005E785F" w:rsidRDefault="003621E8">
      <w:pPr>
        <w:pStyle w:val="ListParagraph"/>
        <w:numPr>
          <w:ilvl w:val="0"/>
          <w:numId w:val="40"/>
        </w:numPr>
        <w:spacing w:before="120" w:after="120"/>
        <w:jc w:val="both"/>
        <w:rPr>
          <w:lang w:val="en-GB"/>
        </w:rPr>
      </w:pPr>
      <w:r>
        <w:rPr>
          <w:lang w:val="en-GB"/>
        </w:rPr>
        <w:t xml:space="preserve">Any of the trial stopping criteria are reached (see above). </w:t>
      </w:r>
    </w:p>
    <w:p w14:paraId="7475C84A" w14:textId="4091D1FA" w:rsidR="005E785F" w:rsidRDefault="003621E8">
      <w:pPr>
        <w:pStyle w:val="ListParagraph"/>
        <w:numPr>
          <w:ilvl w:val="0"/>
          <w:numId w:val="40"/>
        </w:numPr>
        <w:spacing w:before="120" w:after="120"/>
        <w:jc w:val="both"/>
        <w:rPr>
          <w:lang w:val="en-GB"/>
        </w:rPr>
      </w:pPr>
      <w:r>
        <w:rPr>
          <w:lang w:val="en-GB"/>
        </w:rPr>
        <w:t>There are clinical indications that could suggest a moderate/severe documented CRS *</w:t>
      </w:r>
    </w:p>
    <w:p w14:paraId="6591B8CA" w14:textId="034F125B" w:rsidR="005E785F" w:rsidRDefault="003621E8">
      <w:pPr>
        <w:spacing w:before="120" w:after="120"/>
        <w:jc w:val="both"/>
        <w:rPr>
          <w:lang w:val="en-GB"/>
        </w:rPr>
      </w:pPr>
      <w:r>
        <w:rPr>
          <w:lang w:val="en-GB"/>
        </w:rPr>
        <w:t xml:space="preserve">* CRS can present from mild flu-like syndrome, fever, fatigue, headache, cough, tachypnoea, rash, arthralgia, myalgia, hypotension or high fever and can progress to an uncontrolled </w:t>
      </w:r>
      <w:r>
        <w:rPr>
          <w:lang w:val="en-GB"/>
        </w:rPr>
        <w:lastRenderedPageBreak/>
        <w:t xml:space="preserve">systemic inflammatory response with vasopressor-requiring circulatory shock, severe dizziness and confusion, vascular leakage, disseminated intravascular coagulation, multi-organ system failure, acute respiratory distress syndrome, renal failure or signs of cardiac dysfunction with reduced ejection fraction on ultrasound, vascular leakage with peripheral and/or pulmonary oedema. Laboratory abnormalities that are common in patients with CRS include cytopenias, elevated creatinine and liver enzymes, deranged coagulation parameters, and a high c-reactive protein (CRP). </w:t>
      </w:r>
    </w:p>
    <w:p w14:paraId="226B0B9B" w14:textId="4C04A984" w:rsidR="005E785F" w:rsidRDefault="003621E8">
      <w:pPr>
        <w:pStyle w:val="ListParagraph"/>
        <w:numPr>
          <w:ilvl w:val="1"/>
          <w:numId w:val="51"/>
        </w:numPr>
        <w:spacing w:before="120" w:after="120"/>
        <w:jc w:val="both"/>
        <w:rPr>
          <w:lang w:val="en-GB"/>
        </w:rPr>
      </w:pPr>
      <w:r>
        <w:rPr>
          <w:rFonts w:cs="Times New Roman"/>
          <w:szCs w:val="24"/>
        </w:rPr>
        <w:t>Two of the subjects report severe flu-like symptoms, high fever, fatigue, headache, cough, tachypnoea, rash, arthralgia, myalgia or hypotension, and considered at least possibly related to IMP</w:t>
      </w:r>
      <w:r>
        <w:rPr>
          <w:lang w:val="en-GB"/>
        </w:rPr>
        <w:t xml:space="preserve">. </w:t>
      </w:r>
    </w:p>
    <w:p w14:paraId="7FA8F433" w14:textId="343C0203" w:rsidR="005E785F" w:rsidRDefault="003621E8">
      <w:pPr>
        <w:pStyle w:val="ListParagraph"/>
        <w:numPr>
          <w:ilvl w:val="1"/>
          <w:numId w:val="51"/>
        </w:numPr>
        <w:spacing w:before="120" w:after="120"/>
        <w:jc w:val="both"/>
        <w:rPr>
          <w:lang w:val="en-GB"/>
        </w:rPr>
      </w:pPr>
      <w:r>
        <w:rPr>
          <w:lang w:val="en-GB"/>
        </w:rPr>
        <w:t>Or if one subject report circulatory shock, severe dizziness and confusion, vascular leakage, disseminated intravascular coagulation, multi-organ system failure or acute respiratory distress syndrome and considered at least possibly related to IMP.</w:t>
      </w:r>
    </w:p>
    <w:p w14:paraId="0FAD3FE4" w14:textId="36986E86" w:rsidR="005E785F" w:rsidRDefault="003621E8">
      <w:pPr>
        <w:pStyle w:val="ListParagraph"/>
        <w:numPr>
          <w:ilvl w:val="1"/>
          <w:numId w:val="51"/>
        </w:numPr>
        <w:spacing w:before="120" w:after="120"/>
        <w:jc w:val="both"/>
        <w:rPr>
          <w:lang w:val="en-GB"/>
        </w:rPr>
      </w:pPr>
      <w:r>
        <w:rPr>
          <w:lang w:val="en-GB"/>
        </w:rPr>
        <w:t xml:space="preserve">Or if 2 subjects have laboratory abnormalities such as cytopenias, elevated creatinine and liver enzymes, altered coagulation parameters, or elevated CRP levels: AST or ALT &gt; 3ULN (without CPK increase) or ALP &gt; 1.5 ULN or total bilirubin &gt; 1.5 ULN, serum creatinine &gt; 1.5 ULN, platelet count below 100 </w:t>
      </w:r>
      <w:bookmarkStart w:id="87" w:name="_Hlk66818218"/>
      <w:r>
        <w:rPr>
          <w:lang w:val="en-GB"/>
        </w:rPr>
        <w:t>10</w:t>
      </w:r>
      <w:r>
        <w:rPr>
          <w:rFonts w:ascii="Calibri" w:hAnsi="Calibri" w:cs="Calibri"/>
          <w:color w:val="000000"/>
          <w:sz w:val="22"/>
          <w:szCs w:val="22"/>
          <w:lang w:val="en-GB" w:eastAsia="en-GB"/>
        </w:rPr>
        <w:t>^9/L</w:t>
      </w:r>
      <w:bookmarkEnd w:id="87"/>
      <w:r>
        <w:rPr>
          <w:lang w:val="en-GB"/>
        </w:rPr>
        <w:t>, lymphocyte count below 0.5 10^9/L, CRP &gt;20 mg/L, and considered related to the IMP and confirmed 24 to 48 hours later.</w:t>
      </w:r>
    </w:p>
    <w:p w14:paraId="08365E50" w14:textId="19C3B880" w:rsidR="005E785F" w:rsidRDefault="003621E8">
      <w:pPr>
        <w:pStyle w:val="ListParagraph"/>
        <w:numPr>
          <w:ilvl w:val="0"/>
          <w:numId w:val="40"/>
        </w:numPr>
        <w:spacing w:before="120" w:after="120"/>
        <w:jc w:val="both"/>
        <w:rPr>
          <w:lang w:val="en-GB"/>
        </w:rPr>
      </w:pPr>
      <w:r>
        <w:rPr>
          <w:lang w:val="en-GB"/>
        </w:rPr>
        <w:t>If the dose in a single subject is anticipated to exceed an AUC</w:t>
      </w:r>
      <w:r>
        <w:rPr>
          <w:vertAlign w:val="subscript"/>
          <w:lang w:val="en-GB"/>
        </w:rPr>
        <w:t>last</w:t>
      </w:r>
      <w:r>
        <w:rPr>
          <w:lang w:val="en-GB"/>
        </w:rPr>
        <w:t xml:space="preserve"> of ≥755 ng*h/mL. These limits are based on the exposure observed at the 15.9 mg/kg in cynomolgus monkeys (systemic NOAEL: AUC</w:t>
      </w:r>
      <w:r>
        <w:rPr>
          <w:vertAlign w:val="subscript"/>
          <w:lang w:val="en-GB"/>
        </w:rPr>
        <w:t>last</w:t>
      </w:r>
      <w:r>
        <w:rPr>
          <w:lang w:val="en-GB"/>
        </w:rPr>
        <w:t xml:space="preserve"> of 755.8 ng*h/mL in males).</w:t>
      </w:r>
    </w:p>
    <w:p w14:paraId="2CA696E3" w14:textId="77777777" w:rsidR="005E785F" w:rsidRDefault="003621E8">
      <w:pPr>
        <w:pStyle w:val="ListParagraph"/>
        <w:numPr>
          <w:ilvl w:val="0"/>
          <w:numId w:val="40"/>
        </w:numPr>
        <w:spacing w:before="120" w:after="120"/>
        <w:jc w:val="both"/>
        <w:rPr>
          <w:lang w:val="en-GB"/>
        </w:rPr>
      </w:pPr>
      <w:r>
        <w:rPr>
          <w:lang w:val="en-GB"/>
        </w:rPr>
        <w:t>If the dose in a single subject is anticipated to exceed a C</w:t>
      </w:r>
      <w:r>
        <w:rPr>
          <w:vertAlign w:val="subscript"/>
          <w:lang w:val="en-GB"/>
        </w:rPr>
        <w:t>max</w:t>
      </w:r>
      <w:r>
        <w:rPr>
          <w:lang w:val="en-GB"/>
        </w:rPr>
        <w:t xml:space="preserve"> of ≥ 1230 ng/mL. These limits are based on the exposure observed at the 15.9 mg/kg in cynomolgus monkeys (systemic NOAEL: C</w:t>
      </w:r>
      <w:r>
        <w:rPr>
          <w:vertAlign w:val="subscript"/>
          <w:lang w:val="en-GB"/>
        </w:rPr>
        <w:t>max</w:t>
      </w:r>
      <w:r>
        <w:rPr>
          <w:lang w:val="en-GB"/>
        </w:rPr>
        <w:t xml:space="preserve"> of 1230.7 ng/mL in males).</w:t>
      </w:r>
    </w:p>
    <w:p w14:paraId="64E3F765" w14:textId="7D4EF588" w:rsidR="005E785F" w:rsidRDefault="003621E8">
      <w:pPr>
        <w:pStyle w:val="ListParagraph"/>
        <w:numPr>
          <w:ilvl w:val="0"/>
          <w:numId w:val="40"/>
        </w:numPr>
        <w:spacing w:before="120" w:after="120"/>
        <w:jc w:val="both"/>
        <w:rPr>
          <w:lang w:val="en-GB"/>
        </w:rPr>
      </w:pPr>
      <w:r>
        <w:rPr>
          <w:lang w:val="en-GB"/>
        </w:rPr>
        <w:t>If 2 subjects have grade 3 or above injection site reactions which are related to IMP injects,</w:t>
      </w:r>
    </w:p>
    <w:p w14:paraId="249C3138" w14:textId="1E20A198" w:rsidR="005E785F" w:rsidRDefault="003621E8">
      <w:pPr>
        <w:pStyle w:val="ListParagraph"/>
        <w:numPr>
          <w:ilvl w:val="0"/>
          <w:numId w:val="40"/>
        </w:numPr>
        <w:spacing w:before="120" w:after="120"/>
        <w:jc w:val="both"/>
        <w:rPr>
          <w:lang w:val="en-GB"/>
        </w:rPr>
      </w:pPr>
      <w:r>
        <w:rPr>
          <w:lang w:val="en-GB"/>
        </w:rPr>
        <w:t>The Investigator considers the dose level to be not well tolerated.</w:t>
      </w:r>
    </w:p>
    <w:p w14:paraId="73FB1F84" w14:textId="0390F822" w:rsidR="005E785F" w:rsidRDefault="003621E8">
      <w:pPr>
        <w:spacing w:before="120" w:after="120"/>
        <w:jc w:val="both"/>
        <w:rPr>
          <w:lang w:val="en-GB"/>
        </w:rPr>
      </w:pPr>
      <w:r>
        <w:rPr>
          <w:lang w:val="en-GB"/>
        </w:rPr>
        <w:t>If any of dose escalation stopping criteria are met, dosing will be halted and the SRC will be convened to explore whether it is reasonable to continue the study. All SAEs, if any, will be reported to the MHRA as per guidance.</w:t>
      </w:r>
    </w:p>
    <w:p w14:paraId="73FB1F85" w14:textId="5A2BBF9A" w:rsidR="005E785F" w:rsidRDefault="003621E8">
      <w:pPr>
        <w:pStyle w:val="C-BodyText"/>
        <w:spacing w:line="240" w:lineRule="auto"/>
        <w:jc w:val="both"/>
        <w:rPr>
          <w:lang w:val="en-GB"/>
        </w:rPr>
      </w:pPr>
      <w:r>
        <w:rPr>
          <w:lang w:val="en-GB"/>
        </w:rPr>
        <w:t xml:space="preserve">Individual participants may also be withdrawn for any of the reasons outlined in </w:t>
      </w:r>
      <w:r>
        <w:rPr>
          <w:color w:val="0000FF"/>
          <w:lang w:val="en-GB"/>
        </w:rPr>
        <w:t xml:space="preserve">Section </w:t>
      </w:r>
      <w:r>
        <w:rPr>
          <w:color w:val="0000FF"/>
          <w:lang w:val="en-GB"/>
        </w:rPr>
        <w:fldChar w:fldCharType="begin"/>
      </w:r>
      <w:r>
        <w:rPr>
          <w:color w:val="0000FF"/>
          <w:lang w:val="en-GB"/>
        </w:rPr>
        <w:instrText xml:space="preserve"> REF _Ref66986214 \r \h </w:instrText>
      </w:r>
      <w:r>
        <w:rPr>
          <w:color w:val="0000FF"/>
          <w:lang w:val="en-GB"/>
        </w:rPr>
      </w:r>
      <w:r>
        <w:rPr>
          <w:color w:val="0000FF"/>
          <w:lang w:val="en-GB"/>
        </w:rPr>
        <w:fldChar w:fldCharType="separate"/>
      </w:r>
      <w:r>
        <w:rPr>
          <w:color w:val="0000FF"/>
          <w:lang w:val="en-GB"/>
        </w:rPr>
        <w:t>10.5.5</w:t>
      </w:r>
      <w:r>
        <w:rPr>
          <w:color w:val="0000FF"/>
          <w:lang w:val="en-GB"/>
        </w:rPr>
        <w:fldChar w:fldCharType="end"/>
      </w:r>
      <w:r>
        <w:rPr>
          <w:lang w:val="en-GB"/>
        </w:rPr>
        <w:t>.</w:t>
      </w:r>
    </w:p>
    <w:p w14:paraId="447E4D6A" w14:textId="3219F910" w:rsidR="005E785F" w:rsidRDefault="003621E8">
      <w:pPr>
        <w:pStyle w:val="C-BodyText"/>
        <w:spacing w:line="240" w:lineRule="auto"/>
        <w:jc w:val="both"/>
      </w:pPr>
      <w:r>
        <w:rPr>
          <w:lang w:val="en-GB"/>
        </w:rPr>
        <w:t xml:space="preserve">If any of the above criteria are fulfilled, dose escalation will only proceed once </w:t>
      </w:r>
      <w:r>
        <w:t>an appropriate substantial amendment has received regulatory approval from the MHRA and ethical approval from the ethics committee associated with the study.</w:t>
      </w:r>
    </w:p>
    <w:p w14:paraId="68AF31A2" w14:textId="5EE5D6BE" w:rsidR="005E785F" w:rsidRDefault="003621E8">
      <w:pPr>
        <w:spacing w:before="120" w:after="120"/>
        <w:jc w:val="both"/>
        <w:rPr>
          <w:lang w:val="en-GB"/>
        </w:rPr>
      </w:pPr>
      <w:r>
        <w:rPr>
          <w:lang w:val="en-GB"/>
        </w:rPr>
        <w:t>Planned doses may be modified following a review of emerging data. Proposed maximum clinical dose of 180 mg will not be exceeded in this study. If the Sponsor determines that it is appropriate and necessary to exceed the current planned maximum dose of 180 mg, this will not be implemented until a substantial amendment has been submitted and receives approval from both the REC and MHRA.</w:t>
      </w:r>
    </w:p>
    <w:p w14:paraId="2974B122" w14:textId="241012A2" w:rsidR="005E785F" w:rsidRDefault="003621E8">
      <w:pPr>
        <w:pStyle w:val="C-BodyText"/>
        <w:spacing w:line="240" w:lineRule="auto"/>
        <w:jc w:val="both"/>
        <w:rPr>
          <w:lang w:val="en-GB"/>
        </w:rPr>
      </w:pPr>
      <w:r>
        <w:rPr>
          <w:lang w:val="en-GB"/>
        </w:rPr>
        <w:lastRenderedPageBreak/>
        <w:t>Dose escalation will be dependent upon the accrual of acceptable safety (and PK) data. If it is not appropriate to escalate the dose according to the proposed dose escalation schedule, then the same dose (only where no dose escalation stopping rules have been met), an intermediate dose or a lower dose may be given following discussion between the Sponsor and the PI (or deputy). The timing, type and number of safety, PK and PD assessments may be modified. The number and/ or volume of blood samples per assessment may be increased as long as the total volume of blood drawn for a participant does not exceed 10% of the pre-specified total blood volume or surpass 500 mL (except when extra blood samples need to be taken for safety reasons).</w:t>
      </w:r>
    </w:p>
    <w:p w14:paraId="73FB1F86" w14:textId="00AEA8F7" w:rsidR="005E785F" w:rsidRDefault="003621E8">
      <w:pPr>
        <w:pStyle w:val="Heading2"/>
      </w:pPr>
      <w:bookmarkStart w:id="88" w:name="_Toc351382481"/>
      <w:bookmarkStart w:id="89" w:name="_Toc389020825"/>
      <w:bookmarkStart w:id="90" w:name="_Toc74904363"/>
      <w:bookmarkStart w:id="91" w:name="_Toc200273921"/>
      <w:bookmarkEnd w:id="88"/>
      <w:r>
        <w:t>Discussion of Study Design</w:t>
      </w:r>
      <w:bookmarkEnd w:id="89"/>
      <w:r>
        <w:t>, including the Choice of Control Groups</w:t>
      </w:r>
      <w:bookmarkEnd w:id="90"/>
      <w:r>
        <w:t xml:space="preserve"> </w:t>
      </w:r>
      <w:bookmarkEnd w:id="91"/>
    </w:p>
    <w:p w14:paraId="4434276D" w14:textId="77777777" w:rsidR="005E785F" w:rsidRDefault="003621E8">
      <w:pPr>
        <w:spacing w:before="120" w:after="120"/>
        <w:jc w:val="both"/>
        <w:rPr>
          <w:lang w:val="en-GB"/>
        </w:rPr>
      </w:pPr>
      <w:r>
        <w:rPr>
          <w:rFonts w:cs="Times New Roman"/>
          <w:szCs w:val="24"/>
        </w:rPr>
        <w:t xml:space="preserve">The design of the study has taken FIH study requirements into consideration with a “dose leader” design for built-in safety. </w:t>
      </w:r>
    </w:p>
    <w:p w14:paraId="1FD94EAD" w14:textId="0664F6D2" w:rsidR="005E785F" w:rsidRDefault="003621E8">
      <w:pPr>
        <w:spacing w:before="120" w:after="120"/>
        <w:jc w:val="both"/>
        <w:rPr>
          <w:lang w:val="en-GB"/>
        </w:rPr>
      </w:pPr>
      <w:r>
        <w:rPr>
          <w:rFonts w:cs="Times New Roman"/>
          <w:szCs w:val="24"/>
        </w:rPr>
        <w:t xml:space="preserve">Each cohort will follow a sentinel dose escalation schedule. Two (2) subjects will be dosed in each sentinel group (1 subject on active IMP and 1 subject on placebo). The 6 remaining subjects will be randomized and split into two sub-groups with 3 subjects in each subgroup. The decision to proceed with the administration of the first sub-group subjects will be taken by the Investigator based on clinical and biological safety data after at least a 72-hour observation period of the sentinel subjects. The 3 subjects from the second sub-group will be dosed upon Investigator assessment after approximately 24-hour observation period of the first subject of the first sub-group.  </w:t>
      </w:r>
    </w:p>
    <w:p w14:paraId="03F171D7" w14:textId="76CD6F76" w:rsidR="005E785F" w:rsidRDefault="003621E8">
      <w:pPr>
        <w:spacing w:before="120" w:after="120"/>
        <w:jc w:val="both"/>
        <w:rPr>
          <w:lang w:val="en-GB"/>
        </w:rPr>
      </w:pPr>
      <w:r>
        <w:rPr>
          <w:lang w:val="en-GB"/>
        </w:rPr>
        <w:t>At the end of each dose level, an interim safety report will be issued by the Investigator, for review by the SRC. No more than 3 subjects will be administered CpG ODN D35 each day. A minimum interval of 30 minutes between dosing of any 2 subjects will be ensured (not required for sentinels).</w:t>
      </w:r>
    </w:p>
    <w:p w14:paraId="4239F003" w14:textId="258EBB8E" w:rsidR="005E785F" w:rsidRDefault="003621E8">
      <w:pPr>
        <w:spacing w:before="120" w:after="120"/>
        <w:jc w:val="both"/>
        <w:rPr>
          <w:lang w:val="en-GB"/>
        </w:rPr>
      </w:pPr>
      <w:r>
        <w:rPr>
          <w:lang w:val="en-GB"/>
        </w:rPr>
        <w:t>The intended route of administration is SC. The IV route was used in the micronucleus rat study only to ensure a maximum exposure of the bone marrow. This of course does not relate to CpG ODN D35 mechanism of action against Leishmania infection.</w:t>
      </w:r>
    </w:p>
    <w:p w14:paraId="6FBE0EEC" w14:textId="1BE0F195" w:rsidR="005E785F" w:rsidRDefault="003621E8">
      <w:pPr>
        <w:spacing w:before="120" w:after="120"/>
        <w:jc w:val="both"/>
        <w:rPr>
          <w:lang w:val="en-GB"/>
        </w:rPr>
      </w:pPr>
      <w:r>
        <w:rPr>
          <w:lang w:val="en-GB"/>
        </w:rPr>
        <w:t>Follow-up period of 2 week is considered appropriate based on the estimated relatively short half-life of the IMP.</w:t>
      </w:r>
    </w:p>
    <w:p w14:paraId="73FB1F88" w14:textId="42F4DB06" w:rsidR="005E785F" w:rsidRDefault="003621E8">
      <w:pPr>
        <w:pStyle w:val="Heading2"/>
      </w:pPr>
      <w:bookmarkStart w:id="92" w:name="_Toc74904364"/>
      <w:r>
        <w:t>Selection of Study Population</w:t>
      </w:r>
      <w:bookmarkEnd w:id="92"/>
    </w:p>
    <w:p w14:paraId="73FB1F8A" w14:textId="3657355D" w:rsidR="005E785F" w:rsidRDefault="003621E8">
      <w:pPr>
        <w:pStyle w:val="C-BodyText"/>
        <w:spacing w:line="240" w:lineRule="auto"/>
        <w:jc w:val="both"/>
        <w:rPr>
          <w:lang w:val="en-GB"/>
        </w:rPr>
      </w:pPr>
      <w:r>
        <w:rPr>
          <w:lang w:val="en-GB"/>
        </w:rPr>
        <w:t xml:space="preserve">Up to thirty-two (32) participants (4 cohorts of 8 healthy male subjects, cohort 4 is optional) will be required to complete the study.  </w:t>
      </w:r>
    </w:p>
    <w:p w14:paraId="73FB1F8B" w14:textId="4AA6F678" w:rsidR="005E785F" w:rsidRDefault="003621E8">
      <w:pPr>
        <w:pStyle w:val="C-BodyText"/>
        <w:spacing w:line="240" w:lineRule="auto"/>
        <w:jc w:val="both"/>
        <w:rPr>
          <w:lang w:val="en-GB"/>
        </w:rPr>
      </w:pPr>
      <w:r>
        <w:rPr>
          <w:lang w:val="en-GB"/>
        </w:rPr>
        <w:t xml:space="preserve">The study is to be conducted in healthy participants; therefore, participants are not expected to derive any therapeutic benefit from taking part in the study. A healthy participant population with carefully considered inclusion/exclusion criteria will avoid the potential for interaction of CpG ODN D35 with any underlying disease state or concomitant medication that it may be necessary for patients to take, while ensuring that participants are fit and well enough for participation in the study.  </w:t>
      </w:r>
    </w:p>
    <w:p w14:paraId="73FB1F8D" w14:textId="4B2C32D5" w:rsidR="005E785F" w:rsidRDefault="003621E8">
      <w:pPr>
        <w:pStyle w:val="C-BodyText"/>
        <w:spacing w:line="240" w:lineRule="auto"/>
        <w:jc w:val="both"/>
        <w:rPr>
          <w:highlight w:val="green"/>
          <w:lang w:val="en-GB"/>
        </w:rPr>
      </w:pPr>
      <w:r>
        <w:rPr>
          <w:lang w:val="en-GB"/>
        </w:rPr>
        <w:t>CpG ODN D35 has not been previously administered to humans; therefore, its effects in humans are as yet unknown.</w:t>
      </w:r>
    </w:p>
    <w:p w14:paraId="73FB1F99" w14:textId="024A3097" w:rsidR="005E785F" w:rsidRDefault="003621E8">
      <w:pPr>
        <w:pStyle w:val="C-BodyText"/>
        <w:spacing w:line="240" w:lineRule="auto"/>
        <w:jc w:val="both"/>
        <w:rPr>
          <w:lang w:val="en-GB"/>
        </w:rPr>
      </w:pPr>
      <w:r>
        <w:rPr>
          <w:lang w:val="en-GB"/>
        </w:rPr>
        <w:lastRenderedPageBreak/>
        <w:t>The following eligibility criteria are designed to select participants for whom protocol treatment and procedures are considered appropriate. All relevant medical and non-medical conditions should be taken into consideration when deciding whether this protocol is suitable for a particular participant.</w:t>
      </w:r>
    </w:p>
    <w:p w14:paraId="4ED0D7FA" w14:textId="5EB84E0B" w:rsidR="005E785F" w:rsidRDefault="003621E8">
      <w:pPr>
        <w:autoSpaceDE w:val="0"/>
        <w:autoSpaceDN w:val="0"/>
        <w:spacing w:before="120" w:after="120"/>
        <w:jc w:val="both"/>
        <w:rPr>
          <w:lang w:eastAsia="en-GB"/>
        </w:rPr>
      </w:pPr>
      <w:r>
        <w:rPr>
          <w:rFonts w:cs="Times New Roman"/>
          <w:lang w:eastAsia="en-GB"/>
        </w:rPr>
        <w:t>Deviations from inclusion and exclusion criteria are not allowed as deviations have the potential to impact the scientific integrity of the study, regulatory acceptability or participant safety as such deviations constitute a deliberate breach of Regulation 29 of SI 2004/1031. Therefore, adherence to the criteria as specified in the protocol is essential.</w:t>
      </w:r>
    </w:p>
    <w:p w14:paraId="73FB1F9A" w14:textId="24843378" w:rsidR="005E785F" w:rsidRDefault="003621E8">
      <w:pPr>
        <w:pStyle w:val="Heading3"/>
      </w:pPr>
      <w:bookmarkStart w:id="93" w:name="_Toc74904365"/>
      <w:r>
        <w:t>Inclusion Criteria</w:t>
      </w:r>
      <w:bookmarkEnd w:id="93"/>
    </w:p>
    <w:p w14:paraId="73FB1F9B" w14:textId="77777777" w:rsidR="005E785F" w:rsidRDefault="003621E8">
      <w:pPr>
        <w:pStyle w:val="C-BodyText"/>
        <w:spacing w:line="240" w:lineRule="auto"/>
        <w:rPr>
          <w:b/>
          <w:szCs w:val="24"/>
          <w:lang w:val="en-GB"/>
        </w:rPr>
      </w:pPr>
      <w:r>
        <w:rPr>
          <w:b/>
          <w:szCs w:val="24"/>
          <w:lang w:val="en-GB"/>
        </w:rPr>
        <w:t>To be confirmed at screening:</w:t>
      </w:r>
    </w:p>
    <w:p w14:paraId="18C2FA9A" w14:textId="77777777" w:rsidR="005E785F" w:rsidRDefault="003621E8">
      <w:pPr>
        <w:pStyle w:val="C-Bullet"/>
        <w:numPr>
          <w:ilvl w:val="0"/>
          <w:numId w:val="16"/>
        </w:numPr>
        <w:jc w:val="both"/>
        <w:rPr>
          <w:szCs w:val="24"/>
          <w:lang w:val="en-GB"/>
        </w:rPr>
      </w:pPr>
      <w:r>
        <w:rPr>
          <w:szCs w:val="24"/>
          <w:lang w:val="en-GB"/>
        </w:rPr>
        <w:t xml:space="preserve">Male healthy subjects 18 to 50 years old at the time of obtaining the informed consent. </w:t>
      </w:r>
    </w:p>
    <w:p w14:paraId="0B14A736" w14:textId="2A9E343E" w:rsidR="005E785F" w:rsidRDefault="003621E8">
      <w:pPr>
        <w:pStyle w:val="C-Bullet"/>
        <w:numPr>
          <w:ilvl w:val="0"/>
          <w:numId w:val="16"/>
        </w:numPr>
        <w:jc w:val="both"/>
        <w:rPr>
          <w:szCs w:val="24"/>
          <w:lang w:val="en-GB"/>
        </w:rPr>
      </w:pPr>
      <w:r>
        <w:rPr>
          <w:szCs w:val="24"/>
          <w:lang w:val="en-GB"/>
        </w:rPr>
        <w:t>Body weight ≥60 kg to ≤ 90 kg, BMI 18 to 30.1 kg/m</w:t>
      </w:r>
      <w:r>
        <w:rPr>
          <w:szCs w:val="24"/>
          <w:vertAlign w:val="superscript"/>
          <w:lang w:val="en-GB"/>
        </w:rPr>
        <w:t>2</w:t>
      </w:r>
      <w:r>
        <w:rPr>
          <w:szCs w:val="24"/>
          <w:lang w:val="en-GB"/>
        </w:rPr>
        <w:t>. BMI = body weight (kg) / [height (m)]</w:t>
      </w:r>
      <w:r>
        <w:rPr>
          <w:szCs w:val="24"/>
          <w:vertAlign w:val="superscript"/>
          <w:lang w:val="en-GB"/>
        </w:rPr>
        <w:t>2</w:t>
      </w:r>
    </w:p>
    <w:p w14:paraId="325F7E1D" w14:textId="4441AEB6" w:rsidR="005E785F" w:rsidRDefault="003621E8">
      <w:pPr>
        <w:pStyle w:val="C-Bullet"/>
        <w:numPr>
          <w:ilvl w:val="0"/>
          <w:numId w:val="16"/>
        </w:numPr>
        <w:jc w:val="both"/>
        <w:rPr>
          <w:szCs w:val="24"/>
          <w:lang w:val="en-GB"/>
        </w:rPr>
      </w:pPr>
      <w:r>
        <w:rPr>
          <w:szCs w:val="24"/>
          <w:lang w:val="en-GB"/>
        </w:rPr>
        <w:t>Provision of written informed consent to participate as shown by a signature on the participant information sheet and consent form, after reading the information sheet and consent form, and after having the opportunity to discuss the trial with the Investigator or his/her delegate.</w:t>
      </w:r>
    </w:p>
    <w:p w14:paraId="1475DA8E" w14:textId="6B8BD36A" w:rsidR="005E785F" w:rsidRDefault="003621E8">
      <w:pPr>
        <w:pStyle w:val="C-Bullet"/>
        <w:numPr>
          <w:ilvl w:val="0"/>
          <w:numId w:val="16"/>
        </w:numPr>
        <w:jc w:val="both"/>
        <w:rPr>
          <w:szCs w:val="24"/>
          <w:lang w:val="en-GB"/>
        </w:rPr>
      </w:pPr>
      <w:r>
        <w:rPr>
          <w:szCs w:val="24"/>
          <w:lang w:val="en-GB"/>
        </w:rPr>
        <w:t>Normal blood pressure: Systolic blood pressure between ≥100 and ≤140 mmHg, Diastolic blood pressure ≤ 90 mmHg, measured after 10 min rest in supine position at Screening, admission, and pre-dose.</w:t>
      </w:r>
    </w:p>
    <w:p w14:paraId="084E4006" w14:textId="2397D7D4" w:rsidR="005E785F" w:rsidRDefault="003621E8">
      <w:pPr>
        <w:pStyle w:val="C-Bullet"/>
        <w:numPr>
          <w:ilvl w:val="0"/>
          <w:numId w:val="16"/>
        </w:numPr>
        <w:jc w:val="both"/>
        <w:rPr>
          <w:szCs w:val="24"/>
          <w:lang w:val="en-GB"/>
        </w:rPr>
      </w:pPr>
      <w:r>
        <w:rPr>
          <w:szCs w:val="24"/>
          <w:lang w:val="en-GB"/>
        </w:rPr>
        <w:t>A resting heart rate (HR) between ≥45 and ≤90 bpm measured after 10 min rest in supine position at Screening, admission, and pre-dose</w:t>
      </w:r>
    </w:p>
    <w:p w14:paraId="3CFACFC4" w14:textId="6FF451E6" w:rsidR="005E785F" w:rsidRDefault="003621E8">
      <w:pPr>
        <w:pStyle w:val="C-Bullet"/>
        <w:numPr>
          <w:ilvl w:val="0"/>
          <w:numId w:val="16"/>
        </w:numPr>
        <w:jc w:val="both"/>
        <w:rPr>
          <w:szCs w:val="24"/>
          <w:lang w:val="en-GB"/>
        </w:rPr>
      </w:pPr>
      <w:r>
        <w:rPr>
          <w:szCs w:val="24"/>
          <w:lang w:val="en-GB"/>
        </w:rPr>
        <w:t>ECG recording without clinically significant abnormality, including a QTcF measure of ≤ 450 msec.</w:t>
      </w:r>
    </w:p>
    <w:p w14:paraId="73FB1FA3" w14:textId="08FD79CD" w:rsidR="005E785F" w:rsidRDefault="003621E8">
      <w:pPr>
        <w:pStyle w:val="C-Bullet"/>
        <w:numPr>
          <w:ilvl w:val="0"/>
          <w:numId w:val="16"/>
        </w:numPr>
        <w:spacing w:line="240" w:lineRule="auto"/>
        <w:jc w:val="both"/>
        <w:rPr>
          <w:szCs w:val="24"/>
          <w:lang w:val="en-GB"/>
        </w:rPr>
      </w:pPr>
      <w:r>
        <w:rPr>
          <w:szCs w:val="24"/>
          <w:lang w:val="en-GB"/>
        </w:rPr>
        <w:t xml:space="preserve">Male participant (and partner of childbearing potential) willing to use a highly effective method of contraception (see </w:t>
      </w:r>
      <w:r>
        <w:rPr>
          <w:color w:val="0000FF"/>
          <w:szCs w:val="24"/>
          <w:lang w:val="en-GB"/>
        </w:rPr>
        <w:t xml:space="preserve">Section </w:t>
      </w:r>
      <w:r>
        <w:rPr>
          <w:color w:val="0000FF"/>
          <w:szCs w:val="24"/>
          <w:lang w:val="en-GB"/>
        </w:rPr>
        <w:fldChar w:fldCharType="begin"/>
      </w:r>
      <w:r>
        <w:rPr>
          <w:color w:val="0000FF"/>
          <w:szCs w:val="24"/>
          <w:lang w:val="en-GB"/>
        </w:rPr>
        <w:instrText xml:space="preserve"> REF _Ref66986307 \r \h </w:instrText>
      </w:r>
      <w:r>
        <w:rPr>
          <w:color w:val="0000FF"/>
          <w:szCs w:val="24"/>
          <w:lang w:val="en-GB"/>
        </w:rPr>
      </w:r>
      <w:r>
        <w:rPr>
          <w:color w:val="0000FF"/>
          <w:szCs w:val="24"/>
          <w:lang w:val="en-GB"/>
        </w:rPr>
        <w:fldChar w:fldCharType="separate"/>
      </w:r>
      <w:r>
        <w:rPr>
          <w:color w:val="0000FF"/>
          <w:szCs w:val="24"/>
          <w:lang w:val="en-GB"/>
        </w:rPr>
        <w:t>10.5.1</w:t>
      </w:r>
      <w:r>
        <w:rPr>
          <w:color w:val="0000FF"/>
          <w:szCs w:val="24"/>
          <w:lang w:val="en-GB"/>
        </w:rPr>
        <w:fldChar w:fldCharType="end"/>
      </w:r>
      <w:r>
        <w:rPr>
          <w:szCs w:val="24"/>
          <w:lang w:val="en-GB"/>
        </w:rPr>
        <w:t>), if applicable (unless anatomically sterile or where abstaining from sexual intercourse is in line with the preferred and usual lifestyle of the participant) from first dose until 3 months after last dose of IMP.</w:t>
      </w:r>
    </w:p>
    <w:p w14:paraId="73FB1FA5" w14:textId="0AFA7564" w:rsidR="005E785F" w:rsidRDefault="003621E8">
      <w:pPr>
        <w:pStyle w:val="C-Bullet"/>
        <w:numPr>
          <w:ilvl w:val="0"/>
          <w:numId w:val="16"/>
        </w:numPr>
        <w:spacing w:line="240" w:lineRule="auto"/>
        <w:jc w:val="both"/>
        <w:rPr>
          <w:lang w:val="en-GB"/>
        </w:rPr>
      </w:pPr>
      <w:r>
        <w:rPr>
          <w:lang w:val="en-GB"/>
        </w:rPr>
        <w:t>No clinically significant history of previous allergy / sensitivity to CpG ODN D35 or any of the excipients contained within the IMP(s).</w:t>
      </w:r>
    </w:p>
    <w:p w14:paraId="73FB1FA6" w14:textId="624C5FBB" w:rsidR="005E785F" w:rsidRDefault="003621E8">
      <w:pPr>
        <w:pStyle w:val="C-Bullet"/>
        <w:numPr>
          <w:ilvl w:val="0"/>
          <w:numId w:val="16"/>
        </w:numPr>
        <w:spacing w:line="240" w:lineRule="auto"/>
        <w:jc w:val="both"/>
        <w:rPr>
          <w:szCs w:val="24"/>
          <w:lang w:val="en-GB"/>
        </w:rPr>
      </w:pPr>
      <w:r>
        <w:rPr>
          <w:szCs w:val="24"/>
          <w:lang w:val="en-GB"/>
        </w:rPr>
        <w:t>No clinically significant abnormal test results for serum biochemistry, haematology and/or urine analyses within 28 days before the first dose administration of the IMP.</w:t>
      </w:r>
    </w:p>
    <w:p w14:paraId="73FB1FA7" w14:textId="7A5B3245" w:rsidR="005E785F" w:rsidRDefault="003621E8">
      <w:pPr>
        <w:pStyle w:val="C-Bullet"/>
        <w:numPr>
          <w:ilvl w:val="0"/>
          <w:numId w:val="16"/>
        </w:numPr>
        <w:spacing w:line="240" w:lineRule="auto"/>
        <w:jc w:val="both"/>
        <w:rPr>
          <w:szCs w:val="24"/>
          <w:lang w:val="en-GB"/>
        </w:rPr>
      </w:pPr>
      <w:r>
        <w:rPr>
          <w:szCs w:val="24"/>
          <w:lang w:val="en-GB"/>
        </w:rPr>
        <w:t>Participant with a negative urinary drugs of abuse (DOA) screen (including alcohol/cotinine) test results, determined within 28 days before the first dose administration of the IMP (N.B.: A positive test result may be repeated at the Investigator’s discretion).</w:t>
      </w:r>
    </w:p>
    <w:p w14:paraId="73FB1FAB" w14:textId="01185276" w:rsidR="005E785F" w:rsidRDefault="003621E8">
      <w:pPr>
        <w:pStyle w:val="C-Bullet"/>
        <w:numPr>
          <w:ilvl w:val="0"/>
          <w:numId w:val="16"/>
        </w:numPr>
        <w:spacing w:line="240" w:lineRule="auto"/>
        <w:jc w:val="both"/>
        <w:rPr>
          <w:szCs w:val="24"/>
          <w:lang w:val="en-GB"/>
        </w:rPr>
      </w:pPr>
      <w:r>
        <w:rPr>
          <w:szCs w:val="24"/>
          <w:lang w:val="en-GB"/>
        </w:rPr>
        <w:t>Participant must be available to complete the study (including all follow-up visits).</w:t>
      </w:r>
    </w:p>
    <w:p w14:paraId="73FB1FAD" w14:textId="61A1D3FB" w:rsidR="005E785F" w:rsidRDefault="003621E8">
      <w:pPr>
        <w:pStyle w:val="C-Bullet"/>
        <w:numPr>
          <w:ilvl w:val="0"/>
          <w:numId w:val="16"/>
        </w:numPr>
        <w:spacing w:line="240" w:lineRule="auto"/>
        <w:jc w:val="both"/>
        <w:rPr>
          <w:szCs w:val="24"/>
          <w:lang w:val="en-GB"/>
        </w:rPr>
      </w:pPr>
      <w:r>
        <w:rPr>
          <w:szCs w:val="24"/>
          <w:lang w:val="en-GB"/>
        </w:rPr>
        <w:lastRenderedPageBreak/>
        <w:t>Participant must satisfy an Investigator about his fitness to participate in the study.</w:t>
      </w:r>
    </w:p>
    <w:p w14:paraId="73FB1FAE" w14:textId="7F375072" w:rsidR="005E785F" w:rsidRDefault="003621E8">
      <w:pPr>
        <w:pStyle w:val="C-Bullet"/>
        <w:numPr>
          <w:ilvl w:val="0"/>
          <w:numId w:val="0"/>
        </w:numPr>
        <w:spacing w:line="240" w:lineRule="auto"/>
        <w:jc w:val="both"/>
        <w:rPr>
          <w:b/>
          <w:szCs w:val="24"/>
          <w:lang w:val="en-GB"/>
        </w:rPr>
      </w:pPr>
      <w:r>
        <w:rPr>
          <w:b/>
          <w:szCs w:val="24"/>
          <w:lang w:val="en-GB"/>
        </w:rPr>
        <w:t>To be re-confirmed on Day -1 / prior to first dose administration:</w:t>
      </w:r>
    </w:p>
    <w:p w14:paraId="73FB1FB0" w14:textId="12DF15E5" w:rsidR="005E785F" w:rsidRDefault="003621E8">
      <w:pPr>
        <w:pStyle w:val="C-Bullet"/>
        <w:numPr>
          <w:ilvl w:val="0"/>
          <w:numId w:val="17"/>
        </w:numPr>
        <w:spacing w:line="240" w:lineRule="auto"/>
        <w:jc w:val="both"/>
        <w:rPr>
          <w:szCs w:val="24"/>
          <w:lang w:val="en-GB"/>
        </w:rPr>
      </w:pPr>
      <w:r>
        <w:rPr>
          <w:szCs w:val="24"/>
          <w:lang w:val="en-GB"/>
        </w:rPr>
        <w:t>Participant continues to meet all Screening inclusion criteria.</w:t>
      </w:r>
    </w:p>
    <w:p w14:paraId="73FB1FB1" w14:textId="2B9ED75D" w:rsidR="005E785F" w:rsidRDefault="003621E8">
      <w:pPr>
        <w:pStyle w:val="C-Bullet"/>
        <w:numPr>
          <w:ilvl w:val="0"/>
          <w:numId w:val="17"/>
        </w:numPr>
        <w:spacing w:line="240" w:lineRule="auto"/>
        <w:jc w:val="both"/>
        <w:rPr>
          <w:szCs w:val="24"/>
          <w:lang w:val="en-GB"/>
        </w:rPr>
      </w:pPr>
      <w:r>
        <w:rPr>
          <w:szCs w:val="24"/>
          <w:lang w:val="en-GB"/>
        </w:rPr>
        <w:t>Participant with a negative urinary drugs of abuse screen (including alcohol/cotinine) prior to first dose administration.</w:t>
      </w:r>
    </w:p>
    <w:p w14:paraId="73FB1FB4" w14:textId="6FE5E647" w:rsidR="005E785F" w:rsidRDefault="003621E8">
      <w:pPr>
        <w:pStyle w:val="Heading3"/>
      </w:pPr>
      <w:bookmarkStart w:id="94" w:name="_Toc442875288"/>
      <w:bookmarkStart w:id="95" w:name="_Toc74904366"/>
      <w:bookmarkEnd w:id="94"/>
      <w:r>
        <w:t>Exclusion Criteria</w:t>
      </w:r>
      <w:bookmarkEnd w:id="95"/>
    </w:p>
    <w:p w14:paraId="73FB1FB6" w14:textId="241F31ED" w:rsidR="005E785F" w:rsidRDefault="003621E8">
      <w:pPr>
        <w:pStyle w:val="C-BodyText"/>
        <w:spacing w:line="240" w:lineRule="auto"/>
        <w:rPr>
          <w:b/>
          <w:lang w:val="en-GB"/>
        </w:rPr>
      </w:pPr>
      <w:r>
        <w:rPr>
          <w:b/>
          <w:lang w:val="en-GB"/>
        </w:rPr>
        <w:t>To be confirmed at Screening:</w:t>
      </w:r>
    </w:p>
    <w:p w14:paraId="13E3EA05" w14:textId="4C6D8125" w:rsidR="005E785F" w:rsidRDefault="003621E8">
      <w:pPr>
        <w:pStyle w:val="C-Bullet"/>
        <w:numPr>
          <w:ilvl w:val="0"/>
          <w:numId w:val="18"/>
        </w:numPr>
        <w:jc w:val="both"/>
        <w:rPr>
          <w:lang w:val="en-GB"/>
        </w:rPr>
      </w:pPr>
      <w:r>
        <w:rPr>
          <w:lang w:val="en-GB"/>
        </w:rPr>
        <w:t>Behavioural, cognitive, or psychiatric disease that in the opinion of the Investigator affects the ability of the participant to understand and cooperate with the study protocol.</w:t>
      </w:r>
    </w:p>
    <w:p w14:paraId="29957FA2" w14:textId="47CA357F" w:rsidR="005E785F" w:rsidRDefault="003621E8">
      <w:pPr>
        <w:pStyle w:val="C-Bullet"/>
        <w:numPr>
          <w:ilvl w:val="0"/>
          <w:numId w:val="18"/>
        </w:numPr>
        <w:jc w:val="both"/>
        <w:rPr>
          <w:lang w:val="en-GB"/>
        </w:rPr>
      </w:pPr>
      <w:r>
        <w:rPr>
          <w:lang w:val="en-GB"/>
        </w:rPr>
        <w:t xml:space="preserve">History of clinically significant cardiovascular, renal, hepatic, neurological (especially seizures), immunological, psychiatric, myopathies, bleeding tendency, respiratory and particularly GI disease, especially peptic ulceration and chronic gastritis, GI bleeding, ulcerative colitis, Crohn’s Disease or Irritable Bowel Syndrome, as judged by the Investigator. </w:t>
      </w:r>
    </w:p>
    <w:p w14:paraId="674E3E12" w14:textId="0C810300" w:rsidR="005E785F" w:rsidRDefault="003621E8">
      <w:pPr>
        <w:pStyle w:val="C-Bullet"/>
        <w:numPr>
          <w:ilvl w:val="0"/>
          <w:numId w:val="18"/>
        </w:numPr>
        <w:jc w:val="both"/>
        <w:rPr>
          <w:lang w:val="en-GB"/>
        </w:rPr>
      </w:pPr>
      <w:r>
        <w:rPr>
          <w:lang w:val="en-GB"/>
        </w:rPr>
        <w:t>Individual or family history of pre-existing autoimmune or antibody-mediated diseases including (but not limited to): systemic lupus erythematosus, rheumatoid arthritis, multiple sclerosis, Sjögren's syndrome, type 1 diabetes mellitus, auto-immune thyroiditis, Basedow syndrome, autoimmune thrombocytopenia; or proteinuria (greater than trace protein on urine dipstick testing).</w:t>
      </w:r>
    </w:p>
    <w:p w14:paraId="3FB018AC" w14:textId="77777777" w:rsidR="005E785F" w:rsidRDefault="003621E8">
      <w:pPr>
        <w:pStyle w:val="C-Bullet"/>
        <w:numPr>
          <w:ilvl w:val="0"/>
          <w:numId w:val="18"/>
        </w:numPr>
        <w:jc w:val="both"/>
        <w:rPr>
          <w:lang w:val="en-GB"/>
        </w:rPr>
      </w:pPr>
      <w:r>
        <w:rPr>
          <w:lang w:val="en-GB"/>
        </w:rPr>
        <w:t>History of allergy, hay fever, intolerance or photosensitivity to any drug or have a history of serious allergy, asthma, allergic skin rash or sensitivity to any drug.</w:t>
      </w:r>
    </w:p>
    <w:p w14:paraId="61AF5A0C" w14:textId="4C76B694" w:rsidR="005E785F" w:rsidRDefault="003621E8">
      <w:pPr>
        <w:pStyle w:val="C-Bullet"/>
        <w:numPr>
          <w:ilvl w:val="0"/>
          <w:numId w:val="18"/>
        </w:numPr>
        <w:jc w:val="both"/>
        <w:rPr>
          <w:lang w:val="en-GB"/>
        </w:rPr>
      </w:pPr>
      <w:r>
        <w:rPr>
          <w:lang w:val="en-GB"/>
        </w:rPr>
        <w:t xml:space="preserve">Subjects who are taking, or have taken, any prescribed or over-the-counter drug (including </w:t>
      </w:r>
      <w:bookmarkStart w:id="96" w:name="_Hlk65573061"/>
      <w:r>
        <w:rPr>
          <w:lang w:val="en-GB"/>
        </w:rPr>
        <w:t>non-steroidal anti-inflammatory drugs (NSAID</w:t>
      </w:r>
      <w:bookmarkEnd w:id="96"/>
      <w:r>
        <w:rPr>
          <w:lang w:val="en-GB"/>
        </w:rPr>
        <w:t xml:space="preserve">)) in the 28 days or 5 half-lives (whichever is longer) before IMP administration. Administration of up to 3 g of paracetamol per day within 7 days of IMP administration is allowed. </w:t>
      </w:r>
    </w:p>
    <w:p w14:paraId="7967E661" w14:textId="36D52C8A" w:rsidR="005E785F" w:rsidRDefault="003621E8">
      <w:pPr>
        <w:pStyle w:val="C-Bullet"/>
        <w:numPr>
          <w:ilvl w:val="0"/>
          <w:numId w:val="18"/>
        </w:numPr>
        <w:jc w:val="both"/>
        <w:rPr>
          <w:lang w:val="en-GB"/>
        </w:rPr>
      </w:pPr>
      <w:r>
        <w:rPr>
          <w:szCs w:val="24"/>
        </w:rPr>
        <w:t xml:space="preserve">Subjects who have received any prophylactic vaccine (including COVID-19 vaccine) or immunization within the last 28 days or use of corticosteroids or immunosuppressive drugs within 28 days of IMP administration. </w:t>
      </w:r>
    </w:p>
    <w:p w14:paraId="69F6B086" w14:textId="036484C6" w:rsidR="005E785F" w:rsidRDefault="003621E8">
      <w:pPr>
        <w:pStyle w:val="C-Bullet"/>
        <w:numPr>
          <w:ilvl w:val="0"/>
          <w:numId w:val="18"/>
        </w:numPr>
        <w:jc w:val="both"/>
        <w:rPr>
          <w:lang w:val="en-GB"/>
        </w:rPr>
      </w:pPr>
      <w:r>
        <w:rPr>
          <w:lang w:val="en-GB"/>
        </w:rPr>
        <w:t>Subjects with febrile illness or infectious illness within 2 weeks of IMP administration.</w:t>
      </w:r>
    </w:p>
    <w:p w14:paraId="37DF01E3" w14:textId="184E2644" w:rsidR="005E785F" w:rsidRDefault="003621E8">
      <w:pPr>
        <w:pStyle w:val="C-Bullet"/>
        <w:numPr>
          <w:ilvl w:val="0"/>
          <w:numId w:val="18"/>
        </w:numPr>
        <w:jc w:val="both"/>
        <w:rPr>
          <w:lang w:val="en-GB"/>
        </w:rPr>
      </w:pPr>
      <w:r>
        <w:rPr>
          <w:lang w:val="en-GB"/>
        </w:rPr>
        <w:t>Subjects with positive hepatitis B surface antigen (HBsAg), hepatitis C virus antibody (HCV Ab) and or human immunodeficiency virus (HIV) tests results at Screening.</w:t>
      </w:r>
    </w:p>
    <w:p w14:paraId="015828F3" w14:textId="54B88966" w:rsidR="005E785F" w:rsidRDefault="003621E8">
      <w:pPr>
        <w:pStyle w:val="C-Bullet"/>
        <w:numPr>
          <w:ilvl w:val="0"/>
          <w:numId w:val="18"/>
        </w:numPr>
        <w:jc w:val="both"/>
        <w:rPr>
          <w:lang w:val="en-GB"/>
        </w:rPr>
      </w:pPr>
      <w:r>
        <w:rPr>
          <w:lang w:val="en-GB"/>
        </w:rPr>
        <w:t>Positive RT-PCR COVID19 test at admission.</w:t>
      </w:r>
    </w:p>
    <w:p w14:paraId="2E27B0B2" w14:textId="25049603" w:rsidR="005E785F" w:rsidRDefault="003621E8">
      <w:pPr>
        <w:pStyle w:val="C-Bullet"/>
        <w:numPr>
          <w:ilvl w:val="0"/>
          <w:numId w:val="18"/>
        </w:numPr>
        <w:jc w:val="both"/>
        <w:rPr>
          <w:lang w:val="en-GB"/>
        </w:rPr>
      </w:pPr>
      <w:r>
        <w:rPr>
          <w:lang w:val="en-GB"/>
        </w:rPr>
        <w:t>Donation or loss of greater than 500 mL of blood within the previous 3 months</w:t>
      </w:r>
      <w:r>
        <w:t xml:space="preserve"> </w:t>
      </w:r>
      <w:r>
        <w:rPr>
          <w:lang w:val="en-GB"/>
        </w:rPr>
        <w:t>prior to IMP administration.</w:t>
      </w:r>
    </w:p>
    <w:p w14:paraId="43B25BE8" w14:textId="091ECFA1" w:rsidR="005E785F" w:rsidRDefault="003621E8">
      <w:pPr>
        <w:pStyle w:val="C-Bullet"/>
        <w:numPr>
          <w:ilvl w:val="0"/>
          <w:numId w:val="18"/>
        </w:numPr>
        <w:jc w:val="both"/>
        <w:rPr>
          <w:lang w:val="en-GB"/>
        </w:rPr>
      </w:pPr>
      <w:r>
        <w:rPr>
          <w:lang w:val="en-GB"/>
        </w:rPr>
        <w:t>Major surgery within 12 weeks prior to Screening.</w:t>
      </w:r>
    </w:p>
    <w:p w14:paraId="2C7C9DF3" w14:textId="6E3A8A02" w:rsidR="005E785F" w:rsidRDefault="003621E8">
      <w:pPr>
        <w:pStyle w:val="C-Bullet"/>
        <w:numPr>
          <w:ilvl w:val="0"/>
          <w:numId w:val="18"/>
        </w:numPr>
        <w:jc w:val="both"/>
        <w:rPr>
          <w:lang w:val="en-GB"/>
        </w:rPr>
      </w:pPr>
      <w:r>
        <w:rPr>
          <w:lang w:val="en-GB"/>
        </w:rPr>
        <w:lastRenderedPageBreak/>
        <w:t>Subjects who are known or suspected alcohol abusers (more than 14 units of alcohol per week, one unit = 8 g or about 10 mL of pure alcohol). Positive alcohol test at Screening or admission.</w:t>
      </w:r>
    </w:p>
    <w:p w14:paraId="43C43A29" w14:textId="77777777" w:rsidR="005E785F" w:rsidRDefault="003621E8">
      <w:pPr>
        <w:pStyle w:val="C-Bullet"/>
        <w:numPr>
          <w:ilvl w:val="0"/>
          <w:numId w:val="18"/>
        </w:numPr>
        <w:jc w:val="both"/>
        <w:rPr>
          <w:lang w:val="en-GB"/>
        </w:rPr>
      </w:pPr>
      <w:r>
        <w:rPr>
          <w:lang w:val="en-GB"/>
        </w:rPr>
        <w:t>Demonstrating excess in caffeine/xanthine consumption (more than 6 cups of coffee or equivalent a day).</w:t>
      </w:r>
    </w:p>
    <w:p w14:paraId="59F80A4A" w14:textId="10328B31" w:rsidR="005E785F" w:rsidRDefault="003621E8">
      <w:pPr>
        <w:pStyle w:val="C-Bullet"/>
        <w:numPr>
          <w:ilvl w:val="0"/>
          <w:numId w:val="18"/>
        </w:numPr>
        <w:jc w:val="both"/>
        <w:rPr>
          <w:lang w:val="en-GB"/>
        </w:rPr>
      </w:pPr>
      <w:r>
        <w:rPr>
          <w:lang w:val="en-GB"/>
        </w:rPr>
        <w:t>History of use of drugs of abuse in the past 2 years.</w:t>
      </w:r>
    </w:p>
    <w:p w14:paraId="3A90E9E3" w14:textId="4E0D842C" w:rsidR="005E785F" w:rsidRDefault="003621E8">
      <w:pPr>
        <w:pStyle w:val="C-Bullet"/>
        <w:numPr>
          <w:ilvl w:val="0"/>
          <w:numId w:val="18"/>
        </w:numPr>
        <w:jc w:val="both"/>
        <w:rPr>
          <w:lang w:val="en-GB"/>
        </w:rPr>
      </w:pPr>
      <w:r>
        <w:rPr>
          <w:lang w:val="en-GB"/>
        </w:rPr>
        <w:t xml:space="preserve">Subjects who do not have suitable veins for multiple venepunctures/cannulation. </w:t>
      </w:r>
    </w:p>
    <w:p w14:paraId="64697DD5" w14:textId="4219955A" w:rsidR="005E785F" w:rsidRDefault="003621E8">
      <w:pPr>
        <w:pStyle w:val="C-Bullet"/>
        <w:numPr>
          <w:ilvl w:val="0"/>
          <w:numId w:val="18"/>
        </w:numPr>
        <w:jc w:val="both"/>
        <w:rPr>
          <w:lang w:val="en-GB"/>
        </w:rPr>
      </w:pPr>
      <w:r>
        <w:rPr>
          <w:lang w:val="en-GB"/>
        </w:rPr>
        <w:t>Subjects who have any clinical condition or prior therapy which, in the opinion of the Investigator, could jeopardize the safety or rights of a volunteer participating in the trial or would render them unable to comply with the protocol.</w:t>
      </w:r>
    </w:p>
    <w:p w14:paraId="525E5EE8" w14:textId="3F30C216" w:rsidR="005E785F" w:rsidRDefault="003621E8">
      <w:pPr>
        <w:pStyle w:val="ListParagraph"/>
        <w:numPr>
          <w:ilvl w:val="0"/>
          <w:numId w:val="18"/>
        </w:numPr>
        <w:rPr>
          <w:rFonts w:cs="Times New Roman"/>
          <w:lang w:val="en-GB"/>
        </w:rPr>
      </w:pPr>
      <w:r>
        <w:rPr>
          <w:rFonts w:cs="Times New Roman"/>
          <w:lang w:val="en-GB"/>
        </w:rPr>
        <w:t xml:space="preserve">Participation in a </w:t>
      </w:r>
      <w:r>
        <w:rPr>
          <w:rFonts w:cs="Times New Roman"/>
          <w:szCs w:val="24"/>
        </w:rPr>
        <w:t xml:space="preserve">non-marketed drug </w:t>
      </w:r>
      <w:r>
        <w:rPr>
          <w:rFonts w:cs="Times New Roman"/>
          <w:lang w:val="en-GB"/>
        </w:rPr>
        <w:t>clinical study within 3 months or five half-lives (whichever is longer) or a marketed drug clinical study within 30 days or five half-lives (whichever is longer) before the first dose of IMP (washout period between studies is defined as the period of time elapsed between the last dose of the previous study and the first dose of the next study).</w:t>
      </w:r>
    </w:p>
    <w:p w14:paraId="5625997A" w14:textId="2B58DD53" w:rsidR="005E785F" w:rsidRDefault="003621E8">
      <w:pPr>
        <w:pStyle w:val="C-Bullet"/>
        <w:numPr>
          <w:ilvl w:val="0"/>
          <w:numId w:val="18"/>
        </w:numPr>
        <w:spacing w:line="240" w:lineRule="auto"/>
        <w:jc w:val="both"/>
        <w:rPr>
          <w:lang w:val="en-GB"/>
        </w:rPr>
      </w:pPr>
      <w:r>
        <w:rPr>
          <w:lang w:val="en-GB"/>
        </w:rPr>
        <w:t>Subjects who are study site employees, or immediate family members of a study site or sponsor employee.</w:t>
      </w:r>
    </w:p>
    <w:p w14:paraId="73FB1FBC" w14:textId="738C861D" w:rsidR="005E785F" w:rsidRDefault="003621E8">
      <w:pPr>
        <w:pStyle w:val="C-Bullet"/>
        <w:numPr>
          <w:ilvl w:val="0"/>
          <w:numId w:val="18"/>
        </w:numPr>
        <w:spacing w:line="240" w:lineRule="auto"/>
        <w:jc w:val="both"/>
        <w:rPr>
          <w:lang w:val="en-GB"/>
        </w:rPr>
      </w:pPr>
      <w:r>
        <w:rPr>
          <w:lang w:val="en-GB"/>
        </w:rPr>
        <w:t>Inability to communicate well with the Investigators (i.e., language problem, poor mental development or impaired cerebral function).</w:t>
      </w:r>
    </w:p>
    <w:p w14:paraId="4855ED6F" w14:textId="3D64A6BA" w:rsidR="005E785F" w:rsidRDefault="003621E8">
      <w:pPr>
        <w:pStyle w:val="C-Bullet"/>
        <w:numPr>
          <w:ilvl w:val="0"/>
          <w:numId w:val="18"/>
        </w:numPr>
        <w:jc w:val="both"/>
        <w:rPr>
          <w:lang w:val="en-GB"/>
        </w:rPr>
      </w:pPr>
      <w:r>
        <w:rPr>
          <w:lang w:val="en-GB"/>
        </w:rPr>
        <w:t>Users of nicotine products i.e., current smokers or ex-smokers who have smoked within the 6 months prior to</w:t>
      </w:r>
      <w:r>
        <w:t xml:space="preserve"> </w:t>
      </w:r>
      <w:r>
        <w:rPr>
          <w:lang w:val="en-GB"/>
        </w:rPr>
        <w:t xml:space="preserve"> Screening  or users of cigarette replacements (i.e., e-cigarettes, nicotine patches or gums).</w:t>
      </w:r>
    </w:p>
    <w:p w14:paraId="73FB1FC0" w14:textId="2D674966" w:rsidR="005E785F" w:rsidRDefault="003621E8">
      <w:pPr>
        <w:pStyle w:val="C-Bullet"/>
        <w:keepNext/>
        <w:numPr>
          <w:ilvl w:val="0"/>
          <w:numId w:val="0"/>
        </w:numPr>
        <w:spacing w:line="240" w:lineRule="auto"/>
        <w:jc w:val="both"/>
        <w:rPr>
          <w:b/>
          <w:lang w:val="en-GB"/>
        </w:rPr>
      </w:pPr>
      <w:r>
        <w:rPr>
          <w:b/>
          <w:lang w:val="en-GB"/>
        </w:rPr>
        <w:t>To be re-confirmed at Day -1 / prior to fist dose administration:</w:t>
      </w:r>
    </w:p>
    <w:p w14:paraId="73FB1FC2" w14:textId="7E29AB0E" w:rsidR="005E785F" w:rsidRDefault="003621E8">
      <w:pPr>
        <w:pStyle w:val="C-Bullet"/>
        <w:numPr>
          <w:ilvl w:val="0"/>
          <w:numId w:val="19"/>
        </w:numPr>
        <w:spacing w:line="240" w:lineRule="auto"/>
        <w:ind w:left="1080"/>
        <w:jc w:val="both"/>
        <w:rPr>
          <w:lang w:val="en-GB"/>
        </w:rPr>
      </w:pPr>
      <w:r>
        <w:rPr>
          <w:lang w:val="en-GB"/>
        </w:rPr>
        <w:t>Development of any exclusion criteria since the Screening visit.</w:t>
      </w:r>
    </w:p>
    <w:p w14:paraId="73FB1FDC" w14:textId="1FFD561F" w:rsidR="005E785F" w:rsidRDefault="003621E8">
      <w:pPr>
        <w:pStyle w:val="Heading2"/>
      </w:pPr>
      <w:bookmarkStart w:id="97" w:name="_Toc303783667"/>
      <w:bookmarkStart w:id="98" w:name="_Toc74904367"/>
      <w:bookmarkEnd w:id="97"/>
      <w:r>
        <w:t>Additional Advice and Restrictions for Study Population</w:t>
      </w:r>
      <w:bookmarkEnd w:id="98"/>
    </w:p>
    <w:p w14:paraId="73FB1FDE" w14:textId="77777777" w:rsidR="005E785F" w:rsidRDefault="003621E8">
      <w:pPr>
        <w:pStyle w:val="Heading3"/>
      </w:pPr>
      <w:bookmarkStart w:id="99" w:name="_Toc442875293"/>
      <w:bookmarkStart w:id="100" w:name="_Contraception"/>
      <w:bookmarkStart w:id="101" w:name="_Ref66986307"/>
      <w:bookmarkStart w:id="102" w:name="_Toc74904368"/>
      <w:bookmarkStart w:id="103" w:name="_Hlk4581488"/>
      <w:bookmarkEnd w:id="99"/>
      <w:bookmarkEnd w:id="100"/>
      <w:r>
        <w:t>Contraception</w:t>
      </w:r>
      <w:bookmarkEnd w:id="101"/>
      <w:bookmarkEnd w:id="102"/>
    </w:p>
    <w:p w14:paraId="1D42223B" w14:textId="6EDFB9B8" w:rsidR="005E785F" w:rsidRDefault="003621E8">
      <w:pPr>
        <w:spacing w:before="120" w:after="120"/>
        <w:jc w:val="both"/>
        <w:rPr>
          <w:rFonts w:cs="Times New Roman"/>
          <w:szCs w:val="24"/>
        </w:rPr>
      </w:pPr>
      <w:r>
        <w:rPr>
          <w:rFonts w:cs="Times New Roman"/>
          <w:szCs w:val="24"/>
        </w:rPr>
        <w:t>To prevent pregnancy, male participant (and partner of childbearing potential) must be willing to use a highly effective method of contraception, if applicable (unless anatomically sterile or where abstaining from sexual intercourse is in line with the preferred and usual lifestyle of the participant) from first dose until 3 months after last dose of IMP.  </w:t>
      </w:r>
    </w:p>
    <w:p w14:paraId="0D27F8D8" w14:textId="77777777" w:rsidR="005E785F" w:rsidRDefault="003621E8">
      <w:pPr>
        <w:spacing w:before="120" w:after="120"/>
        <w:jc w:val="both"/>
        <w:rPr>
          <w:rFonts w:cs="Times New Roman"/>
          <w:szCs w:val="24"/>
        </w:rPr>
      </w:pPr>
      <w:r>
        <w:rPr>
          <w:rFonts w:cs="Times New Roman"/>
          <w:szCs w:val="24"/>
        </w:rPr>
        <w:t>Highly effective methods of contraception include:</w:t>
      </w:r>
    </w:p>
    <w:p w14:paraId="51822DEA" w14:textId="77777777" w:rsidR="005E785F" w:rsidRDefault="003621E8">
      <w:pPr>
        <w:pStyle w:val="ListParagraph"/>
        <w:numPr>
          <w:ilvl w:val="0"/>
          <w:numId w:val="31"/>
        </w:numPr>
        <w:spacing w:before="120" w:after="120"/>
        <w:jc w:val="both"/>
        <w:rPr>
          <w:rFonts w:cs="Times New Roman"/>
          <w:szCs w:val="24"/>
        </w:rPr>
      </w:pPr>
      <w:r>
        <w:rPr>
          <w:rFonts w:cs="Times New Roman"/>
          <w:szCs w:val="24"/>
        </w:rPr>
        <w:t xml:space="preserve">Combined (oestrogen and progestogen containing) hormonal contraception (oral, intravaginal and transdermal) associated with inhibition of ovulation, </w:t>
      </w:r>
    </w:p>
    <w:p w14:paraId="0A2853BC" w14:textId="77777777" w:rsidR="005E785F" w:rsidRDefault="003621E8">
      <w:pPr>
        <w:pStyle w:val="ListParagraph"/>
        <w:numPr>
          <w:ilvl w:val="0"/>
          <w:numId w:val="31"/>
        </w:numPr>
        <w:spacing w:before="120" w:after="120"/>
        <w:jc w:val="both"/>
        <w:rPr>
          <w:rFonts w:cs="Times New Roman"/>
          <w:szCs w:val="24"/>
        </w:rPr>
      </w:pPr>
      <w:r>
        <w:rPr>
          <w:rFonts w:cs="Times New Roman"/>
          <w:szCs w:val="24"/>
        </w:rPr>
        <w:t xml:space="preserve">Progestogen-only hormonal contraception (oral, injectable and implantable) associated with inhibition of ovulation, </w:t>
      </w:r>
    </w:p>
    <w:p w14:paraId="48211216" w14:textId="77777777" w:rsidR="005E785F" w:rsidRDefault="003621E8">
      <w:pPr>
        <w:pStyle w:val="ListParagraph"/>
        <w:numPr>
          <w:ilvl w:val="0"/>
          <w:numId w:val="31"/>
        </w:numPr>
        <w:spacing w:before="120" w:after="120"/>
        <w:jc w:val="both"/>
        <w:rPr>
          <w:rFonts w:cs="Times New Roman"/>
          <w:szCs w:val="24"/>
        </w:rPr>
      </w:pPr>
      <w:r>
        <w:rPr>
          <w:rFonts w:cs="Times New Roman"/>
          <w:szCs w:val="24"/>
        </w:rPr>
        <w:t xml:space="preserve">Intrauterine device (IUD), </w:t>
      </w:r>
    </w:p>
    <w:p w14:paraId="37BFB813" w14:textId="77777777" w:rsidR="005E785F" w:rsidRDefault="003621E8">
      <w:pPr>
        <w:pStyle w:val="ListParagraph"/>
        <w:numPr>
          <w:ilvl w:val="0"/>
          <w:numId w:val="31"/>
        </w:numPr>
        <w:spacing w:before="120" w:after="120"/>
        <w:jc w:val="both"/>
        <w:rPr>
          <w:rFonts w:cs="Times New Roman"/>
          <w:szCs w:val="24"/>
        </w:rPr>
      </w:pPr>
      <w:r>
        <w:rPr>
          <w:rFonts w:cs="Times New Roman"/>
          <w:szCs w:val="24"/>
        </w:rPr>
        <w:t xml:space="preserve">Intrauterine hormone-releasing system (IUS), </w:t>
      </w:r>
    </w:p>
    <w:p w14:paraId="510581D3" w14:textId="77777777" w:rsidR="005E785F" w:rsidRDefault="003621E8">
      <w:pPr>
        <w:pStyle w:val="ListParagraph"/>
        <w:numPr>
          <w:ilvl w:val="0"/>
          <w:numId w:val="31"/>
        </w:numPr>
        <w:spacing w:before="120" w:after="120"/>
        <w:jc w:val="both"/>
        <w:rPr>
          <w:rFonts w:cs="Times New Roman"/>
          <w:szCs w:val="24"/>
        </w:rPr>
      </w:pPr>
      <w:r>
        <w:rPr>
          <w:rFonts w:cs="Times New Roman"/>
          <w:szCs w:val="24"/>
        </w:rPr>
        <w:lastRenderedPageBreak/>
        <w:t xml:space="preserve">Bilateral tubal occlusion, </w:t>
      </w:r>
    </w:p>
    <w:p w14:paraId="5B525C15" w14:textId="59D15ABF" w:rsidR="005E785F" w:rsidRDefault="003621E8">
      <w:pPr>
        <w:pStyle w:val="ListParagraph"/>
        <w:numPr>
          <w:ilvl w:val="0"/>
          <w:numId w:val="31"/>
        </w:numPr>
        <w:spacing w:before="120" w:after="120"/>
        <w:jc w:val="both"/>
        <w:rPr>
          <w:rFonts w:cs="Times New Roman"/>
          <w:szCs w:val="24"/>
        </w:rPr>
      </w:pPr>
      <w:r>
        <w:rPr>
          <w:rFonts w:cs="Times New Roman"/>
          <w:szCs w:val="24"/>
        </w:rPr>
        <w:t xml:space="preserve">Vasectomised partner </w:t>
      </w:r>
      <w:r>
        <w:rPr>
          <w:rFonts w:cs="Times New Roman"/>
          <w:szCs w:val="24"/>
          <w:lang w:val="en-GB"/>
        </w:rPr>
        <w:t xml:space="preserve">(with the appropriate post-vasectomy documentation of the </w:t>
      </w:r>
      <w:r>
        <w:rPr>
          <w:rFonts w:cs="Times New Roman"/>
          <w:spacing w:val="-2"/>
          <w:szCs w:val="24"/>
          <w:lang w:val="en-GB"/>
        </w:rPr>
        <w:t>absence of sperm in the ejaculate).</w:t>
      </w:r>
    </w:p>
    <w:p w14:paraId="73FB1FEE" w14:textId="382AD24E" w:rsidR="005E785F" w:rsidRDefault="003621E8">
      <w:pPr>
        <w:spacing w:before="120" w:after="120"/>
        <w:jc w:val="both"/>
        <w:rPr>
          <w:rFonts w:cs="Times New Roman"/>
          <w:szCs w:val="24"/>
          <w:lang w:val="en-GB"/>
        </w:rPr>
      </w:pPr>
      <w:r>
        <w:rPr>
          <w:rFonts w:cs="Times New Roman"/>
          <w:szCs w:val="24"/>
          <w:lang w:val="en-GB"/>
        </w:rPr>
        <w:t>To prevent exposure of any partner (male or female) during non-vaginal intercourse to the semen from a male participant who has been exposed to the IMP, the following contraception must be used:</w:t>
      </w:r>
    </w:p>
    <w:p w14:paraId="73FB1FEF" w14:textId="77777777" w:rsidR="005E785F" w:rsidRDefault="003621E8">
      <w:pPr>
        <w:pStyle w:val="C-Bullet"/>
        <w:tabs>
          <w:tab w:val="clear" w:pos="1069"/>
        </w:tabs>
        <w:ind w:left="720"/>
        <w:jc w:val="both"/>
        <w:rPr>
          <w:szCs w:val="24"/>
          <w:lang w:val="en-GB"/>
        </w:rPr>
      </w:pPr>
      <w:r>
        <w:rPr>
          <w:szCs w:val="24"/>
          <w:lang w:val="en-GB"/>
        </w:rPr>
        <w:t xml:space="preserve">Condom. </w:t>
      </w:r>
    </w:p>
    <w:p w14:paraId="73FB1FF0" w14:textId="34EA0C1F" w:rsidR="005E785F" w:rsidRDefault="003621E8">
      <w:pPr>
        <w:spacing w:before="120" w:after="120"/>
        <w:jc w:val="both"/>
        <w:rPr>
          <w:rFonts w:cs="Times New Roman"/>
          <w:szCs w:val="24"/>
          <w:lang w:val="en-GB"/>
        </w:rPr>
      </w:pPr>
      <w:r>
        <w:rPr>
          <w:rFonts w:cs="Times New Roman"/>
          <w:szCs w:val="24"/>
          <w:lang w:val="en-GB"/>
        </w:rPr>
        <w:t>The chosen contraception method(s) must be followed from the first dose until at least 3 months after receiving IMP.</w:t>
      </w:r>
    </w:p>
    <w:p w14:paraId="28098285" w14:textId="77777777" w:rsidR="005E785F" w:rsidRDefault="003621E8">
      <w:pPr>
        <w:spacing w:before="120" w:after="120"/>
        <w:ind w:right="27"/>
        <w:jc w:val="both"/>
        <w:rPr>
          <w:lang w:val="en-GB"/>
        </w:rPr>
      </w:pPr>
      <w:r>
        <w:rPr>
          <w:lang w:val="en-GB"/>
        </w:rPr>
        <w:t xml:space="preserve">Male participants must use a condom when engaging in sexual intercourse with a female who is pregnant or breastfeeding during the study. </w:t>
      </w:r>
    </w:p>
    <w:p w14:paraId="73FB201D" w14:textId="77777777" w:rsidR="005E785F" w:rsidRDefault="003621E8">
      <w:pPr>
        <w:pStyle w:val="Heading3"/>
      </w:pPr>
      <w:bookmarkStart w:id="104" w:name="_Toc74904369"/>
      <w:r>
        <w:t>Sperm Donation</w:t>
      </w:r>
      <w:bookmarkEnd w:id="104"/>
    </w:p>
    <w:p w14:paraId="73FB201F" w14:textId="668166BF" w:rsidR="005E785F" w:rsidRDefault="003621E8">
      <w:pPr>
        <w:spacing w:before="120" w:after="120"/>
        <w:jc w:val="both"/>
        <w:rPr>
          <w:lang w:val="en-GB"/>
        </w:rPr>
      </w:pPr>
      <w:r>
        <w:rPr>
          <w:lang w:val="en-GB"/>
        </w:rPr>
        <w:t>Participants must not donate sperm from the first dose and for at least 3 months after receiving IMP.</w:t>
      </w:r>
    </w:p>
    <w:p w14:paraId="73FB2025" w14:textId="77777777" w:rsidR="005E785F" w:rsidRDefault="003621E8">
      <w:pPr>
        <w:pStyle w:val="Heading3"/>
      </w:pPr>
      <w:bookmarkStart w:id="105" w:name="_Toc74904370"/>
      <w:r>
        <w:t>Diet and Fluid Restrictions</w:t>
      </w:r>
      <w:bookmarkEnd w:id="105"/>
    </w:p>
    <w:p w14:paraId="73FB2026" w14:textId="38A7365B" w:rsidR="005E785F" w:rsidRDefault="003621E8">
      <w:pPr>
        <w:pStyle w:val="Heading4"/>
      </w:pPr>
      <w:bookmarkStart w:id="106" w:name="_Toc74904371"/>
      <w:r>
        <w:t>Mealtimes/Fasts</w:t>
      </w:r>
      <w:bookmarkEnd w:id="106"/>
    </w:p>
    <w:p w14:paraId="1768057B" w14:textId="36B9E148" w:rsidR="005E785F" w:rsidRDefault="003621E8">
      <w:pPr>
        <w:pStyle w:val="CommentText"/>
        <w:spacing w:before="120" w:after="120"/>
        <w:jc w:val="both"/>
        <w:rPr>
          <w:sz w:val="24"/>
          <w:szCs w:val="24"/>
          <w:lang w:val="en-GB"/>
        </w:rPr>
      </w:pPr>
      <w:r>
        <w:rPr>
          <w:rFonts w:cs="Times New Roman"/>
          <w:sz w:val="24"/>
          <w:szCs w:val="24"/>
        </w:rPr>
        <w:t>At least 8 hours fasting is required prior to dosing on Day 1. All meals are served after completion of all examinations planned at a given timepoint.</w:t>
      </w:r>
    </w:p>
    <w:p w14:paraId="73FB2028" w14:textId="3AEEBC56" w:rsidR="005E785F" w:rsidRDefault="003621E8">
      <w:pPr>
        <w:pStyle w:val="CommentText"/>
        <w:jc w:val="both"/>
        <w:rPr>
          <w:i/>
          <w:color w:val="FF0000"/>
          <w:sz w:val="24"/>
          <w:szCs w:val="24"/>
          <w:lang w:val="en-GB"/>
        </w:rPr>
      </w:pPr>
      <w:r>
        <w:rPr>
          <w:sz w:val="24"/>
          <w:szCs w:val="24"/>
          <w:lang w:val="en-GB"/>
        </w:rPr>
        <w:t>Breakfast will be served: approximately 30 min post-dose.</w:t>
      </w:r>
    </w:p>
    <w:p w14:paraId="73FB2029" w14:textId="22110CCC" w:rsidR="005E785F" w:rsidRDefault="003621E8">
      <w:pPr>
        <w:pStyle w:val="CommentText"/>
        <w:spacing w:before="120" w:after="120"/>
        <w:jc w:val="both"/>
        <w:rPr>
          <w:sz w:val="24"/>
          <w:szCs w:val="24"/>
          <w:lang w:val="en-GB"/>
        </w:rPr>
      </w:pPr>
      <w:r>
        <w:rPr>
          <w:sz w:val="24"/>
          <w:szCs w:val="24"/>
          <w:lang w:val="en-GB"/>
        </w:rPr>
        <w:t>Lunch will be served: approximately 4 h post-dose.</w:t>
      </w:r>
    </w:p>
    <w:p w14:paraId="73FB202A" w14:textId="60DC4BB1" w:rsidR="005E785F" w:rsidRDefault="003621E8">
      <w:pPr>
        <w:pStyle w:val="CommentText"/>
        <w:spacing w:before="120" w:after="120"/>
        <w:jc w:val="both"/>
        <w:rPr>
          <w:sz w:val="24"/>
          <w:szCs w:val="24"/>
          <w:lang w:val="en-GB"/>
        </w:rPr>
      </w:pPr>
      <w:r>
        <w:rPr>
          <w:sz w:val="24"/>
          <w:szCs w:val="24"/>
          <w:lang w:val="en-GB"/>
        </w:rPr>
        <w:t>Dinner will be served: approximately 8 h post-dose.</w:t>
      </w:r>
    </w:p>
    <w:p w14:paraId="73FB202B" w14:textId="30E545F2" w:rsidR="005E785F" w:rsidRDefault="003621E8">
      <w:pPr>
        <w:pStyle w:val="CommentText"/>
        <w:spacing w:before="120" w:after="120"/>
        <w:jc w:val="both"/>
        <w:rPr>
          <w:sz w:val="24"/>
          <w:szCs w:val="24"/>
          <w:lang w:val="en-GB"/>
        </w:rPr>
      </w:pPr>
      <w:r>
        <w:rPr>
          <w:sz w:val="24"/>
          <w:szCs w:val="24"/>
          <w:lang w:val="en-GB"/>
        </w:rPr>
        <w:t>Snack will be served: approximately 12 h post-dose.</w:t>
      </w:r>
    </w:p>
    <w:p w14:paraId="73FB202C" w14:textId="77777777" w:rsidR="005E785F" w:rsidRDefault="003621E8">
      <w:pPr>
        <w:pStyle w:val="CommentText"/>
        <w:spacing w:before="120" w:after="120"/>
        <w:jc w:val="both"/>
        <w:rPr>
          <w:sz w:val="24"/>
          <w:szCs w:val="24"/>
          <w:lang w:val="en-GB"/>
        </w:rPr>
      </w:pPr>
      <w:r>
        <w:rPr>
          <w:sz w:val="24"/>
          <w:szCs w:val="24"/>
          <w:lang w:val="en-GB"/>
        </w:rPr>
        <w:t>On all non-dosing study days, whilst resident in the Clinical Unit, meals will be served at standard times.</w:t>
      </w:r>
    </w:p>
    <w:p w14:paraId="14A2EE38" w14:textId="77777777" w:rsidR="005E785F" w:rsidRDefault="003621E8">
      <w:pPr>
        <w:pStyle w:val="CommentText"/>
        <w:jc w:val="both"/>
        <w:rPr>
          <w:sz w:val="24"/>
          <w:szCs w:val="24"/>
          <w:lang w:val="en-GB"/>
        </w:rPr>
      </w:pPr>
      <w:r>
        <w:rPr>
          <w:sz w:val="24"/>
          <w:szCs w:val="24"/>
          <w:lang w:val="en-GB"/>
        </w:rPr>
        <w:t>Participants will choose meals from a standard menu while resident at the Clinical Unit.</w:t>
      </w:r>
    </w:p>
    <w:p w14:paraId="04E7DD61" w14:textId="2C6D0F62" w:rsidR="005E785F" w:rsidRDefault="003621E8">
      <w:pPr>
        <w:pStyle w:val="CommentText"/>
        <w:spacing w:before="120" w:after="120"/>
        <w:jc w:val="both"/>
        <w:rPr>
          <w:sz w:val="24"/>
          <w:szCs w:val="24"/>
          <w:lang w:val="en-GB"/>
        </w:rPr>
      </w:pPr>
      <w:r>
        <w:rPr>
          <w:rFonts w:cs="Times New Roman"/>
          <w:sz w:val="24"/>
          <w:szCs w:val="24"/>
        </w:rPr>
        <w:t>Subjects are required to fast for at least 8 h prior to laboratory sample collection for the following tests: Blood glucose (serum).</w:t>
      </w:r>
    </w:p>
    <w:p w14:paraId="73FB202E" w14:textId="3D64D352" w:rsidR="005E785F" w:rsidRDefault="003621E8">
      <w:pPr>
        <w:pStyle w:val="Heading4"/>
      </w:pPr>
      <w:bookmarkStart w:id="107" w:name="_Toc74904372"/>
      <w:r>
        <w:t>Fluid Intake</w:t>
      </w:r>
      <w:bookmarkEnd w:id="107"/>
    </w:p>
    <w:p w14:paraId="723D698B" w14:textId="73BBF958" w:rsidR="005E785F" w:rsidRDefault="003621E8">
      <w:pPr>
        <w:spacing w:before="120" w:after="120"/>
        <w:rPr>
          <w:lang w:val="en-GB"/>
        </w:rPr>
      </w:pPr>
      <w:r>
        <w:rPr>
          <w:lang w:val="en-GB"/>
        </w:rPr>
        <w:t xml:space="preserve">No fluid restrictions. </w:t>
      </w:r>
    </w:p>
    <w:p w14:paraId="73FB202F" w14:textId="71F73D42" w:rsidR="005E785F" w:rsidRDefault="003621E8">
      <w:pPr>
        <w:spacing w:before="120" w:after="120"/>
        <w:rPr>
          <w:lang w:val="en-GB"/>
        </w:rPr>
      </w:pPr>
      <w:r>
        <w:rPr>
          <w:lang w:val="en-GB"/>
        </w:rPr>
        <w:t>Only decaffeinated tea and coffee as well as squash/cordial are available while resident at the units.</w:t>
      </w:r>
    </w:p>
    <w:p w14:paraId="73FB2030" w14:textId="77777777" w:rsidR="005E785F" w:rsidRDefault="003621E8">
      <w:pPr>
        <w:pStyle w:val="Heading4"/>
      </w:pPr>
      <w:bookmarkStart w:id="108" w:name="_Toc74904373"/>
      <w:r>
        <w:lastRenderedPageBreak/>
        <w:t>Alcohol Intake</w:t>
      </w:r>
      <w:bookmarkEnd w:id="108"/>
    </w:p>
    <w:p w14:paraId="7A112349" w14:textId="77777777" w:rsidR="005E785F" w:rsidRDefault="003621E8">
      <w:pPr>
        <w:pStyle w:val="C-BodyText"/>
        <w:jc w:val="both"/>
        <w:rPr>
          <w:lang w:val="en-GB"/>
        </w:rPr>
      </w:pPr>
      <w:r>
        <w:rPr>
          <w:lang w:val="en-GB"/>
        </w:rPr>
        <w:t xml:space="preserve">Subjects must abstain from alcohol during the 24 h prior to Screening and the 48 h prior to admission until discharge from the study. Subject must have a negative alcohol screen at admission. </w:t>
      </w:r>
    </w:p>
    <w:p w14:paraId="22B80EAC" w14:textId="0380710D" w:rsidR="005E785F" w:rsidRDefault="003621E8">
      <w:pPr>
        <w:pStyle w:val="C-BodyText"/>
        <w:spacing w:line="240" w:lineRule="auto"/>
        <w:jc w:val="both"/>
        <w:rPr>
          <w:lang w:val="en-GB"/>
        </w:rPr>
      </w:pPr>
      <w:r>
        <w:rPr>
          <w:lang w:val="en-GB"/>
        </w:rPr>
        <w:t>From Day -7 to Day -3, the consumption of alcohol will be limited to a maximum of 2 units per day. Any deviation outside this alcohol intake restriction will be assessed on a case-by-case basis at Investigator’s discretion (provided the subject’s alcohol intake will not impact in the safety aspects and objectives of the study).</w:t>
      </w:r>
    </w:p>
    <w:p w14:paraId="73FB2032" w14:textId="77777777" w:rsidR="005E785F" w:rsidRDefault="003621E8">
      <w:pPr>
        <w:pStyle w:val="Heading4"/>
      </w:pPr>
      <w:bookmarkStart w:id="109" w:name="_Toc74904374"/>
      <w:r>
        <w:t>Caffeine</w:t>
      </w:r>
      <w:bookmarkEnd w:id="109"/>
    </w:p>
    <w:p w14:paraId="73FB2033" w14:textId="6142B487" w:rsidR="005E785F" w:rsidRDefault="003621E8">
      <w:pPr>
        <w:pStyle w:val="C-BodyText"/>
        <w:spacing w:line="240" w:lineRule="auto"/>
        <w:jc w:val="both"/>
        <w:rPr>
          <w:rFonts w:cs="Arial"/>
          <w:szCs w:val="24"/>
          <w:lang w:val="en-GB" w:eastAsia="de-DE"/>
        </w:rPr>
      </w:pPr>
      <w:r>
        <w:rPr>
          <w:rFonts w:cs="Arial"/>
          <w:szCs w:val="24"/>
          <w:lang w:val="en-GB" w:eastAsia="de-DE"/>
        </w:rPr>
        <w:t>Food or drink containing caffeine or other xanthines, including coffee, tea, cola, energy drinks or chocolates will be avoided completely 2 days prior to dosing (24 hours prior to admission on Day -1) until discharge from the study.</w:t>
      </w:r>
    </w:p>
    <w:p w14:paraId="73FB2034" w14:textId="1FBACA70" w:rsidR="005E785F" w:rsidRDefault="003621E8">
      <w:pPr>
        <w:pStyle w:val="Heading4"/>
      </w:pPr>
      <w:bookmarkStart w:id="110" w:name="_Toc74904375"/>
      <w:r>
        <w:t>Poppy and Sesame Seeds</w:t>
      </w:r>
      <w:bookmarkEnd w:id="110"/>
    </w:p>
    <w:p w14:paraId="73FB2037" w14:textId="5714908F" w:rsidR="005E785F" w:rsidRDefault="003621E8">
      <w:pPr>
        <w:pStyle w:val="C-BodyText"/>
        <w:spacing w:line="240" w:lineRule="auto"/>
        <w:jc w:val="both"/>
        <w:rPr>
          <w:bCs/>
          <w:szCs w:val="24"/>
          <w:lang w:val="en-GB"/>
        </w:rPr>
      </w:pPr>
      <w:r>
        <w:rPr>
          <w:bCs/>
          <w:szCs w:val="24"/>
          <w:lang w:val="en-GB"/>
        </w:rPr>
        <w:t>Participants will be advised that they must not eat food containing poppy and/or sesame seeds for 3 days before each visit to the Clinical Unit, as consumption of poppy and/or sesame seeds can lead to a positive opiate result in the DOA test.</w:t>
      </w:r>
    </w:p>
    <w:p w14:paraId="73FB2038" w14:textId="77777777" w:rsidR="005E785F" w:rsidRDefault="003621E8">
      <w:pPr>
        <w:pStyle w:val="Heading3"/>
      </w:pPr>
      <w:bookmarkStart w:id="111" w:name="_Toc74904376"/>
      <w:r>
        <w:t>Other Life-Style Restrictions</w:t>
      </w:r>
      <w:bookmarkEnd w:id="111"/>
    </w:p>
    <w:p w14:paraId="73FB2039" w14:textId="77777777" w:rsidR="005E785F" w:rsidRDefault="003621E8">
      <w:pPr>
        <w:pStyle w:val="Heading4"/>
      </w:pPr>
      <w:bookmarkStart w:id="112" w:name="_Toc74904377"/>
      <w:r>
        <w:t>Strenuous Exercise</w:t>
      </w:r>
      <w:bookmarkEnd w:id="112"/>
    </w:p>
    <w:p w14:paraId="73FB203A" w14:textId="41145253" w:rsidR="005E785F" w:rsidRDefault="003621E8">
      <w:pPr>
        <w:pStyle w:val="C-BodyText"/>
        <w:spacing w:line="240" w:lineRule="auto"/>
        <w:jc w:val="both"/>
        <w:rPr>
          <w:lang w:val="en-GB"/>
        </w:rPr>
      </w:pPr>
      <w:r>
        <w:rPr>
          <w:lang w:val="en-GB"/>
        </w:rPr>
        <w:t>Strenuous exercise must be avoided completely from 3 days before dosing of IMP until the final study visit.</w:t>
      </w:r>
    </w:p>
    <w:p w14:paraId="73FB203B" w14:textId="77777777" w:rsidR="005E785F" w:rsidRDefault="003621E8">
      <w:pPr>
        <w:pStyle w:val="Heading4"/>
      </w:pPr>
      <w:bookmarkStart w:id="113" w:name="_Toc74904378"/>
      <w:r>
        <w:t>Blood Donation</w:t>
      </w:r>
      <w:bookmarkEnd w:id="113"/>
    </w:p>
    <w:p w14:paraId="73FB203C" w14:textId="58A786DA" w:rsidR="005E785F" w:rsidRDefault="003621E8">
      <w:pPr>
        <w:pStyle w:val="C-BodyText"/>
        <w:spacing w:line="240" w:lineRule="auto"/>
        <w:jc w:val="both"/>
        <w:rPr>
          <w:lang w:val="en-GB"/>
        </w:rPr>
      </w:pPr>
      <w:r>
        <w:rPr>
          <w:lang w:val="en-GB"/>
        </w:rPr>
        <w:t>Participants will be advised that they should not donate blood for at least 3 months after the final study visit.</w:t>
      </w:r>
    </w:p>
    <w:p w14:paraId="4E24778D" w14:textId="77777777" w:rsidR="005E785F" w:rsidRDefault="003621E8">
      <w:pPr>
        <w:pStyle w:val="Heading4"/>
      </w:pPr>
      <w:bookmarkStart w:id="114" w:name="_Toc74904379"/>
      <w:r>
        <w:rPr>
          <w:szCs w:val="24"/>
        </w:rPr>
        <w:t>Phototoxicity</w:t>
      </w:r>
      <w:bookmarkEnd w:id="114"/>
    </w:p>
    <w:p w14:paraId="13C6773A" w14:textId="6E90DD1D" w:rsidR="005E785F" w:rsidRDefault="003621E8">
      <w:pPr>
        <w:spacing w:before="120" w:after="120"/>
        <w:jc w:val="both"/>
        <w:rPr>
          <w:lang w:val="en-GB"/>
        </w:rPr>
      </w:pPr>
      <w:r>
        <w:rPr>
          <w:rFonts w:cs="Times New Roman"/>
          <w:szCs w:val="24"/>
        </w:rPr>
        <w:t>Phototoxicity has not been assessed in pre-clinical studies. As a precaution, it is recommended that subjects should not exposed themselves to sun for up to follow-up visit following dose.</w:t>
      </w:r>
    </w:p>
    <w:p w14:paraId="6FFA6AF5" w14:textId="08753679" w:rsidR="005E785F" w:rsidRDefault="003621E8">
      <w:pPr>
        <w:pStyle w:val="Heading3"/>
      </w:pPr>
      <w:bookmarkStart w:id="115" w:name="_Ref66986214"/>
      <w:bookmarkStart w:id="116" w:name="_Toc74904380"/>
      <w:r>
        <w:t>Removal of Participants from Therapy or Assessment</w:t>
      </w:r>
      <w:bookmarkEnd w:id="115"/>
      <w:bookmarkEnd w:id="116"/>
    </w:p>
    <w:p w14:paraId="74E634C8" w14:textId="271BF7E6" w:rsidR="005E785F" w:rsidRDefault="003621E8">
      <w:pPr>
        <w:pStyle w:val="C-BodyText"/>
        <w:spacing w:line="240" w:lineRule="auto"/>
        <w:jc w:val="both"/>
        <w:rPr>
          <w:lang w:val="en-GB"/>
        </w:rPr>
      </w:pPr>
      <w:r>
        <w:rPr>
          <w:lang w:val="en-GB"/>
        </w:rPr>
        <w:t>Each participant will be informed of their right to withdraw from the study at any time and for any reason.</w:t>
      </w:r>
    </w:p>
    <w:p w14:paraId="3E83DF8E" w14:textId="61F5E7B2" w:rsidR="005E785F" w:rsidRDefault="003621E8">
      <w:pPr>
        <w:pStyle w:val="C-BodyText"/>
        <w:spacing w:line="240" w:lineRule="auto"/>
        <w:jc w:val="both"/>
        <w:rPr>
          <w:lang w:val="en-GB"/>
        </w:rPr>
      </w:pPr>
      <w:r>
        <w:rPr>
          <w:lang w:val="en-GB"/>
        </w:rPr>
        <w:t>An Investigator will withdraw a participant from the study at any time for any of the following reasons:</w:t>
      </w:r>
    </w:p>
    <w:p w14:paraId="64243103" w14:textId="0C68D176" w:rsidR="005E785F" w:rsidRDefault="003621E8">
      <w:pPr>
        <w:pStyle w:val="C-Bullet"/>
        <w:spacing w:line="240" w:lineRule="auto"/>
        <w:jc w:val="both"/>
        <w:rPr>
          <w:lang w:val="en-GB"/>
        </w:rPr>
      </w:pPr>
      <w:r>
        <w:rPr>
          <w:lang w:val="en-GB"/>
        </w:rPr>
        <w:t>If a participant experiences a serious or intolerable AE, that prevents them from continuing.</w:t>
      </w:r>
    </w:p>
    <w:p w14:paraId="5B79258B" w14:textId="4C9295B7" w:rsidR="005E785F" w:rsidRDefault="003621E8">
      <w:pPr>
        <w:pStyle w:val="C-Bullet"/>
        <w:spacing w:line="240" w:lineRule="auto"/>
        <w:jc w:val="both"/>
        <w:rPr>
          <w:lang w:val="en-GB"/>
        </w:rPr>
      </w:pPr>
      <w:r>
        <w:rPr>
          <w:lang w:val="en-GB"/>
        </w:rPr>
        <w:lastRenderedPageBreak/>
        <w:t>If a participant incurs a significant protocol violation which impacts on their safety or the scientific integrity of the study (this will be discussed on a case</w:t>
      </w:r>
      <w:r>
        <w:rPr>
          <w:lang w:val="en-GB"/>
        </w:rPr>
        <w:noBreakHyphen/>
        <w:t>by</w:t>
      </w:r>
      <w:r>
        <w:rPr>
          <w:lang w:val="en-GB"/>
        </w:rPr>
        <w:noBreakHyphen/>
        <w:t>case basis with the Sponsor).</w:t>
      </w:r>
    </w:p>
    <w:p w14:paraId="51A21D16" w14:textId="77777777" w:rsidR="005E785F" w:rsidRDefault="003621E8">
      <w:pPr>
        <w:pStyle w:val="C-Bullet"/>
        <w:spacing w:line="240" w:lineRule="auto"/>
        <w:jc w:val="both"/>
        <w:rPr>
          <w:lang w:val="en-GB"/>
        </w:rPr>
      </w:pPr>
      <w:r>
        <w:rPr>
          <w:lang w:val="en-GB"/>
        </w:rPr>
        <w:t>At the request of the Sponsor.</w:t>
      </w:r>
    </w:p>
    <w:p w14:paraId="5342BBCB" w14:textId="634AE86E" w:rsidR="005E785F" w:rsidRDefault="003621E8">
      <w:pPr>
        <w:pStyle w:val="C-Bullet"/>
        <w:spacing w:line="240" w:lineRule="auto"/>
        <w:jc w:val="both"/>
        <w:rPr>
          <w:lang w:val="en-GB"/>
        </w:rPr>
      </w:pPr>
      <w:r>
        <w:rPr>
          <w:lang w:val="en-GB"/>
        </w:rPr>
        <w:t>If it is considered that the participant’s health is compromised by remaining in the study or the participant is not sufficiently cooperative.</w:t>
      </w:r>
    </w:p>
    <w:p w14:paraId="1DF59412" w14:textId="1E034D50" w:rsidR="005E785F" w:rsidRDefault="003621E8">
      <w:pPr>
        <w:pStyle w:val="C-Bullet"/>
        <w:spacing w:line="240" w:lineRule="auto"/>
        <w:jc w:val="both"/>
        <w:rPr>
          <w:lang w:val="en-GB"/>
        </w:rPr>
      </w:pPr>
      <w:r>
        <w:rPr>
          <w:lang w:val="en-GB"/>
        </w:rPr>
        <w:t>If a participant is lost to follow-up.</w:t>
      </w:r>
    </w:p>
    <w:p w14:paraId="0FC3A233" w14:textId="4A4B3A53" w:rsidR="005E785F" w:rsidRDefault="003621E8">
      <w:pPr>
        <w:pStyle w:val="C-Bullet"/>
        <w:spacing w:line="240" w:lineRule="auto"/>
        <w:jc w:val="both"/>
        <w:rPr>
          <w:i/>
          <w:lang w:val="en-GB"/>
        </w:rPr>
      </w:pPr>
      <w:r>
        <w:rPr>
          <w:iCs/>
          <w:lang w:val="en-GB"/>
        </w:rPr>
        <w:t xml:space="preserve">If a participant meets any of the stopping criteria specified in </w:t>
      </w:r>
      <w:r>
        <w:rPr>
          <w:iCs/>
          <w:color w:val="0000FF"/>
          <w:lang w:val="en-GB"/>
        </w:rPr>
        <w:t xml:space="preserve">Section </w:t>
      </w:r>
      <w:r>
        <w:rPr>
          <w:iCs/>
          <w:color w:val="0000FF"/>
          <w:lang w:val="en-GB"/>
        </w:rPr>
        <w:fldChar w:fldCharType="begin"/>
      </w:r>
      <w:r>
        <w:rPr>
          <w:iCs/>
          <w:color w:val="0000FF"/>
          <w:lang w:val="en-GB"/>
        </w:rPr>
        <w:instrText xml:space="preserve"> REF _Ref66986837 \r \h </w:instrText>
      </w:r>
      <w:r>
        <w:rPr>
          <w:iCs/>
          <w:color w:val="0000FF"/>
          <w:lang w:val="en-GB"/>
        </w:rPr>
      </w:r>
      <w:r>
        <w:rPr>
          <w:iCs/>
          <w:color w:val="0000FF"/>
          <w:lang w:val="en-GB"/>
        </w:rPr>
        <w:fldChar w:fldCharType="separate"/>
      </w:r>
      <w:r>
        <w:rPr>
          <w:iCs/>
          <w:color w:val="0000FF"/>
          <w:lang w:val="en-GB"/>
        </w:rPr>
        <w:t>10.2</w:t>
      </w:r>
      <w:r>
        <w:rPr>
          <w:iCs/>
          <w:color w:val="0000FF"/>
          <w:lang w:val="en-GB"/>
        </w:rPr>
        <w:fldChar w:fldCharType="end"/>
      </w:r>
      <w:r>
        <w:rPr>
          <w:i/>
          <w:lang w:val="en-GB"/>
        </w:rPr>
        <w:t>.</w:t>
      </w:r>
    </w:p>
    <w:p w14:paraId="7FFFCB05" w14:textId="3D1A509D" w:rsidR="005E785F" w:rsidRDefault="003621E8">
      <w:pPr>
        <w:pStyle w:val="C-BodyText"/>
        <w:spacing w:line="240" w:lineRule="auto"/>
        <w:jc w:val="both"/>
        <w:rPr>
          <w:lang w:val="en-GB"/>
        </w:rPr>
      </w:pPr>
      <w:r>
        <w:rPr>
          <w:lang w:val="en-GB"/>
        </w:rPr>
        <w:t>The reasons for any participant withdrawal will be recorded on the study completion form of the electronic case report form (eCRF).</w:t>
      </w:r>
    </w:p>
    <w:p w14:paraId="131C7D4C" w14:textId="7BB28209" w:rsidR="005E785F" w:rsidRDefault="003621E8">
      <w:pPr>
        <w:spacing w:before="120" w:after="120"/>
        <w:jc w:val="both"/>
        <w:rPr>
          <w:lang w:val="en-GB"/>
        </w:rPr>
      </w:pPr>
      <w:r>
        <w:rPr>
          <w:lang w:val="en-GB"/>
        </w:rPr>
        <w:t xml:space="preserve">If a participant is withdrawn or chooses to withdraw from the study for any reason, every possible effort will be made to perform the evaluations described for the post study follow-up (see </w:t>
      </w:r>
      <w:r>
        <w:rPr>
          <w:color w:val="0000FF"/>
          <w:lang w:val="en-GB"/>
        </w:rPr>
        <w:fldChar w:fldCharType="begin"/>
      </w:r>
      <w:r>
        <w:rPr>
          <w:color w:val="0000FF"/>
          <w:lang w:val="en-GB"/>
        </w:rPr>
        <w:instrText xml:space="preserve"> REF _Ref66109390 \h </w:instrText>
      </w:r>
      <w:r>
        <w:rPr>
          <w:color w:val="0000FF"/>
          <w:lang w:val="en-GB"/>
        </w:rPr>
      </w:r>
      <w:r>
        <w:rPr>
          <w:color w:val="0000FF"/>
          <w:lang w:val="en-GB"/>
        </w:rPr>
        <w:fldChar w:fldCharType="separate"/>
      </w:r>
      <w:r>
        <w:rPr>
          <w:color w:val="0000FF"/>
        </w:rPr>
        <w:t>Table 5</w:t>
      </w:r>
      <w:r>
        <w:rPr>
          <w:color w:val="0000FF"/>
          <w:lang w:val="en-GB"/>
        </w:rPr>
        <w:fldChar w:fldCharType="end"/>
      </w:r>
      <w:r>
        <w:rPr>
          <w:lang w:val="en-GB"/>
        </w:rPr>
        <w:t>).  The safety data collected from withdrawn participants will be included in the study report.</w:t>
      </w:r>
    </w:p>
    <w:p w14:paraId="46FF9776" w14:textId="59AE60FC" w:rsidR="005E785F" w:rsidRDefault="003621E8">
      <w:pPr>
        <w:pStyle w:val="C-BodyText"/>
        <w:spacing w:line="240" w:lineRule="auto"/>
        <w:jc w:val="both"/>
        <w:rPr>
          <w:lang w:val="en-GB"/>
        </w:rPr>
      </w:pPr>
      <w:r>
        <w:rPr>
          <w:lang w:val="en-GB"/>
        </w:rPr>
        <w:t>In the event of any abnormalities considered to be clinically significant, participants will be followed-up with appropriate medical management until values are considered to be clinically acceptable. Referral or collaborative care will be organised if considered necessary.</w:t>
      </w:r>
    </w:p>
    <w:p w14:paraId="56627550" w14:textId="2ECE8692" w:rsidR="005E785F" w:rsidRDefault="003621E8">
      <w:pPr>
        <w:pStyle w:val="C-BodyText"/>
        <w:spacing w:line="240" w:lineRule="auto"/>
        <w:jc w:val="both"/>
        <w:rPr>
          <w:lang w:val="en-GB"/>
        </w:rPr>
      </w:pPr>
      <w:r>
        <w:rPr>
          <w:lang w:val="en-GB"/>
        </w:rPr>
        <w:t>Up to thirty-two (32) participants are required to complete the study. Participants who withdraw from the study before receiving any IMP will be replaced. Participants who are withdrawn from the study due to significant drug-related AEs will not be replaced.  Replacement of all other participants withdrawn from the study after receiving IMP will be decided on a case</w:t>
      </w:r>
      <w:r>
        <w:rPr>
          <w:lang w:val="en-GB"/>
        </w:rPr>
        <w:noBreakHyphen/>
        <w:t>by</w:t>
      </w:r>
      <w:r>
        <w:rPr>
          <w:lang w:val="en-GB"/>
        </w:rPr>
        <w:noBreakHyphen/>
        <w:t>case basis by the PI (or deputy) and Sponsor.</w:t>
      </w:r>
    </w:p>
    <w:p w14:paraId="73FB203E" w14:textId="060B3423" w:rsidR="005E785F" w:rsidRDefault="003621E8">
      <w:pPr>
        <w:pStyle w:val="Heading2"/>
      </w:pPr>
      <w:bookmarkStart w:id="117" w:name="_Toc74904381"/>
      <w:bookmarkStart w:id="118" w:name="_Toc7521746"/>
      <w:bookmarkEnd w:id="103"/>
      <w:r>
        <w:t>Investigational Medicinal Product</w:t>
      </w:r>
      <w:bookmarkEnd w:id="117"/>
      <w:r>
        <w:t xml:space="preserve"> </w:t>
      </w:r>
      <w:bookmarkEnd w:id="118"/>
    </w:p>
    <w:p w14:paraId="73FB2040" w14:textId="77777777" w:rsidR="005E785F" w:rsidRDefault="003621E8">
      <w:pPr>
        <w:pStyle w:val="Heading3"/>
        <w:numPr>
          <w:ilvl w:val="2"/>
          <w:numId w:val="28"/>
        </w:numPr>
      </w:pPr>
      <w:bookmarkStart w:id="119" w:name="_Toc353889537"/>
      <w:bookmarkStart w:id="120" w:name="_Toc74904382"/>
      <w:bookmarkStart w:id="121" w:name="_Toc200273930"/>
      <w:bookmarkEnd w:id="119"/>
      <w:r>
        <w:t>Identity</w:t>
      </w:r>
      <w:bookmarkEnd w:id="120"/>
    </w:p>
    <w:bookmarkEnd w:id="121"/>
    <w:p w14:paraId="3FD899DA" w14:textId="77777777" w:rsidR="005E785F" w:rsidRDefault="003621E8">
      <w:pPr>
        <w:pStyle w:val="BodyText"/>
        <w:rPr>
          <w:szCs w:val="24"/>
        </w:rPr>
      </w:pPr>
      <w:r>
        <w:rPr>
          <w:szCs w:val="24"/>
        </w:rPr>
        <w:t>The investigational product (active and placebo) will be supplied as a solution for SC injection in a sterile 2R Type I vial sealed with ETFE coated bromobutyl stopper and aluminium overseal. Each vial of active contains 15 mg/mL of CpG ODN D35 as a 2.5 mL single-use solution. The investigational product also contains the following non-active ingredient: trehalose dihydrate (88 mg/mL) as a tonicity agent.</w:t>
      </w:r>
    </w:p>
    <w:p w14:paraId="3962460B" w14:textId="0D7D6D8D" w:rsidR="005E785F" w:rsidRDefault="003621E8">
      <w:pPr>
        <w:pStyle w:val="BodyText"/>
        <w:rPr>
          <w:szCs w:val="24"/>
        </w:rPr>
      </w:pPr>
      <w:r>
        <w:rPr>
          <w:szCs w:val="24"/>
        </w:rPr>
        <w:t>A placebo for CpG ODN D35 solution for injection is also provided. The placebo solution for injection is made using the same non-active excipient trehalose dihydrate (88 mg/mL) as the investigational product.</w:t>
      </w:r>
    </w:p>
    <w:p w14:paraId="73FB2043" w14:textId="71C306C7" w:rsidR="005E785F" w:rsidRDefault="003621E8">
      <w:pPr>
        <w:pStyle w:val="BodyText"/>
        <w:rPr>
          <w:szCs w:val="24"/>
        </w:rPr>
      </w:pPr>
      <w:r>
        <w:rPr>
          <w:szCs w:val="24"/>
        </w:rPr>
        <w:t xml:space="preserve">The identity of each IMP is detailed in </w:t>
      </w:r>
      <w:r>
        <w:rPr>
          <w:color w:val="0000FF"/>
          <w:szCs w:val="24"/>
        </w:rPr>
        <w:fldChar w:fldCharType="begin"/>
      </w:r>
      <w:r>
        <w:rPr>
          <w:color w:val="0000FF"/>
          <w:szCs w:val="24"/>
        </w:rPr>
        <w:instrText xml:space="preserve"> REF _Ref66116664 \h </w:instrText>
      </w:r>
      <w:r>
        <w:rPr>
          <w:color w:val="0000FF"/>
          <w:szCs w:val="24"/>
        </w:rPr>
      </w:r>
      <w:r>
        <w:rPr>
          <w:color w:val="0000FF"/>
          <w:szCs w:val="24"/>
        </w:rPr>
        <w:fldChar w:fldCharType="separate"/>
      </w:r>
      <w:r>
        <w:rPr>
          <w:color w:val="0000FF"/>
        </w:rPr>
        <w:t>Table 3</w:t>
      </w:r>
      <w:r>
        <w:rPr>
          <w:color w:val="0000FF"/>
          <w:szCs w:val="24"/>
        </w:rPr>
        <w:fldChar w:fldCharType="end"/>
      </w:r>
      <w:r>
        <w:rPr>
          <w:color w:val="0000FF"/>
          <w:szCs w:val="24"/>
        </w:rPr>
        <w:t>.</w:t>
      </w:r>
    </w:p>
    <w:p w14:paraId="73FB2044" w14:textId="7B7FBD60" w:rsidR="005E785F" w:rsidRDefault="003621E8">
      <w:pPr>
        <w:pStyle w:val="Caption"/>
        <w:rPr>
          <w:rFonts w:ascii="Times New Roman Bold" w:hAnsi="Times New Roman Bold"/>
          <w:lang w:val="en-GB"/>
        </w:rPr>
      </w:pPr>
      <w:bookmarkStart w:id="122" w:name="_Ref66116664"/>
      <w:bookmarkStart w:id="123" w:name="_Toc66992764"/>
      <w:bookmarkStart w:id="124" w:name="_Hlk65226573"/>
      <w:r>
        <w:t xml:space="preserve">Table </w:t>
      </w:r>
      <w:r w:rsidR="00747B9C">
        <w:fldChar w:fldCharType="begin"/>
      </w:r>
      <w:r w:rsidR="00747B9C">
        <w:instrText xml:space="preserve"> SEQ </w:instrText>
      </w:r>
      <w:r w:rsidR="00747B9C">
        <w:instrText xml:space="preserve">Table \* ARABIC </w:instrText>
      </w:r>
      <w:r w:rsidR="00747B9C">
        <w:fldChar w:fldCharType="separate"/>
      </w:r>
      <w:r>
        <w:t>3</w:t>
      </w:r>
      <w:r w:rsidR="00747B9C">
        <w:fldChar w:fldCharType="end"/>
      </w:r>
      <w:bookmarkEnd w:id="122"/>
      <w:r>
        <w:tab/>
      </w:r>
      <w:r>
        <w:rPr>
          <w:lang w:val="en-GB"/>
        </w:rPr>
        <w:t>Identity of Investigational Medicinal Products</w:t>
      </w:r>
      <w:bookmarkEnd w:id="123"/>
      <w:r>
        <w:rPr>
          <w:rFonts w:ascii="Times New Roman Bold" w:hAnsi="Times New Roman Bold"/>
          <w:color w:val="FF0000"/>
          <w:lang w:val="en-GB"/>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8"/>
        <w:gridCol w:w="1845"/>
        <w:gridCol w:w="3544"/>
        <w:gridCol w:w="1650"/>
      </w:tblGrid>
      <w:tr w:rsidR="005E785F" w14:paraId="73FB204A" w14:textId="77777777">
        <w:trPr>
          <w:jc w:val="center"/>
        </w:trPr>
        <w:tc>
          <w:tcPr>
            <w:tcW w:w="1097" w:type="pct"/>
            <w:vAlign w:val="center"/>
          </w:tcPr>
          <w:bookmarkEnd w:id="124"/>
          <w:p w14:paraId="73FB2046" w14:textId="7DA52107" w:rsidR="005E785F" w:rsidRDefault="003621E8">
            <w:pPr>
              <w:jc w:val="center"/>
              <w:rPr>
                <w:b/>
                <w:sz w:val="20"/>
                <w:lang w:val="en-GB"/>
              </w:rPr>
            </w:pPr>
            <w:r>
              <w:rPr>
                <w:b/>
                <w:sz w:val="20"/>
                <w:lang w:val="en-GB"/>
              </w:rPr>
              <w:t>IMP Name</w:t>
            </w:r>
          </w:p>
        </w:tc>
        <w:tc>
          <w:tcPr>
            <w:tcW w:w="1023" w:type="pct"/>
            <w:vAlign w:val="center"/>
          </w:tcPr>
          <w:p w14:paraId="73FB2047" w14:textId="6F9348D4" w:rsidR="005E785F" w:rsidRDefault="003621E8">
            <w:pPr>
              <w:jc w:val="center"/>
              <w:rPr>
                <w:b/>
                <w:sz w:val="20"/>
                <w:lang w:val="en-GB"/>
              </w:rPr>
            </w:pPr>
            <w:r>
              <w:rPr>
                <w:b/>
                <w:sz w:val="20"/>
                <w:lang w:val="en-GB"/>
              </w:rPr>
              <w:t>Strength</w:t>
            </w:r>
          </w:p>
        </w:tc>
        <w:tc>
          <w:tcPr>
            <w:tcW w:w="1965" w:type="pct"/>
            <w:vAlign w:val="center"/>
          </w:tcPr>
          <w:p w14:paraId="73FB2048" w14:textId="77777777" w:rsidR="005E785F" w:rsidRDefault="003621E8">
            <w:pPr>
              <w:jc w:val="center"/>
              <w:rPr>
                <w:b/>
                <w:sz w:val="20"/>
                <w:lang w:val="en-GB"/>
              </w:rPr>
            </w:pPr>
            <w:r>
              <w:rPr>
                <w:b/>
                <w:sz w:val="20"/>
                <w:lang w:val="en-GB"/>
              </w:rPr>
              <w:t>Presentation/Form</w:t>
            </w:r>
          </w:p>
        </w:tc>
        <w:tc>
          <w:tcPr>
            <w:tcW w:w="915" w:type="pct"/>
            <w:vAlign w:val="center"/>
          </w:tcPr>
          <w:p w14:paraId="73FB2049" w14:textId="77777777" w:rsidR="005E785F" w:rsidRDefault="003621E8">
            <w:pPr>
              <w:jc w:val="center"/>
              <w:rPr>
                <w:b/>
                <w:sz w:val="20"/>
                <w:lang w:val="en-GB"/>
              </w:rPr>
            </w:pPr>
            <w:r>
              <w:rPr>
                <w:b/>
                <w:sz w:val="20"/>
                <w:lang w:val="en-GB"/>
              </w:rPr>
              <w:t>Route</w:t>
            </w:r>
          </w:p>
        </w:tc>
      </w:tr>
      <w:tr w:rsidR="005E785F" w14:paraId="73FB204F" w14:textId="77777777">
        <w:trPr>
          <w:jc w:val="center"/>
        </w:trPr>
        <w:tc>
          <w:tcPr>
            <w:tcW w:w="1097" w:type="pct"/>
            <w:vAlign w:val="center"/>
          </w:tcPr>
          <w:p w14:paraId="73FB204B" w14:textId="1100342B" w:rsidR="005E785F" w:rsidRDefault="003621E8">
            <w:pPr>
              <w:jc w:val="center"/>
              <w:rPr>
                <w:sz w:val="20"/>
                <w:lang w:val="en-GB"/>
              </w:rPr>
            </w:pPr>
            <w:r>
              <w:rPr>
                <w:sz w:val="20"/>
                <w:lang w:val="en-GB"/>
              </w:rPr>
              <w:t>CpG ODN D35</w:t>
            </w:r>
          </w:p>
        </w:tc>
        <w:tc>
          <w:tcPr>
            <w:tcW w:w="1023" w:type="pct"/>
            <w:vAlign w:val="center"/>
          </w:tcPr>
          <w:p w14:paraId="73FB204C" w14:textId="6690BD18" w:rsidR="005E785F" w:rsidRDefault="003621E8">
            <w:pPr>
              <w:jc w:val="center"/>
              <w:rPr>
                <w:sz w:val="20"/>
                <w:lang w:val="en-GB"/>
              </w:rPr>
            </w:pPr>
            <w:r>
              <w:rPr>
                <w:sz w:val="20"/>
              </w:rPr>
              <w:t>15 mg/mL</w:t>
            </w:r>
          </w:p>
        </w:tc>
        <w:tc>
          <w:tcPr>
            <w:tcW w:w="1965" w:type="pct"/>
            <w:vAlign w:val="center"/>
          </w:tcPr>
          <w:p w14:paraId="6D40BE1A" w14:textId="6B774F2B" w:rsidR="005E785F" w:rsidRDefault="003621E8">
            <w:pPr>
              <w:jc w:val="center"/>
              <w:rPr>
                <w:color w:val="000000"/>
                <w:sz w:val="20"/>
                <w:lang w:val="en-GB"/>
              </w:rPr>
            </w:pPr>
            <w:r>
              <w:rPr>
                <w:rFonts w:cs="Times New Roman"/>
                <w:color w:val="000000"/>
                <w:sz w:val="20"/>
              </w:rPr>
              <w:t xml:space="preserve">Solution for injection </w:t>
            </w:r>
          </w:p>
        </w:tc>
        <w:tc>
          <w:tcPr>
            <w:tcW w:w="915" w:type="pct"/>
            <w:vAlign w:val="center"/>
          </w:tcPr>
          <w:p w14:paraId="73FB204E" w14:textId="27C730CB" w:rsidR="005E785F" w:rsidRDefault="003621E8">
            <w:pPr>
              <w:jc w:val="center"/>
              <w:rPr>
                <w:color w:val="000000"/>
                <w:sz w:val="20"/>
                <w:lang w:val="en-GB"/>
              </w:rPr>
            </w:pPr>
            <w:r>
              <w:rPr>
                <w:color w:val="000000"/>
                <w:sz w:val="20"/>
                <w:lang w:val="en-GB"/>
              </w:rPr>
              <w:t>SC injection</w:t>
            </w:r>
          </w:p>
        </w:tc>
      </w:tr>
      <w:tr w:rsidR="005E785F" w14:paraId="73FB2054" w14:textId="77777777">
        <w:trPr>
          <w:jc w:val="center"/>
        </w:trPr>
        <w:tc>
          <w:tcPr>
            <w:tcW w:w="1097" w:type="pct"/>
            <w:vAlign w:val="center"/>
          </w:tcPr>
          <w:p w14:paraId="73FB2050" w14:textId="54D16AAD" w:rsidR="005E785F" w:rsidRDefault="003621E8">
            <w:pPr>
              <w:jc w:val="center"/>
              <w:rPr>
                <w:sz w:val="20"/>
                <w:lang w:val="en-GB" w:eastAsia="en-GB"/>
              </w:rPr>
            </w:pPr>
            <w:r>
              <w:rPr>
                <w:sz w:val="20"/>
                <w:lang w:val="en-GB" w:eastAsia="en-GB"/>
              </w:rPr>
              <w:t>Placebo for CpG ODN D35</w:t>
            </w:r>
          </w:p>
        </w:tc>
        <w:tc>
          <w:tcPr>
            <w:tcW w:w="1023" w:type="pct"/>
            <w:vAlign w:val="center"/>
          </w:tcPr>
          <w:p w14:paraId="73FB2051" w14:textId="6C8310CC" w:rsidR="005E785F" w:rsidRDefault="003621E8">
            <w:pPr>
              <w:jc w:val="center"/>
              <w:rPr>
                <w:sz w:val="20"/>
                <w:lang w:val="en-GB"/>
              </w:rPr>
            </w:pPr>
            <w:r>
              <w:rPr>
                <w:sz w:val="20"/>
                <w:lang w:val="en-GB"/>
              </w:rPr>
              <w:t>N/A</w:t>
            </w:r>
          </w:p>
        </w:tc>
        <w:tc>
          <w:tcPr>
            <w:tcW w:w="1965" w:type="pct"/>
            <w:vAlign w:val="center"/>
          </w:tcPr>
          <w:p w14:paraId="73FB2052" w14:textId="62F31B67" w:rsidR="005E785F" w:rsidRDefault="003621E8">
            <w:pPr>
              <w:jc w:val="center"/>
              <w:rPr>
                <w:color w:val="000000"/>
                <w:sz w:val="20"/>
                <w:lang w:val="en-GB"/>
              </w:rPr>
            </w:pPr>
            <w:r>
              <w:rPr>
                <w:color w:val="000000"/>
                <w:sz w:val="20"/>
                <w:lang w:val="en-GB"/>
              </w:rPr>
              <w:t>Solution for injection</w:t>
            </w:r>
          </w:p>
        </w:tc>
        <w:tc>
          <w:tcPr>
            <w:tcW w:w="915" w:type="pct"/>
            <w:vAlign w:val="center"/>
          </w:tcPr>
          <w:p w14:paraId="73FB2053" w14:textId="6EFCC631" w:rsidR="005E785F" w:rsidRDefault="003621E8">
            <w:pPr>
              <w:jc w:val="center"/>
              <w:rPr>
                <w:color w:val="000000"/>
                <w:sz w:val="20"/>
                <w:lang w:val="en-GB"/>
              </w:rPr>
            </w:pPr>
            <w:r>
              <w:rPr>
                <w:color w:val="000000"/>
                <w:sz w:val="20"/>
                <w:lang w:val="en-GB"/>
              </w:rPr>
              <w:t>SC injection</w:t>
            </w:r>
          </w:p>
        </w:tc>
      </w:tr>
    </w:tbl>
    <w:p w14:paraId="4822D3E5" w14:textId="44F0CB0E" w:rsidR="005E785F" w:rsidRDefault="003621E8">
      <w:pPr>
        <w:spacing w:before="120" w:after="120"/>
        <w:jc w:val="both"/>
        <w:rPr>
          <w:rFonts w:cs="Times New Roman"/>
          <w:szCs w:val="24"/>
        </w:rPr>
      </w:pPr>
      <w:bookmarkStart w:id="125" w:name="_Toc7521748"/>
      <w:r>
        <w:rPr>
          <w:rFonts w:cs="Times New Roman"/>
          <w:szCs w:val="24"/>
        </w:rPr>
        <w:lastRenderedPageBreak/>
        <w:t xml:space="preserve">The placebo has no obvious coloration whereas the CpG ODN D35 solution 15 mg/mL has a slight yellow tinge. Therefore, syringes used to administer the drug product to the subjects will be covered prior to their presentation to the Investigator to ensure blinding in clinical trials. </w:t>
      </w:r>
    </w:p>
    <w:p w14:paraId="2CF82146" w14:textId="727CBF7D" w:rsidR="005E785F" w:rsidRDefault="003621E8">
      <w:pPr>
        <w:spacing w:before="120" w:after="120"/>
        <w:jc w:val="both"/>
        <w:rPr>
          <w:rFonts w:cs="Times New Roman"/>
          <w:szCs w:val="24"/>
        </w:rPr>
      </w:pPr>
      <w:r>
        <w:rPr>
          <w:bCs/>
          <w:szCs w:val="24"/>
        </w:rPr>
        <w:t>The planned doses are presented below:</w:t>
      </w:r>
    </w:p>
    <w:p w14:paraId="46213A45" w14:textId="5CB0CCB1" w:rsidR="005E785F" w:rsidRDefault="003621E8">
      <w:pPr>
        <w:pStyle w:val="BodyText"/>
        <w:numPr>
          <w:ilvl w:val="0"/>
          <w:numId w:val="33"/>
        </w:numPr>
        <w:spacing w:before="40" w:after="40"/>
        <w:rPr>
          <w:bCs/>
          <w:szCs w:val="24"/>
        </w:rPr>
      </w:pPr>
      <w:r>
        <w:rPr>
          <w:szCs w:val="24"/>
        </w:rPr>
        <w:t>Cohort 1: SC injection of 7.5 mg (0.5 mL, approximately 0.1 mg/kg) of CpG ODN D35 (6 subjects) or placebo (2 subjects)</w:t>
      </w:r>
    </w:p>
    <w:p w14:paraId="03C5399E" w14:textId="57B98721" w:rsidR="005E785F" w:rsidRDefault="003621E8">
      <w:pPr>
        <w:pStyle w:val="BodyText"/>
        <w:numPr>
          <w:ilvl w:val="0"/>
          <w:numId w:val="33"/>
        </w:numPr>
        <w:spacing w:before="40" w:after="40"/>
        <w:rPr>
          <w:bCs/>
          <w:szCs w:val="24"/>
        </w:rPr>
      </w:pPr>
      <w:r>
        <w:rPr>
          <w:szCs w:val="24"/>
        </w:rPr>
        <w:t>Cohort 2: SC injection of 22.5 mg (1.5 mL, approximately 0.3 mg/kg) of CpG ODN D35 (6 subjects) or placebo (2 subjects)</w:t>
      </w:r>
    </w:p>
    <w:p w14:paraId="40401FFD" w14:textId="6A846A1E" w:rsidR="005E785F" w:rsidRDefault="003621E8">
      <w:pPr>
        <w:pStyle w:val="BodyText"/>
        <w:numPr>
          <w:ilvl w:val="0"/>
          <w:numId w:val="33"/>
        </w:numPr>
        <w:spacing w:before="40" w:after="40"/>
        <w:rPr>
          <w:bCs/>
          <w:szCs w:val="24"/>
        </w:rPr>
      </w:pPr>
      <w:r>
        <w:rPr>
          <w:szCs w:val="24"/>
        </w:rPr>
        <w:t>Cohort 3: SC injection of 67.5 mg (4.5 mL, approximately 1.0 mg/kg) of CpG ODN D35 (6 subjects) or placebo (2 subjects)</w:t>
      </w:r>
    </w:p>
    <w:p w14:paraId="69667810" w14:textId="518C8047" w:rsidR="005E785F" w:rsidRDefault="003621E8">
      <w:pPr>
        <w:pStyle w:val="BodyText"/>
        <w:numPr>
          <w:ilvl w:val="0"/>
          <w:numId w:val="33"/>
        </w:numPr>
        <w:spacing w:before="40" w:after="40"/>
        <w:jc w:val="left"/>
        <w:rPr>
          <w:b/>
          <w:szCs w:val="24"/>
        </w:rPr>
      </w:pPr>
      <w:r>
        <w:rPr>
          <w:szCs w:val="24"/>
        </w:rPr>
        <w:t>Cohort 4 (optional): SC injection of 180 mg (12 mL, approximately 3.0 mg/kg) of CpG ODN D35 (6 subjects) or placebo (2 subjects)</w:t>
      </w:r>
    </w:p>
    <w:p w14:paraId="151243BB" w14:textId="77777777" w:rsidR="005E785F" w:rsidRDefault="005E785F">
      <w:pPr>
        <w:pStyle w:val="BodyText"/>
        <w:spacing w:before="40" w:after="40"/>
        <w:jc w:val="left"/>
        <w:rPr>
          <w:bCs/>
          <w:szCs w:val="24"/>
        </w:rPr>
      </w:pPr>
    </w:p>
    <w:p w14:paraId="1621FFCF" w14:textId="7455A7C6" w:rsidR="005E785F" w:rsidRDefault="003621E8">
      <w:pPr>
        <w:pStyle w:val="BodyText"/>
        <w:spacing w:before="40" w:after="40"/>
        <w:jc w:val="left"/>
        <w:rPr>
          <w:bCs/>
          <w:szCs w:val="24"/>
        </w:rPr>
      </w:pPr>
      <w:r>
        <w:rPr>
          <w:bCs/>
          <w:szCs w:val="24"/>
        </w:rPr>
        <w:t>This progression of doses is provided for information. A maximum increase of 3-fold in between cohorts is envisaged based on the dose/concentration-response curves observed in in vitro and in vivo models. This will be decided by the SRC at the end of each cohort.</w:t>
      </w:r>
    </w:p>
    <w:p w14:paraId="73FB2056" w14:textId="1D0D8591" w:rsidR="005E785F" w:rsidRDefault="003621E8">
      <w:pPr>
        <w:pStyle w:val="Heading3"/>
      </w:pPr>
      <w:bookmarkStart w:id="126" w:name="_Toc74904383"/>
      <w:r>
        <w:t>Receipt and Storage</w:t>
      </w:r>
      <w:bookmarkEnd w:id="125"/>
      <w:bookmarkEnd w:id="126"/>
    </w:p>
    <w:p w14:paraId="7B27E67C" w14:textId="081ECA92" w:rsidR="005E785F" w:rsidRDefault="003621E8">
      <w:pPr>
        <w:pStyle w:val="C-BodyText"/>
        <w:jc w:val="both"/>
        <w:rPr>
          <w:lang w:val="en-GB"/>
        </w:rPr>
      </w:pPr>
      <w:r>
        <w:rPr>
          <w:szCs w:val="24"/>
        </w:rPr>
        <w:t>The IMP (CpG ODN D35 and placebo) will be supplied by the Sponsor.</w:t>
      </w:r>
    </w:p>
    <w:p w14:paraId="73FB2059" w14:textId="73AD94BC" w:rsidR="005E785F" w:rsidRDefault="003621E8">
      <w:pPr>
        <w:pStyle w:val="C-BodyText"/>
        <w:jc w:val="both"/>
        <w:rPr>
          <w:lang w:val="en-GB"/>
        </w:rPr>
      </w:pPr>
      <w:r>
        <w:rPr>
          <w:lang w:val="en-GB"/>
        </w:rPr>
        <w:t>The Sponsor must notify the PI, or the Project Manager, prior to dispatch of IMP supplies, and of the anticipated date of their arrival.  IMP should arrive at the study site at least 7 days before the first dosing day. The Sponsor shall address all supplies to:</w:t>
      </w:r>
    </w:p>
    <w:p w14:paraId="73FB205A" w14:textId="77777777" w:rsidR="005E785F" w:rsidRDefault="003621E8">
      <w:pPr>
        <w:pStyle w:val="C-BodyText"/>
        <w:jc w:val="both"/>
        <w:rPr>
          <w:lang w:val="en-GB"/>
        </w:rPr>
      </w:pPr>
      <w:r>
        <w:rPr>
          <w:lang w:val="en-GB"/>
        </w:rPr>
        <w:t>The Production Manager</w:t>
      </w:r>
    </w:p>
    <w:p w14:paraId="73FB205B" w14:textId="749D6057" w:rsidR="005E785F" w:rsidRDefault="003621E8">
      <w:pPr>
        <w:pStyle w:val="C-BodyText"/>
        <w:rPr>
          <w:lang w:val="en-GB"/>
        </w:rPr>
      </w:pPr>
      <w:r>
        <w:rPr>
          <w:lang w:val="en-GB"/>
        </w:rPr>
        <w:t>The Pharmacy</w:t>
      </w:r>
      <w:r>
        <w:rPr>
          <w:lang w:val="en-GB"/>
        </w:rPr>
        <w:br/>
        <w:t xml:space="preserve">Simbec-Orion </w:t>
      </w:r>
      <w:r>
        <w:rPr>
          <w:lang w:val="en-GB"/>
        </w:rPr>
        <w:br/>
        <w:t>Merthyr Tydfil Industrial Park</w:t>
      </w:r>
      <w:r>
        <w:rPr>
          <w:lang w:val="en-GB"/>
        </w:rPr>
        <w:br/>
        <w:t>Merthyr Tydfil CF48 4DR</w:t>
      </w:r>
    </w:p>
    <w:p w14:paraId="73FB205C" w14:textId="1C06F361" w:rsidR="005E785F" w:rsidRDefault="003621E8">
      <w:pPr>
        <w:pStyle w:val="C-BodyText"/>
        <w:jc w:val="both"/>
        <w:rPr>
          <w:lang w:val="en-GB"/>
        </w:rPr>
      </w:pPr>
      <w:r>
        <w:rPr>
          <w:lang w:val="en-GB"/>
        </w:rPr>
        <w:t>Upon receipt, supplies will be dealt with as per Simbec-Orion SOP SR-IMP 053. Temperature monitors included with shipments will be downloaded.</w:t>
      </w:r>
    </w:p>
    <w:p w14:paraId="3913CA42" w14:textId="47432A9B" w:rsidR="005E785F" w:rsidRDefault="003621E8">
      <w:pPr>
        <w:pStyle w:val="C-BodyText"/>
        <w:spacing w:line="240" w:lineRule="auto"/>
        <w:jc w:val="both"/>
        <w:rPr>
          <w:lang w:val="en-GB"/>
        </w:rPr>
      </w:pPr>
      <w:r>
        <w:rPr>
          <w:lang w:val="en-GB"/>
        </w:rPr>
        <w:t xml:space="preserve">The IMPs will be stored under quarantine in a segregated, study-specific area, in a secure, temperature-controlled pharmacy. </w:t>
      </w:r>
    </w:p>
    <w:p w14:paraId="76C653F9" w14:textId="5757E13C" w:rsidR="005E785F" w:rsidRDefault="003621E8">
      <w:pPr>
        <w:pStyle w:val="C-BodyText"/>
        <w:numPr>
          <w:ilvl w:val="0"/>
          <w:numId w:val="73"/>
        </w:numPr>
        <w:jc w:val="both"/>
        <w:rPr>
          <w:lang w:val="en-GB"/>
        </w:rPr>
      </w:pPr>
      <w:r>
        <w:rPr>
          <w:lang w:val="en-GB"/>
        </w:rPr>
        <w:t>Formal stability studies with the investigational product are ongoing under long term (2-8°C) and accelerated (25°C/60% RH) conditions. Results to date indicate that CpG ODN D35 solution 15 mg/mL is stable when stored upright in 2R vial at 2-8°C.</w:t>
      </w:r>
    </w:p>
    <w:p w14:paraId="73FB2060" w14:textId="249F4BB4" w:rsidR="005E785F" w:rsidRDefault="003621E8">
      <w:pPr>
        <w:pStyle w:val="C-BodyText"/>
        <w:spacing w:line="240" w:lineRule="auto"/>
        <w:jc w:val="both"/>
        <w:rPr>
          <w:lang w:val="en-GB"/>
        </w:rPr>
      </w:pPr>
      <w:r>
        <w:rPr>
          <w:lang w:val="en-GB"/>
        </w:rPr>
        <w:t>The shipping documentation and bulk product qualified person (QP) certification will be reviewed. The supplies will subsequently be removed from quarantine and approved for use.</w:t>
      </w:r>
    </w:p>
    <w:p w14:paraId="44C20B46" w14:textId="15826275" w:rsidR="005E785F" w:rsidRDefault="003621E8">
      <w:pPr>
        <w:pStyle w:val="Heading3"/>
      </w:pPr>
      <w:bookmarkStart w:id="127" w:name="_Toc74904384"/>
      <w:r>
        <w:rPr>
          <w:bCs/>
        </w:rPr>
        <w:t>Manufacture and Release</w:t>
      </w:r>
      <w:bookmarkEnd w:id="127"/>
    </w:p>
    <w:p w14:paraId="73FB2065" w14:textId="36A37B5B" w:rsidR="005E785F" w:rsidRDefault="003621E8">
      <w:pPr>
        <w:pStyle w:val="C-BodyText"/>
        <w:jc w:val="both"/>
        <w:rPr>
          <w:lang w:val="en-GB"/>
        </w:rPr>
      </w:pPr>
      <w:r>
        <w:rPr>
          <w:lang w:val="en-GB"/>
        </w:rPr>
        <w:t xml:space="preserve">Subject-specific syringes of IMP will be prepared by suitably trained Simbec-Orion staff according to the Simbec-Orion SOP SR-IMP 015. </w:t>
      </w:r>
    </w:p>
    <w:p w14:paraId="73FB2066" w14:textId="37DB71AB" w:rsidR="005E785F" w:rsidRDefault="003621E8">
      <w:pPr>
        <w:pStyle w:val="C-BodyText"/>
        <w:jc w:val="both"/>
        <w:rPr>
          <w:vertAlign w:val="superscript"/>
          <w:lang w:val="en-GB"/>
        </w:rPr>
      </w:pPr>
      <w:r>
        <w:rPr>
          <w:lang w:val="en-GB"/>
        </w:rPr>
        <w:lastRenderedPageBreak/>
        <w:t>The IMP will be labelled as specified in Annex 13 (manufacture of IMPs) of the European Commission (EC) guide to Good Manufacturing Practice (GMP)</w:t>
      </w:r>
      <w:r>
        <w:rPr>
          <w:color w:val="0000FF"/>
          <w:vertAlign w:val="superscript"/>
          <w:lang w:val="en-GB"/>
        </w:rPr>
        <w:t>[</w:t>
      </w:r>
      <w:r>
        <w:rPr>
          <w:color w:val="0000FF"/>
          <w:vertAlign w:val="superscript"/>
          <w:lang w:val="en-GB"/>
        </w:rPr>
        <w:fldChar w:fldCharType="begin"/>
      </w:r>
      <w:r>
        <w:rPr>
          <w:color w:val="0000FF"/>
          <w:vertAlign w:val="superscript"/>
          <w:lang w:val="en-GB"/>
        </w:rPr>
        <w:instrText xml:space="preserve"> REF _Ref65483933 \r \h </w:instrText>
      </w:r>
      <w:r>
        <w:rPr>
          <w:color w:val="0000FF"/>
          <w:vertAlign w:val="superscript"/>
          <w:lang w:val="en-GB"/>
        </w:rPr>
      </w:r>
      <w:r>
        <w:rPr>
          <w:color w:val="0000FF"/>
          <w:vertAlign w:val="superscript"/>
          <w:lang w:val="en-GB"/>
        </w:rPr>
        <w:fldChar w:fldCharType="separate"/>
      </w:r>
      <w:r>
        <w:rPr>
          <w:color w:val="0000FF"/>
          <w:vertAlign w:val="superscript"/>
          <w:lang w:val="en-GB"/>
        </w:rPr>
        <w:t>12</w:t>
      </w:r>
      <w:r>
        <w:rPr>
          <w:color w:val="0000FF"/>
          <w:vertAlign w:val="superscript"/>
          <w:lang w:val="en-GB"/>
        </w:rPr>
        <w:fldChar w:fldCharType="end"/>
      </w:r>
      <w:r>
        <w:rPr>
          <w:color w:val="0000FF"/>
          <w:vertAlign w:val="superscript"/>
          <w:lang w:val="en-GB"/>
        </w:rPr>
        <w:t>]</w:t>
      </w:r>
      <w:r>
        <w:rPr>
          <w:lang w:val="en-GB"/>
        </w:rPr>
        <w:t>.</w:t>
      </w:r>
    </w:p>
    <w:p w14:paraId="73FB2067" w14:textId="6EF61B19" w:rsidR="005E785F" w:rsidRDefault="003621E8">
      <w:pPr>
        <w:pStyle w:val="BodyText"/>
      </w:pPr>
      <w:r>
        <w:t>The finished IMP will be certified by Simbec-Orion’s QP according to the Simbec-Orion SOP SR-IMP 030.</w:t>
      </w:r>
    </w:p>
    <w:p w14:paraId="73FB2068" w14:textId="76811879" w:rsidR="005E785F" w:rsidRDefault="003621E8">
      <w:pPr>
        <w:pStyle w:val="Heading3"/>
      </w:pPr>
      <w:bookmarkStart w:id="128" w:name="_Toc74904385"/>
      <w:r>
        <w:t>Administration</w:t>
      </w:r>
      <w:bookmarkEnd w:id="128"/>
    </w:p>
    <w:p w14:paraId="63374961" w14:textId="24C92F88" w:rsidR="005E785F" w:rsidRDefault="003621E8">
      <w:pPr>
        <w:spacing w:before="120" w:after="120"/>
        <w:jc w:val="both"/>
        <w:rPr>
          <w:lang w:val="en-GB"/>
        </w:rPr>
      </w:pPr>
      <w:r>
        <w:rPr>
          <w:rFonts w:cs="Times New Roman"/>
          <w:szCs w:val="24"/>
        </w:rPr>
        <w:t xml:space="preserve">A single SC injection of IMP or placebo will be administered in the morning on Day 1, according to the randomisation, in semi-supine position after at least 8 hours fasting. </w:t>
      </w:r>
    </w:p>
    <w:p w14:paraId="0499EFAD" w14:textId="5ADF4C23" w:rsidR="005E785F" w:rsidRDefault="003621E8">
      <w:pPr>
        <w:pStyle w:val="BodyText"/>
        <w:rPr>
          <w:bCs/>
          <w:szCs w:val="24"/>
        </w:rPr>
      </w:pPr>
      <w:r>
        <w:rPr>
          <w:bCs/>
          <w:szCs w:val="24"/>
        </w:rPr>
        <w:t>The average fill volume in a vial is 2.5 mL and the injection volume will be 2.3 mL or less per SC injection site. For doses requiring a volume above the 2.3 mL, or in case the PI considers more appropriate to decrease the volume per injection site due to feasibility constraints, additional injections in different locations can be used for administration. The location of injection is important for subcutaneous injections. The drug needs to be injected into the fatty tissue just below the skin. Some areas of the body have a more easily accessible layer of tissue, where a needle injected under the skin will not hit muscle, bone, or blood vessels. The most common injection sites are:</w:t>
      </w:r>
    </w:p>
    <w:p w14:paraId="208C641D" w14:textId="5CD917FC" w:rsidR="005E785F" w:rsidRDefault="003621E8">
      <w:pPr>
        <w:pStyle w:val="BodyText"/>
        <w:numPr>
          <w:ilvl w:val="0"/>
          <w:numId w:val="81"/>
        </w:numPr>
        <w:spacing w:before="0" w:after="0"/>
        <w:rPr>
          <w:bCs/>
          <w:szCs w:val="24"/>
        </w:rPr>
      </w:pPr>
      <w:r>
        <w:rPr>
          <w:bCs/>
          <w:szCs w:val="24"/>
        </w:rPr>
        <w:t>Abdomen: above or under the level of the belly button, about two inches away from the navel.</w:t>
      </w:r>
    </w:p>
    <w:p w14:paraId="44E98314" w14:textId="77777777" w:rsidR="005E785F" w:rsidRDefault="003621E8">
      <w:pPr>
        <w:pStyle w:val="BodyText"/>
        <w:numPr>
          <w:ilvl w:val="0"/>
          <w:numId w:val="81"/>
        </w:numPr>
        <w:spacing w:before="0" w:after="0"/>
        <w:rPr>
          <w:bCs/>
          <w:szCs w:val="24"/>
        </w:rPr>
      </w:pPr>
      <w:r>
        <w:rPr>
          <w:bCs/>
          <w:szCs w:val="24"/>
        </w:rPr>
        <w:t>Arm: back or side of the upper arm.</w:t>
      </w:r>
    </w:p>
    <w:p w14:paraId="411B6FAA" w14:textId="6ED08BC6" w:rsidR="005E785F" w:rsidRDefault="003621E8">
      <w:pPr>
        <w:pStyle w:val="BodyText"/>
        <w:numPr>
          <w:ilvl w:val="0"/>
          <w:numId w:val="81"/>
        </w:numPr>
        <w:spacing w:before="0" w:after="0"/>
        <w:rPr>
          <w:bCs/>
          <w:szCs w:val="24"/>
        </w:rPr>
      </w:pPr>
      <w:r>
        <w:rPr>
          <w:bCs/>
          <w:szCs w:val="24"/>
        </w:rPr>
        <w:t>Thigh: front of the thigh.</w:t>
      </w:r>
    </w:p>
    <w:p w14:paraId="6F939E17" w14:textId="16F72948" w:rsidR="005E785F" w:rsidRDefault="003621E8">
      <w:pPr>
        <w:spacing w:before="120" w:after="120"/>
        <w:jc w:val="both"/>
        <w:rPr>
          <w:lang w:val="en-GB"/>
        </w:rPr>
      </w:pPr>
      <w:r>
        <w:rPr>
          <w:lang w:val="en-GB"/>
        </w:rPr>
        <w:t>The dosing will potentially necessitate several successive injections in different injection sites, given sequentially as soon as possible within a maximum of 3 minutes on Day 1.</w:t>
      </w:r>
    </w:p>
    <w:p w14:paraId="73FB206F" w14:textId="6FF2C61E" w:rsidR="005E785F" w:rsidRDefault="003621E8">
      <w:pPr>
        <w:pStyle w:val="C-BodyText"/>
        <w:spacing w:line="240" w:lineRule="auto"/>
        <w:jc w:val="both"/>
        <w:rPr>
          <w:szCs w:val="24"/>
          <w:lang w:val="en-GB"/>
        </w:rPr>
      </w:pPr>
      <w:r>
        <w:rPr>
          <w:szCs w:val="24"/>
          <w:lang w:val="en-GB"/>
        </w:rPr>
        <w:t>IMP administration will be documented in the eCRF.</w:t>
      </w:r>
    </w:p>
    <w:p w14:paraId="6E3A6A6A" w14:textId="08C41A78" w:rsidR="005E785F" w:rsidRDefault="003621E8">
      <w:pPr>
        <w:pStyle w:val="C-BodyText"/>
        <w:spacing w:line="240" w:lineRule="auto"/>
        <w:jc w:val="both"/>
        <w:rPr>
          <w:szCs w:val="24"/>
          <w:lang w:val="en-GB"/>
        </w:rPr>
      </w:pPr>
      <w:r>
        <w:rPr>
          <w:szCs w:val="24"/>
        </w:rPr>
        <w:t>There will be at least 7 days between dosing of 2 different dose levels.</w:t>
      </w:r>
    </w:p>
    <w:p w14:paraId="73FB2070" w14:textId="65506D11" w:rsidR="005E785F" w:rsidRDefault="003621E8">
      <w:pPr>
        <w:pStyle w:val="Heading3"/>
      </w:pPr>
      <w:bookmarkStart w:id="129" w:name="_Toc74904386"/>
      <w:r>
        <w:t>Return/Destruction</w:t>
      </w:r>
      <w:bookmarkEnd w:id="129"/>
    </w:p>
    <w:p w14:paraId="29660A99" w14:textId="77777777" w:rsidR="005E785F" w:rsidRDefault="003621E8">
      <w:pPr>
        <w:pStyle w:val="C-BodyText"/>
        <w:spacing w:line="240" w:lineRule="auto"/>
        <w:jc w:val="both"/>
        <w:rPr>
          <w:lang w:val="en-GB"/>
        </w:rPr>
      </w:pPr>
      <w:r>
        <w:rPr>
          <w:szCs w:val="24"/>
        </w:rPr>
        <w:t>All used IMP containers and unused IMP will be held under quarantine pending return/destruction</w:t>
      </w:r>
      <w:r>
        <w:rPr>
          <w:i/>
          <w:szCs w:val="24"/>
        </w:rPr>
        <w:t>.</w:t>
      </w:r>
      <w:r>
        <w:rPr>
          <w:szCs w:val="24"/>
        </w:rPr>
        <w:t xml:space="preserve"> Drug accountability will be performed according to Simbec-Orion SOP SR-IMP 043 (Dispensing and Issue of IMP and NIMP) and SOP SR-IMP 044 (final reconciliation and destruction).</w:t>
      </w:r>
    </w:p>
    <w:p w14:paraId="73FB2071" w14:textId="7109A3A6" w:rsidR="005E785F" w:rsidRDefault="003621E8">
      <w:pPr>
        <w:pStyle w:val="C-BodyText"/>
        <w:spacing w:line="240" w:lineRule="auto"/>
        <w:jc w:val="both"/>
        <w:rPr>
          <w:lang w:val="en-GB"/>
        </w:rPr>
      </w:pPr>
      <w:r>
        <w:rPr>
          <w:lang w:val="en-GB"/>
        </w:rPr>
        <w:t xml:space="preserve">The Sponsor must provide approval for return/destruction of all remaining IMP within 8 weeks study completion. After this period, a charge for storage will be incurred. </w:t>
      </w:r>
    </w:p>
    <w:p w14:paraId="05425511" w14:textId="1D1A1D4E" w:rsidR="005E785F" w:rsidRDefault="003621E8">
      <w:pPr>
        <w:pStyle w:val="C-BodyText"/>
        <w:spacing w:line="240" w:lineRule="auto"/>
        <w:jc w:val="both"/>
        <w:rPr>
          <w:lang w:val="en-GB"/>
        </w:rPr>
      </w:pPr>
      <w:r>
        <w:rPr>
          <w:lang w:val="en-GB"/>
        </w:rPr>
        <w:t>All returns will be arranged at the earliest available delivery date. For IMP destruction, the Sponsor will receive the Certificate of Destruction 4 to 6 weeks from the date of removal from site.</w:t>
      </w:r>
    </w:p>
    <w:p w14:paraId="73FB2073" w14:textId="76D30DA4" w:rsidR="005E785F" w:rsidRDefault="003621E8">
      <w:pPr>
        <w:pStyle w:val="Heading3"/>
      </w:pPr>
      <w:bookmarkStart w:id="130" w:name="_Toc74904387"/>
      <w:r>
        <w:t>Method of Assigning Participants to Treatment Groups</w:t>
      </w:r>
      <w:bookmarkEnd w:id="130"/>
    </w:p>
    <w:p w14:paraId="73FB2074" w14:textId="6CC40331" w:rsidR="005E785F" w:rsidRDefault="003621E8">
      <w:pPr>
        <w:pStyle w:val="C-BodyText"/>
        <w:spacing w:line="240" w:lineRule="auto"/>
        <w:jc w:val="both"/>
        <w:rPr>
          <w:lang w:val="en-GB"/>
        </w:rPr>
      </w:pPr>
      <w:r>
        <w:rPr>
          <w:lang w:val="en-GB"/>
        </w:rPr>
        <w:t>Participants will be allocated to treatment groups according to a randomisation code produced by Simbec-Orion using the PROC PLAN procedure of SAS</w:t>
      </w:r>
      <w:r>
        <w:rPr>
          <w:vertAlign w:val="superscript"/>
          <w:lang w:val="en-GB"/>
        </w:rPr>
        <w:t>®</w:t>
      </w:r>
      <w:r>
        <w:rPr>
          <w:lang w:val="en-GB"/>
        </w:rPr>
        <w:t xml:space="preserve"> (the most up to date version will be used and this will be documented in the statistical analysis plan (SAP)). The randomisation code will include 2 dose-leaders (1 active:1 placebo) in each cohort. </w:t>
      </w:r>
    </w:p>
    <w:p w14:paraId="73FB2075" w14:textId="09FD3F81" w:rsidR="005E785F" w:rsidRDefault="003621E8">
      <w:pPr>
        <w:pStyle w:val="C-BodyText"/>
        <w:spacing w:line="240" w:lineRule="auto"/>
        <w:jc w:val="both"/>
        <w:rPr>
          <w:lang w:val="en-GB"/>
        </w:rPr>
      </w:pPr>
      <w:r>
        <w:rPr>
          <w:lang w:val="en-GB"/>
        </w:rPr>
        <w:lastRenderedPageBreak/>
        <w:t>Participants will be numbered sequentially from 001 (i.e., 001, 002 etc.). Replacement participants will be assigned the same randomisation as the participant they are replacing, however, 100 will be added to the number (i.e., 101 would replace 001 etc.).</w:t>
      </w:r>
    </w:p>
    <w:p w14:paraId="73FB2076" w14:textId="1685B1C6" w:rsidR="005E785F" w:rsidRDefault="003621E8">
      <w:pPr>
        <w:pStyle w:val="Heading3"/>
      </w:pPr>
      <w:bookmarkStart w:id="131" w:name="_Toc74904388"/>
      <w:r>
        <w:t>Selection of Doses in the Study</w:t>
      </w:r>
      <w:bookmarkEnd w:id="131"/>
    </w:p>
    <w:p w14:paraId="4AB15F3B" w14:textId="467C52A3" w:rsidR="005E785F" w:rsidRDefault="003621E8">
      <w:pPr>
        <w:pStyle w:val="Heading4"/>
      </w:pPr>
      <w:bookmarkStart w:id="132" w:name="_Toc74904389"/>
      <w:r>
        <w:rPr>
          <w:szCs w:val="24"/>
        </w:rPr>
        <w:t>Starting Dose</w:t>
      </w:r>
      <w:bookmarkEnd w:id="132"/>
    </w:p>
    <w:p w14:paraId="119F377F" w14:textId="77777777" w:rsidR="005E785F" w:rsidRDefault="003621E8">
      <w:pPr>
        <w:spacing w:before="120" w:after="120"/>
        <w:jc w:val="both"/>
        <w:rPr>
          <w:lang w:val="en-GB"/>
        </w:rPr>
      </w:pPr>
      <w:r>
        <w:rPr>
          <w:rFonts w:cs="Times New Roman"/>
          <w:szCs w:val="24"/>
        </w:rPr>
        <w:t xml:space="preserve">The starting dose of CpG ODN D35 for the FIH study is selected based on FDA (2005) and European Medicines Agency (2017) guidelines using nonclinical data. </w:t>
      </w:r>
    </w:p>
    <w:p w14:paraId="2420CD8B" w14:textId="77777777" w:rsidR="005E785F" w:rsidRDefault="003621E8">
      <w:pPr>
        <w:spacing w:before="120" w:after="120"/>
        <w:jc w:val="both"/>
        <w:rPr>
          <w:lang w:val="en-GB"/>
        </w:rPr>
      </w:pPr>
      <w:r>
        <w:rPr>
          <w:rFonts w:cs="Times New Roman"/>
          <w:szCs w:val="24"/>
        </w:rPr>
        <w:t>The NOAEL-based maximum recommended starting dose (MRSD) according to the FDA was calculated using the NOAEL from Cynomolgus monkey, which was identified as the relevant species in in vitro studies studying the cytokine response after incubation with CpG ODN D35 in PBMCs from various species. The NOAEL, as derived from the repeat-dose 43 day study GLP in Cynomolgus monkey, was 15.9 mg/kg. The human equivalent dose (HED) was calculated as 15.9 mg/kg / 3.1 = 5.13 mg/kg.  Applying a standard safety factor of 10 (per FDA guidance), the NOAEL based MRSD would be 5.13/10 = 0.513 mg/kg.</w:t>
      </w:r>
    </w:p>
    <w:p w14:paraId="197A0F23" w14:textId="79A47410" w:rsidR="005E785F" w:rsidRDefault="003621E8">
      <w:pPr>
        <w:spacing w:before="120" w:after="120"/>
        <w:jc w:val="both"/>
        <w:rPr>
          <w:lang w:val="en-GB"/>
        </w:rPr>
      </w:pPr>
      <w:r>
        <w:rPr>
          <w:rFonts w:cs="Times New Roman"/>
          <w:szCs w:val="24"/>
        </w:rPr>
        <w:t xml:space="preserve">With respect to pharmacological activity, </w:t>
      </w:r>
      <w:r>
        <w:rPr>
          <w:rFonts w:cs="Times New Roman"/>
          <w:i/>
          <w:iCs/>
          <w:szCs w:val="24"/>
        </w:rPr>
        <w:t>in vivo</w:t>
      </w:r>
      <w:r>
        <w:rPr>
          <w:rFonts w:cs="Times New Roman"/>
          <w:szCs w:val="24"/>
        </w:rPr>
        <w:t xml:space="preserve"> assessment of the biological activity of CpG ODN D35 in Cynomolgus monkey identified a single SC dose of 1 mg/kg as a pharmacologically active dose.  The HED was calculated as 1 mg/mg / 3.1 = 0.32 mg/kg.</w:t>
      </w:r>
    </w:p>
    <w:p w14:paraId="7AA369AF" w14:textId="35058080" w:rsidR="005E785F" w:rsidRDefault="003621E8">
      <w:pPr>
        <w:spacing w:before="120" w:after="120"/>
        <w:jc w:val="both"/>
        <w:rPr>
          <w:rFonts w:cs="Times New Roman"/>
          <w:lang w:val="en-GB"/>
        </w:rPr>
      </w:pPr>
      <w:r>
        <w:rPr>
          <w:rFonts w:cs="Times New Roman"/>
          <w:szCs w:val="24"/>
        </w:rPr>
        <w:t xml:space="preserve">Taking a conservative approach, a human starting dose of 0.1 mg/kg by SC administration is proposed. A summary of safety margins to nonclinical safety and efficacy data is provided in </w:t>
      </w:r>
      <w:r>
        <w:rPr>
          <w:rFonts w:cs="Times New Roman"/>
          <w:color w:val="0000FF"/>
          <w:lang w:val="en-GB"/>
        </w:rPr>
        <w:fldChar w:fldCharType="begin"/>
      </w:r>
      <w:r>
        <w:rPr>
          <w:rFonts w:cs="Times New Roman"/>
          <w:color w:val="0000FF"/>
          <w:lang w:val="en-GB"/>
        </w:rPr>
        <w:instrText xml:space="preserve"> REF _Ref65227342 \h  \* MERGEFORMAT </w:instrText>
      </w:r>
      <w:r>
        <w:rPr>
          <w:rFonts w:cs="Times New Roman"/>
          <w:color w:val="0000FF"/>
          <w:lang w:val="en-GB"/>
        </w:rPr>
      </w:r>
      <w:r>
        <w:rPr>
          <w:rFonts w:cs="Times New Roman"/>
          <w:color w:val="0000FF"/>
          <w:lang w:val="en-GB"/>
        </w:rPr>
        <w:fldChar w:fldCharType="separate"/>
      </w:r>
      <w:r>
        <w:rPr>
          <w:color w:val="0000FF"/>
        </w:rPr>
        <w:t>Table 4</w:t>
      </w:r>
      <w:r>
        <w:rPr>
          <w:rFonts w:cs="Times New Roman"/>
          <w:color w:val="0000FF"/>
          <w:lang w:val="en-GB"/>
        </w:rPr>
        <w:fldChar w:fldCharType="end"/>
      </w:r>
      <w:r>
        <w:rPr>
          <w:rFonts w:cs="Times New Roman"/>
          <w:szCs w:val="24"/>
        </w:rPr>
        <w:t xml:space="preserve">. </w:t>
      </w:r>
    </w:p>
    <w:p w14:paraId="1EF9B9B2" w14:textId="29910905" w:rsidR="005E785F" w:rsidRDefault="003621E8">
      <w:pPr>
        <w:pStyle w:val="Caption"/>
        <w:rPr>
          <w:rFonts w:ascii="Times New Roman Bold" w:hAnsi="Times New Roman Bold"/>
          <w:lang w:val="en-GB"/>
        </w:rPr>
      </w:pPr>
      <w:bookmarkStart w:id="133" w:name="_Ref65227342"/>
      <w:bookmarkStart w:id="134" w:name="_Toc66992765"/>
      <w:r>
        <w:t xml:space="preserve">Table </w:t>
      </w:r>
      <w:r w:rsidR="00747B9C">
        <w:fldChar w:fldCharType="begin"/>
      </w:r>
      <w:r w:rsidR="00747B9C">
        <w:instrText xml:space="preserve"> SEQ Table \* ARABIC </w:instrText>
      </w:r>
      <w:r w:rsidR="00747B9C">
        <w:fldChar w:fldCharType="separate"/>
      </w:r>
      <w:r>
        <w:t>4</w:t>
      </w:r>
      <w:r w:rsidR="00747B9C">
        <w:fldChar w:fldCharType="end"/>
      </w:r>
      <w:bookmarkEnd w:id="133"/>
      <w:r>
        <w:tab/>
      </w:r>
      <w:r>
        <w:rPr>
          <w:lang w:val="de-AT"/>
        </w:rPr>
        <w:t>Overview of Safety Margins to Planned Clinical Starting Dose</w:t>
      </w:r>
      <w:bookmarkEnd w:id="134"/>
      <w:r>
        <w:rPr>
          <w:lang w:val="de-AT"/>
        </w:rPr>
        <w:t xml:space="preserve"> </w:t>
      </w:r>
      <w:r>
        <w:rPr>
          <w:lang w:val="en-GB"/>
        </w:rPr>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3000"/>
        <w:gridCol w:w="3000"/>
      </w:tblGrid>
      <w:tr w:rsidR="005E785F" w14:paraId="31CB502E" w14:textId="77777777">
        <w:trPr>
          <w:trHeight w:val="300"/>
        </w:trPr>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55AAF1" w14:textId="77777777" w:rsidR="005E785F" w:rsidRDefault="003621E8">
            <w:pPr>
              <w:jc w:val="center"/>
              <w:textAlignment w:val="baseline"/>
              <w:rPr>
                <w:rFonts w:cs="Times New Roman"/>
                <w:lang w:val="en-GB"/>
              </w:rPr>
            </w:pPr>
            <w:r>
              <w:rPr>
                <w:rFonts w:cs="Times New Roman"/>
                <w:b/>
                <w:bCs/>
                <w:sz w:val="18"/>
                <w:szCs w:val="18"/>
                <w:lang w:val="en-GB"/>
              </w:rPr>
              <w:t>Endpoint</w:t>
            </w:r>
            <w:r>
              <w:rPr>
                <w:rFonts w:cs="Times New Roman"/>
                <w:sz w:val="18"/>
                <w:szCs w:val="18"/>
                <w:lang w:val="en-GB"/>
              </w:rPr>
              <w:t xml:space="preserve"> </w:t>
            </w:r>
          </w:p>
        </w:tc>
        <w:tc>
          <w:tcPr>
            <w:tcW w:w="3000"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0A8BD21F" w14:textId="77777777" w:rsidR="005E785F" w:rsidRDefault="003621E8">
            <w:pPr>
              <w:jc w:val="center"/>
              <w:textAlignment w:val="baseline"/>
              <w:rPr>
                <w:rFonts w:cs="Times New Roman"/>
                <w:lang w:val="en-GB"/>
              </w:rPr>
            </w:pPr>
            <w:r>
              <w:rPr>
                <w:rFonts w:cs="Times New Roman"/>
                <w:b/>
                <w:bCs/>
                <w:sz w:val="18"/>
                <w:szCs w:val="18"/>
                <w:lang w:val="en-GB"/>
              </w:rPr>
              <w:t>HED</w:t>
            </w:r>
            <w:r>
              <w:rPr>
                <w:rFonts w:cs="Times New Roman"/>
                <w:sz w:val="18"/>
                <w:szCs w:val="18"/>
                <w:lang w:val="en-GB"/>
              </w:rPr>
              <w:t xml:space="preserve"> </w:t>
            </w:r>
          </w:p>
        </w:tc>
        <w:tc>
          <w:tcPr>
            <w:tcW w:w="3000"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31089866" w14:textId="77777777" w:rsidR="005E785F" w:rsidRDefault="003621E8">
            <w:pPr>
              <w:jc w:val="center"/>
              <w:textAlignment w:val="baseline"/>
              <w:rPr>
                <w:rFonts w:cs="Times New Roman"/>
                <w:lang w:val="en-GB"/>
              </w:rPr>
            </w:pPr>
            <w:r>
              <w:rPr>
                <w:rFonts w:cs="Times New Roman"/>
                <w:b/>
                <w:bCs/>
                <w:sz w:val="18"/>
                <w:szCs w:val="18"/>
                <w:lang w:val="en-GB"/>
              </w:rPr>
              <w:t>Safety Margin to Planned Clinical dose of 0.1 mg/kg</w:t>
            </w:r>
            <w:r>
              <w:rPr>
                <w:rFonts w:cs="Times New Roman"/>
                <w:sz w:val="18"/>
                <w:szCs w:val="18"/>
                <w:lang w:val="en-GB"/>
              </w:rPr>
              <w:t xml:space="preserve"> </w:t>
            </w:r>
          </w:p>
        </w:tc>
      </w:tr>
      <w:tr w:rsidR="005E785F" w14:paraId="48E5E763" w14:textId="77777777">
        <w:trPr>
          <w:trHeight w:val="390"/>
        </w:trPr>
        <w:tc>
          <w:tcPr>
            <w:tcW w:w="300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5FCFC75B" w14:textId="77777777" w:rsidR="005E785F" w:rsidRDefault="003621E8">
            <w:pPr>
              <w:jc w:val="center"/>
              <w:textAlignment w:val="baseline"/>
              <w:rPr>
                <w:rFonts w:cs="Times New Roman"/>
                <w:lang w:val="en-GB"/>
              </w:rPr>
            </w:pPr>
            <w:r>
              <w:rPr>
                <w:rFonts w:cs="Times New Roman"/>
                <w:sz w:val="18"/>
                <w:szCs w:val="18"/>
                <w:lang w:val="en-GB"/>
              </w:rPr>
              <w:t xml:space="preserve">Systemic Toxicity </w:t>
            </w:r>
          </w:p>
          <w:p w14:paraId="411FD54F" w14:textId="77777777" w:rsidR="005E785F" w:rsidRDefault="003621E8">
            <w:pPr>
              <w:jc w:val="center"/>
              <w:textAlignment w:val="baseline"/>
              <w:rPr>
                <w:rFonts w:cs="Times New Roman"/>
                <w:lang w:val="en-GB"/>
              </w:rPr>
            </w:pPr>
            <w:r>
              <w:rPr>
                <w:rFonts w:cs="Times New Roman"/>
                <w:sz w:val="18"/>
                <w:szCs w:val="18"/>
                <w:lang w:val="en-GB"/>
              </w:rPr>
              <w:t xml:space="preserve">Non-human primate </w:t>
            </w:r>
            <w:r>
              <w:rPr>
                <w:rFonts w:cs="Times New Roman"/>
              </w:rPr>
              <w:br/>
            </w:r>
            <w:r>
              <w:rPr>
                <w:rFonts w:cs="Times New Roman"/>
                <w:sz w:val="18"/>
                <w:szCs w:val="18"/>
                <w:lang w:val="en-GB"/>
              </w:rPr>
              <w:t xml:space="preserve">(NOAEL = 15.9 mg/kg) </w:t>
            </w:r>
          </w:p>
        </w:tc>
        <w:tc>
          <w:tcPr>
            <w:tcW w:w="3000" w:type="dxa"/>
            <w:tcBorders>
              <w:top w:val="nil"/>
              <w:left w:val="nil"/>
              <w:bottom w:val="single" w:sz="6" w:space="0" w:color="000000" w:themeColor="text1"/>
              <w:right w:val="single" w:sz="6" w:space="0" w:color="000000" w:themeColor="text1"/>
            </w:tcBorders>
            <w:shd w:val="clear" w:color="auto" w:fill="auto"/>
            <w:hideMark/>
          </w:tcPr>
          <w:p w14:paraId="7D471D13" w14:textId="6E86D280" w:rsidR="005E785F" w:rsidRDefault="003621E8">
            <w:pPr>
              <w:jc w:val="center"/>
              <w:textAlignment w:val="baseline"/>
              <w:rPr>
                <w:rFonts w:cs="Times New Roman"/>
                <w:lang w:val="en-GB"/>
              </w:rPr>
            </w:pPr>
            <w:r>
              <w:rPr>
                <w:rFonts w:cs="Times New Roman"/>
                <w:color w:val="000000"/>
                <w:sz w:val="18"/>
                <w:szCs w:val="18"/>
              </w:rPr>
              <w:t>5.1 mg/kg</w:t>
            </w:r>
            <w:r>
              <w:rPr>
                <w:rFonts w:cs="Times New Roman"/>
                <w:color w:val="000000"/>
                <w:sz w:val="18"/>
                <w:szCs w:val="18"/>
                <w:vertAlign w:val="superscript"/>
              </w:rPr>
              <w:t>1</w:t>
            </w:r>
            <w:r>
              <w:rPr>
                <w:rFonts w:cs="Times New Roman"/>
                <w:color w:val="000000"/>
                <w:sz w:val="18"/>
                <w:szCs w:val="18"/>
                <w:lang w:val="en-GB"/>
              </w:rPr>
              <w:t xml:space="preserve"> </w:t>
            </w:r>
          </w:p>
        </w:tc>
        <w:tc>
          <w:tcPr>
            <w:tcW w:w="3000" w:type="dxa"/>
            <w:tcBorders>
              <w:top w:val="nil"/>
              <w:left w:val="nil"/>
              <w:bottom w:val="single" w:sz="6" w:space="0" w:color="000000" w:themeColor="text1"/>
              <w:right w:val="single" w:sz="6" w:space="0" w:color="000000" w:themeColor="text1"/>
            </w:tcBorders>
            <w:shd w:val="clear" w:color="auto" w:fill="auto"/>
            <w:hideMark/>
          </w:tcPr>
          <w:p w14:paraId="2C3358E4" w14:textId="77777777" w:rsidR="005E785F" w:rsidRDefault="003621E8">
            <w:pPr>
              <w:jc w:val="center"/>
              <w:textAlignment w:val="baseline"/>
              <w:rPr>
                <w:rFonts w:cs="Times New Roman"/>
                <w:lang w:val="en-GB"/>
              </w:rPr>
            </w:pPr>
            <w:r>
              <w:rPr>
                <w:rFonts w:cs="Times New Roman"/>
                <w:color w:val="000000"/>
                <w:sz w:val="18"/>
                <w:szCs w:val="18"/>
              </w:rPr>
              <w:t>51</w:t>
            </w:r>
            <w:r>
              <w:rPr>
                <w:rFonts w:cs="Times New Roman"/>
                <w:color w:val="000000"/>
                <w:sz w:val="18"/>
                <w:szCs w:val="18"/>
                <w:lang w:val="en-GB"/>
              </w:rPr>
              <w:t xml:space="preserve"> </w:t>
            </w:r>
          </w:p>
        </w:tc>
      </w:tr>
      <w:tr w:rsidR="005E785F" w14:paraId="159C39E3" w14:textId="77777777">
        <w:trPr>
          <w:trHeight w:val="390"/>
        </w:trPr>
        <w:tc>
          <w:tcPr>
            <w:tcW w:w="300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36EAA286" w14:textId="77777777" w:rsidR="005E785F" w:rsidRDefault="003621E8">
            <w:pPr>
              <w:jc w:val="center"/>
              <w:textAlignment w:val="baseline"/>
              <w:rPr>
                <w:rFonts w:cs="Times New Roman"/>
                <w:sz w:val="18"/>
                <w:szCs w:val="18"/>
                <w:lang w:val="en-GB"/>
              </w:rPr>
            </w:pPr>
            <w:r>
              <w:rPr>
                <w:rFonts w:cs="Times New Roman"/>
                <w:sz w:val="18"/>
                <w:szCs w:val="18"/>
                <w:lang w:val="en-GB"/>
              </w:rPr>
              <w:t xml:space="preserve">Efficacy </w:t>
            </w:r>
            <w:r>
              <w:rPr>
                <w:rFonts w:cs="Times New Roman"/>
                <w:i/>
                <w:iCs/>
                <w:sz w:val="18"/>
                <w:szCs w:val="18"/>
                <w:lang w:val="en-GB"/>
              </w:rPr>
              <w:t>in vivo</w:t>
            </w:r>
            <w:r>
              <w:rPr>
                <w:rFonts w:cs="Times New Roman"/>
                <w:sz w:val="18"/>
                <w:szCs w:val="18"/>
                <w:lang w:val="en-GB"/>
              </w:rPr>
              <w:t xml:space="preserve"> </w:t>
            </w:r>
          </w:p>
          <w:p w14:paraId="6269B52F" w14:textId="77777777" w:rsidR="005E785F" w:rsidRDefault="003621E8">
            <w:pPr>
              <w:jc w:val="center"/>
              <w:textAlignment w:val="baseline"/>
              <w:rPr>
                <w:rFonts w:cs="Times New Roman"/>
                <w:lang w:val="en-GB"/>
              </w:rPr>
            </w:pPr>
            <w:r>
              <w:rPr>
                <w:rFonts w:cs="Times New Roman"/>
                <w:sz w:val="18"/>
                <w:szCs w:val="18"/>
                <w:lang w:val="en-GB"/>
              </w:rPr>
              <w:t>Non-human primate</w:t>
            </w:r>
            <w:r>
              <w:rPr>
                <w:rFonts w:cs="Times New Roman"/>
              </w:rPr>
              <w:br/>
            </w:r>
            <w:r>
              <w:rPr>
                <w:rFonts w:cs="Times New Roman"/>
                <w:sz w:val="18"/>
                <w:szCs w:val="18"/>
                <w:lang w:val="en-GB"/>
              </w:rPr>
              <w:t xml:space="preserve">(1 mg/kg) </w:t>
            </w:r>
          </w:p>
        </w:tc>
        <w:tc>
          <w:tcPr>
            <w:tcW w:w="3000" w:type="dxa"/>
            <w:tcBorders>
              <w:top w:val="nil"/>
              <w:left w:val="nil"/>
              <w:bottom w:val="single" w:sz="6" w:space="0" w:color="000000" w:themeColor="text1"/>
              <w:right w:val="single" w:sz="6" w:space="0" w:color="000000" w:themeColor="text1"/>
            </w:tcBorders>
            <w:shd w:val="clear" w:color="auto" w:fill="auto"/>
            <w:hideMark/>
          </w:tcPr>
          <w:p w14:paraId="0C58C95C" w14:textId="45467B2D" w:rsidR="005E785F" w:rsidRDefault="003621E8">
            <w:pPr>
              <w:jc w:val="center"/>
              <w:textAlignment w:val="baseline"/>
              <w:rPr>
                <w:rFonts w:cs="Times New Roman"/>
                <w:lang w:val="en-GB"/>
              </w:rPr>
            </w:pPr>
            <w:r>
              <w:rPr>
                <w:rFonts w:cs="Times New Roman"/>
                <w:color w:val="000000"/>
                <w:sz w:val="18"/>
                <w:szCs w:val="18"/>
              </w:rPr>
              <w:t>0.32 mg/kg</w:t>
            </w:r>
            <w:r>
              <w:rPr>
                <w:rFonts w:cs="Times New Roman"/>
                <w:color w:val="000000"/>
                <w:sz w:val="18"/>
                <w:szCs w:val="18"/>
                <w:vertAlign w:val="superscript"/>
              </w:rPr>
              <w:t>1</w:t>
            </w:r>
            <w:r>
              <w:rPr>
                <w:rFonts w:cs="Times New Roman"/>
                <w:color w:val="000000"/>
                <w:sz w:val="18"/>
                <w:szCs w:val="18"/>
                <w:lang w:val="en-GB"/>
              </w:rPr>
              <w:t xml:space="preserve"> </w:t>
            </w:r>
          </w:p>
        </w:tc>
        <w:tc>
          <w:tcPr>
            <w:tcW w:w="3000" w:type="dxa"/>
            <w:tcBorders>
              <w:top w:val="nil"/>
              <w:left w:val="nil"/>
              <w:bottom w:val="single" w:sz="6" w:space="0" w:color="000000" w:themeColor="text1"/>
              <w:right w:val="single" w:sz="6" w:space="0" w:color="000000" w:themeColor="text1"/>
            </w:tcBorders>
            <w:shd w:val="clear" w:color="auto" w:fill="auto"/>
            <w:hideMark/>
          </w:tcPr>
          <w:p w14:paraId="45317682" w14:textId="77777777" w:rsidR="005E785F" w:rsidRDefault="003621E8">
            <w:pPr>
              <w:jc w:val="center"/>
              <w:textAlignment w:val="baseline"/>
              <w:rPr>
                <w:rFonts w:cs="Times New Roman"/>
                <w:lang w:val="en-GB"/>
              </w:rPr>
            </w:pPr>
            <w:r>
              <w:rPr>
                <w:rFonts w:cs="Times New Roman"/>
                <w:color w:val="000000"/>
                <w:sz w:val="18"/>
                <w:szCs w:val="18"/>
              </w:rPr>
              <w:t>3.2</w:t>
            </w:r>
            <w:r>
              <w:rPr>
                <w:rFonts w:cs="Times New Roman"/>
                <w:color w:val="000000"/>
                <w:sz w:val="18"/>
                <w:szCs w:val="18"/>
                <w:lang w:val="en-GB"/>
              </w:rPr>
              <w:t xml:space="preserve"> </w:t>
            </w:r>
          </w:p>
        </w:tc>
      </w:tr>
      <w:tr w:rsidR="005E785F" w14:paraId="575F803A" w14:textId="77777777">
        <w:trPr>
          <w:trHeight w:val="390"/>
        </w:trPr>
        <w:tc>
          <w:tcPr>
            <w:tcW w:w="300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25657915" w14:textId="77777777" w:rsidR="005E785F" w:rsidRDefault="003621E8">
            <w:pPr>
              <w:jc w:val="center"/>
              <w:textAlignment w:val="baseline"/>
              <w:rPr>
                <w:rFonts w:eastAsiaTheme="minorEastAsia" w:cs="Times New Roman"/>
                <w:sz w:val="18"/>
                <w:szCs w:val="18"/>
                <w:lang w:val="en-GB"/>
              </w:rPr>
            </w:pPr>
            <w:r>
              <w:rPr>
                <w:rFonts w:cs="Times New Roman"/>
                <w:sz w:val="18"/>
                <w:szCs w:val="18"/>
                <w:lang w:val="en-GB"/>
              </w:rPr>
              <w:t xml:space="preserve">Biological Activity </w:t>
            </w:r>
            <w:r>
              <w:rPr>
                <w:rFonts w:cs="Times New Roman"/>
                <w:i/>
                <w:iCs/>
                <w:sz w:val="18"/>
                <w:szCs w:val="18"/>
                <w:lang w:val="en-GB"/>
              </w:rPr>
              <w:t>in vitro</w:t>
            </w:r>
            <w:r>
              <w:rPr>
                <w:rFonts w:cs="Times New Roman"/>
                <w:sz w:val="18"/>
                <w:szCs w:val="18"/>
                <w:lang w:val="en-GB"/>
              </w:rPr>
              <w:t xml:space="preserve">  </w:t>
            </w:r>
            <w:r>
              <w:rPr>
                <w:rFonts w:cs="Times New Roman"/>
              </w:rPr>
              <w:br/>
            </w:r>
            <w:r>
              <w:rPr>
                <w:rFonts w:eastAsiaTheme="minorEastAsia" w:cs="Times New Roman"/>
                <w:sz w:val="18"/>
                <w:szCs w:val="18"/>
              </w:rPr>
              <w:t>Human PBMCs</w:t>
            </w:r>
          </w:p>
          <w:p w14:paraId="40E2D646" w14:textId="77777777" w:rsidR="005E785F" w:rsidRDefault="003621E8">
            <w:pPr>
              <w:jc w:val="center"/>
              <w:textAlignment w:val="baseline"/>
              <w:rPr>
                <w:rFonts w:cs="Times New Roman"/>
                <w:lang w:val="en-GB"/>
              </w:rPr>
            </w:pPr>
            <w:r>
              <w:rPr>
                <w:rFonts w:cs="Times New Roman"/>
                <w:sz w:val="18"/>
                <w:szCs w:val="18"/>
                <w:lang w:val="en-GB"/>
              </w:rPr>
              <w:t xml:space="preserve">(6.7 µg/mL) </w:t>
            </w:r>
          </w:p>
        </w:tc>
        <w:tc>
          <w:tcPr>
            <w:tcW w:w="3000" w:type="dxa"/>
            <w:tcBorders>
              <w:top w:val="nil"/>
              <w:left w:val="nil"/>
              <w:bottom w:val="single" w:sz="6" w:space="0" w:color="000000" w:themeColor="text1"/>
              <w:right w:val="single" w:sz="6" w:space="0" w:color="000000" w:themeColor="text1"/>
            </w:tcBorders>
            <w:shd w:val="clear" w:color="auto" w:fill="auto"/>
            <w:hideMark/>
          </w:tcPr>
          <w:p w14:paraId="59430562" w14:textId="4B175B9C" w:rsidR="005E785F" w:rsidRDefault="003621E8">
            <w:pPr>
              <w:jc w:val="center"/>
              <w:textAlignment w:val="baseline"/>
              <w:rPr>
                <w:rFonts w:cs="Times New Roman"/>
                <w:lang w:val="en-GB"/>
              </w:rPr>
            </w:pPr>
            <w:r>
              <w:rPr>
                <w:rFonts w:cs="Times New Roman"/>
                <w:color w:val="000000"/>
                <w:sz w:val="18"/>
                <w:szCs w:val="18"/>
              </w:rPr>
              <w:t>0.3 mg/kg</w:t>
            </w:r>
            <w:r>
              <w:rPr>
                <w:rFonts w:cs="Times New Roman"/>
                <w:color w:val="000000"/>
                <w:sz w:val="18"/>
                <w:szCs w:val="18"/>
                <w:vertAlign w:val="superscript"/>
              </w:rPr>
              <w:t>2</w:t>
            </w:r>
            <w:r>
              <w:rPr>
                <w:rFonts w:cs="Times New Roman"/>
                <w:color w:val="000000"/>
                <w:sz w:val="18"/>
                <w:szCs w:val="18"/>
                <w:lang w:val="en-GB"/>
              </w:rPr>
              <w:t xml:space="preserve"> </w:t>
            </w:r>
          </w:p>
        </w:tc>
        <w:tc>
          <w:tcPr>
            <w:tcW w:w="3000" w:type="dxa"/>
            <w:tcBorders>
              <w:top w:val="nil"/>
              <w:left w:val="nil"/>
              <w:bottom w:val="single" w:sz="6" w:space="0" w:color="000000" w:themeColor="text1"/>
              <w:right w:val="single" w:sz="6" w:space="0" w:color="000000" w:themeColor="text1"/>
            </w:tcBorders>
            <w:shd w:val="clear" w:color="auto" w:fill="auto"/>
            <w:hideMark/>
          </w:tcPr>
          <w:p w14:paraId="7B326527" w14:textId="77777777" w:rsidR="005E785F" w:rsidRDefault="003621E8">
            <w:pPr>
              <w:jc w:val="center"/>
              <w:textAlignment w:val="baseline"/>
              <w:rPr>
                <w:rFonts w:cs="Times New Roman"/>
                <w:lang w:val="en-GB"/>
              </w:rPr>
            </w:pPr>
            <w:r>
              <w:rPr>
                <w:rFonts w:cs="Times New Roman"/>
                <w:color w:val="000000"/>
                <w:sz w:val="18"/>
                <w:szCs w:val="18"/>
              </w:rPr>
              <w:t>3</w:t>
            </w:r>
            <w:r>
              <w:rPr>
                <w:rFonts w:cs="Times New Roman"/>
                <w:color w:val="000000"/>
                <w:sz w:val="18"/>
                <w:szCs w:val="18"/>
                <w:lang w:val="en-GB"/>
              </w:rPr>
              <w:t xml:space="preserve"> </w:t>
            </w:r>
          </w:p>
        </w:tc>
      </w:tr>
    </w:tbl>
    <w:p w14:paraId="38593ACB" w14:textId="382A633B" w:rsidR="005E785F" w:rsidRDefault="003621E8">
      <w:pPr>
        <w:textAlignment w:val="baseline"/>
        <w:rPr>
          <w:rFonts w:cs="Times New Roman"/>
          <w:sz w:val="16"/>
          <w:szCs w:val="16"/>
          <w:lang w:val="de-AT"/>
        </w:rPr>
      </w:pPr>
      <w:r>
        <w:rPr>
          <w:rFonts w:cs="Times New Roman"/>
          <w:sz w:val="16"/>
          <w:szCs w:val="16"/>
          <w:lang w:val="de-AT"/>
        </w:rPr>
        <w:t>1.</w:t>
      </w:r>
      <w:r>
        <w:t xml:space="preserve"> </w:t>
      </w:r>
      <w:r>
        <w:rPr>
          <w:rFonts w:cs="Times New Roman"/>
          <w:sz w:val="16"/>
          <w:szCs w:val="16"/>
          <w:lang w:val="de-AT"/>
        </w:rPr>
        <w:t>HED was calculated by applying a conversion factor of 3.1 to the animal dose as recommended by FDA Guidance.</w:t>
      </w:r>
    </w:p>
    <w:p w14:paraId="05C7230A" w14:textId="1B6872AF" w:rsidR="005E785F" w:rsidRDefault="003621E8">
      <w:pPr>
        <w:textAlignment w:val="baseline"/>
        <w:rPr>
          <w:rFonts w:cs="Times New Roman"/>
          <w:sz w:val="16"/>
          <w:szCs w:val="16"/>
          <w:lang w:val="en-GB"/>
        </w:rPr>
      </w:pPr>
      <w:r>
        <w:rPr>
          <w:rFonts w:cs="Times New Roman"/>
          <w:sz w:val="16"/>
          <w:szCs w:val="16"/>
          <w:lang w:val="de-AT"/>
        </w:rPr>
        <w:t xml:space="preserve">2. Efficacious concentration in human PBMCs = 6.7 µg/mL à for 60 kg patient (2778 mL plasma) = 18.6 mg/patient (0.3 mg/kg) </w:t>
      </w:r>
      <w:r>
        <w:rPr>
          <w:rFonts w:cs="Times New Roman"/>
          <w:sz w:val="16"/>
          <w:szCs w:val="16"/>
          <w:lang w:val="en-GB"/>
        </w:rPr>
        <w:t xml:space="preserve"> </w:t>
      </w:r>
      <w:r>
        <w:rPr>
          <w:rFonts w:cs="Times New Roman"/>
          <w:sz w:val="16"/>
          <w:szCs w:val="16"/>
          <w:lang w:val="en-GB"/>
        </w:rPr>
        <w:br/>
      </w:r>
      <w:r>
        <w:rPr>
          <w:rFonts w:cs="Times New Roman"/>
          <w:sz w:val="16"/>
          <w:szCs w:val="16"/>
          <w:lang w:val="de-AT"/>
        </w:rPr>
        <w:t>HED – human equivalent dose, NOAEL – no observed adverse effect level</w:t>
      </w:r>
      <w:r>
        <w:rPr>
          <w:rFonts w:cs="Times New Roman"/>
          <w:sz w:val="16"/>
          <w:szCs w:val="16"/>
          <w:lang w:val="en-GB"/>
        </w:rPr>
        <w:t xml:space="preserve"> PBMC – peripheral blood mononuclear cells</w:t>
      </w:r>
    </w:p>
    <w:p w14:paraId="5A78466D" w14:textId="029E6814" w:rsidR="005E785F" w:rsidRDefault="003621E8">
      <w:pPr>
        <w:textAlignment w:val="baseline"/>
        <w:rPr>
          <w:rFonts w:cs="Times New Roman"/>
          <w:sz w:val="18"/>
          <w:szCs w:val="18"/>
          <w:lang w:val="en-GB"/>
        </w:rPr>
      </w:pPr>
      <w:r>
        <w:rPr>
          <w:rFonts w:cs="Times New Roman"/>
          <w:sz w:val="16"/>
          <w:szCs w:val="16"/>
          <w:lang w:val="en-GB"/>
        </w:rPr>
        <w:t xml:space="preserve"> </w:t>
      </w:r>
    </w:p>
    <w:p w14:paraId="6A1A52B6" w14:textId="2A2B27D2" w:rsidR="005E785F" w:rsidRDefault="003621E8">
      <w:pPr>
        <w:pStyle w:val="Heading4"/>
      </w:pPr>
      <w:bookmarkStart w:id="135" w:name="_Toc74904390"/>
      <w:r>
        <w:rPr>
          <w:szCs w:val="24"/>
        </w:rPr>
        <w:t>Dose Range to be Investigated</w:t>
      </w:r>
      <w:bookmarkEnd w:id="135"/>
    </w:p>
    <w:p w14:paraId="37E6A10D" w14:textId="3FC1273F" w:rsidR="005E785F" w:rsidRDefault="003621E8">
      <w:pPr>
        <w:spacing w:before="120" w:after="120"/>
        <w:jc w:val="both"/>
      </w:pPr>
      <w:r>
        <w:t xml:space="preserve">Doses to be assessed in this First-in-Human study were calculated by allometry, as PK-PD correlation is of limited predictive value with CpG ODNs. Exposure prediction potentially associated with the starting dose in humans was not considered relevant to predict the possible biological effects of CpG ODN D35. </w:t>
      </w:r>
    </w:p>
    <w:p w14:paraId="23992718" w14:textId="312072E1" w:rsidR="005E785F" w:rsidRDefault="003621E8">
      <w:pPr>
        <w:spacing w:before="120" w:after="120"/>
        <w:jc w:val="both"/>
      </w:pPr>
      <w:r>
        <w:t xml:space="preserve">Oligodeoxynucleotides containing immunostimulatory CpG motifs (CpG ODN) act as potent Th1-like immune enhancers through activation of TLR9 and their potential role as vaccine adjuvants and as therapeutic immune modulators have been described in several diseases, </w:t>
      </w:r>
      <w:r>
        <w:lastRenderedPageBreak/>
        <w:t>including e.g. hepatitis B, hepatitis C, or influenza. Their pharmacodynamic effects are observed at relatively low doses and pharmacokinetics parameters do not reflect well their immunomodulatory potency. In particular, the half-life of these compounds in blood is short.</w:t>
      </w:r>
    </w:p>
    <w:p w14:paraId="0EE3FEF0" w14:textId="6A5D9AD9" w:rsidR="005E785F" w:rsidRDefault="003621E8">
      <w:pPr>
        <w:spacing w:before="120" w:after="120"/>
        <w:jc w:val="both"/>
      </w:pPr>
      <w:r>
        <w:t>However, after first dose, predictions will be conducted based on observations made from previous dose. No dose level that is predicted to exceed either the C</w:t>
      </w:r>
      <w:r>
        <w:rPr>
          <w:vertAlign w:val="subscript"/>
        </w:rPr>
        <w:t>max</w:t>
      </w:r>
      <w:r>
        <w:t xml:space="preserve"> or AUC</w:t>
      </w:r>
      <w:r>
        <w:rPr>
          <w:vertAlign w:val="subscript"/>
        </w:rPr>
        <w:t>last</w:t>
      </w:r>
      <w:r>
        <w:t xml:space="preserve"> seen at the NOAEL in the nonclinical studies will be administered in this study, without prior approval (via substantial amendment) from REC and MHRA. During the study, PK data from the previous cohort/s, along with safety and tolerability information, will be used to aid review of planned dose levels for the subsequent cohorts.</w:t>
      </w:r>
    </w:p>
    <w:p w14:paraId="5BB80977" w14:textId="02DC666E" w:rsidR="005E785F" w:rsidRDefault="003621E8">
      <w:pPr>
        <w:pStyle w:val="Heading4"/>
      </w:pPr>
      <w:bookmarkStart w:id="136" w:name="_Toc74904391"/>
      <w:r>
        <w:rPr>
          <w:szCs w:val="24"/>
        </w:rPr>
        <w:t>Dose Escalation Increments</w:t>
      </w:r>
      <w:bookmarkEnd w:id="136"/>
    </w:p>
    <w:p w14:paraId="3E4FF0A0" w14:textId="2F1F7D8D" w:rsidR="005E785F" w:rsidRDefault="003621E8">
      <w:pPr>
        <w:spacing w:before="120" w:after="120"/>
        <w:jc w:val="both"/>
        <w:rPr>
          <w:lang w:val="en-GB"/>
        </w:rPr>
      </w:pPr>
      <w:r>
        <w:rPr>
          <w:rFonts w:cs="Times New Roman"/>
          <w:szCs w:val="24"/>
        </w:rPr>
        <w:t xml:space="preserve">The selected human starting dose of 0.1 mg/kg is 51-fold lower (scaling based on body surface area) than the systemic NOAEL of 15.9 mg/kg identified in cynomolgus monkeys. No signs of systemic toxicity were observed that would preclude the use of CpG ODN D35 in humans at the intended initial dose of 0.1 mg/kg. </w:t>
      </w:r>
    </w:p>
    <w:p w14:paraId="1BCEEE2A" w14:textId="715512B0" w:rsidR="005E785F" w:rsidRDefault="003621E8">
      <w:pPr>
        <w:spacing w:before="120" w:after="120"/>
        <w:jc w:val="both"/>
        <w:rPr>
          <w:lang w:val="en-GB"/>
        </w:rPr>
      </w:pPr>
      <w:r>
        <w:rPr>
          <w:rFonts w:cs="Times New Roman"/>
          <w:szCs w:val="24"/>
        </w:rPr>
        <w:t>The proposed maximum dose escalation increment for all cohorts (with the exception of cohort 1) is up to a 3-fold increase.</w:t>
      </w:r>
    </w:p>
    <w:p w14:paraId="6F8AA69F" w14:textId="1ED8B2E3" w:rsidR="005E785F" w:rsidRDefault="003621E8">
      <w:pPr>
        <w:spacing w:before="120" w:after="120"/>
        <w:jc w:val="both"/>
        <w:rPr>
          <w:lang w:val="en-GB"/>
        </w:rPr>
      </w:pPr>
      <w:r>
        <w:rPr>
          <w:rFonts w:cs="Times New Roman"/>
          <w:szCs w:val="24"/>
        </w:rPr>
        <w:t>Dose levels investigated may vary from those planned but will not exceed the fold-increases outlined above. The Sponsor and the PI may decide not to proceed with further dose cohorts, to administer a lower or intermediate dose, to repeat a dose in subsequent cohorts or to proceed to a higher dose if at all. It is noted that escalation/continuation to the next dose level will not occur if the exposure observed in any individual participant exceeds those levels seen at the NOAEL in the cynomolgus monkey (C</w:t>
      </w:r>
      <w:r>
        <w:rPr>
          <w:rFonts w:cs="Times New Roman"/>
          <w:vertAlign w:val="subscript"/>
        </w:rPr>
        <w:t>max</w:t>
      </w:r>
      <w:r>
        <w:rPr>
          <w:rFonts w:cs="Times New Roman"/>
          <w:szCs w:val="24"/>
        </w:rPr>
        <w:t xml:space="preserve"> ≥ 1230 ng/mL and/or AUC</w:t>
      </w:r>
      <w:r>
        <w:rPr>
          <w:rFonts w:cs="Times New Roman"/>
          <w:vertAlign w:val="subscript"/>
        </w:rPr>
        <w:t>last</w:t>
      </w:r>
      <w:r>
        <w:rPr>
          <w:rFonts w:cs="Times New Roman"/>
          <w:szCs w:val="24"/>
        </w:rPr>
        <w:t xml:space="preserve"> ≥ 755 h*ng/mL), or if they are anticipated to do so at the next dose level based on emerging PK data.</w:t>
      </w:r>
    </w:p>
    <w:p w14:paraId="35271C92" w14:textId="762CDBD5" w:rsidR="005E785F" w:rsidRDefault="003621E8">
      <w:pPr>
        <w:spacing w:before="120" w:after="120"/>
        <w:jc w:val="both"/>
        <w:rPr>
          <w:lang w:val="en-GB"/>
        </w:rPr>
      </w:pPr>
      <w:r>
        <w:rPr>
          <w:rFonts w:cs="Times New Roman"/>
          <w:szCs w:val="24"/>
        </w:rPr>
        <w:t>At each dose level, all subjects will receive the same dose, i.e., dose is not related to body weight. However, the maximum clinical dose will be 180 mg (corresponding to 3.0 mg/kg for a 60 kg body weight subject, 2.0 mg/kg for a 90 kg body weight subject) which is 1.7-fold below the NOAEL of 15.9 mg/kg (based on body surface scaling) determined in the GLP pivotal study and is therefore considered sufficiently covered.</w:t>
      </w:r>
    </w:p>
    <w:p w14:paraId="6679DDF4" w14:textId="71862A6F" w:rsidR="005E785F" w:rsidRDefault="003621E8">
      <w:pPr>
        <w:spacing w:before="120" w:after="120"/>
        <w:jc w:val="both"/>
        <w:rPr>
          <w:lang w:val="en-GB"/>
        </w:rPr>
      </w:pPr>
      <w:r>
        <w:rPr>
          <w:lang w:val="en-GB"/>
        </w:rPr>
        <w:t>Four cohorts are envisioned. Cohort 4 is optional. As indicated, starting dose, established at 0.1 mg/kg is considered to be safe. Subjects in subsequent cohorts will receive approximately 0.3, 1.0 and 3 mg/kg.</w:t>
      </w:r>
    </w:p>
    <w:p w14:paraId="4316D40B" w14:textId="121FA4CA" w:rsidR="005E785F" w:rsidRDefault="003621E8">
      <w:pPr>
        <w:spacing w:before="120" w:after="120"/>
        <w:jc w:val="both"/>
        <w:rPr>
          <w:lang w:val="en-GB"/>
        </w:rPr>
      </w:pPr>
      <w:r>
        <w:rPr>
          <w:lang w:val="en-GB"/>
        </w:rPr>
        <w:t>In addition, it is noted that the proposed maximum clinical dose of 180 mg will not be exceeded in this study. If the Sponsor determines that it is appropriate and necessary to exceed the current planned maximum dose of 180 mg, this will not be implemented until a substantial amendment has been submitted and receives approval from both the REC and MHRA.</w:t>
      </w:r>
    </w:p>
    <w:p w14:paraId="73FB2078" w14:textId="1EDA45F6" w:rsidR="005E785F" w:rsidRDefault="003621E8">
      <w:pPr>
        <w:pStyle w:val="Heading3"/>
      </w:pPr>
      <w:bookmarkStart w:id="137" w:name="_Toc7521754"/>
      <w:bookmarkStart w:id="138" w:name="_Toc74904392"/>
      <w:r>
        <w:t xml:space="preserve">Timing of Dose for Each </w:t>
      </w:r>
      <w:bookmarkEnd w:id="137"/>
      <w:r>
        <w:t>Participant</w:t>
      </w:r>
      <w:bookmarkEnd w:id="138"/>
    </w:p>
    <w:p w14:paraId="73FB2079" w14:textId="17E10776" w:rsidR="005E785F" w:rsidRDefault="003621E8">
      <w:pPr>
        <w:pStyle w:val="C-BodyText"/>
        <w:spacing w:line="240" w:lineRule="auto"/>
        <w:jc w:val="both"/>
        <w:rPr>
          <w:lang w:val="en-GB"/>
        </w:rPr>
      </w:pPr>
      <w:r>
        <w:rPr>
          <w:lang w:val="en-GB"/>
        </w:rPr>
        <w:t>Doses will be administered in the morning on Day 1.</w:t>
      </w:r>
    </w:p>
    <w:p w14:paraId="73FB207A" w14:textId="7A537665" w:rsidR="005E785F" w:rsidRDefault="003621E8">
      <w:pPr>
        <w:pStyle w:val="C-BodyText"/>
        <w:spacing w:line="240" w:lineRule="auto"/>
        <w:jc w:val="both"/>
        <w:rPr>
          <w:highlight w:val="green"/>
          <w:lang w:val="en-GB"/>
        </w:rPr>
      </w:pPr>
      <w:r>
        <w:rPr>
          <w:lang w:val="en-GB"/>
        </w:rPr>
        <w:t xml:space="preserve">Each cohort will follow a sentinel dose escalation schedule. </w:t>
      </w:r>
    </w:p>
    <w:p w14:paraId="73FB207B" w14:textId="77777777" w:rsidR="005E785F" w:rsidRDefault="003621E8">
      <w:pPr>
        <w:pStyle w:val="Heading3"/>
      </w:pPr>
      <w:bookmarkStart w:id="139" w:name="_Toc74904393"/>
      <w:bookmarkStart w:id="140" w:name="_Toc389020835"/>
      <w:r>
        <w:lastRenderedPageBreak/>
        <w:t>Blinding</w:t>
      </w:r>
      <w:bookmarkEnd w:id="139"/>
    </w:p>
    <w:p w14:paraId="4C6127FC" w14:textId="6EF1E8EA" w:rsidR="005E785F" w:rsidRDefault="003621E8">
      <w:pPr>
        <w:pStyle w:val="C-BodyText"/>
        <w:spacing w:line="240" w:lineRule="auto"/>
        <w:jc w:val="both"/>
        <w:rPr>
          <w:lang w:val="en-GB"/>
        </w:rPr>
      </w:pPr>
      <w:r>
        <w:rPr>
          <w:szCs w:val="24"/>
        </w:rPr>
        <w:t>A designated individual from the IMP Management Department at Simbec-Orion will generate the randomisation code under the guidance of a statistician.  All other site personnel (except PK analysts) and Sponsor personnel involved in the study will be blinded with regards to the IMP being administered. The Pharmacist (or designee) responsible for the preparation of participant doses and emergency code break envelopes will not be blinded and a copy of the original randomisation code will be issued to the pharmacist (or designee) for this purpose. PK analysts are not blinded so as to ensure PK concentration data may be received even in the event of a PD / subject withdrawal of unblinding potential.</w:t>
      </w:r>
    </w:p>
    <w:p w14:paraId="73FB207E" w14:textId="51814C52" w:rsidR="005E785F" w:rsidRDefault="003621E8">
      <w:pPr>
        <w:pStyle w:val="TitlePageText"/>
        <w:spacing w:before="240" w:after="0"/>
        <w:rPr>
          <w:rFonts w:ascii="Times New Roman" w:hAnsi="Times New Roman"/>
          <w:sz w:val="24"/>
          <w:szCs w:val="24"/>
        </w:rPr>
      </w:pPr>
      <w:r>
        <w:rPr>
          <w:rFonts w:ascii="Times New Roman" w:hAnsi="Times New Roman"/>
          <w:sz w:val="24"/>
          <w:szCs w:val="24"/>
        </w:rPr>
        <w:t xml:space="preserve">The Bioanalytical Scientist (at Oncodesign) will be provided with a copy of the randomisation code for the purposes of analysing samples. The Bioanalytical Scientist will provide the drug concentration data for interim analysis and dose escalation data review in a re-coded participant number format, presented by dose level, in order to maintain the blind of study personnel.  </w:t>
      </w:r>
    </w:p>
    <w:p w14:paraId="4647D0C7" w14:textId="77777777" w:rsidR="005E785F" w:rsidRDefault="003621E8">
      <w:pPr>
        <w:pStyle w:val="C-BodyText"/>
        <w:spacing w:line="240" w:lineRule="auto"/>
        <w:jc w:val="both"/>
        <w:rPr>
          <w:lang w:val="en-GB"/>
        </w:rPr>
      </w:pPr>
      <w:r>
        <w:rPr>
          <w:b/>
          <w:bCs/>
          <w:szCs w:val="24"/>
        </w:rPr>
        <w:t>Participant doses:</w:t>
      </w:r>
      <w:r>
        <w:rPr>
          <w:szCs w:val="24"/>
        </w:rPr>
        <w:t xml:space="preserve"> Once the randomisation code has been authorised as per Simbec-Orion SOPs, each participant dose will be packaged and labelled for individual participants by designated individuals from the IMP Management Department at Simbec-Orion on behalf of the Sponsor.   </w:t>
      </w:r>
    </w:p>
    <w:p w14:paraId="4C214127" w14:textId="31FA70D7" w:rsidR="005E785F" w:rsidRDefault="003621E8">
      <w:pPr>
        <w:pStyle w:val="C-BodyText"/>
        <w:spacing w:line="240" w:lineRule="auto"/>
        <w:jc w:val="both"/>
        <w:rPr>
          <w:lang w:val="en-GB"/>
        </w:rPr>
      </w:pPr>
      <w:r>
        <w:rPr>
          <w:b/>
          <w:bCs/>
          <w:szCs w:val="24"/>
        </w:rPr>
        <w:t>Code break envelopes:</w:t>
      </w:r>
      <w:r>
        <w:rPr>
          <w:szCs w:val="24"/>
        </w:rPr>
        <w:t xml:space="preserve"> Once the randomisation code has been authorised as per Simbec-Orion SOPs, the Pharmacist (or designee) will produce individual sealed code-break envelopes that contain the treatment allocation(s) for each participant. The envelopes will be stored in a restricted access area. A set of code break envelopes will also be provided to the Sponsor pharmacovigilance (PV).</w:t>
      </w:r>
    </w:p>
    <w:p w14:paraId="32CD4D5C" w14:textId="77777777" w:rsidR="005E785F" w:rsidRDefault="003621E8">
      <w:pPr>
        <w:pStyle w:val="C-BodyText"/>
        <w:spacing w:line="240" w:lineRule="auto"/>
        <w:jc w:val="both"/>
        <w:rPr>
          <w:lang w:val="en-GB"/>
        </w:rPr>
      </w:pPr>
      <w:r>
        <w:rPr>
          <w:i/>
          <w:szCs w:val="24"/>
        </w:rPr>
        <w:t>Emergency unblinding:</w:t>
      </w:r>
      <w:r>
        <w:rPr>
          <w:szCs w:val="24"/>
        </w:rPr>
        <w:t xml:space="preserve"> Where the site requires emergency access to an individual participant code because the Investigator believes that knowledge of the IMPs received by a participant is essential for appropriate treatment of an AE, Simbec-Orion will break the blind via the code break envelopes, if necessary, without prior consultation with the Sponsor. In such an event, the Sponsor will be notified as soon as possible via email and the treatment allocation for this subject will be unblinded for the site and the sponsor.  </w:t>
      </w:r>
    </w:p>
    <w:p w14:paraId="4ECCF5D9" w14:textId="5CA17133" w:rsidR="005E785F" w:rsidRDefault="003621E8">
      <w:pPr>
        <w:pStyle w:val="C-BodyText"/>
        <w:spacing w:line="240" w:lineRule="auto"/>
        <w:jc w:val="both"/>
        <w:rPr>
          <w:lang w:val="en-GB"/>
        </w:rPr>
      </w:pPr>
      <w:r>
        <w:rPr>
          <w:szCs w:val="24"/>
        </w:rPr>
        <w:t>If the blind needs to be broken for an individual participant, the date and reason will be recorded in the participant’s eCRF. If the code is broken for any individual participant, the participant will be withdrawn from the study and the procedures accompanying withdrawal performed. If the code is broken without justification, this will be deemed a serious protocol deviation.</w:t>
      </w:r>
    </w:p>
    <w:p w14:paraId="73FB2084" w14:textId="634DA0C0" w:rsidR="005E785F" w:rsidRDefault="003621E8">
      <w:pPr>
        <w:pStyle w:val="Heading3"/>
      </w:pPr>
      <w:r>
        <w:t xml:space="preserve"> </w:t>
      </w:r>
      <w:bookmarkStart w:id="141" w:name="_Ref66988554"/>
      <w:bookmarkStart w:id="142" w:name="_Toc74904394"/>
      <w:r>
        <w:t>Prior and Concomitant Therapy</w:t>
      </w:r>
      <w:bookmarkEnd w:id="141"/>
      <w:bookmarkEnd w:id="142"/>
    </w:p>
    <w:p w14:paraId="73FB2087" w14:textId="240A5864" w:rsidR="005E785F" w:rsidRDefault="003621E8">
      <w:pPr>
        <w:spacing w:before="120" w:after="120"/>
        <w:jc w:val="both"/>
        <w:rPr>
          <w:szCs w:val="24"/>
          <w:lang w:val="en-GB"/>
        </w:rPr>
      </w:pPr>
      <w:r>
        <w:rPr>
          <w:rFonts w:cs="Times New Roman"/>
          <w:b/>
          <w:bCs/>
          <w:szCs w:val="24"/>
        </w:rPr>
        <w:t xml:space="preserve">Prior Medication: </w:t>
      </w:r>
      <w:r>
        <w:rPr>
          <w:rFonts w:cs="Times New Roman"/>
          <w:szCs w:val="24"/>
        </w:rPr>
        <w:t xml:space="preserve">Prescription or non-prescription drugs, including, vitamins, herbal and dietary supplements should not be taken within 28 days (or 5 half-lives (whichever is longer)) prior to the first dose of IMP. </w:t>
      </w:r>
    </w:p>
    <w:p w14:paraId="0252DC0C" w14:textId="4427BFB3" w:rsidR="005E785F" w:rsidRDefault="003621E8">
      <w:pPr>
        <w:spacing w:before="120" w:after="120"/>
        <w:jc w:val="both"/>
        <w:rPr>
          <w:szCs w:val="24"/>
          <w:lang w:val="en-GB"/>
        </w:rPr>
      </w:pPr>
      <w:r>
        <w:rPr>
          <w:rFonts w:cs="Times New Roman"/>
          <w:b/>
          <w:bCs/>
          <w:szCs w:val="24"/>
        </w:rPr>
        <w:t>Concomitant Medication:</w:t>
      </w:r>
      <w:r>
        <w:rPr>
          <w:rFonts w:cs="Times New Roman"/>
          <w:szCs w:val="24"/>
        </w:rPr>
        <w:t xml:space="preserve"> All medications including over-the-counter products shall be avoided during the study except for the treatment of AE. COVID-19 vaccine is not allowed from 28 days prior to dosing until 28 days post-dose.</w:t>
      </w:r>
    </w:p>
    <w:p w14:paraId="73FB2089" w14:textId="088D5E71" w:rsidR="005E785F" w:rsidRDefault="003621E8">
      <w:pPr>
        <w:spacing w:before="120" w:after="120"/>
        <w:jc w:val="both"/>
        <w:rPr>
          <w:lang w:val="en-GB"/>
        </w:rPr>
      </w:pPr>
      <w:r>
        <w:rPr>
          <w:szCs w:val="24"/>
          <w:lang w:val="en-GB"/>
        </w:rPr>
        <w:t>If intake of any prior or concomitant medication is necessary during the study, the daily dosage, duration and reasons for administration will be recorded on the participant’s eCRF.</w:t>
      </w:r>
    </w:p>
    <w:p w14:paraId="53E0C255" w14:textId="2FC11131" w:rsidR="005E785F" w:rsidRDefault="003621E8">
      <w:pPr>
        <w:pStyle w:val="Heading3"/>
        <w:tabs>
          <w:tab w:val="clear" w:pos="720"/>
          <w:tab w:val="num" w:pos="1260"/>
        </w:tabs>
        <w:ind w:left="1259" w:hanging="1259"/>
      </w:pPr>
      <w:bookmarkStart w:id="143" w:name="_Toc351382506"/>
      <w:bookmarkStart w:id="144" w:name="_Ref67038450"/>
      <w:bookmarkStart w:id="145" w:name="_Ref67038618"/>
      <w:bookmarkStart w:id="146" w:name="_Toc74904395"/>
      <w:bookmarkEnd w:id="140"/>
      <w:bookmarkEnd w:id="143"/>
      <w:r>
        <w:lastRenderedPageBreak/>
        <w:t>Emergency Treatment</w:t>
      </w:r>
      <w:bookmarkEnd w:id="144"/>
      <w:bookmarkEnd w:id="145"/>
      <w:bookmarkEnd w:id="146"/>
    </w:p>
    <w:p w14:paraId="708C2908" w14:textId="151F02D8" w:rsidR="005E785F" w:rsidRDefault="003621E8">
      <w:pPr>
        <w:spacing w:before="120" w:after="120"/>
        <w:jc w:val="both"/>
        <w:rPr>
          <w:rFonts w:eastAsia="Times New Roman Bold" w:cs="Times New Roman"/>
          <w:szCs w:val="24"/>
        </w:rPr>
      </w:pPr>
      <w:r>
        <w:rPr>
          <w:rFonts w:eastAsia="Times New Roman Bold" w:cs="Times New Roman"/>
          <w:szCs w:val="24"/>
        </w:rPr>
        <w:t>The Investigator site, where this FIH trial is to be carried out, will be equipped with the relevant armamentarium to address any potential medical emergency. Site clinical staff will be trained to immediate life support standards and physicians to advanced life support standards and experienced in handling medical emergencies.</w:t>
      </w:r>
    </w:p>
    <w:p w14:paraId="798FD2EE" w14:textId="440C09F2" w:rsidR="005E785F" w:rsidRDefault="003621E8">
      <w:pPr>
        <w:spacing w:before="120" w:after="120"/>
        <w:jc w:val="both"/>
        <w:rPr>
          <w:rFonts w:eastAsia="Times New Roman Bold" w:cs="Times New Roman"/>
          <w:szCs w:val="24"/>
        </w:rPr>
      </w:pPr>
      <w:r>
        <w:rPr>
          <w:rFonts w:eastAsia="Calibri" w:cs="Times New Roman"/>
          <w:szCs w:val="24"/>
          <w:lang w:val="en-GB"/>
        </w:rPr>
        <w:t>The clinical site will be close to and have access to an intensive/critical care unit (ICU) who can support as needed. A documented procedure for the transfer to the local hospital is available at the clinical site. The local hospital and ICU will be aware of the activity of the clinical site (days of administration and number of subjects) and the potential risk of CRS with the CpG ODN D35. The ICU will be familiar with the current international guidance for the treatment of CRS and have access to drugs acting against severe/life-threatening CRS such as tocilizumab +/- corticosteroids.</w:t>
      </w:r>
    </w:p>
    <w:p w14:paraId="75AD4EED" w14:textId="5E6CA76E" w:rsidR="005E785F" w:rsidRDefault="003621E8">
      <w:pPr>
        <w:autoSpaceDE w:val="0"/>
        <w:autoSpaceDN w:val="0"/>
        <w:adjustRightInd w:val="0"/>
        <w:spacing w:after="120"/>
        <w:jc w:val="both"/>
        <w:rPr>
          <w:rFonts w:cs="Times New Roman"/>
          <w:color w:val="000000"/>
          <w:szCs w:val="24"/>
          <w:lang w:val="en-GB"/>
        </w:rPr>
      </w:pPr>
      <w:r>
        <w:rPr>
          <w:rFonts w:cs="Times New Roman"/>
          <w:color w:val="000000"/>
          <w:szCs w:val="24"/>
          <w:lang w:val="en-GB"/>
        </w:rPr>
        <w:t xml:space="preserve">In case of symptoms and particularly fever (&gt; 38°C) with or without constitutional symptoms evoking a CRS, the subject will be placed on continuous monitoring of heart rate, blood pressure, ECG, oral temperature, and pulse oximetry. </w:t>
      </w:r>
    </w:p>
    <w:p w14:paraId="14B9C40D" w14:textId="77777777" w:rsidR="005E785F" w:rsidRDefault="003621E8">
      <w:pPr>
        <w:numPr>
          <w:ilvl w:val="0"/>
          <w:numId w:val="44"/>
        </w:numPr>
        <w:autoSpaceDE w:val="0"/>
        <w:autoSpaceDN w:val="0"/>
        <w:adjustRightInd w:val="0"/>
        <w:jc w:val="both"/>
        <w:rPr>
          <w:rFonts w:eastAsia="Times New Roman Bold" w:cs="Times New Roman"/>
          <w:color w:val="000000"/>
          <w:szCs w:val="24"/>
          <w:lang w:val="en-GB"/>
        </w:rPr>
      </w:pPr>
      <w:r>
        <w:rPr>
          <w:rFonts w:cs="Times New Roman"/>
          <w:color w:val="000000"/>
          <w:szCs w:val="24"/>
          <w:lang w:val="en-GB"/>
        </w:rPr>
        <w:t xml:space="preserve">A cannula for saline intravenous perfusion will be inserted in a peripheric vein (forearm). </w:t>
      </w:r>
    </w:p>
    <w:p w14:paraId="35A2D435" w14:textId="77777777" w:rsidR="005E785F" w:rsidRDefault="003621E8">
      <w:pPr>
        <w:numPr>
          <w:ilvl w:val="0"/>
          <w:numId w:val="44"/>
        </w:numPr>
        <w:autoSpaceDE w:val="0"/>
        <w:autoSpaceDN w:val="0"/>
        <w:adjustRightInd w:val="0"/>
        <w:jc w:val="both"/>
        <w:rPr>
          <w:rFonts w:eastAsia="Times New Roman Bold" w:cs="Times New Roman"/>
          <w:color w:val="000000"/>
          <w:szCs w:val="24"/>
          <w:lang w:val="en-GB"/>
        </w:rPr>
      </w:pPr>
      <w:r>
        <w:rPr>
          <w:rFonts w:cs="Times New Roman"/>
          <w:color w:val="000000"/>
          <w:szCs w:val="24"/>
          <w:lang w:val="en-GB"/>
        </w:rPr>
        <w:t xml:space="preserve">Antipyretics and analgesics as acetaminophen/paracetamol should be used at recommended doses and documented. </w:t>
      </w:r>
    </w:p>
    <w:p w14:paraId="42B3B28C" w14:textId="77777777" w:rsidR="005E785F" w:rsidRDefault="003621E8">
      <w:pPr>
        <w:numPr>
          <w:ilvl w:val="0"/>
          <w:numId w:val="44"/>
        </w:numPr>
        <w:autoSpaceDE w:val="0"/>
        <w:autoSpaceDN w:val="0"/>
        <w:adjustRightInd w:val="0"/>
        <w:jc w:val="both"/>
        <w:rPr>
          <w:rFonts w:eastAsia="Times New Roman Bold" w:cs="Times New Roman"/>
          <w:color w:val="000000"/>
          <w:szCs w:val="24"/>
          <w:lang w:val="en-GB"/>
        </w:rPr>
      </w:pPr>
      <w:r>
        <w:rPr>
          <w:rFonts w:cs="Times New Roman"/>
          <w:color w:val="000000"/>
          <w:szCs w:val="24"/>
          <w:lang w:val="en-GB"/>
        </w:rPr>
        <w:t xml:space="preserve">The use of NSAID is not recommended. </w:t>
      </w:r>
    </w:p>
    <w:p w14:paraId="02D56EAB" w14:textId="77777777" w:rsidR="005E785F" w:rsidRDefault="003621E8">
      <w:pPr>
        <w:numPr>
          <w:ilvl w:val="0"/>
          <w:numId w:val="44"/>
        </w:numPr>
        <w:autoSpaceDE w:val="0"/>
        <w:autoSpaceDN w:val="0"/>
        <w:adjustRightInd w:val="0"/>
        <w:jc w:val="both"/>
        <w:rPr>
          <w:rFonts w:eastAsia="Times New Roman Bold" w:cs="Times New Roman"/>
          <w:color w:val="000000"/>
          <w:szCs w:val="24"/>
          <w:lang w:val="en-GB"/>
        </w:rPr>
      </w:pPr>
      <w:r>
        <w:rPr>
          <w:rFonts w:cs="Times New Roman"/>
          <w:color w:val="000000"/>
          <w:szCs w:val="24"/>
          <w:lang w:val="en-GB"/>
        </w:rPr>
        <w:t xml:space="preserve">Antihistamines could be used in case of skin rash. </w:t>
      </w:r>
    </w:p>
    <w:p w14:paraId="7344DF07" w14:textId="487523BC" w:rsidR="005E785F" w:rsidRDefault="005A392C">
      <w:pPr>
        <w:numPr>
          <w:ilvl w:val="0"/>
          <w:numId w:val="44"/>
        </w:numPr>
        <w:autoSpaceDE w:val="0"/>
        <w:autoSpaceDN w:val="0"/>
        <w:adjustRightInd w:val="0"/>
        <w:jc w:val="both"/>
        <w:rPr>
          <w:rFonts w:eastAsia="Times New Roman Bold" w:cs="Times New Roman"/>
          <w:color w:val="000000"/>
          <w:szCs w:val="24"/>
          <w:lang w:val="en-GB"/>
        </w:rPr>
      </w:pPr>
      <w:r w:rsidRPr="005A392C">
        <w:rPr>
          <w:rFonts w:cs="Times New Roman"/>
          <w:color w:val="000000"/>
          <w:szCs w:val="24"/>
          <w:lang w:val="en-GB"/>
        </w:rPr>
        <w:t>For temperatures reported/recorded above 38.5°C, the following blood specimens will be collected as soon as possible to monitor the immune activation: interleukin-6  and complement samples (CH50, C4, C5a, and Bb fragments</w:t>
      </w:r>
      <w:r>
        <w:rPr>
          <w:rFonts w:cs="Times New Roman"/>
          <w:color w:val="000000"/>
          <w:szCs w:val="24"/>
          <w:lang w:val="en-GB"/>
        </w:rPr>
        <w:t>).</w:t>
      </w:r>
    </w:p>
    <w:p w14:paraId="51C4223C" w14:textId="77777777" w:rsidR="005E785F" w:rsidRDefault="003621E8">
      <w:pPr>
        <w:numPr>
          <w:ilvl w:val="0"/>
          <w:numId w:val="44"/>
        </w:numPr>
        <w:autoSpaceDE w:val="0"/>
        <w:autoSpaceDN w:val="0"/>
        <w:adjustRightInd w:val="0"/>
        <w:jc w:val="both"/>
        <w:rPr>
          <w:rFonts w:eastAsia="Times New Roman Bold" w:cs="Times New Roman"/>
          <w:color w:val="000000"/>
          <w:szCs w:val="24"/>
          <w:lang w:val="en-GB"/>
        </w:rPr>
      </w:pPr>
      <w:r>
        <w:rPr>
          <w:rFonts w:cs="Times New Roman"/>
          <w:color w:val="000000"/>
          <w:szCs w:val="24"/>
        </w:rPr>
        <w:t>Samples for the measurement of interleukin-6 in addition to CRP (as detailed below) will be sent for analysis to an appropriate laboratory and results available within a suitable timeframe in order to determine appropriate management, treatment and care for the participant as critical markers for early indicators of CRS.</w:t>
      </w:r>
    </w:p>
    <w:p w14:paraId="05AFA9D2" w14:textId="42FF8BD1" w:rsidR="005E785F" w:rsidRDefault="003621E8">
      <w:pPr>
        <w:numPr>
          <w:ilvl w:val="0"/>
          <w:numId w:val="44"/>
        </w:numPr>
        <w:autoSpaceDE w:val="0"/>
        <w:autoSpaceDN w:val="0"/>
        <w:adjustRightInd w:val="0"/>
        <w:jc w:val="both"/>
        <w:rPr>
          <w:rFonts w:eastAsia="Times New Roman Bold" w:cs="Times New Roman"/>
          <w:color w:val="000000"/>
          <w:szCs w:val="24"/>
          <w:lang w:val="en-GB"/>
        </w:rPr>
      </w:pPr>
      <w:r>
        <w:rPr>
          <w:rFonts w:cs="Times New Roman"/>
          <w:color w:val="000000"/>
          <w:szCs w:val="24"/>
          <w:lang w:val="en-GB"/>
        </w:rPr>
        <w:t xml:space="preserve">The CRP, an acute-phase reactant produced by the liver, is recognized as a marker of CRS severity even if non-specific. </w:t>
      </w:r>
      <w:bookmarkStart w:id="147" w:name="_Hlk66783792"/>
      <w:r>
        <w:rPr>
          <w:rFonts w:cs="Times New Roman"/>
          <w:color w:val="000000"/>
          <w:szCs w:val="24"/>
          <w:lang w:val="en-GB"/>
        </w:rPr>
        <w:t>CRP samples will be assayed by a lab as soon as possible</w:t>
      </w:r>
      <w:bookmarkEnd w:id="147"/>
      <w:r>
        <w:rPr>
          <w:rFonts w:cs="Times New Roman"/>
          <w:color w:val="000000"/>
          <w:szCs w:val="24"/>
          <w:lang w:val="en-GB"/>
        </w:rPr>
        <w:t xml:space="preserve">. </w:t>
      </w:r>
    </w:p>
    <w:p w14:paraId="11FF5EE2" w14:textId="6093B5D9" w:rsidR="005E785F" w:rsidRDefault="00D50825">
      <w:pPr>
        <w:numPr>
          <w:ilvl w:val="0"/>
          <w:numId w:val="44"/>
        </w:numPr>
        <w:autoSpaceDE w:val="0"/>
        <w:autoSpaceDN w:val="0"/>
        <w:adjustRightInd w:val="0"/>
        <w:jc w:val="both"/>
        <w:rPr>
          <w:rFonts w:eastAsia="Times New Roman Bold" w:cs="Times New Roman"/>
          <w:color w:val="000000"/>
          <w:szCs w:val="24"/>
          <w:lang w:val="en-GB"/>
        </w:rPr>
      </w:pPr>
      <w:r>
        <w:rPr>
          <w:rFonts w:cs="Times New Roman"/>
          <w:color w:val="000000"/>
          <w:szCs w:val="24"/>
        </w:rPr>
        <w:t>Analysis of complement samples will be undertaken by an appropriate laboratory. The outcome of complement analysis will not be utilised for the purposes of determining appropriate management, treatment and care for the participant; however, results will be used for further understanding of the mechanisms by which CRS may be triggered in the context of this IMP. Therefore, it is not required that results of complement analysis are available to determine participant treatment in the event of potential CRS.</w:t>
      </w:r>
    </w:p>
    <w:p w14:paraId="3F1298B5" w14:textId="18FD6C78" w:rsidR="005E785F" w:rsidRDefault="003621E8">
      <w:pPr>
        <w:numPr>
          <w:ilvl w:val="0"/>
          <w:numId w:val="44"/>
        </w:numPr>
        <w:autoSpaceDE w:val="0"/>
        <w:autoSpaceDN w:val="0"/>
        <w:adjustRightInd w:val="0"/>
        <w:jc w:val="both"/>
        <w:rPr>
          <w:rFonts w:ascii="Arial" w:eastAsia="Times New Roman Bold" w:hAnsi="Arial" w:cs="Times New Roman Bold"/>
          <w:color w:val="000000"/>
          <w:szCs w:val="24"/>
          <w:lang w:val="en-GB"/>
        </w:rPr>
      </w:pPr>
      <w:r>
        <w:rPr>
          <w:rFonts w:cs="Times New Roman"/>
          <w:color w:val="000000"/>
          <w:szCs w:val="24"/>
          <w:lang w:val="en-GB"/>
        </w:rPr>
        <w:t>Blood samples for monitoring the impact on major organs should be considered: serum creatinine, liver transaminases, total cholesterol, hemogram with cells count (</w:t>
      </w:r>
      <w:r>
        <w:t>WBC, RBC, Basophils, Eosinophils, monocytes, Neutrophils and lymphocytes)</w:t>
      </w:r>
      <w:r>
        <w:rPr>
          <w:rFonts w:cs="Times New Roman"/>
          <w:color w:val="000000"/>
          <w:szCs w:val="24"/>
          <w:lang w:val="en-GB"/>
        </w:rPr>
        <w:t xml:space="preserve"> and activated partial thromboplastin time (aPTT).</w:t>
      </w:r>
    </w:p>
    <w:p w14:paraId="4779332B" w14:textId="33E08067" w:rsidR="005E785F" w:rsidRDefault="003621E8">
      <w:pPr>
        <w:autoSpaceDE w:val="0"/>
        <w:autoSpaceDN w:val="0"/>
        <w:adjustRightInd w:val="0"/>
        <w:spacing w:before="120" w:after="120"/>
        <w:jc w:val="both"/>
        <w:rPr>
          <w:rFonts w:eastAsia="Times New Roman Bold" w:cs="Times New Roman"/>
          <w:color w:val="000000"/>
          <w:szCs w:val="24"/>
          <w:lang w:val="en-GB"/>
        </w:rPr>
      </w:pPr>
      <w:r>
        <w:rPr>
          <w:rFonts w:eastAsia="Times New Roman Bold" w:cs="Times New Roman"/>
          <w:color w:val="000000"/>
          <w:szCs w:val="24"/>
          <w:lang w:val="en-GB"/>
        </w:rPr>
        <w:t>In case of worst tolerance (moderate and above), subjects should be immediately transferred to the local hospital (with ICU facilities) with nasal oxygen and supporting treatment:</w:t>
      </w:r>
    </w:p>
    <w:p w14:paraId="0FACC32E" w14:textId="77777777" w:rsidR="005E785F" w:rsidRDefault="003621E8">
      <w:pPr>
        <w:numPr>
          <w:ilvl w:val="0"/>
          <w:numId w:val="43"/>
        </w:numPr>
        <w:autoSpaceDE w:val="0"/>
        <w:autoSpaceDN w:val="0"/>
        <w:adjustRightInd w:val="0"/>
        <w:jc w:val="both"/>
        <w:rPr>
          <w:rFonts w:eastAsia="Times New Roman Bold" w:cs="Times New Roman"/>
          <w:szCs w:val="24"/>
          <w:lang w:val="en-GB" w:eastAsia="it-IT"/>
        </w:rPr>
      </w:pPr>
      <w:r>
        <w:rPr>
          <w:rFonts w:eastAsia="Times New Roman Bold" w:cs="Times New Roman"/>
          <w:szCs w:val="24"/>
          <w:lang w:val="en-GB"/>
        </w:rPr>
        <w:lastRenderedPageBreak/>
        <w:t>Systolic blood pressure lower than 90 mmHg in supine position.</w:t>
      </w:r>
    </w:p>
    <w:p w14:paraId="71C864EB" w14:textId="77777777" w:rsidR="005E785F" w:rsidRDefault="003621E8">
      <w:pPr>
        <w:numPr>
          <w:ilvl w:val="0"/>
          <w:numId w:val="43"/>
        </w:numPr>
        <w:autoSpaceDE w:val="0"/>
        <w:autoSpaceDN w:val="0"/>
        <w:adjustRightInd w:val="0"/>
        <w:jc w:val="both"/>
        <w:rPr>
          <w:rFonts w:eastAsia="Times New Roman Bold" w:cs="Times New Roman"/>
          <w:szCs w:val="24"/>
          <w:lang w:val="en-GB" w:eastAsia="it-IT"/>
        </w:rPr>
      </w:pPr>
      <w:r>
        <w:rPr>
          <w:rFonts w:eastAsia="Times New Roman Bold" w:cs="Times New Roman"/>
          <w:szCs w:val="24"/>
          <w:lang w:val="en-GB"/>
        </w:rPr>
        <w:t>Oxygen saturation lower of 90% with or without O2 supplementation.</w:t>
      </w:r>
    </w:p>
    <w:p w14:paraId="2FD487D4" w14:textId="77777777" w:rsidR="005E785F" w:rsidRDefault="003621E8">
      <w:pPr>
        <w:numPr>
          <w:ilvl w:val="0"/>
          <w:numId w:val="43"/>
        </w:numPr>
        <w:autoSpaceDE w:val="0"/>
        <w:autoSpaceDN w:val="0"/>
        <w:adjustRightInd w:val="0"/>
        <w:jc w:val="both"/>
        <w:rPr>
          <w:rFonts w:eastAsia="Times New Roman Bold" w:cs="Times New Roman"/>
          <w:szCs w:val="24"/>
          <w:lang w:val="en-GB" w:eastAsia="it-IT"/>
        </w:rPr>
      </w:pPr>
      <w:r>
        <w:rPr>
          <w:rFonts w:eastAsia="Times New Roman Bold" w:cs="Times New Roman"/>
          <w:szCs w:val="24"/>
          <w:lang w:val="en-GB"/>
        </w:rPr>
        <w:t>Respiratory rate &gt; 24/minutes.</w:t>
      </w:r>
    </w:p>
    <w:p w14:paraId="076B9E9F" w14:textId="77777777" w:rsidR="005E785F" w:rsidRDefault="003621E8">
      <w:pPr>
        <w:numPr>
          <w:ilvl w:val="0"/>
          <w:numId w:val="43"/>
        </w:numPr>
        <w:autoSpaceDE w:val="0"/>
        <w:autoSpaceDN w:val="0"/>
        <w:adjustRightInd w:val="0"/>
        <w:jc w:val="both"/>
        <w:rPr>
          <w:rFonts w:eastAsia="Times New Roman Bold" w:cs="Times New Roman"/>
          <w:szCs w:val="24"/>
          <w:lang w:val="en-GB"/>
        </w:rPr>
      </w:pPr>
      <w:r>
        <w:rPr>
          <w:rFonts w:eastAsia="Times New Roman Bold" w:cs="Times New Roman"/>
          <w:szCs w:val="24"/>
          <w:lang w:val="en-GB"/>
        </w:rPr>
        <w:t xml:space="preserve">Fever &gt; 39.5°C. </w:t>
      </w:r>
    </w:p>
    <w:p w14:paraId="46B0DBA1" w14:textId="2E520B2D" w:rsidR="005E785F" w:rsidRDefault="003621E8">
      <w:pPr>
        <w:numPr>
          <w:ilvl w:val="0"/>
          <w:numId w:val="43"/>
        </w:numPr>
        <w:autoSpaceDE w:val="0"/>
        <w:autoSpaceDN w:val="0"/>
        <w:adjustRightInd w:val="0"/>
        <w:jc w:val="both"/>
        <w:rPr>
          <w:rFonts w:eastAsia="Times New Roman Bold" w:cs="Times New Roman"/>
          <w:szCs w:val="24"/>
          <w:lang w:val="en-GB" w:eastAsia="it-IT"/>
        </w:rPr>
      </w:pPr>
      <w:r>
        <w:rPr>
          <w:rFonts w:eastAsia="Times New Roman Bold" w:cs="Times New Roman"/>
          <w:szCs w:val="24"/>
          <w:lang w:val="en-GB"/>
        </w:rPr>
        <w:t>Neurological signs such as hallucinations or confusion, seizure dysphasia, tremor, or severe headache.</w:t>
      </w:r>
    </w:p>
    <w:p w14:paraId="09E68D3A" w14:textId="77777777" w:rsidR="005E785F" w:rsidRDefault="003621E8">
      <w:pPr>
        <w:numPr>
          <w:ilvl w:val="0"/>
          <w:numId w:val="43"/>
        </w:numPr>
        <w:autoSpaceDE w:val="0"/>
        <w:autoSpaceDN w:val="0"/>
        <w:adjustRightInd w:val="0"/>
        <w:jc w:val="both"/>
        <w:rPr>
          <w:rFonts w:eastAsia="Times New Roman Bold" w:cs="Times New Roman"/>
          <w:szCs w:val="24"/>
          <w:lang w:val="en-GB" w:eastAsia="it-IT"/>
        </w:rPr>
      </w:pPr>
      <w:r>
        <w:rPr>
          <w:rFonts w:eastAsia="Times New Roman Bold" w:cs="Times New Roman"/>
          <w:szCs w:val="24"/>
          <w:lang w:val="en-GB"/>
        </w:rPr>
        <w:t>High level of IL-6 (&gt; 20 pg/mL) or CRP (&gt; 40 mg/L).</w:t>
      </w:r>
    </w:p>
    <w:p w14:paraId="6CC4A676" w14:textId="77777777" w:rsidR="005E785F" w:rsidRDefault="003621E8">
      <w:pPr>
        <w:numPr>
          <w:ilvl w:val="0"/>
          <w:numId w:val="43"/>
        </w:numPr>
        <w:autoSpaceDE w:val="0"/>
        <w:autoSpaceDN w:val="0"/>
        <w:adjustRightInd w:val="0"/>
        <w:jc w:val="both"/>
        <w:rPr>
          <w:rFonts w:eastAsia="Times New Roman Bold" w:cs="Times New Roman"/>
          <w:szCs w:val="24"/>
          <w:lang w:val="en-GB" w:eastAsia="it-IT"/>
        </w:rPr>
      </w:pPr>
      <w:r>
        <w:rPr>
          <w:rFonts w:eastAsia="Times New Roman Bold" w:cs="Times New Roman"/>
          <w:szCs w:val="24"/>
          <w:lang w:val="en-GB"/>
        </w:rPr>
        <w:t>Any other organ dysfunction.</w:t>
      </w:r>
    </w:p>
    <w:p w14:paraId="4F32E624" w14:textId="44F778CC" w:rsidR="005E785F" w:rsidRDefault="003621E8">
      <w:pPr>
        <w:autoSpaceDE w:val="0"/>
        <w:autoSpaceDN w:val="0"/>
        <w:adjustRightInd w:val="0"/>
        <w:spacing w:before="120" w:after="120"/>
        <w:jc w:val="both"/>
        <w:rPr>
          <w:rFonts w:eastAsia="Times New Roman Bold" w:cs="Times New Roman"/>
          <w:color w:val="000000"/>
          <w:szCs w:val="24"/>
          <w:lang w:val="en-GB"/>
        </w:rPr>
      </w:pPr>
      <w:r>
        <w:rPr>
          <w:rFonts w:cs="Times New Roman"/>
          <w:color w:val="000000"/>
          <w:szCs w:val="24"/>
          <w:lang w:val="en-GB"/>
        </w:rPr>
        <w:t xml:space="preserve">From the day of being discharged from the clinical unit (Day 4) up to the end of the study (Day 14), subjects should measure their oral temperature in the morning and the evening, and the results should be shared with the clinical site. They will keep a subject card in their wallet for the duration of the study. This card with the identification of the subject and the clinical centre (with an emergency phone number) will describe the potential risk of CRS with the tested product, the potential evoking symptoms, and the current guidance for the treatment of CRS. The subject should call the clinical site in any doubt or evoking symptoms except in case of medical emergency, as emergency care service shall be prioritized, i.e., always call 999 in a medical emergency. </w:t>
      </w:r>
    </w:p>
    <w:p w14:paraId="0EC5C344" w14:textId="6EB3D4DB" w:rsidR="005E785F" w:rsidRDefault="003621E8">
      <w:pPr>
        <w:jc w:val="both"/>
        <w:rPr>
          <w:rFonts w:cs="Times New Roman"/>
          <w:szCs w:val="24"/>
          <w:lang w:val="pt-BR" w:eastAsia="pt-BR"/>
        </w:rPr>
      </w:pPr>
      <w:r>
        <w:rPr>
          <w:rFonts w:eastAsia="Times New Roman Bold" w:cs="Times New Roman"/>
          <w:szCs w:val="24"/>
        </w:rPr>
        <w:t>In the current context of the COVID-19 pandemic, any fever should lead to a COVID-19 PCR test to eliminate a coronavirus infection and the current sanitary recommendation should be followed.</w:t>
      </w:r>
    </w:p>
    <w:p w14:paraId="73FB208A" w14:textId="2F3437E9" w:rsidR="005E785F" w:rsidRDefault="003621E8">
      <w:pPr>
        <w:pStyle w:val="Heading3"/>
      </w:pPr>
      <w:r>
        <w:t xml:space="preserve"> </w:t>
      </w:r>
      <w:bookmarkStart w:id="148" w:name="_Toc74904396"/>
      <w:r>
        <w:t>Treatment Compliance</w:t>
      </w:r>
      <w:bookmarkEnd w:id="148"/>
    </w:p>
    <w:p w14:paraId="73FB208B" w14:textId="5754A4CD" w:rsidR="005E785F" w:rsidRDefault="003621E8">
      <w:pPr>
        <w:pStyle w:val="C-BodyText"/>
        <w:spacing w:line="240" w:lineRule="auto"/>
        <w:jc w:val="both"/>
        <w:rPr>
          <w:highlight w:val="yellow"/>
          <w:lang w:val="en-GB"/>
        </w:rPr>
      </w:pPr>
      <w:r>
        <w:rPr>
          <w:lang w:val="en-GB"/>
        </w:rPr>
        <w:t>Each dose of IMP will be administered under medical supervision. The exact dosing time for each healthy subject will be recorded on the subject’s eCRF. The dosing sites of SC injections will be captured in the eCRF as well.</w:t>
      </w:r>
    </w:p>
    <w:p w14:paraId="73FB208C" w14:textId="53C455C0" w:rsidR="005E785F" w:rsidRDefault="003621E8">
      <w:pPr>
        <w:pStyle w:val="Heading2"/>
      </w:pPr>
      <w:bookmarkStart w:id="149" w:name="_Toc74904397"/>
      <w:r>
        <w:t>Efficacy and Safety Variables</w:t>
      </w:r>
      <w:bookmarkEnd w:id="149"/>
    </w:p>
    <w:p w14:paraId="73FB208D" w14:textId="4C826827" w:rsidR="005E785F" w:rsidRDefault="003621E8">
      <w:pPr>
        <w:pStyle w:val="Heading3"/>
      </w:pPr>
      <w:bookmarkStart w:id="150" w:name="_Toc74904398"/>
      <w:r>
        <w:t>Efficacy and Safety Measurements Assessed and Flow Chart</w:t>
      </w:r>
      <w:bookmarkEnd w:id="150"/>
    </w:p>
    <w:p w14:paraId="73FB208E" w14:textId="5CC3BAD8" w:rsidR="005E785F" w:rsidRDefault="003621E8">
      <w:pPr>
        <w:pStyle w:val="C-BodyText"/>
        <w:spacing w:line="240" w:lineRule="auto"/>
        <w:jc w:val="both"/>
        <w:rPr>
          <w:lang w:val="en-GB"/>
        </w:rPr>
      </w:pPr>
      <w:r>
        <w:rPr>
          <w:lang w:val="en-GB"/>
        </w:rPr>
        <w:t xml:space="preserve">A schedule of study assessments is provided in </w:t>
      </w:r>
      <w:r>
        <w:rPr>
          <w:color w:val="0000FF"/>
          <w:lang w:val="en-GB"/>
        </w:rPr>
        <w:fldChar w:fldCharType="begin"/>
      </w:r>
      <w:r>
        <w:rPr>
          <w:color w:val="0000FF"/>
          <w:lang w:val="en-GB"/>
        </w:rPr>
        <w:instrText xml:space="preserve"> REF _Ref66109390 \h </w:instrText>
      </w:r>
      <w:r>
        <w:rPr>
          <w:color w:val="0000FF"/>
          <w:lang w:val="en-GB"/>
        </w:rPr>
      </w:r>
      <w:r>
        <w:rPr>
          <w:color w:val="0000FF"/>
          <w:lang w:val="en-GB"/>
        </w:rPr>
        <w:fldChar w:fldCharType="separate"/>
      </w:r>
      <w:r>
        <w:rPr>
          <w:color w:val="0000FF"/>
        </w:rPr>
        <w:t>Table 5</w:t>
      </w:r>
      <w:r>
        <w:rPr>
          <w:color w:val="0000FF"/>
          <w:lang w:val="en-GB"/>
        </w:rPr>
        <w:fldChar w:fldCharType="end"/>
      </w:r>
      <w:r>
        <w:rPr>
          <w:lang w:val="en-GB"/>
        </w:rPr>
        <w:t xml:space="preserve">.  </w:t>
      </w:r>
    </w:p>
    <w:p w14:paraId="73FB208F" w14:textId="0EBC3DB4" w:rsidR="005E785F" w:rsidRDefault="003621E8">
      <w:pPr>
        <w:pStyle w:val="C-BodyText"/>
        <w:spacing w:line="240" w:lineRule="auto"/>
        <w:jc w:val="both"/>
        <w:rPr>
          <w:lang w:val="en-GB"/>
        </w:rPr>
      </w:pPr>
      <w:r>
        <w:rPr>
          <w:lang w:val="en-GB"/>
        </w:rPr>
        <w:t>Simbec-Orion personnel who have been appropriately trained will carry out study procedures.</w:t>
      </w:r>
    </w:p>
    <w:p w14:paraId="73FB2090" w14:textId="0DA3FB84" w:rsidR="005E785F" w:rsidRDefault="003621E8">
      <w:pPr>
        <w:pStyle w:val="C-BodyText"/>
        <w:spacing w:line="240" w:lineRule="auto"/>
        <w:jc w:val="both"/>
        <w:rPr>
          <w:lang w:val="en-GB"/>
        </w:rPr>
      </w:pPr>
      <w:r>
        <w:rPr>
          <w:lang w:val="en-GB"/>
        </w:rPr>
        <w:t xml:space="preserve">Where more than 1 procedure is scheduled for the same time-point, the following order of priority will apply: </w:t>
      </w:r>
    </w:p>
    <w:p w14:paraId="3FD06A43" w14:textId="5C1BE875" w:rsidR="005E785F" w:rsidRDefault="003621E8">
      <w:pPr>
        <w:pStyle w:val="ListParagraph"/>
        <w:numPr>
          <w:ilvl w:val="0"/>
          <w:numId w:val="54"/>
        </w:numPr>
        <w:spacing w:before="120" w:after="120"/>
        <w:jc w:val="both"/>
        <w:rPr>
          <w:lang w:val="en-GB"/>
        </w:rPr>
      </w:pPr>
      <w:r>
        <w:rPr>
          <w:rFonts w:cs="Times New Roman"/>
          <w:szCs w:val="24"/>
        </w:rPr>
        <w:t xml:space="preserve">PK and PD blood sampling. Blood samples collected outside of the defined deviation windows will be recorded as protocol deviations. The allowable window is ± 1 minute for samples collected up to 30 minutes time-point (inclusive), ± 3 minutes for samples collected up to 2 hour time-point (inclusive) and ± 5 mins above 2 hour time-point.  </w:t>
      </w:r>
    </w:p>
    <w:p w14:paraId="39896522" w14:textId="0EEE9040" w:rsidR="005E785F" w:rsidRDefault="003621E8">
      <w:pPr>
        <w:pStyle w:val="ListParagraph"/>
        <w:numPr>
          <w:ilvl w:val="0"/>
          <w:numId w:val="54"/>
        </w:numPr>
        <w:spacing w:before="120" w:after="120"/>
        <w:jc w:val="both"/>
        <w:rPr>
          <w:lang w:val="en-GB"/>
        </w:rPr>
      </w:pPr>
      <w:r>
        <w:rPr>
          <w:rFonts w:cs="Times New Roman"/>
          <w:szCs w:val="24"/>
        </w:rPr>
        <w:t>Vital signs and 12-lead ECG (a window of ± 8 mins up to 1 hour timepoint (inclusive) and ± 15 mins above 1 hour in relation to the nominal time-point is allowed).</w:t>
      </w:r>
    </w:p>
    <w:p w14:paraId="03C05F66" w14:textId="7D28C6FA" w:rsidR="005E785F" w:rsidRDefault="003621E8">
      <w:pPr>
        <w:pStyle w:val="ListParagraph"/>
        <w:numPr>
          <w:ilvl w:val="0"/>
          <w:numId w:val="54"/>
        </w:numPr>
        <w:spacing w:before="120" w:after="120"/>
        <w:jc w:val="both"/>
        <w:rPr>
          <w:lang w:val="en-GB"/>
        </w:rPr>
      </w:pPr>
      <w:r>
        <w:rPr>
          <w:lang w:val="en-GB"/>
        </w:rPr>
        <w:t xml:space="preserve">All pre-dose assessments may be performed within the 1 h before dosing, except pre-dose urine samples can be collected outside this window. Physical examination (both </w:t>
      </w:r>
      <w:r>
        <w:rPr>
          <w:lang w:val="en-GB"/>
        </w:rPr>
        <w:lastRenderedPageBreak/>
        <w:t xml:space="preserve">brief and full) and the injection site examination (a window of </w:t>
      </w:r>
      <w:r>
        <w:rPr>
          <w:rFonts w:cs="Times New Roman"/>
          <w:szCs w:val="24"/>
        </w:rPr>
        <w:t xml:space="preserve">± 15 mins in relation to the nominal time-point is allowed for all assessment time-points). </w:t>
      </w:r>
    </w:p>
    <w:p w14:paraId="78C54E16" w14:textId="6166DEB1" w:rsidR="005E785F" w:rsidRDefault="005E785F">
      <w:pPr>
        <w:pStyle w:val="ListParagraph"/>
        <w:numPr>
          <w:ilvl w:val="0"/>
          <w:numId w:val="54"/>
        </w:numPr>
        <w:spacing w:before="120" w:after="120"/>
        <w:jc w:val="both"/>
        <w:rPr>
          <w:lang w:val="en-GB"/>
        </w:rPr>
        <w:sectPr w:rsidR="005E785F">
          <w:type w:val="continuous"/>
          <w:pgSz w:w="11907" w:h="16839" w:code="9"/>
          <w:pgMar w:top="1440" w:right="1440" w:bottom="1440" w:left="1440" w:header="540" w:footer="720" w:gutter="0"/>
          <w:cols w:space="720"/>
          <w:docGrid w:linePitch="254"/>
        </w:sectPr>
      </w:pPr>
    </w:p>
    <w:p w14:paraId="63998344" w14:textId="1143471D" w:rsidR="005E785F" w:rsidRDefault="003621E8">
      <w:pPr>
        <w:pStyle w:val="Caption"/>
        <w:rPr>
          <w:lang w:val="en-GB"/>
        </w:rPr>
      </w:pPr>
      <w:bookmarkStart w:id="151" w:name="_Ref66109390"/>
      <w:bookmarkStart w:id="152" w:name="_Ref65094103"/>
      <w:bookmarkStart w:id="153" w:name="_Toc66992766"/>
      <w:r>
        <w:lastRenderedPageBreak/>
        <w:t xml:space="preserve">Table </w:t>
      </w:r>
      <w:r w:rsidR="00747B9C">
        <w:fldChar w:fldCharType="begin"/>
      </w:r>
      <w:r w:rsidR="00747B9C">
        <w:instrText xml:space="preserve"> SEQ Table \* ARABIC </w:instrText>
      </w:r>
      <w:r w:rsidR="00747B9C">
        <w:fldChar w:fldCharType="separate"/>
      </w:r>
      <w:r>
        <w:t>5</w:t>
      </w:r>
      <w:r w:rsidR="00747B9C">
        <w:fldChar w:fldCharType="end"/>
      </w:r>
      <w:bookmarkEnd w:id="151"/>
      <w:r>
        <w:tab/>
      </w:r>
      <w:r>
        <w:rPr>
          <w:lang w:val="en-GB"/>
        </w:rPr>
        <w:t>Study Flow Chart</w:t>
      </w:r>
      <w:bookmarkEnd w:id="152"/>
      <w:bookmarkEnd w:id="153"/>
      <w:r>
        <w:rPr>
          <w:lang w:val="en-GB"/>
        </w:rPr>
        <w:t xml:space="preserve"> </w:t>
      </w:r>
    </w:p>
    <w:tbl>
      <w:tblPr>
        <w:tblW w:w="935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2122"/>
        <w:gridCol w:w="992"/>
        <w:gridCol w:w="992"/>
        <w:gridCol w:w="992"/>
        <w:gridCol w:w="851"/>
        <w:gridCol w:w="709"/>
        <w:gridCol w:w="425"/>
        <w:gridCol w:w="850"/>
        <w:gridCol w:w="709"/>
        <w:gridCol w:w="709"/>
      </w:tblGrid>
      <w:tr w:rsidR="005E785F" w14:paraId="611DB71C" w14:textId="77777777">
        <w:trPr>
          <w:trHeight w:val="312"/>
        </w:trPr>
        <w:tc>
          <w:tcPr>
            <w:tcW w:w="2122" w:type="dxa"/>
            <w:vMerge w:val="restart"/>
            <w:shd w:val="clear" w:color="auto" w:fill="FFFFFF" w:themeFill="background1"/>
            <w:vAlign w:val="center"/>
            <w:hideMark/>
          </w:tcPr>
          <w:p w14:paraId="4FA7A724" w14:textId="77777777" w:rsidR="005E785F" w:rsidRDefault="003621E8">
            <w:pPr>
              <w:jc w:val="center"/>
              <w:rPr>
                <w:rFonts w:cs="Times New Roman"/>
                <w:b/>
                <w:bCs/>
                <w:color w:val="000000"/>
                <w:sz w:val="18"/>
                <w:szCs w:val="18"/>
                <w:lang w:eastAsia="pt-BR"/>
              </w:rPr>
            </w:pPr>
            <w:r>
              <w:rPr>
                <w:rFonts w:cs="Times New Roman"/>
                <w:b/>
                <w:bCs/>
                <w:color w:val="000000"/>
                <w:sz w:val="18"/>
                <w:szCs w:val="18"/>
                <w:lang w:eastAsia="pt-BR"/>
              </w:rPr>
              <w:t> </w:t>
            </w:r>
          </w:p>
        </w:tc>
        <w:tc>
          <w:tcPr>
            <w:tcW w:w="992" w:type="dxa"/>
            <w:vMerge w:val="restart"/>
            <w:shd w:val="clear" w:color="auto" w:fill="FFFFFF" w:themeFill="background1"/>
            <w:vAlign w:val="center"/>
          </w:tcPr>
          <w:p w14:paraId="707826AA" w14:textId="69AD62B0" w:rsidR="005E785F" w:rsidRDefault="003621E8">
            <w:pPr>
              <w:jc w:val="center"/>
              <w:rPr>
                <w:rFonts w:cs="Times New Roman"/>
                <w:b/>
                <w:bCs/>
                <w:color w:val="000000"/>
                <w:sz w:val="18"/>
                <w:szCs w:val="18"/>
                <w:lang w:eastAsia="pt-BR"/>
              </w:rPr>
            </w:pPr>
            <w:r>
              <w:rPr>
                <w:rFonts w:cs="Times New Roman"/>
                <w:b/>
                <w:bCs/>
                <w:color w:val="000000"/>
                <w:sz w:val="18"/>
                <w:szCs w:val="18"/>
                <w:lang w:eastAsia="pt-BR"/>
              </w:rPr>
              <w:t>Screening Visit</w:t>
            </w:r>
          </w:p>
        </w:tc>
        <w:tc>
          <w:tcPr>
            <w:tcW w:w="5528" w:type="dxa"/>
            <w:gridSpan w:val="7"/>
            <w:shd w:val="clear" w:color="auto" w:fill="FFFFFF" w:themeFill="background1"/>
            <w:vAlign w:val="center"/>
            <w:hideMark/>
          </w:tcPr>
          <w:p w14:paraId="2642D744" w14:textId="0C71AC15" w:rsidR="005E785F" w:rsidRDefault="003621E8">
            <w:pPr>
              <w:jc w:val="center"/>
              <w:rPr>
                <w:rFonts w:cs="Times New Roman"/>
                <w:b/>
                <w:bCs/>
                <w:sz w:val="18"/>
                <w:szCs w:val="18"/>
                <w:lang w:eastAsia="pt-BR"/>
              </w:rPr>
            </w:pPr>
            <w:r>
              <w:rPr>
                <w:rFonts w:cs="Times New Roman"/>
                <w:b/>
                <w:bCs/>
                <w:sz w:val="18"/>
                <w:szCs w:val="18"/>
                <w:lang w:eastAsia="pt-BR"/>
              </w:rPr>
              <w:t xml:space="preserve">Treatment Period </w:t>
            </w:r>
          </w:p>
          <w:p w14:paraId="49659CC4" w14:textId="45EC4577" w:rsidR="005E785F" w:rsidRDefault="005E785F">
            <w:pPr>
              <w:jc w:val="center"/>
              <w:rPr>
                <w:rFonts w:cs="Times New Roman"/>
                <w:b/>
                <w:bCs/>
                <w:color w:val="000000"/>
                <w:sz w:val="18"/>
                <w:szCs w:val="18"/>
                <w:lang w:eastAsia="pt-BR"/>
              </w:rPr>
            </w:pPr>
          </w:p>
        </w:tc>
        <w:tc>
          <w:tcPr>
            <w:tcW w:w="709" w:type="dxa"/>
            <w:vMerge w:val="restart"/>
            <w:shd w:val="clear" w:color="auto" w:fill="FFFFFF" w:themeFill="background1"/>
            <w:vAlign w:val="center"/>
          </w:tcPr>
          <w:p w14:paraId="0A7FBA60" w14:textId="53119620" w:rsidR="005E785F" w:rsidRDefault="003621E8">
            <w:pPr>
              <w:jc w:val="center"/>
              <w:rPr>
                <w:rFonts w:cs="Times New Roman"/>
                <w:b/>
                <w:bCs/>
                <w:color w:val="000000"/>
                <w:sz w:val="18"/>
                <w:szCs w:val="18"/>
                <w:lang w:eastAsia="pt-BR"/>
              </w:rPr>
            </w:pPr>
            <w:r>
              <w:rPr>
                <w:rFonts w:cs="Times New Roman"/>
                <w:b/>
                <w:bCs/>
                <w:color w:val="000000"/>
                <w:sz w:val="18"/>
                <w:szCs w:val="18"/>
                <w:lang w:eastAsia="pt-BR"/>
              </w:rPr>
              <w:t>Follow-up Visit</w:t>
            </w:r>
          </w:p>
        </w:tc>
      </w:tr>
      <w:tr w:rsidR="005E785F" w14:paraId="0EE97B88" w14:textId="77777777">
        <w:trPr>
          <w:trHeight w:val="312"/>
        </w:trPr>
        <w:tc>
          <w:tcPr>
            <w:tcW w:w="2122" w:type="dxa"/>
            <w:vMerge/>
            <w:shd w:val="clear" w:color="auto" w:fill="FFFFFF" w:themeFill="background1"/>
            <w:vAlign w:val="center"/>
          </w:tcPr>
          <w:p w14:paraId="389B05C4" w14:textId="77777777" w:rsidR="005E785F" w:rsidRDefault="005E785F">
            <w:pPr>
              <w:jc w:val="center"/>
              <w:rPr>
                <w:rFonts w:cs="Times New Roman"/>
                <w:b/>
                <w:bCs/>
                <w:color w:val="000000"/>
                <w:sz w:val="18"/>
                <w:szCs w:val="18"/>
                <w:lang w:eastAsia="pt-BR"/>
              </w:rPr>
            </w:pPr>
          </w:p>
        </w:tc>
        <w:tc>
          <w:tcPr>
            <w:tcW w:w="992" w:type="dxa"/>
            <w:vMerge/>
            <w:shd w:val="clear" w:color="auto" w:fill="FFFFFF" w:themeFill="background1"/>
            <w:vAlign w:val="center"/>
          </w:tcPr>
          <w:p w14:paraId="2E38EFD2" w14:textId="77777777" w:rsidR="005E785F" w:rsidRDefault="005E785F">
            <w:pPr>
              <w:jc w:val="center"/>
              <w:rPr>
                <w:rFonts w:cs="Times New Roman"/>
                <w:b/>
                <w:bCs/>
                <w:color w:val="000000"/>
                <w:sz w:val="18"/>
                <w:szCs w:val="18"/>
                <w:lang w:eastAsia="pt-BR"/>
              </w:rPr>
            </w:pPr>
          </w:p>
        </w:tc>
        <w:tc>
          <w:tcPr>
            <w:tcW w:w="4819" w:type="dxa"/>
            <w:gridSpan w:val="6"/>
            <w:shd w:val="clear" w:color="auto" w:fill="FFFFFF" w:themeFill="background1"/>
            <w:vAlign w:val="center"/>
          </w:tcPr>
          <w:p w14:paraId="595506EE" w14:textId="2AFBD903" w:rsidR="005E785F" w:rsidRDefault="003621E8">
            <w:pPr>
              <w:jc w:val="center"/>
              <w:rPr>
                <w:rFonts w:cs="Times New Roman"/>
                <w:b/>
                <w:bCs/>
                <w:sz w:val="18"/>
                <w:szCs w:val="18"/>
                <w:lang w:eastAsia="pt-BR"/>
              </w:rPr>
            </w:pPr>
            <w:r>
              <w:rPr>
                <w:rFonts w:cs="Times New Roman"/>
                <w:b/>
                <w:bCs/>
                <w:sz w:val="18"/>
                <w:szCs w:val="18"/>
                <w:lang w:eastAsia="pt-BR"/>
              </w:rPr>
              <w:t>(Resident in the Clinical Unit)</w:t>
            </w:r>
          </w:p>
        </w:tc>
        <w:tc>
          <w:tcPr>
            <w:tcW w:w="709" w:type="dxa"/>
            <w:shd w:val="clear" w:color="auto" w:fill="FFFFFF" w:themeFill="background1"/>
            <w:vAlign w:val="center"/>
          </w:tcPr>
          <w:p w14:paraId="2DF7C8C8" w14:textId="77777777" w:rsidR="005E785F" w:rsidRDefault="005E785F">
            <w:pPr>
              <w:jc w:val="center"/>
              <w:rPr>
                <w:rFonts w:cs="Times New Roman"/>
                <w:b/>
                <w:bCs/>
                <w:color w:val="000000"/>
                <w:sz w:val="18"/>
                <w:szCs w:val="18"/>
                <w:lang w:eastAsia="pt-BR"/>
              </w:rPr>
            </w:pPr>
          </w:p>
        </w:tc>
        <w:tc>
          <w:tcPr>
            <w:tcW w:w="709" w:type="dxa"/>
            <w:vMerge/>
            <w:shd w:val="clear" w:color="auto" w:fill="FFFFFF" w:themeFill="background1"/>
            <w:vAlign w:val="center"/>
          </w:tcPr>
          <w:p w14:paraId="15DE5EDA" w14:textId="77777777" w:rsidR="005E785F" w:rsidRDefault="005E785F">
            <w:pPr>
              <w:jc w:val="center"/>
              <w:rPr>
                <w:rFonts w:cs="Times New Roman"/>
                <w:b/>
                <w:bCs/>
                <w:color w:val="000000"/>
                <w:sz w:val="18"/>
                <w:szCs w:val="18"/>
                <w:lang w:eastAsia="pt-BR"/>
              </w:rPr>
            </w:pPr>
          </w:p>
        </w:tc>
      </w:tr>
      <w:tr w:rsidR="005E785F" w14:paraId="34846B33" w14:textId="77777777">
        <w:trPr>
          <w:trHeight w:val="571"/>
        </w:trPr>
        <w:tc>
          <w:tcPr>
            <w:tcW w:w="2122" w:type="dxa"/>
            <w:shd w:val="clear" w:color="auto" w:fill="FFFFFF" w:themeFill="background1"/>
            <w:vAlign w:val="center"/>
            <w:hideMark/>
          </w:tcPr>
          <w:p w14:paraId="4C069CE4" w14:textId="77777777" w:rsidR="005E785F" w:rsidRDefault="003621E8">
            <w:pPr>
              <w:rPr>
                <w:rFonts w:cs="Times New Roman"/>
                <w:b/>
                <w:bCs/>
                <w:color w:val="000000"/>
                <w:sz w:val="18"/>
                <w:szCs w:val="18"/>
                <w:lang w:eastAsia="pt-BR"/>
              </w:rPr>
            </w:pPr>
            <w:r>
              <w:rPr>
                <w:rFonts w:cs="Times New Roman"/>
                <w:b/>
                <w:bCs/>
                <w:color w:val="000000"/>
                <w:sz w:val="18"/>
                <w:szCs w:val="18"/>
                <w:lang w:eastAsia="pt-BR"/>
              </w:rPr>
              <w:t> </w:t>
            </w:r>
          </w:p>
        </w:tc>
        <w:tc>
          <w:tcPr>
            <w:tcW w:w="992" w:type="dxa"/>
            <w:shd w:val="clear" w:color="auto" w:fill="FFFFFF" w:themeFill="background1"/>
            <w:vAlign w:val="center"/>
            <w:hideMark/>
          </w:tcPr>
          <w:p w14:paraId="34BDAA00" w14:textId="77777777" w:rsidR="005E785F" w:rsidRDefault="003621E8">
            <w:pPr>
              <w:jc w:val="center"/>
              <w:rPr>
                <w:rFonts w:cs="Times New Roman"/>
                <w:b/>
                <w:bCs/>
                <w:color w:val="000000"/>
                <w:sz w:val="18"/>
                <w:szCs w:val="18"/>
                <w:lang w:eastAsia="pt-BR"/>
              </w:rPr>
            </w:pPr>
            <w:r>
              <w:rPr>
                <w:rFonts w:cs="Times New Roman"/>
                <w:b/>
                <w:bCs/>
                <w:color w:val="000000"/>
                <w:sz w:val="18"/>
                <w:szCs w:val="18"/>
                <w:lang w:eastAsia="pt-BR"/>
              </w:rPr>
              <w:t>Screening</w:t>
            </w:r>
          </w:p>
        </w:tc>
        <w:tc>
          <w:tcPr>
            <w:tcW w:w="992" w:type="dxa"/>
            <w:shd w:val="clear" w:color="auto" w:fill="FFFFFF" w:themeFill="background1"/>
            <w:vAlign w:val="center"/>
            <w:hideMark/>
          </w:tcPr>
          <w:p w14:paraId="6B2F8D4D" w14:textId="61FE5F38" w:rsidR="005E785F" w:rsidRDefault="003621E8">
            <w:pPr>
              <w:jc w:val="center"/>
              <w:rPr>
                <w:rFonts w:cs="Times New Roman"/>
                <w:b/>
                <w:bCs/>
                <w:color w:val="000000"/>
                <w:sz w:val="18"/>
                <w:szCs w:val="18"/>
                <w:lang w:eastAsia="pt-BR"/>
              </w:rPr>
            </w:pPr>
            <w:r>
              <w:rPr>
                <w:rFonts w:cs="Times New Roman"/>
                <w:b/>
                <w:bCs/>
                <w:color w:val="000000"/>
                <w:sz w:val="18"/>
                <w:szCs w:val="18"/>
                <w:lang w:eastAsia="pt-BR"/>
              </w:rPr>
              <w:t>Admission</w:t>
            </w:r>
          </w:p>
        </w:tc>
        <w:tc>
          <w:tcPr>
            <w:tcW w:w="992" w:type="dxa"/>
            <w:shd w:val="clear" w:color="auto" w:fill="FFFFFF" w:themeFill="background1"/>
            <w:vAlign w:val="center"/>
          </w:tcPr>
          <w:p w14:paraId="1A4CB1DF" w14:textId="7D15688E" w:rsidR="005E785F" w:rsidRDefault="005E785F">
            <w:pPr>
              <w:jc w:val="center"/>
              <w:rPr>
                <w:rFonts w:cs="Times New Roman"/>
                <w:b/>
                <w:bCs/>
                <w:color w:val="000000"/>
                <w:sz w:val="18"/>
                <w:szCs w:val="18"/>
                <w:lang w:eastAsia="pt-BR"/>
              </w:rPr>
            </w:pPr>
          </w:p>
        </w:tc>
        <w:tc>
          <w:tcPr>
            <w:tcW w:w="851" w:type="dxa"/>
            <w:shd w:val="clear" w:color="auto" w:fill="FFFFFF" w:themeFill="background1"/>
            <w:vAlign w:val="center"/>
          </w:tcPr>
          <w:p w14:paraId="0B5064E6" w14:textId="1A4FA90F" w:rsidR="005E785F" w:rsidRDefault="005E785F">
            <w:pPr>
              <w:jc w:val="center"/>
              <w:rPr>
                <w:rFonts w:cs="Times New Roman"/>
                <w:b/>
                <w:bCs/>
                <w:color w:val="000000"/>
                <w:sz w:val="18"/>
                <w:szCs w:val="18"/>
                <w:lang w:eastAsia="pt-BR"/>
              </w:rPr>
            </w:pPr>
          </w:p>
        </w:tc>
        <w:tc>
          <w:tcPr>
            <w:tcW w:w="709" w:type="dxa"/>
            <w:shd w:val="clear" w:color="auto" w:fill="FFFFFF" w:themeFill="background1"/>
            <w:vAlign w:val="center"/>
          </w:tcPr>
          <w:p w14:paraId="7922D248" w14:textId="0F47FB80" w:rsidR="005E785F" w:rsidRDefault="005E785F">
            <w:pPr>
              <w:jc w:val="center"/>
              <w:rPr>
                <w:rFonts w:cs="Times New Roman"/>
                <w:b/>
                <w:bCs/>
                <w:color w:val="000000"/>
                <w:sz w:val="18"/>
                <w:szCs w:val="18"/>
                <w:lang w:eastAsia="pt-BR"/>
              </w:rPr>
            </w:pPr>
          </w:p>
        </w:tc>
        <w:tc>
          <w:tcPr>
            <w:tcW w:w="425" w:type="dxa"/>
            <w:shd w:val="clear" w:color="auto" w:fill="FFFFFF" w:themeFill="background1"/>
            <w:vAlign w:val="center"/>
          </w:tcPr>
          <w:p w14:paraId="47EA02E6" w14:textId="77777777" w:rsidR="005E785F" w:rsidRDefault="005E785F">
            <w:pPr>
              <w:jc w:val="center"/>
              <w:rPr>
                <w:rFonts w:cs="Times New Roman"/>
                <w:b/>
                <w:bCs/>
                <w:color w:val="000000"/>
                <w:sz w:val="18"/>
                <w:szCs w:val="18"/>
                <w:lang w:eastAsia="pt-BR"/>
              </w:rPr>
            </w:pPr>
          </w:p>
        </w:tc>
        <w:tc>
          <w:tcPr>
            <w:tcW w:w="850" w:type="dxa"/>
            <w:shd w:val="clear" w:color="auto" w:fill="FFFFFF" w:themeFill="background1"/>
            <w:vAlign w:val="center"/>
          </w:tcPr>
          <w:p w14:paraId="263B7777" w14:textId="6671793A" w:rsidR="005E785F" w:rsidRDefault="003621E8">
            <w:pPr>
              <w:jc w:val="center"/>
              <w:rPr>
                <w:rFonts w:cs="Times New Roman"/>
                <w:b/>
                <w:bCs/>
                <w:color w:val="000000"/>
                <w:sz w:val="18"/>
                <w:szCs w:val="18"/>
                <w:lang w:eastAsia="pt-BR"/>
              </w:rPr>
            </w:pPr>
            <w:r>
              <w:rPr>
                <w:rFonts w:cs="Times New Roman"/>
                <w:b/>
                <w:bCs/>
                <w:color w:val="000000"/>
                <w:sz w:val="16"/>
                <w:szCs w:val="16"/>
                <w:lang w:eastAsia="pt-BR"/>
              </w:rPr>
              <w:t>Discharge</w:t>
            </w:r>
          </w:p>
        </w:tc>
        <w:tc>
          <w:tcPr>
            <w:tcW w:w="709" w:type="dxa"/>
            <w:shd w:val="clear" w:color="auto" w:fill="FFFFFF" w:themeFill="background1"/>
            <w:vAlign w:val="center"/>
            <w:hideMark/>
          </w:tcPr>
          <w:p w14:paraId="2D883CF7" w14:textId="77777777" w:rsidR="005E785F" w:rsidRDefault="003621E8">
            <w:pPr>
              <w:jc w:val="center"/>
              <w:rPr>
                <w:rFonts w:cs="Times New Roman"/>
                <w:b/>
                <w:bCs/>
                <w:color w:val="000000"/>
                <w:sz w:val="18"/>
                <w:szCs w:val="18"/>
              </w:rPr>
            </w:pPr>
            <w:r>
              <w:rPr>
                <w:rFonts w:cs="Times New Roman"/>
                <w:b/>
                <w:bCs/>
                <w:color w:val="000000"/>
                <w:sz w:val="18"/>
                <w:szCs w:val="18"/>
              </w:rPr>
              <w:t>Return</w:t>
            </w:r>
          </w:p>
          <w:p w14:paraId="3DDEC418" w14:textId="48C972B3" w:rsidR="005E785F" w:rsidRDefault="003621E8">
            <w:pPr>
              <w:jc w:val="center"/>
              <w:rPr>
                <w:rFonts w:cs="Times New Roman"/>
                <w:b/>
                <w:bCs/>
                <w:color w:val="000000"/>
                <w:sz w:val="18"/>
                <w:szCs w:val="18"/>
                <w:lang w:eastAsia="pt-BR"/>
              </w:rPr>
            </w:pPr>
            <w:r>
              <w:rPr>
                <w:rFonts w:cs="Times New Roman"/>
                <w:b/>
                <w:bCs/>
                <w:color w:val="000000"/>
                <w:sz w:val="18"/>
                <w:szCs w:val="18"/>
              </w:rPr>
              <w:t>visit</w:t>
            </w:r>
          </w:p>
        </w:tc>
        <w:tc>
          <w:tcPr>
            <w:tcW w:w="709" w:type="dxa"/>
            <w:shd w:val="clear" w:color="auto" w:fill="FFFFFF" w:themeFill="background1"/>
            <w:vAlign w:val="center"/>
          </w:tcPr>
          <w:p w14:paraId="5262D4A4" w14:textId="182AFC1A" w:rsidR="005E785F" w:rsidRDefault="003621E8">
            <w:pPr>
              <w:jc w:val="center"/>
              <w:rPr>
                <w:rFonts w:cs="Times New Roman"/>
                <w:b/>
                <w:bCs/>
                <w:color w:val="000000"/>
                <w:sz w:val="18"/>
                <w:szCs w:val="18"/>
                <w:lang w:eastAsia="pt-BR"/>
              </w:rPr>
            </w:pPr>
            <w:r>
              <w:rPr>
                <w:rFonts w:cs="Times New Roman"/>
                <w:b/>
                <w:bCs/>
                <w:color w:val="000000"/>
                <w:sz w:val="18"/>
                <w:szCs w:val="18"/>
                <w:lang w:eastAsia="pt-BR"/>
              </w:rPr>
              <w:t>Post Study</w:t>
            </w:r>
          </w:p>
        </w:tc>
      </w:tr>
      <w:tr w:rsidR="005E785F" w14:paraId="291468CD" w14:textId="77777777">
        <w:trPr>
          <w:trHeight w:val="285"/>
        </w:trPr>
        <w:tc>
          <w:tcPr>
            <w:tcW w:w="2122" w:type="dxa"/>
            <w:vMerge w:val="restart"/>
            <w:shd w:val="clear" w:color="auto" w:fill="FFFFFF" w:themeFill="background1"/>
            <w:vAlign w:val="center"/>
            <w:hideMark/>
          </w:tcPr>
          <w:p w14:paraId="3D808537" w14:textId="7697CEBE" w:rsidR="005E785F" w:rsidRDefault="003621E8">
            <w:pPr>
              <w:rPr>
                <w:rFonts w:cs="Times New Roman"/>
                <w:b/>
                <w:bCs/>
                <w:color w:val="000000"/>
                <w:sz w:val="18"/>
                <w:szCs w:val="18"/>
                <w:lang w:eastAsia="pt-BR"/>
              </w:rPr>
            </w:pPr>
            <w:r>
              <w:rPr>
                <w:rFonts w:cs="Times New Roman"/>
                <w:b/>
                <w:bCs/>
                <w:color w:val="000000"/>
                <w:sz w:val="18"/>
                <w:szCs w:val="18"/>
                <w:lang w:eastAsia="pt-BR"/>
              </w:rPr>
              <w:t>Study Day</w:t>
            </w:r>
          </w:p>
        </w:tc>
        <w:tc>
          <w:tcPr>
            <w:tcW w:w="992" w:type="dxa"/>
            <w:vMerge w:val="restart"/>
            <w:shd w:val="clear" w:color="auto" w:fill="FFFFFF" w:themeFill="background1"/>
            <w:vAlign w:val="center"/>
            <w:hideMark/>
          </w:tcPr>
          <w:p w14:paraId="06835B7C"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D-28 to -2</w:t>
            </w:r>
          </w:p>
        </w:tc>
        <w:tc>
          <w:tcPr>
            <w:tcW w:w="992" w:type="dxa"/>
            <w:vMerge w:val="restart"/>
            <w:shd w:val="clear" w:color="auto" w:fill="FFFFFF" w:themeFill="background1"/>
            <w:vAlign w:val="center"/>
            <w:hideMark/>
          </w:tcPr>
          <w:p w14:paraId="785968FA"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D-1</w:t>
            </w:r>
          </w:p>
        </w:tc>
        <w:tc>
          <w:tcPr>
            <w:tcW w:w="992" w:type="dxa"/>
            <w:vMerge w:val="restart"/>
            <w:shd w:val="clear" w:color="auto" w:fill="FFFFFF" w:themeFill="background1"/>
            <w:vAlign w:val="center"/>
            <w:hideMark/>
          </w:tcPr>
          <w:p w14:paraId="191D4339"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D1</w:t>
            </w:r>
          </w:p>
          <w:p w14:paraId="12A893B0" w14:textId="73420927" w:rsidR="005E785F" w:rsidRDefault="003621E8">
            <w:pPr>
              <w:jc w:val="center"/>
              <w:rPr>
                <w:rFonts w:cs="Times New Roman"/>
                <w:color w:val="000000"/>
                <w:sz w:val="18"/>
                <w:szCs w:val="18"/>
                <w:lang w:eastAsia="pt-BR"/>
              </w:rPr>
            </w:pPr>
            <w:r>
              <w:rPr>
                <w:rFonts w:cs="Times New Roman"/>
                <w:color w:val="000000"/>
                <w:sz w:val="18"/>
                <w:szCs w:val="18"/>
                <w:lang w:eastAsia="pt-BR"/>
              </w:rPr>
              <w:t>pre-dose</w:t>
            </w:r>
          </w:p>
        </w:tc>
        <w:tc>
          <w:tcPr>
            <w:tcW w:w="851" w:type="dxa"/>
            <w:vMerge w:val="restart"/>
            <w:shd w:val="clear" w:color="auto" w:fill="FFFFFF" w:themeFill="background1"/>
            <w:vAlign w:val="center"/>
            <w:hideMark/>
          </w:tcPr>
          <w:p w14:paraId="15168D90"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D1</w:t>
            </w:r>
          </w:p>
          <w:p w14:paraId="68368055" w14:textId="1BA80486" w:rsidR="005E785F" w:rsidRDefault="003621E8">
            <w:pPr>
              <w:jc w:val="center"/>
              <w:rPr>
                <w:rFonts w:cs="Times New Roman"/>
                <w:color w:val="000000"/>
                <w:sz w:val="18"/>
                <w:szCs w:val="18"/>
                <w:lang w:eastAsia="pt-BR"/>
              </w:rPr>
            </w:pPr>
            <w:r>
              <w:rPr>
                <w:rFonts w:cs="Times New Roman"/>
                <w:color w:val="000000"/>
                <w:sz w:val="18"/>
                <w:szCs w:val="18"/>
                <w:lang w:eastAsia="pt-BR"/>
              </w:rPr>
              <w:t>post-dose</w:t>
            </w:r>
          </w:p>
        </w:tc>
        <w:tc>
          <w:tcPr>
            <w:tcW w:w="709" w:type="dxa"/>
            <w:vMerge w:val="restart"/>
            <w:shd w:val="clear" w:color="auto" w:fill="FFFFFF" w:themeFill="background1"/>
            <w:vAlign w:val="center"/>
            <w:hideMark/>
          </w:tcPr>
          <w:p w14:paraId="0DE61BF7"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D2</w:t>
            </w:r>
          </w:p>
        </w:tc>
        <w:tc>
          <w:tcPr>
            <w:tcW w:w="425" w:type="dxa"/>
            <w:vMerge w:val="restart"/>
            <w:shd w:val="clear" w:color="auto" w:fill="FFFFFF" w:themeFill="background1"/>
            <w:vAlign w:val="center"/>
            <w:hideMark/>
          </w:tcPr>
          <w:p w14:paraId="4FCB9976"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D3</w:t>
            </w:r>
          </w:p>
        </w:tc>
        <w:tc>
          <w:tcPr>
            <w:tcW w:w="850" w:type="dxa"/>
            <w:vMerge w:val="restart"/>
            <w:shd w:val="clear" w:color="auto" w:fill="FFFFFF" w:themeFill="background1"/>
            <w:vAlign w:val="center"/>
            <w:hideMark/>
          </w:tcPr>
          <w:p w14:paraId="50CB2FB0" w14:textId="64CDA83E" w:rsidR="005E785F" w:rsidRDefault="003621E8">
            <w:pPr>
              <w:jc w:val="center"/>
              <w:rPr>
                <w:rFonts w:cs="Times New Roman"/>
                <w:color w:val="000000"/>
                <w:sz w:val="18"/>
                <w:szCs w:val="18"/>
                <w:lang w:eastAsia="pt-BR"/>
              </w:rPr>
            </w:pPr>
            <w:r>
              <w:rPr>
                <w:rFonts w:cs="Times New Roman"/>
                <w:color w:val="000000"/>
                <w:sz w:val="18"/>
                <w:szCs w:val="18"/>
                <w:lang w:eastAsia="pt-BR"/>
              </w:rPr>
              <w:t>D4</w:t>
            </w:r>
          </w:p>
        </w:tc>
        <w:tc>
          <w:tcPr>
            <w:tcW w:w="709" w:type="dxa"/>
            <w:vMerge w:val="restart"/>
            <w:shd w:val="clear" w:color="auto" w:fill="FFFFFF" w:themeFill="background1"/>
            <w:vAlign w:val="center"/>
            <w:hideMark/>
          </w:tcPr>
          <w:p w14:paraId="1DF15B64"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D7</w:t>
            </w:r>
          </w:p>
        </w:tc>
        <w:tc>
          <w:tcPr>
            <w:tcW w:w="709" w:type="dxa"/>
            <w:vMerge w:val="restart"/>
            <w:shd w:val="clear" w:color="auto" w:fill="FFFFFF" w:themeFill="background1"/>
            <w:vAlign w:val="center"/>
            <w:hideMark/>
          </w:tcPr>
          <w:p w14:paraId="4F4BC6BF"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D14</w:t>
            </w:r>
          </w:p>
        </w:tc>
      </w:tr>
      <w:tr w:rsidR="005E785F" w14:paraId="2D245866" w14:textId="77777777">
        <w:trPr>
          <w:trHeight w:val="276"/>
        </w:trPr>
        <w:tc>
          <w:tcPr>
            <w:tcW w:w="2122" w:type="dxa"/>
            <w:vMerge/>
            <w:shd w:val="clear" w:color="auto" w:fill="FFFFFF" w:themeFill="background1"/>
            <w:vAlign w:val="center"/>
            <w:hideMark/>
          </w:tcPr>
          <w:p w14:paraId="0F054B08" w14:textId="77777777" w:rsidR="005E785F" w:rsidRDefault="005E785F">
            <w:pPr>
              <w:rPr>
                <w:rFonts w:cs="Times New Roman"/>
                <w:b/>
                <w:bCs/>
                <w:color w:val="000000"/>
                <w:sz w:val="18"/>
                <w:szCs w:val="18"/>
                <w:lang w:eastAsia="pt-BR"/>
              </w:rPr>
            </w:pPr>
          </w:p>
        </w:tc>
        <w:tc>
          <w:tcPr>
            <w:tcW w:w="992" w:type="dxa"/>
            <w:vMerge/>
            <w:shd w:val="clear" w:color="auto" w:fill="FFFFFF" w:themeFill="background1"/>
            <w:vAlign w:val="center"/>
            <w:hideMark/>
          </w:tcPr>
          <w:p w14:paraId="591C1B1E" w14:textId="77777777" w:rsidR="005E785F" w:rsidRDefault="005E785F">
            <w:pPr>
              <w:rPr>
                <w:rFonts w:cs="Times New Roman"/>
                <w:color w:val="000000"/>
                <w:sz w:val="18"/>
                <w:szCs w:val="18"/>
                <w:lang w:eastAsia="pt-BR"/>
              </w:rPr>
            </w:pPr>
          </w:p>
        </w:tc>
        <w:tc>
          <w:tcPr>
            <w:tcW w:w="992" w:type="dxa"/>
            <w:vMerge/>
            <w:shd w:val="clear" w:color="auto" w:fill="FFFFFF" w:themeFill="background1"/>
            <w:vAlign w:val="center"/>
            <w:hideMark/>
          </w:tcPr>
          <w:p w14:paraId="264923FE" w14:textId="77777777" w:rsidR="005E785F" w:rsidRDefault="005E785F">
            <w:pPr>
              <w:rPr>
                <w:rFonts w:cs="Times New Roman"/>
                <w:color w:val="000000"/>
                <w:sz w:val="18"/>
                <w:szCs w:val="18"/>
                <w:lang w:eastAsia="pt-BR"/>
              </w:rPr>
            </w:pPr>
          </w:p>
        </w:tc>
        <w:tc>
          <w:tcPr>
            <w:tcW w:w="992" w:type="dxa"/>
            <w:vMerge/>
            <w:shd w:val="clear" w:color="auto" w:fill="FFFFFF" w:themeFill="background1"/>
            <w:vAlign w:val="center"/>
            <w:hideMark/>
          </w:tcPr>
          <w:p w14:paraId="5EF695CC" w14:textId="77777777" w:rsidR="005E785F" w:rsidRDefault="005E785F">
            <w:pPr>
              <w:rPr>
                <w:rFonts w:cs="Times New Roman"/>
                <w:color w:val="000000"/>
                <w:sz w:val="18"/>
                <w:szCs w:val="18"/>
                <w:lang w:eastAsia="pt-BR"/>
              </w:rPr>
            </w:pPr>
          </w:p>
        </w:tc>
        <w:tc>
          <w:tcPr>
            <w:tcW w:w="851" w:type="dxa"/>
            <w:vMerge/>
            <w:shd w:val="clear" w:color="auto" w:fill="FFFFFF" w:themeFill="background1"/>
            <w:vAlign w:val="center"/>
            <w:hideMark/>
          </w:tcPr>
          <w:p w14:paraId="34DD9ABC" w14:textId="77777777" w:rsidR="005E785F" w:rsidRDefault="005E785F">
            <w:pPr>
              <w:rPr>
                <w:rFonts w:cs="Times New Roman"/>
                <w:color w:val="000000"/>
                <w:sz w:val="18"/>
                <w:szCs w:val="18"/>
                <w:lang w:eastAsia="pt-BR"/>
              </w:rPr>
            </w:pPr>
          </w:p>
        </w:tc>
        <w:tc>
          <w:tcPr>
            <w:tcW w:w="709" w:type="dxa"/>
            <w:vMerge/>
            <w:shd w:val="clear" w:color="auto" w:fill="FFFFFF" w:themeFill="background1"/>
            <w:vAlign w:val="center"/>
            <w:hideMark/>
          </w:tcPr>
          <w:p w14:paraId="34860027" w14:textId="77777777" w:rsidR="005E785F" w:rsidRDefault="005E785F">
            <w:pPr>
              <w:rPr>
                <w:rFonts w:cs="Times New Roman"/>
                <w:color w:val="000000"/>
                <w:sz w:val="18"/>
                <w:szCs w:val="18"/>
                <w:lang w:eastAsia="pt-BR"/>
              </w:rPr>
            </w:pPr>
          </w:p>
        </w:tc>
        <w:tc>
          <w:tcPr>
            <w:tcW w:w="425" w:type="dxa"/>
            <w:vMerge/>
            <w:shd w:val="clear" w:color="auto" w:fill="FFFFFF" w:themeFill="background1"/>
            <w:vAlign w:val="center"/>
            <w:hideMark/>
          </w:tcPr>
          <w:p w14:paraId="13C0BA8D" w14:textId="77777777" w:rsidR="005E785F" w:rsidRDefault="005E785F">
            <w:pPr>
              <w:rPr>
                <w:rFonts w:cs="Times New Roman"/>
                <w:color w:val="000000"/>
                <w:sz w:val="18"/>
                <w:szCs w:val="18"/>
                <w:lang w:eastAsia="pt-BR"/>
              </w:rPr>
            </w:pPr>
          </w:p>
        </w:tc>
        <w:tc>
          <w:tcPr>
            <w:tcW w:w="850" w:type="dxa"/>
            <w:vMerge/>
            <w:shd w:val="clear" w:color="auto" w:fill="FFFFFF" w:themeFill="background1"/>
            <w:vAlign w:val="center"/>
            <w:hideMark/>
          </w:tcPr>
          <w:p w14:paraId="63C179A7" w14:textId="77777777" w:rsidR="005E785F" w:rsidRDefault="005E785F">
            <w:pPr>
              <w:rPr>
                <w:rFonts w:cs="Times New Roman"/>
                <w:color w:val="000000"/>
                <w:sz w:val="18"/>
                <w:szCs w:val="18"/>
                <w:lang w:eastAsia="pt-BR"/>
              </w:rPr>
            </w:pPr>
          </w:p>
        </w:tc>
        <w:tc>
          <w:tcPr>
            <w:tcW w:w="709" w:type="dxa"/>
            <w:vMerge/>
            <w:shd w:val="clear" w:color="auto" w:fill="FFFFFF" w:themeFill="background1"/>
            <w:vAlign w:val="center"/>
            <w:hideMark/>
          </w:tcPr>
          <w:p w14:paraId="1064F1FC" w14:textId="77777777" w:rsidR="005E785F" w:rsidRDefault="005E785F">
            <w:pPr>
              <w:rPr>
                <w:rFonts w:cs="Times New Roman"/>
                <w:color w:val="000000"/>
                <w:sz w:val="18"/>
                <w:szCs w:val="18"/>
                <w:lang w:eastAsia="pt-BR"/>
              </w:rPr>
            </w:pPr>
          </w:p>
        </w:tc>
        <w:tc>
          <w:tcPr>
            <w:tcW w:w="709" w:type="dxa"/>
            <w:vMerge/>
            <w:shd w:val="clear" w:color="auto" w:fill="FFFFFF" w:themeFill="background1"/>
            <w:vAlign w:val="center"/>
            <w:hideMark/>
          </w:tcPr>
          <w:p w14:paraId="0BA3FCC2" w14:textId="77777777" w:rsidR="005E785F" w:rsidRDefault="005E785F">
            <w:pPr>
              <w:rPr>
                <w:rFonts w:cs="Times New Roman"/>
                <w:color w:val="000000"/>
                <w:sz w:val="18"/>
                <w:szCs w:val="18"/>
                <w:lang w:eastAsia="pt-BR"/>
              </w:rPr>
            </w:pPr>
          </w:p>
        </w:tc>
      </w:tr>
      <w:tr w:rsidR="005E785F" w14:paraId="0C8D9C0D" w14:textId="77777777">
        <w:trPr>
          <w:trHeight w:val="357"/>
        </w:trPr>
        <w:tc>
          <w:tcPr>
            <w:tcW w:w="9351" w:type="dxa"/>
            <w:gridSpan w:val="10"/>
            <w:shd w:val="clear" w:color="auto" w:fill="FFFFFF" w:themeFill="background1"/>
            <w:vAlign w:val="center"/>
            <w:hideMark/>
          </w:tcPr>
          <w:p w14:paraId="66600430" w14:textId="77777777" w:rsidR="005E785F" w:rsidRDefault="003621E8">
            <w:pPr>
              <w:rPr>
                <w:rFonts w:cs="Times New Roman"/>
                <w:b/>
                <w:bCs/>
                <w:color w:val="000000"/>
                <w:sz w:val="18"/>
                <w:szCs w:val="18"/>
                <w:lang w:eastAsia="pt-BR"/>
              </w:rPr>
            </w:pPr>
            <w:r>
              <w:rPr>
                <w:rFonts w:cs="Times New Roman"/>
                <w:b/>
                <w:bCs/>
                <w:color w:val="000000"/>
                <w:sz w:val="18"/>
                <w:szCs w:val="18"/>
                <w:lang w:eastAsia="pt-BR"/>
              </w:rPr>
              <w:t>General Assessments</w:t>
            </w:r>
          </w:p>
        </w:tc>
      </w:tr>
      <w:tr w:rsidR="005E785F" w14:paraId="1EF08D42" w14:textId="77777777">
        <w:trPr>
          <w:trHeight w:val="357"/>
        </w:trPr>
        <w:tc>
          <w:tcPr>
            <w:tcW w:w="2122" w:type="dxa"/>
            <w:shd w:val="clear" w:color="auto" w:fill="FFFFFF" w:themeFill="background1"/>
            <w:vAlign w:val="center"/>
            <w:hideMark/>
          </w:tcPr>
          <w:p w14:paraId="2FA866CE" w14:textId="77777777" w:rsidR="005E785F" w:rsidRDefault="003621E8">
            <w:pPr>
              <w:rPr>
                <w:rFonts w:cs="Times New Roman"/>
                <w:color w:val="000000"/>
                <w:sz w:val="18"/>
                <w:szCs w:val="18"/>
                <w:lang w:eastAsia="pt-BR"/>
              </w:rPr>
            </w:pPr>
            <w:r>
              <w:rPr>
                <w:rFonts w:cs="Times New Roman"/>
                <w:color w:val="000000"/>
                <w:sz w:val="18"/>
                <w:szCs w:val="18"/>
                <w:lang w:eastAsia="pt-BR"/>
              </w:rPr>
              <w:t>Informed Consent</w:t>
            </w:r>
          </w:p>
        </w:tc>
        <w:tc>
          <w:tcPr>
            <w:tcW w:w="992" w:type="dxa"/>
            <w:shd w:val="clear" w:color="auto" w:fill="FFFFFF" w:themeFill="background1"/>
            <w:vAlign w:val="center"/>
            <w:hideMark/>
          </w:tcPr>
          <w:p w14:paraId="6A7CBCA2"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992" w:type="dxa"/>
            <w:shd w:val="clear" w:color="auto" w:fill="FFFFFF" w:themeFill="background1"/>
            <w:vAlign w:val="center"/>
            <w:hideMark/>
          </w:tcPr>
          <w:p w14:paraId="4E5D7DD9"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 </w:t>
            </w:r>
          </w:p>
        </w:tc>
        <w:tc>
          <w:tcPr>
            <w:tcW w:w="992" w:type="dxa"/>
            <w:shd w:val="clear" w:color="auto" w:fill="FFFFFF" w:themeFill="background1"/>
            <w:vAlign w:val="center"/>
            <w:hideMark/>
          </w:tcPr>
          <w:p w14:paraId="73B1D65B"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 </w:t>
            </w:r>
          </w:p>
        </w:tc>
        <w:tc>
          <w:tcPr>
            <w:tcW w:w="851" w:type="dxa"/>
            <w:shd w:val="clear" w:color="auto" w:fill="FFFFFF" w:themeFill="background1"/>
            <w:vAlign w:val="center"/>
            <w:hideMark/>
          </w:tcPr>
          <w:p w14:paraId="087949D0"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 </w:t>
            </w:r>
          </w:p>
        </w:tc>
        <w:tc>
          <w:tcPr>
            <w:tcW w:w="709" w:type="dxa"/>
            <w:shd w:val="clear" w:color="auto" w:fill="FFFFFF" w:themeFill="background1"/>
            <w:vAlign w:val="center"/>
            <w:hideMark/>
          </w:tcPr>
          <w:p w14:paraId="301161A4"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 </w:t>
            </w:r>
          </w:p>
        </w:tc>
        <w:tc>
          <w:tcPr>
            <w:tcW w:w="425" w:type="dxa"/>
            <w:shd w:val="clear" w:color="auto" w:fill="FFFFFF" w:themeFill="background1"/>
            <w:vAlign w:val="center"/>
            <w:hideMark/>
          </w:tcPr>
          <w:p w14:paraId="25DBA972"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 </w:t>
            </w:r>
          </w:p>
        </w:tc>
        <w:tc>
          <w:tcPr>
            <w:tcW w:w="850" w:type="dxa"/>
            <w:shd w:val="clear" w:color="auto" w:fill="FFFFFF" w:themeFill="background1"/>
            <w:vAlign w:val="center"/>
            <w:hideMark/>
          </w:tcPr>
          <w:p w14:paraId="77003E39"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 </w:t>
            </w:r>
          </w:p>
        </w:tc>
        <w:tc>
          <w:tcPr>
            <w:tcW w:w="709" w:type="dxa"/>
            <w:shd w:val="clear" w:color="auto" w:fill="FFFFFF" w:themeFill="background1"/>
            <w:vAlign w:val="center"/>
            <w:hideMark/>
          </w:tcPr>
          <w:p w14:paraId="5F5FF94E"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 </w:t>
            </w:r>
          </w:p>
        </w:tc>
        <w:tc>
          <w:tcPr>
            <w:tcW w:w="709" w:type="dxa"/>
            <w:shd w:val="clear" w:color="auto" w:fill="FFFFFF" w:themeFill="background1"/>
            <w:vAlign w:val="center"/>
            <w:hideMark/>
          </w:tcPr>
          <w:p w14:paraId="7FEC150D"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 </w:t>
            </w:r>
          </w:p>
        </w:tc>
      </w:tr>
      <w:tr w:rsidR="005E785F" w14:paraId="6490B562" w14:textId="77777777">
        <w:trPr>
          <w:trHeight w:val="397"/>
        </w:trPr>
        <w:tc>
          <w:tcPr>
            <w:tcW w:w="2122" w:type="dxa"/>
            <w:shd w:val="clear" w:color="auto" w:fill="FFFFFF" w:themeFill="background1"/>
            <w:vAlign w:val="center"/>
            <w:hideMark/>
          </w:tcPr>
          <w:p w14:paraId="0D67E86F" w14:textId="77777777" w:rsidR="005E785F" w:rsidRDefault="003621E8">
            <w:pPr>
              <w:rPr>
                <w:rFonts w:cs="Times New Roman"/>
                <w:color w:val="000000"/>
                <w:sz w:val="18"/>
                <w:szCs w:val="18"/>
                <w:lang w:eastAsia="pt-BR"/>
              </w:rPr>
            </w:pPr>
            <w:r>
              <w:rPr>
                <w:rFonts w:cs="Times New Roman"/>
                <w:color w:val="000000"/>
                <w:sz w:val="18"/>
                <w:szCs w:val="18"/>
                <w:lang w:eastAsia="pt-BR"/>
              </w:rPr>
              <w:t>Medical and Surgical History</w:t>
            </w:r>
          </w:p>
        </w:tc>
        <w:tc>
          <w:tcPr>
            <w:tcW w:w="992" w:type="dxa"/>
            <w:shd w:val="clear" w:color="auto" w:fill="FFFFFF" w:themeFill="background1"/>
            <w:vAlign w:val="center"/>
            <w:hideMark/>
          </w:tcPr>
          <w:p w14:paraId="664C9A6D"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992" w:type="dxa"/>
            <w:shd w:val="clear" w:color="auto" w:fill="FFFFFF" w:themeFill="background1"/>
            <w:vAlign w:val="center"/>
            <w:hideMark/>
          </w:tcPr>
          <w:p w14:paraId="23CD38F7"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 X </w:t>
            </w:r>
          </w:p>
          <w:p w14:paraId="130F2EC1"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update</w:t>
            </w:r>
          </w:p>
        </w:tc>
        <w:tc>
          <w:tcPr>
            <w:tcW w:w="992" w:type="dxa"/>
            <w:shd w:val="clear" w:color="auto" w:fill="FFFFFF" w:themeFill="background1"/>
            <w:vAlign w:val="center"/>
            <w:hideMark/>
          </w:tcPr>
          <w:p w14:paraId="48815F7B" w14:textId="77777777" w:rsidR="005E785F" w:rsidRDefault="005E785F">
            <w:pPr>
              <w:jc w:val="center"/>
              <w:rPr>
                <w:rFonts w:cs="Times New Roman"/>
                <w:color w:val="000000"/>
                <w:sz w:val="18"/>
                <w:szCs w:val="18"/>
                <w:lang w:eastAsia="pt-BR"/>
              </w:rPr>
            </w:pPr>
          </w:p>
        </w:tc>
        <w:tc>
          <w:tcPr>
            <w:tcW w:w="851" w:type="dxa"/>
            <w:shd w:val="clear" w:color="auto" w:fill="FFFFFF" w:themeFill="background1"/>
            <w:vAlign w:val="center"/>
            <w:hideMark/>
          </w:tcPr>
          <w:p w14:paraId="2638C275"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 </w:t>
            </w:r>
          </w:p>
        </w:tc>
        <w:tc>
          <w:tcPr>
            <w:tcW w:w="709" w:type="dxa"/>
            <w:shd w:val="clear" w:color="auto" w:fill="FFFFFF" w:themeFill="background1"/>
            <w:vAlign w:val="center"/>
            <w:hideMark/>
          </w:tcPr>
          <w:p w14:paraId="6A88D4FF"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 </w:t>
            </w:r>
          </w:p>
        </w:tc>
        <w:tc>
          <w:tcPr>
            <w:tcW w:w="425" w:type="dxa"/>
            <w:shd w:val="clear" w:color="auto" w:fill="FFFFFF" w:themeFill="background1"/>
            <w:vAlign w:val="center"/>
            <w:hideMark/>
          </w:tcPr>
          <w:p w14:paraId="1E603A51"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 </w:t>
            </w:r>
          </w:p>
        </w:tc>
        <w:tc>
          <w:tcPr>
            <w:tcW w:w="850" w:type="dxa"/>
            <w:shd w:val="clear" w:color="auto" w:fill="FFFFFF" w:themeFill="background1"/>
            <w:vAlign w:val="center"/>
            <w:hideMark/>
          </w:tcPr>
          <w:p w14:paraId="6CA9FCAE"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 </w:t>
            </w:r>
          </w:p>
        </w:tc>
        <w:tc>
          <w:tcPr>
            <w:tcW w:w="709" w:type="dxa"/>
            <w:shd w:val="clear" w:color="auto" w:fill="FFFFFF" w:themeFill="background1"/>
            <w:vAlign w:val="center"/>
            <w:hideMark/>
          </w:tcPr>
          <w:p w14:paraId="504F9572"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 </w:t>
            </w:r>
          </w:p>
        </w:tc>
        <w:tc>
          <w:tcPr>
            <w:tcW w:w="709" w:type="dxa"/>
            <w:shd w:val="clear" w:color="auto" w:fill="FFFFFF" w:themeFill="background1"/>
            <w:vAlign w:val="center"/>
            <w:hideMark/>
          </w:tcPr>
          <w:p w14:paraId="18252888"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 </w:t>
            </w:r>
          </w:p>
        </w:tc>
      </w:tr>
      <w:tr w:rsidR="005E785F" w14:paraId="7A60C4C2" w14:textId="77777777">
        <w:trPr>
          <w:trHeight w:val="340"/>
        </w:trPr>
        <w:tc>
          <w:tcPr>
            <w:tcW w:w="2122" w:type="dxa"/>
            <w:shd w:val="clear" w:color="auto" w:fill="FFFFFF" w:themeFill="background1"/>
            <w:vAlign w:val="center"/>
            <w:hideMark/>
          </w:tcPr>
          <w:p w14:paraId="1E8B517C" w14:textId="77777777" w:rsidR="005E785F" w:rsidRDefault="003621E8">
            <w:pPr>
              <w:rPr>
                <w:rFonts w:cs="Times New Roman"/>
                <w:color w:val="000000"/>
                <w:sz w:val="18"/>
                <w:szCs w:val="18"/>
                <w:lang w:eastAsia="pt-BR"/>
              </w:rPr>
            </w:pPr>
            <w:r>
              <w:rPr>
                <w:rFonts w:cs="Times New Roman"/>
                <w:color w:val="000000"/>
                <w:sz w:val="18"/>
                <w:szCs w:val="18"/>
                <w:lang w:eastAsia="pt-BR"/>
              </w:rPr>
              <w:t>Demographic Data</w:t>
            </w:r>
          </w:p>
        </w:tc>
        <w:tc>
          <w:tcPr>
            <w:tcW w:w="992" w:type="dxa"/>
            <w:shd w:val="clear" w:color="auto" w:fill="FFFFFF" w:themeFill="background1"/>
            <w:vAlign w:val="center"/>
            <w:hideMark/>
          </w:tcPr>
          <w:p w14:paraId="61C1D690"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992" w:type="dxa"/>
            <w:shd w:val="clear" w:color="auto" w:fill="FFFFFF" w:themeFill="background1"/>
            <w:vAlign w:val="center"/>
            <w:hideMark/>
          </w:tcPr>
          <w:p w14:paraId="64514E51"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 </w:t>
            </w:r>
          </w:p>
        </w:tc>
        <w:tc>
          <w:tcPr>
            <w:tcW w:w="992" w:type="dxa"/>
            <w:shd w:val="clear" w:color="auto" w:fill="FFFFFF" w:themeFill="background1"/>
            <w:vAlign w:val="center"/>
            <w:hideMark/>
          </w:tcPr>
          <w:p w14:paraId="1E366ADF"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 </w:t>
            </w:r>
          </w:p>
        </w:tc>
        <w:tc>
          <w:tcPr>
            <w:tcW w:w="851" w:type="dxa"/>
            <w:shd w:val="clear" w:color="auto" w:fill="FFFFFF" w:themeFill="background1"/>
            <w:vAlign w:val="center"/>
            <w:hideMark/>
          </w:tcPr>
          <w:p w14:paraId="28AEA0A4"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 </w:t>
            </w:r>
          </w:p>
        </w:tc>
        <w:tc>
          <w:tcPr>
            <w:tcW w:w="709" w:type="dxa"/>
            <w:shd w:val="clear" w:color="auto" w:fill="FFFFFF" w:themeFill="background1"/>
            <w:vAlign w:val="center"/>
            <w:hideMark/>
          </w:tcPr>
          <w:p w14:paraId="4E556CD3"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 </w:t>
            </w:r>
          </w:p>
        </w:tc>
        <w:tc>
          <w:tcPr>
            <w:tcW w:w="425" w:type="dxa"/>
            <w:shd w:val="clear" w:color="auto" w:fill="FFFFFF" w:themeFill="background1"/>
            <w:vAlign w:val="center"/>
            <w:hideMark/>
          </w:tcPr>
          <w:p w14:paraId="3E3CABCD"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 </w:t>
            </w:r>
          </w:p>
        </w:tc>
        <w:tc>
          <w:tcPr>
            <w:tcW w:w="850" w:type="dxa"/>
            <w:shd w:val="clear" w:color="auto" w:fill="FFFFFF" w:themeFill="background1"/>
            <w:vAlign w:val="center"/>
            <w:hideMark/>
          </w:tcPr>
          <w:p w14:paraId="3897A673"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 </w:t>
            </w:r>
          </w:p>
        </w:tc>
        <w:tc>
          <w:tcPr>
            <w:tcW w:w="709" w:type="dxa"/>
            <w:shd w:val="clear" w:color="auto" w:fill="FFFFFF" w:themeFill="background1"/>
            <w:vAlign w:val="center"/>
            <w:hideMark/>
          </w:tcPr>
          <w:p w14:paraId="2CD94E7D"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 </w:t>
            </w:r>
          </w:p>
        </w:tc>
        <w:tc>
          <w:tcPr>
            <w:tcW w:w="709" w:type="dxa"/>
            <w:shd w:val="clear" w:color="auto" w:fill="FFFFFF" w:themeFill="background1"/>
            <w:vAlign w:val="center"/>
            <w:hideMark/>
          </w:tcPr>
          <w:p w14:paraId="27A4DA8B"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 </w:t>
            </w:r>
          </w:p>
        </w:tc>
      </w:tr>
      <w:tr w:rsidR="005E785F" w14:paraId="260E1985" w14:textId="77777777">
        <w:trPr>
          <w:trHeight w:val="340"/>
        </w:trPr>
        <w:tc>
          <w:tcPr>
            <w:tcW w:w="2122" w:type="dxa"/>
            <w:shd w:val="clear" w:color="auto" w:fill="FFFFFF" w:themeFill="background1"/>
            <w:vAlign w:val="center"/>
            <w:hideMark/>
          </w:tcPr>
          <w:p w14:paraId="6D694481" w14:textId="77777777" w:rsidR="005E785F" w:rsidRDefault="003621E8">
            <w:pPr>
              <w:rPr>
                <w:rFonts w:cs="Times New Roman"/>
                <w:sz w:val="18"/>
                <w:szCs w:val="18"/>
                <w:lang w:eastAsia="pt-BR"/>
              </w:rPr>
            </w:pPr>
            <w:r>
              <w:rPr>
                <w:rFonts w:cs="Times New Roman"/>
                <w:sz w:val="18"/>
                <w:szCs w:val="18"/>
                <w:lang w:eastAsia="pt-BR"/>
              </w:rPr>
              <w:t xml:space="preserve">Hepatitis/HIV serology </w:t>
            </w:r>
          </w:p>
        </w:tc>
        <w:tc>
          <w:tcPr>
            <w:tcW w:w="992" w:type="dxa"/>
            <w:shd w:val="clear" w:color="auto" w:fill="FFFFFF" w:themeFill="background1"/>
            <w:vAlign w:val="center"/>
            <w:hideMark/>
          </w:tcPr>
          <w:p w14:paraId="7A75F6C8" w14:textId="77777777" w:rsidR="005E785F" w:rsidRDefault="003621E8">
            <w:pPr>
              <w:jc w:val="center"/>
              <w:rPr>
                <w:rFonts w:cs="Times New Roman"/>
                <w:sz w:val="18"/>
                <w:szCs w:val="18"/>
                <w:lang w:eastAsia="pt-BR"/>
              </w:rPr>
            </w:pPr>
            <w:r>
              <w:rPr>
                <w:rFonts w:cs="Times New Roman"/>
                <w:sz w:val="18"/>
                <w:szCs w:val="18"/>
                <w:lang w:eastAsia="pt-BR"/>
              </w:rPr>
              <w:t>X</w:t>
            </w:r>
          </w:p>
        </w:tc>
        <w:tc>
          <w:tcPr>
            <w:tcW w:w="992" w:type="dxa"/>
            <w:shd w:val="clear" w:color="auto" w:fill="FFFFFF" w:themeFill="background1"/>
            <w:vAlign w:val="center"/>
            <w:hideMark/>
          </w:tcPr>
          <w:p w14:paraId="1A89427B" w14:textId="77777777" w:rsidR="005E785F" w:rsidRDefault="003621E8">
            <w:pPr>
              <w:jc w:val="center"/>
              <w:rPr>
                <w:rFonts w:cs="Times New Roman"/>
                <w:sz w:val="18"/>
                <w:szCs w:val="18"/>
                <w:lang w:eastAsia="pt-BR"/>
              </w:rPr>
            </w:pPr>
            <w:r>
              <w:rPr>
                <w:rFonts w:cs="Times New Roman"/>
                <w:sz w:val="18"/>
                <w:szCs w:val="18"/>
                <w:lang w:eastAsia="pt-BR"/>
              </w:rPr>
              <w:t> </w:t>
            </w:r>
          </w:p>
        </w:tc>
        <w:tc>
          <w:tcPr>
            <w:tcW w:w="992" w:type="dxa"/>
            <w:shd w:val="clear" w:color="auto" w:fill="FFFFFF" w:themeFill="background1"/>
            <w:vAlign w:val="center"/>
            <w:hideMark/>
          </w:tcPr>
          <w:p w14:paraId="1EC82AD9" w14:textId="77777777" w:rsidR="005E785F" w:rsidRDefault="003621E8">
            <w:pPr>
              <w:jc w:val="center"/>
              <w:rPr>
                <w:rFonts w:cs="Times New Roman"/>
                <w:sz w:val="18"/>
                <w:szCs w:val="18"/>
                <w:lang w:eastAsia="pt-BR"/>
              </w:rPr>
            </w:pPr>
            <w:r>
              <w:rPr>
                <w:rFonts w:cs="Times New Roman"/>
                <w:sz w:val="18"/>
                <w:szCs w:val="18"/>
                <w:lang w:eastAsia="pt-BR"/>
              </w:rPr>
              <w:t> </w:t>
            </w:r>
          </w:p>
        </w:tc>
        <w:tc>
          <w:tcPr>
            <w:tcW w:w="851" w:type="dxa"/>
            <w:shd w:val="clear" w:color="auto" w:fill="FFFFFF" w:themeFill="background1"/>
            <w:vAlign w:val="center"/>
            <w:hideMark/>
          </w:tcPr>
          <w:p w14:paraId="00208939" w14:textId="77777777" w:rsidR="005E785F" w:rsidRDefault="003621E8">
            <w:pPr>
              <w:jc w:val="center"/>
              <w:rPr>
                <w:rFonts w:cs="Times New Roman"/>
                <w:sz w:val="18"/>
                <w:szCs w:val="18"/>
                <w:lang w:eastAsia="pt-BR"/>
              </w:rPr>
            </w:pPr>
            <w:r>
              <w:rPr>
                <w:rFonts w:cs="Times New Roman"/>
                <w:sz w:val="18"/>
                <w:szCs w:val="18"/>
                <w:lang w:eastAsia="pt-BR"/>
              </w:rPr>
              <w:t> </w:t>
            </w:r>
          </w:p>
        </w:tc>
        <w:tc>
          <w:tcPr>
            <w:tcW w:w="709" w:type="dxa"/>
            <w:shd w:val="clear" w:color="auto" w:fill="FFFFFF" w:themeFill="background1"/>
            <w:vAlign w:val="center"/>
            <w:hideMark/>
          </w:tcPr>
          <w:p w14:paraId="7B3D00A2" w14:textId="77777777" w:rsidR="005E785F" w:rsidRDefault="003621E8">
            <w:pPr>
              <w:jc w:val="center"/>
              <w:rPr>
                <w:rFonts w:cs="Times New Roman"/>
                <w:sz w:val="18"/>
                <w:szCs w:val="18"/>
                <w:lang w:eastAsia="pt-BR"/>
              </w:rPr>
            </w:pPr>
            <w:r>
              <w:rPr>
                <w:rFonts w:cs="Times New Roman"/>
                <w:sz w:val="18"/>
                <w:szCs w:val="18"/>
                <w:lang w:eastAsia="pt-BR"/>
              </w:rPr>
              <w:t> </w:t>
            </w:r>
          </w:p>
        </w:tc>
        <w:tc>
          <w:tcPr>
            <w:tcW w:w="425" w:type="dxa"/>
            <w:shd w:val="clear" w:color="auto" w:fill="FFFFFF" w:themeFill="background1"/>
            <w:vAlign w:val="center"/>
            <w:hideMark/>
          </w:tcPr>
          <w:p w14:paraId="6E4E3824" w14:textId="77777777" w:rsidR="005E785F" w:rsidRDefault="003621E8">
            <w:pPr>
              <w:jc w:val="center"/>
              <w:rPr>
                <w:rFonts w:cs="Times New Roman"/>
                <w:sz w:val="18"/>
                <w:szCs w:val="18"/>
                <w:lang w:eastAsia="pt-BR"/>
              </w:rPr>
            </w:pPr>
            <w:r>
              <w:rPr>
                <w:rFonts w:cs="Times New Roman"/>
                <w:sz w:val="18"/>
                <w:szCs w:val="18"/>
                <w:lang w:eastAsia="pt-BR"/>
              </w:rPr>
              <w:t> </w:t>
            </w:r>
          </w:p>
        </w:tc>
        <w:tc>
          <w:tcPr>
            <w:tcW w:w="850" w:type="dxa"/>
            <w:shd w:val="clear" w:color="auto" w:fill="FFFFFF" w:themeFill="background1"/>
            <w:vAlign w:val="center"/>
            <w:hideMark/>
          </w:tcPr>
          <w:p w14:paraId="49CCBDE1" w14:textId="77777777" w:rsidR="005E785F" w:rsidRDefault="003621E8">
            <w:pPr>
              <w:jc w:val="center"/>
              <w:rPr>
                <w:rFonts w:cs="Times New Roman"/>
                <w:sz w:val="18"/>
                <w:szCs w:val="18"/>
                <w:lang w:eastAsia="pt-BR"/>
              </w:rPr>
            </w:pPr>
            <w:r>
              <w:rPr>
                <w:rFonts w:cs="Times New Roman"/>
                <w:sz w:val="18"/>
                <w:szCs w:val="18"/>
                <w:lang w:eastAsia="pt-BR"/>
              </w:rPr>
              <w:t> </w:t>
            </w:r>
          </w:p>
        </w:tc>
        <w:tc>
          <w:tcPr>
            <w:tcW w:w="709" w:type="dxa"/>
            <w:shd w:val="clear" w:color="auto" w:fill="FFFFFF" w:themeFill="background1"/>
            <w:vAlign w:val="center"/>
            <w:hideMark/>
          </w:tcPr>
          <w:p w14:paraId="4E9D43DE" w14:textId="77777777" w:rsidR="005E785F" w:rsidRDefault="003621E8">
            <w:pPr>
              <w:jc w:val="center"/>
              <w:rPr>
                <w:rFonts w:cs="Times New Roman"/>
                <w:sz w:val="18"/>
                <w:szCs w:val="18"/>
                <w:lang w:eastAsia="pt-BR"/>
              </w:rPr>
            </w:pPr>
            <w:r>
              <w:rPr>
                <w:rFonts w:cs="Times New Roman"/>
                <w:sz w:val="18"/>
                <w:szCs w:val="18"/>
                <w:lang w:eastAsia="pt-BR"/>
              </w:rPr>
              <w:t> </w:t>
            </w:r>
          </w:p>
        </w:tc>
        <w:tc>
          <w:tcPr>
            <w:tcW w:w="709" w:type="dxa"/>
            <w:shd w:val="clear" w:color="auto" w:fill="FFFFFF" w:themeFill="background1"/>
            <w:vAlign w:val="center"/>
            <w:hideMark/>
          </w:tcPr>
          <w:p w14:paraId="02418168" w14:textId="77777777" w:rsidR="005E785F" w:rsidRDefault="003621E8">
            <w:pPr>
              <w:jc w:val="center"/>
              <w:rPr>
                <w:rFonts w:cs="Times New Roman"/>
                <w:sz w:val="18"/>
                <w:szCs w:val="18"/>
                <w:lang w:eastAsia="pt-BR"/>
              </w:rPr>
            </w:pPr>
            <w:r>
              <w:rPr>
                <w:rFonts w:cs="Times New Roman"/>
                <w:sz w:val="18"/>
                <w:szCs w:val="18"/>
                <w:lang w:eastAsia="pt-BR"/>
              </w:rPr>
              <w:t> </w:t>
            </w:r>
          </w:p>
        </w:tc>
      </w:tr>
      <w:tr w:rsidR="005E785F" w14:paraId="6550D6E7" w14:textId="77777777">
        <w:trPr>
          <w:trHeight w:val="340"/>
        </w:trPr>
        <w:tc>
          <w:tcPr>
            <w:tcW w:w="2122" w:type="dxa"/>
            <w:shd w:val="clear" w:color="auto" w:fill="FFFFFF" w:themeFill="background1"/>
            <w:vAlign w:val="center"/>
            <w:hideMark/>
          </w:tcPr>
          <w:p w14:paraId="05F5D9A4" w14:textId="1AEC28D2" w:rsidR="005E785F" w:rsidRDefault="003621E8">
            <w:pPr>
              <w:rPr>
                <w:rFonts w:cs="Times New Roman"/>
                <w:sz w:val="18"/>
                <w:szCs w:val="18"/>
                <w:lang w:eastAsia="pt-BR"/>
              </w:rPr>
            </w:pPr>
            <w:r>
              <w:rPr>
                <w:rFonts w:cs="Times New Roman"/>
                <w:sz w:val="18"/>
                <w:szCs w:val="18"/>
                <w:lang w:eastAsia="pt-BR"/>
              </w:rPr>
              <w:t>PCR Test COVID-19</w:t>
            </w:r>
          </w:p>
        </w:tc>
        <w:tc>
          <w:tcPr>
            <w:tcW w:w="992" w:type="dxa"/>
            <w:shd w:val="clear" w:color="auto" w:fill="FFFFFF" w:themeFill="background1"/>
            <w:vAlign w:val="center"/>
            <w:hideMark/>
          </w:tcPr>
          <w:p w14:paraId="43AB1649" w14:textId="77777777" w:rsidR="005E785F" w:rsidRDefault="003621E8">
            <w:pPr>
              <w:jc w:val="center"/>
              <w:rPr>
                <w:rFonts w:cs="Times New Roman"/>
                <w:sz w:val="18"/>
                <w:szCs w:val="18"/>
                <w:lang w:eastAsia="pt-BR"/>
              </w:rPr>
            </w:pPr>
            <w:r>
              <w:rPr>
                <w:rFonts w:cs="Times New Roman"/>
                <w:sz w:val="18"/>
                <w:szCs w:val="18"/>
                <w:lang w:eastAsia="pt-BR"/>
              </w:rPr>
              <w:t> </w:t>
            </w:r>
          </w:p>
        </w:tc>
        <w:tc>
          <w:tcPr>
            <w:tcW w:w="992" w:type="dxa"/>
            <w:shd w:val="clear" w:color="auto" w:fill="FFFFFF" w:themeFill="background1"/>
            <w:vAlign w:val="center"/>
            <w:hideMark/>
          </w:tcPr>
          <w:p w14:paraId="1582C0B8" w14:textId="77777777" w:rsidR="005E785F" w:rsidRDefault="003621E8">
            <w:pPr>
              <w:jc w:val="center"/>
              <w:rPr>
                <w:rFonts w:cs="Times New Roman"/>
                <w:sz w:val="18"/>
                <w:szCs w:val="18"/>
                <w:lang w:eastAsia="pt-BR"/>
              </w:rPr>
            </w:pPr>
            <w:r>
              <w:rPr>
                <w:rFonts w:cs="Times New Roman"/>
                <w:sz w:val="18"/>
                <w:szCs w:val="18"/>
                <w:lang w:eastAsia="pt-BR"/>
              </w:rPr>
              <w:t>X</w:t>
            </w:r>
          </w:p>
        </w:tc>
        <w:tc>
          <w:tcPr>
            <w:tcW w:w="992" w:type="dxa"/>
            <w:shd w:val="clear" w:color="auto" w:fill="FFFFFF" w:themeFill="background1"/>
            <w:vAlign w:val="center"/>
            <w:hideMark/>
          </w:tcPr>
          <w:p w14:paraId="54281049" w14:textId="77777777" w:rsidR="005E785F" w:rsidRDefault="003621E8">
            <w:pPr>
              <w:jc w:val="center"/>
              <w:rPr>
                <w:rFonts w:cs="Times New Roman"/>
                <w:sz w:val="18"/>
                <w:szCs w:val="18"/>
                <w:lang w:eastAsia="pt-BR"/>
              </w:rPr>
            </w:pPr>
            <w:r>
              <w:rPr>
                <w:rFonts w:cs="Times New Roman"/>
                <w:sz w:val="18"/>
                <w:szCs w:val="18"/>
                <w:lang w:eastAsia="pt-BR"/>
              </w:rPr>
              <w:t> </w:t>
            </w:r>
          </w:p>
        </w:tc>
        <w:tc>
          <w:tcPr>
            <w:tcW w:w="851" w:type="dxa"/>
            <w:shd w:val="clear" w:color="auto" w:fill="FFFFFF" w:themeFill="background1"/>
            <w:vAlign w:val="center"/>
            <w:hideMark/>
          </w:tcPr>
          <w:p w14:paraId="20059843" w14:textId="77777777" w:rsidR="005E785F" w:rsidRDefault="003621E8">
            <w:pPr>
              <w:jc w:val="center"/>
              <w:rPr>
                <w:rFonts w:cs="Times New Roman"/>
                <w:sz w:val="18"/>
                <w:szCs w:val="18"/>
                <w:lang w:eastAsia="pt-BR"/>
              </w:rPr>
            </w:pPr>
            <w:r>
              <w:rPr>
                <w:rFonts w:cs="Times New Roman"/>
                <w:sz w:val="18"/>
                <w:szCs w:val="18"/>
                <w:lang w:eastAsia="pt-BR"/>
              </w:rPr>
              <w:t> </w:t>
            </w:r>
          </w:p>
        </w:tc>
        <w:tc>
          <w:tcPr>
            <w:tcW w:w="709" w:type="dxa"/>
            <w:shd w:val="clear" w:color="auto" w:fill="FFFFFF" w:themeFill="background1"/>
            <w:vAlign w:val="center"/>
            <w:hideMark/>
          </w:tcPr>
          <w:p w14:paraId="11AF10B8" w14:textId="77777777" w:rsidR="005E785F" w:rsidRDefault="003621E8">
            <w:pPr>
              <w:jc w:val="center"/>
              <w:rPr>
                <w:rFonts w:cs="Times New Roman"/>
                <w:sz w:val="18"/>
                <w:szCs w:val="18"/>
                <w:lang w:eastAsia="pt-BR"/>
              </w:rPr>
            </w:pPr>
            <w:r>
              <w:rPr>
                <w:rFonts w:cs="Times New Roman"/>
                <w:sz w:val="18"/>
                <w:szCs w:val="18"/>
                <w:lang w:eastAsia="pt-BR"/>
              </w:rPr>
              <w:t> </w:t>
            </w:r>
          </w:p>
        </w:tc>
        <w:tc>
          <w:tcPr>
            <w:tcW w:w="425" w:type="dxa"/>
            <w:shd w:val="clear" w:color="auto" w:fill="FFFFFF" w:themeFill="background1"/>
            <w:vAlign w:val="center"/>
            <w:hideMark/>
          </w:tcPr>
          <w:p w14:paraId="0421162C" w14:textId="77777777" w:rsidR="005E785F" w:rsidRDefault="003621E8">
            <w:pPr>
              <w:jc w:val="center"/>
              <w:rPr>
                <w:rFonts w:cs="Times New Roman"/>
                <w:sz w:val="18"/>
                <w:szCs w:val="18"/>
                <w:lang w:eastAsia="pt-BR"/>
              </w:rPr>
            </w:pPr>
            <w:r>
              <w:rPr>
                <w:rFonts w:cs="Times New Roman"/>
                <w:sz w:val="18"/>
                <w:szCs w:val="18"/>
                <w:lang w:eastAsia="pt-BR"/>
              </w:rPr>
              <w:t> </w:t>
            </w:r>
          </w:p>
        </w:tc>
        <w:tc>
          <w:tcPr>
            <w:tcW w:w="850" w:type="dxa"/>
            <w:shd w:val="clear" w:color="auto" w:fill="FFFFFF" w:themeFill="background1"/>
            <w:vAlign w:val="center"/>
            <w:hideMark/>
          </w:tcPr>
          <w:p w14:paraId="045C59B9" w14:textId="77777777" w:rsidR="005E785F" w:rsidRDefault="003621E8">
            <w:pPr>
              <w:jc w:val="center"/>
              <w:rPr>
                <w:rFonts w:cs="Times New Roman"/>
                <w:sz w:val="18"/>
                <w:szCs w:val="18"/>
                <w:lang w:eastAsia="pt-BR"/>
              </w:rPr>
            </w:pPr>
            <w:r>
              <w:rPr>
                <w:rFonts w:cs="Times New Roman"/>
                <w:sz w:val="18"/>
                <w:szCs w:val="18"/>
                <w:lang w:eastAsia="pt-BR"/>
              </w:rPr>
              <w:t> </w:t>
            </w:r>
          </w:p>
        </w:tc>
        <w:tc>
          <w:tcPr>
            <w:tcW w:w="709" w:type="dxa"/>
            <w:shd w:val="clear" w:color="auto" w:fill="FFFFFF" w:themeFill="background1"/>
            <w:vAlign w:val="center"/>
            <w:hideMark/>
          </w:tcPr>
          <w:p w14:paraId="65EAC979" w14:textId="77777777" w:rsidR="005E785F" w:rsidRDefault="003621E8">
            <w:pPr>
              <w:jc w:val="center"/>
              <w:rPr>
                <w:rFonts w:cs="Times New Roman"/>
                <w:sz w:val="18"/>
                <w:szCs w:val="18"/>
                <w:lang w:eastAsia="pt-BR"/>
              </w:rPr>
            </w:pPr>
            <w:r>
              <w:rPr>
                <w:rFonts w:cs="Times New Roman"/>
                <w:sz w:val="18"/>
                <w:szCs w:val="18"/>
                <w:lang w:eastAsia="pt-BR"/>
              </w:rPr>
              <w:t> </w:t>
            </w:r>
          </w:p>
        </w:tc>
        <w:tc>
          <w:tcPr>
            <w:tcW w:w="709" w:type="dxa"/>
            <w:shd w:val="clear" w:color="auto" w:fill="FFFFFF" w:themeFill="background1"/>
            <w:vAlign w:val="center"/>
            <w:hideMark/>
          </w:tcPr>
          <w:p w14:paraId="7B401ACB" w14:textId="77777777" w:rsidR="005E785F" w:rsidRDefault="003621E8">
            <w:pPr>
              <w:jc w:val="center"/>
              <w:rPr>
                <w:rFonts w:cs="Times New Roman"/>
                <w:sz w:val="18"/>
                <w:szCs w:val="18"/>
                <w:lang w:eastAsia="pt-BR"/>
              </w:rPr>
            </w:pPr>
            <w:r>
              <w:rPr>
                <w:rFonts w:cs="Times New Roman"/>
                <w:sz w:val="18"/>
                <w:szCs w:val="18"/>
                <w:lang w:eastAsia="pt-BR"/>
              </w:rPr>
              <w:t> </w:t>
            </w:r>
          </w:p>
        </w:tc>
      </w:tr>
      <w:tr w:rsidR="005E785F" w14:paraId="13B55A49" w14:textId="77777777">
        <w:trPr>
          <w:trHeight w:val="340"/>
        </w:trPr>
        <w:tc>
          <w:tcPr>
            <w:tcW w:w="2122" w:type="dxa"/>
            <w:shd w:val="clear" w:color="auto" w:fill="FFFFFF" w:themeFill="background1"/>
            <w:vAlign w:val="center"/>
            <w:hideMark/>
          </w:tcPr>
          <w:p w14:paraId="6951512E" w14:textId="3C4A4A43" w:rsidR="005E785F" w:rsidRDefault="003621E8">
            <w:pPr>
              <w:rPr>
                <w:rFonts w:cs="Times New Roman"/>
                <w:sz w:val="18"/>
                <w:szCs w:val="18"/>
                <w:lang w:eastAsia="pt-BR"/>
              </w:rPr>
            </w:pPr>
            <w:r>
              <w:rPr>
                <w:rFonts w:cs="Times New Roman"/>
                <w:sz w:val="18"/>
                <w:szCs w:val="18"/>
                <w:lang w:eastAsia="pt-BR"/>
              </w:rPr>
              <w:t>Inclusion/Exclusion Criteria</w:t>
            </w:r>
            <w:r>
              <w:rPr>
                <w:rFonts w:cs="Times New Roman"/>
                <w:color w:val="FF0000"/>
                <w:sz w:val="18"/>
                <w:szCs w:val="18"/>
                <w:vertAlign w:val="superscript"/>
                <w:lang w:eastAsia="pt-BR"/>
              </w:rPr>
              <w:t>1</w:t>
            </w:r>
          </w:p>
        </w:tc>
        <w:tc>
          <w:tcPr>
            <w:tcW w:w="992" w:type="dxa"/>
            <w:shd w:val="clear" w:color="auto" w:fill="FFFFFF" w:themeFill="background1"/>
            <w:vAlign w:val="center"/>
            <w:hideMark/>
          </w:tcPr>
          <w:p w14:paraId="6FA435D0" w14:textId="77777777" w:rsidR="005E785F" w:rsidRDefault="003621E8">
            <w:pPr>
              <w:jc w:val="center"/>
              <w:rPr>
                <w:rFonts w:cs="Times New Roman"/>
                <w:sz w:val="18"/>
                <w:szCs w:val="18"/>
                <w:lang w:eastAsia="pt-BR"/>
              </w:rPr>
            </w:pPr>
            <w:r>
              <w:rPr>
                <w:rFonts w:cs="Times New Roman"/>
                <w:sz w:val="18"/>
                <w:szCs w:val="18"/>
                <w:lang w:eastAsia="pt-BR"/>
              </w:rPr>
              <w:t>X</w:t>
            </w:r>
          </w:p>
        </w:tc>
        <w:tc>
          <w:tcPr>
            <w:tcW w:w="992" w:type="dxa"/>
            <w:shd w:val="clear" w:color="auto" w:fill="FFFFFF" w:themeFill="background1"/>
            <w:vAlign w:val="center"/>
            <w:hideMark/>
          </w:tcPr>
          <w:p w14:paraId="09B1602E" w14:textId="77777777" w:rsidR="005E785F" w:rsidRDefault="003621E8">
            <w:pPr>
              <w:jc w:val="center"/>
              <w:rPr>
                <w:rFonts w:cs="Times New Roman"/>
                <w:sz w:val="18"/>
                <w:szCs w:val="18"/>
                <w:lang w:eastAsia="pt-BR"/>
              </w:rPr>
            </w:pPr>
            <w:r>
              <w:rPr>
                <w:rFonts w:cs="Times New Roman"/>
                <w:sz w:val="18"/>
                <w:szCs w:val="18"/>
                <w:lang w:eastAsia="pt-BR"/>
              </w:rPr>
              <w:t>X</w:t>
            </w:r>
          </w:p>
        </w:tc>
        <w:tc>
          <w:tcPr>
            <w:tcW w:w="992" w:type="dxa"/>
            <w:shd w:val="clear" w:color="auto" w:fill="FFFFFF" w:themeFill="background1"/>
            <w:vAlign w:val="center"/>
            <w:hideMark/>
          </w:tcPr>
          <w:p w14:paraId="74C382AC" w14:textId="77777777" w:rsidR="005E785F" w:rsidRDefault="003621E8">
            <w:pPr>
              <w:jc w:val="center"/>
              <w:rPr>
                <w:rFonts w:cs="Times New Roman"/>
                <w:sz w:val="18"/>
                <w:szCs w:val="18"/>
                <w:lang w:eastAsia="pt-BR"/>
              </w:rPr>
            </w:pPr>
            <w:r>
              <w:rPr>
                <w:rFonts w:cs="Times New Roman"/>
                <w:sz w:val="18"/>
                <w:szCs w:val="18"/>
                <w:lang w:eastAsia="pt-BR"/>
              </w:rPr>
              <w:t> </w:t>
            </w:r>
          </w:p>
        </w:tc>
        <w:tc>
          <w:tcPr>
            <w:tcW w:w="851" w:type="dxa"/>
            <w:shd w:val="clear" w:color="auto" w:fill="FFFFFF" w:themeFill="background1"/>
            <w:vAlign w:val="center"/>
            <w:hideMark/>
          </w:tcPr>
          <w:p w14:paraId="0B790902" w14:textId="77777777" w:rsidR="005E785F" w:rsidRDefault="003621E8">
            <w:pPr>
              <w:jc w:val="center"/>
              <w:rPr>
                <w:rFonts w:cs="Times New Roman"/>
                <w:sz w:val="18"/>
                <w:szCs w:val="18"/>
                <w:lang w:eastAsia="pt-BR"/>
              </w:rPr>
            </w:pPr>
            <w:r>
              <w:rPr>
                <w:rFonts w:cs="Times New Roman"/>
                <w:sz w:val="18"/>
                <w:szCs w:val="18"/>
                <w:lang w:eastAsia="pt-BR"/>
              </w:rPr>
              <w:t> </w:t>
            </w:r>
          </w:p>
        </w:tc>
        <w:tc>
          <w:tcPr>
            <w:tcW w:w="709" w:type="dxa"/>
            <w:shd w:val="clear" w:color="auto" w:fill="FFFFFF" w:themeFill="background1"/>
            <w:vAlign w:val="center"/>
            <w:hideMark/>
          </w:tcPr>
          <w:p w14:paraId="3D5B4368" w14:textId="77777777" w:rsidR="005E785F" w:rsidRDefault="003621E8">
            <w:pPr>
              <w:jc w:val="center"/>
              <w:rPr>
                <w:rFonts w:cs="Times New Roman"/>
                <w:sz w:val="18"/>
                <w:szCs w:val="18"/>
                <w:lang w:eastAsia="pt-BR"/>
              </w:rPr>
            </w:pPr>
            <w:r>
              <w:rPr>
                <w:rFonts w:cs="Times New Roman"/>
                <w:sz w:val="18"/>
                <w:szCs w:val="18"/>
                <w:lang w:eastAsia="pt-BR"/>
              </w:rPr>
              <w:t> </w:t>
            </w:r>
          </w:p>
        </w:tc>
        <w:tc>
          <w:tcPr>
            <w:tcW w:w="425" w:type="dxa"/>
            <w:shd w:val="clear" w:color="auto" w:fill="FFFFFF" w:themeFill="background1"/>
            <w:vAlign w:val="center"/>
            <w:hideMark/>
          </w:tcPr>
          <w:p w14:paraId="7135B0AA" w14:textId="77777777" w:rsidR="005E785F" w:rsidRDefault="003621E8">
            <w:pPr>
              <w:jc w:val="center"/>
              <w:rPr>
                <w:rFonts w:cs="Times New Roman"/>
                <w:sz w:val="18"/>
                <w:szCs w:val="18"/>
                <w:lang w:eastAsia="pt-BR"/>
              </w:rPr>
            </w:pPr>
            <w:r>
              <w:rPr>
                <w:rFonts w:cs="Times New Roman"/>
                <w:sz w:val="18"/>
                <w:szCs w:val="18"/>
                <w:lang w:eastAsia="pt-BR"/>
              </w:rPr>
              <w:t> </w:t>
            </w:r>
          </w:p>
        </w:tc>
        <w:tc>
          <w:tcPr>
            <w:tcW w:w="850" w:type="dxa"/>
            <w:shd w:val="clear" w:color="auto" w:fill="FFFFFF" w:themeFill="background1"/>
            <w:vAlign w:val="center"/>
            <w:hideMark/>
          </w:tcPr>
          <w:p w14:paraId="33C75954" w14:textId="77777777" w:rsidR="005E785F" w:rsidRDefault="003621E8">
            <w:pPr>
              <w:jc w:val="center"/>
              <w:rPr>
                <w:rFonts w:cs="Times New Roman"/>
                <w:sz w:val="18"/>
                <w:szCs w:val="18"/>
                <w:lang w:eastAsia="pt-BR"/>
              </w:rPr>
            </w:pPr>
            <w:r>
              <w:rPr>
                <w:rFonts w:cs="Times New Roman"/>
                <w:sz w:val="18"/>
                <w:szCs w:val="18"/>
                <w:lang w:eastAsia="pt-BR"/>
              </w:rPr>
              <w:t> </w:t>
            </w:r>
          </w:p>
        </w:tc>
        <w:tc>
          <w:tcPr>
            <w:tcW w:w="709" w:type="dxa"/>
            <w:shd w:val="clear" w:color="auto" w:fill="FFFFFF" w:themeFill="background1"/>
            <w:vAlign w:val="center"/>
            <w:hideMark/>
          </w:tcPr>
          <w:p w14:paraId="01BAB0D4" w14:textId="77777777" w:rsidR="005E785F" w:rsidRDefault="003621E8">
            <w:pPr>
              <w:jc w:val="center"/>
              <w:rPr>
                <w:rFonts w:cs="Times New Roman"/>
                <w:sz w:val="18"/>
                <w:szCs w:val="18"/>
                <w:lang w:eastAsia="pt-BR"/>
              </w:rPr>
            </w:pPr>
            <w:r>
              <w:rPr>
                <w:rFonts w:cs="Times New Roman"/>
                <w:sz w:val="18"/>
                <w:szCs w:val="18"/>
                <w:lang w:eastAsia="pt-BR"/>
              </w:rPr>
              <w:t> </w:t>
            </w:r>
          </w:p>
        </w:tc>
        <w:tc>
          <w:tcPr>
            <w:tcW w:w="709" w:type="dxa"/>
            <w:shd w:val="clear" w:color="auto" w:fill="FFFFFF" w:themeFill="background1"/>
            <w:vAlign w:val="center"/>
            <w:hideMark/>
          </w:tcPr>
          <w:p w14:paraId="721E692A" w14:textId="77777777" w:rsidR="005E785F" w:rsidRDefault="003621E8">
            <w:pPr>
              <w:jc w:val="center"/>
              <w:rPr>
                <w:rFonts w:cs="Times New Roman"/>
                <w:sz w:val="18"/>
                <w:szCs w:val="18"/>
                <w:lang w:eastAsia="pt-BR"/>
              </w:rPr>
            </w:pPr>
            <w:r>
              <w:rPr>
                <w:rFonts w:cs="Times New Roman"/>
                <w:sz w:val="18"/>
                <w:szCs w:val="18"/>
                <w:lang w:eastAsia="pt-BR"/>
              </w:rPr>
              <w:t> </w:t>
            </w:r>
          </w:p>
        </w:tc>
      </w:tr>
      <w:tr w:rsidR="005E785F" w14:paraId="2325B1D3" w14:textId="77777777">
        <w:trPr>
          <w:trHeight w:val="340"/>
        </w:trPr>
        <w:tc>
          <w:tcPr>
            <w:tcW w:w="2122" w:type="dxa"/>
            <w:shd w:val="clear" w:color="auto" w:fill="FFFFFF" w:themeFill="background1"/>
            <w:vAlign w:val="center"/>
            <w:hideMark/>
          </w:tcPr>
          <w:p w14:paraId="2F556DD3" w14:textId="77777777" w:rsidR="005E785F" w:rsidRDefault="003621E8">
            <w:pPr>
              <w:rPr>
                <w:rFonts w:cs="Times New Roman"/>
                <w:sz w:val="18"/>
                <w:szCs w:val="18"/>
                <w:lang w:eastAsia="pt-BR"/>
              </w:rPr>
            </w:pPr>
            <w:r>
              <w:rPr>
                <w:rFonts w:cs="Times New Roman"/>
                <w:sz w:val="18"/>
                <w:szCs w:val="18"/>
                <w:lang w:eastAsia="pt-BR"/>
              </w:rPr>
              <w:t xml:space="preserve">Weight </w:t>
            </w:r>
          </w:p>
        </w:tc>
        <w:tc>
          <w:tcPr>
            <w:tcW w:w="992" w:type="dxa"/>
            <w:shd w:val="clear" w:color="auto" w:fill="FFFFFF" w:themeFill="background1"/>
            <w:vAlign w:val="center"/>
            <w:hideMark/>
          </w:tcPr>
          <w:p w14:paraId="7B63002E" w14:textId="77777777" w:rsidR="005E785F" w:rsidRDefault="003621E8">
            <w:pPr>
              <w:jc w:val="center"/>
              <w:rPr>
                <w:rFonts w:cs="Times New Roman"/>
                <w:sz w:val="18"/>
                <w:szCs w:val="18"/>
                <w:lang w:eastAsia="pt-BR"/>
              </w:rPr>
            </w:pPr>
            <w:r>
              <w:rPr>
                <w:rFonts w:cs="Times New Roman"/>
                <w:sz w:val="18"/>
                <w:szCs w:val="18"/>
                <w:lang w:eastAsia="pt-BR"/>
              </w:rPr>
              <w:t>X</w:t>
            </w:r>
          </w:p>
        </w:tc>
        <w:tc>
          <w:tcPr>
            <w:tcW w:w="992" w:type="dxa"/>
            <w:shd w:val="clear" w:color="auto" w:fill="FFFFFF" w:themeFill="background1"/>
            <w:vAlign w:val="center"/>
            <w:hideMark/>
          </w:tcPr>
          <w:p w14:paraId="2615A356" w14:textId="252C1CAC" w:rsidR="005E785F" w:rsidRDefault="003621E8">
            <w:pPr>
              <w:jc w:val="center"/>
              <w:rPr>
                <w:rFonts w:cs="Times New Roman"/>
                <w:sz w:val="18"/>
                <w:szCs w:val="18"/>
                <w:lang w:eastAsia="pt-BR"/>
              </w:rPr>
            </w:pPr>
            <w:r>
              <w:rPr>
                <w:rFonts w:cs="Times New Roman"/>
                <w:sz w:val="18"/>
                <w:szCs w:val="18"/>
              </w:rPr>
              <w:t>X </w:t>
            </w:r>
          </w:p>
        </w:tc>
        <w:tc>
          <w:tcPr>
            <w:tcW w:w="992" w:type="dxa"/>
            <w:shd w:val="clear" w:color="auto" w:fill="FFFFFF" w:themeFill="background1"/>
            <w:vAlign w:val="center"/>
            <w:hideMark/>
          </w:tcPr>
          <w:p w14:paraId="5BFFC222" w14:textId="77777777" w:rsidR="005E785F" w:rsidRDefault="003621E8">
            <w:pPr>
              <w:jc w:val="center"/>
              <w:rPr>
                <w:rFonts w:cs="Times New Roman"/>
                <w:sz w:val="18"/>
                <w:szCs w:val="18"/>
                <w:lang w:eastAsia="pt-BR"/>
              </w:rPr>
            </w:pPr>
            <w:r>
              <w:rPr>
                <w:rFonts w:cs="Times New Roman"/>
                <w:sz w:val="18"/>
                <w:szCs w:val="18"/>
                <w:lang w:eastAsia="pt-BR"/>
              </w:rPr>
              <w:t> </w:t>
            </w:r>
          </w:p>
        </w:tc>
        <w:tc>
          <w:tcPr>
            <w:tcW w:w="851" w:type="dxa"/>
            <w:shd w:val="clear" w:color="auto" w:fill="FFFFFF" w:themeFill="background1"/>
            <w:vAlign w:val="center"/>
            <w:hideMark/>
          </w:tcPr>
          <w:p w14:paraId="7DC78417" w14:textId="77777777" w:rsidR="005E785F" w:rsidRDefault="003621E8">
            <w:pPr>
              <w:jc w:val="center"/>
              <w:rPr>
                <w:rFonts w:cs="Times New Roman"/>
                <w:sz w:val="18"/>
                <w:szCs w:val="18"/>
                <w:lang w:eastAsia="pt-BR"/>
              </w:rPr>
            </w:pPr>
            <w:r>
              <w:rPr>
                <w:rFonts w:cs="Times New Roman"/>
                <w:sz w:val="18"/>
                <w:szCs w:val="18"/>
                <w:lang w:eastAsia="pt-BR"/>
              </w:rPr>
              <w:t> </w:t>
            </w:r>
          </w:p>
        </w:tc>
        <w:tc>
          <w:tcPr>
            <w:tcW w:w="709" w:type="dxa"/>
            <w:shd w:val="clear" w:color="auto" w:fill="FFFFFF" w:themeFill="background1"/>
            <w:vAlign w:val="center"/>
            <w:hideMark/>
          </w:tcPr>
          <w:p w14:paraId="6A235C37" w14:textId="77777777" w:rsidR="005E785F" w:rsidRDefault="003621E8">
            <w:pPr>
              <w:jc w:val="center"/>
              <w:rPr>
                <w:rFonts w:cs="Times New Roman"/>
                <w:sz w:val="18"/>
                <w:szCs w:val="18"/>
                <w:lang w:eastAsia="pt-BR"/>
              </w:rPr>
            </w:pPr>
            <w:r>
              <w:rPr>
                <w:rFonts w:cs="Times New Roman"/>
                <w:sz w:val="18"/>
                <w:szCs w:val="18"/>
                <w:lang w:eastAsia="pt-BR"/>
              </w:rPr>
              <w:t> </w:t>
            </w:r>
          </w:p>
        </w:tc>
        <w:tc>
          <w:tcPr>
            <w:tcW w:w="425" w:type="dxa"/>
            <w:shd w:val="clear" w:color="auto" w:fill="FFFFFF" w:themeFill="background1"/>
            <w:vAlign w:val="center"/>
            <w:hideMark/>
          </w:tcPr>
          <w:p w14:paraId="69959F8A" w14:textId="77777777" w:rsidR="005E785F" w:rsidRDefault="003621E8">
            <w:pPr>
              <w:jc w:val="center"/>
              <w:rPr>
                <w:rFonts w:cs="Times New Roman"/>
                <w:sz w:val="18"/>
                <w:szCs w:val="18"/>
                <w:lang w:eastAsia="pt-BR"/>
              </w:rPr>
            </w:pPr>
            <w:r>
              <w:rPr>
                <w:rFonts w:cs="Times New Roman"/>
                <w:sz w:val="18"/>
                <w:szCs w:val="18"/>
                <w:lang w:eastAsia="pt-BR"/>
              </w:rPr>
              <w:t> </w:t>
            </w:r>
          </w:p>
        </w:tc>
        <w:tc>
          <w:tcPr>
            <w:tcW w:w="850" w:type="dxa"/>
            <w:shd w:val="clear" w:color="auto" w:fill="FFFFFF" w:themeFill="background1"/>
            <w:vAlign w:val="center"/>
            <w:hideMark/>
          </w:tcPr>
          <w:p w14:paraId="2C16711D" w14:textId="77777777" w:rsidR="005E785F" w:rsidRDefault="003621E8">
            <w:pPr>
              <w:jc w:val="center"/>
              <w:rPr>
                <w:rFonts w:cs="Times New Roman"/>
                <w:sz w:val="18"/>
                <w:szCs w:val="18"/>
                <w:lang w:eastAsia="pt-BR"/>
              </w:rPr>
            </w:pPr>
            <w:r>
              <w:rPr>
                <w:rFonts w:cs="Times New Roman"/>
                <w:sz w:val="18"/>
                <w:szCs w:val="18"/>
                <w:lang w:eastAsia="pt-BR"/>
              </w:rPr>
              <w:t> </w:t>
            </w:r>
          </w:p>
        </w:tc>
        <w:tc>
          <w:tcPr>
            <w:tcW w:w="709" w:type="dxa"/>
            <w:shd w:val="clear" w:color="auto" w:fill="FFFFFF" w:themeFill="background1"/>
            <w:vAlign w:val="center"/>
            <w:hideMark/>
          </w:tcPr>
          <w:p w14:paraId="73FE224D" w14:textId="77777777" w:rsidR="005E785F" w:rsidRDefault="003621E8">
            <w:pPr>
              <w:jc w:val="center"/>
              <w:rPr>
                <w:rFonts w:cs="Times New Roman"/>
                <w:sz w:val="18"/>
                <w:szCs w:val="18"/>
                <w:lang w:eastAsia="pt-BR"/>
              </w:rPr>
            </w:pPr>
            <w:r>
              <w:rPr>
                <w:rFonts w:cs="Times New Roman"/>
                <w:sz w:val="18"/>
                <w:szCs w:val="18"/>
                <w:lang w:eastAsia="pt-BR"/>
              </w:rPr>
              <w:t> </w:t>
            </w:r>
          </w:p>
        </w:tc>
        <w:tc>
          <w:tcPr>
            <w:tcW w:w="709" w:type="dxa"/>
            <w:shd w:val="clear" w:color="auto" w:fill="FFFFFF" w:themeFill="background1"/>
            <w:vAlign w:val="center"/>
            <w:hideMark/>
          </w:tcPr>
          <w:p w14:paraId="7776C9B9" w14:textId="77777777" w:rsidR="005E785F" w:rsidRDefault="003621E8">
            <w:pPr>
              <w:jc w:val="center"/>
              <w:rPr>
                <w:rFonts w:cs="Times New Roman"/>
                <w:sz w:val="18"/>
                <w:szCs w:val="18"/>
                <w:lang w:eastAsia="pt-BR"/>
              </w:rPr>
            </w:pPr>
            <w:r>
              <w:rPr>
                <w:rFonts w:cs="Times New Roman"/>
                <w:sz w:val="18"/>
                <w:szCs w:val="18"/>
                <w:lang w:eastAsia="pt-BR"/>
              </w:rPr>
              <w:t> X</w:t>
            </w:r>
          </w:p>
        </w:tc>
      </w:tr>
      <w:tr w:rsidR="005E785F" w14:paraId="26B25AD4" w14:textId="77777777">
        <w:trPr>
          <w:trHeight w:val="340"/>
        </w:trPr>
        <w:tc>
          <w:tcPr>
            <w:tcW w:w="2122" w:type="dxa"/>
            <w:shd w:val="clear" w:color="auto" w:fill="FFFFFF" w:themeFill="background1"/>
            <w:vAlign w:val="center"/>
          </w:tcPr>
          <w:p w14:paraId="42A91CDA" w14:textId="77777777" w:rsidR="005E785F" w:rsidRDefault="003621E8">
            <w:pPr>
              <w:rPr>
                <w:rFonts w:cs="Times New Roman"/>
                <w:sz w:val="18"/>
                <w:szCs w:val="18"/>
                <w:lang w:eastAsia="pt-BR"/>
              </w:rPr>
            </w:pPr>
            <w:r>
              <w:rPr>
                <w:rFonts w:cs="Times New Roman"/>
                <w:sz w:val="18"/>
                <w:szCs w:val="18"/>
              </w:rPr>
              <w:t>Height/BMI</w:t>
            </w:r>
          </w:p>
        </w:tc>
        <w:tc>
          <w:tcPr>
            <w:tcW w:w="992" w:type="dxa"/>
            <w:shd w:val="clear" w:color="auto" w:fill="FFFFFF" w:themeFill="background1"/>
            <w:vAlign w:val="center"/>
          </w:tcPr>
          <w:p w14:paraId="0B2EF48F" w14:textId="77777777" w:rsidR="005E785F" w:rsidRDefault="003621E8">
            <w:pPr>
              <w:jc w:val="center"/>
              <w:rPr>
                <w:rFonts w:cs="Times New Roman"/>
                <w:sz w:val="18"/>
                <w:szCs w:val="18"/>
                <w:lang w:eastAsia="pt-BR"/>
              </w:rPr>
            </w:pPr>
            <w:r>
              <w:rPr>
                <w:rFonts w:cs="Times New Roman"/>
                <w:sz w:val="18"/>
                <w:szCs w:val="18"/>
                <w:lang w:eastAsia="pt-BR"/>
              </w:rPr>
              <w:t>X</w:t>
            </w:r>
          </w:p>
        </w:tc>
        <w:tc>
          <w:tcPr>
            <w:tcW w:w="992" w:type="dxa"/>
            <w:shd w:val="clear" w:color="auto" w:fill="FFFFFF" w:themeFill="background1"/>
            <w:vAlign w:val="center"/>
          </w:tcPr>
          <w:p w14:paraId="2368C3A1" w14:textId="77777777" w:rsidR="005E785F" w:rsidRDefault="005E785F">
            <w:pPr>
              <w:jc w:val="center"/>
              <w:rPr>
                <w:rFonts w:cs="Times New Roman"/>
                <w:sz w:val="18"/>
                <w:szCs w:val="18"/>
                <w:lang w:eastAsia="pt-BR"/>
              </w:rPr>
            </w:pPr>
          </w:p>
        </w:tc>
        <w:tc>
          <w:tcPr>
            <w:tcW w:w="992" w:type="dxa"/>
            <w:shd w:val="clear" w:color="auto" w:fill="FFFFFF" w:themeFill="background1"/>
            <w:vAlign w:val="center"/>
          </w:tcPr>
          <w:p w14:paraId="0525BB61" w14:textId="77777777" w:rsidR="005E785F" w:rsidRDefault="005E785F">
            <w:pPr>
              <w:jc w:val="center"/>
              <w:rPr>
                <w:rFonts w:cs="Times New Roman"/>
                <w:sz w:val="18"/>
                <w:szCs w:val="18"/>
                <w:lang w:eastAsia="pt-BR"/>
              </w:rPr>
            </w:pPr>
          </w:p>
        </w:tc>
        <w:tc>
          <w:tcPr>
            <w:tcW w:w="851" w:type="dxa"/>
            <w:shd w:val="clear" w:color="auto" w:fill="FFFFFF" w:themeFill="background1"/>
            <w:vAlign w:val="center"/>
          </w:tcPr>
          <w:p w14:paraId="13921B15" w14:textId="77777777" w:rsidR="005E785F" w:rsidRDefault="005E785F">
            <w:pPr>
              <w:jc w:val="center"/>
              <w:rPr>
                <w:rFonts w:cs="Times New Roman"/>
                <w:sz w:val="18"/>
                <w:szCs w:val="18"/>
                <w:lang w:eastAsia="pt-BR"/>
              </w:rPr>
            </w:pPr>
          </w:p>
        </w:tc>
        <w:tc>
          <w:tcPr>
            <w:tcW w:w="709" w:type="dxa"/>
            <w:shd w:val="clear" w:color="auto" w:fill="FFFFFF" w:themeFill="background1"/>
            <w:vAlign w:val="center"/>
          </w:tcPr>
          <w:p w14:paraId="6725B9DC" w14:textId="77777777" w:rsidR="005E785F" w:rsidRDefault="005E785F">
            <w:pPr>
              <w:jc w:val="center"/>
              <w:rPr>
                <w:rFonts w:cs="Times New Roman"/>
                <w:sz w:val="18"/>
                <w:szCs w:val="18"/>
                <w:lang w:eastAsia="pt-BR"/>
              </w:rPr>
            </w:pPr>
          </w:p>
        </w:tc>
        <w:tc>
          <w:tcPr>
            <w:tcW w:w="425" w:type="dxa"/>
            <w:shd w:val="clear" w:color="auto" w:fill="FFFFFF" w:themeFill="background1"/>
            <w:vAlign w:val="center"/>
          </w:tcPr>
          <w:p w14:paraId="2D5826D5" w14:textId="77777777" w:rsidR="005E785F" w:rsidRDefault="005E785F">
            <w:pPr>
              <w:jc w:val="center"/>
              <w:rPr>
                <w:rFonts w:cs="Times New Roman"/>
                <w:sz w:val="18"/>
                <w:szCs w:val="18"/>
                <w:lang w:eastAsia="pt-BR"/>
              </w:rPr>
            </w:pPr>
          </w:p>
        </w:tc>
        <w:tc>
          <w:tcPr>
            <w:tcW w:w="850" w:type="dxa"/>
            <w:shd w:val="clear" w:color="auto" w:fill="FFFFFF" w:themeFill="background1"/>
            <w:vAlign w:val="center"/>
          </w:tcPr>
          <w:p w14:paraId="29D68129" w14:textId="77777777" w:rsidR="005E785F" w:rsidRDefault="005E785F">
            <w:pPr>
              <w:jc w:val="center"/>
              <w:rPr>
                <w:rFonts w:cs="Times New Roman"/>
                <w:sz w:val="18"/>
                <w:szCs w:val="18"/>
                <w:lang w:eastAsia="pt-BR"/>
              </w:rPr>
            </w:pPr>
          </w:p>
        </w:tc>
        <w:tc>
          <w:tcPr>
            <w:tcW w:w="709" w:type="dxa"/>
            <w:shd w:val="clear" w:color="auto" w:fill="FFFFFF" w:themeFill="background1"/>
            <w:vAlign w:val="center"/>
          </w:tcPr>
          <w:p w14:paraId="2525DC2F" w14:textId="77777777" w:rsidR="005E785F" w:rsidRDefault="005E785F">
            <w:pPr>
              <w:jc w:val="center"/>
              <w:rPr>
                <w:rFonts w:cs="Times New Roman"/>
                <w:sz w:val="18"/>
                <w:szCs w:val="18"/>
                <w:lang w:eastAsia="pt-BR"/>
              </w:rPr>
            </w:pPr>
          </w:p>
        </w:tc>
        <w:tc>
          <w:tcPr>
            <w:tcW w:w="709" w:type="dxa"/>
            <w:shd w:val="clear" w:color="auto" w:fill="FFFFFF" w:themeFill="background1"/>
            <w:vAlign w:val="center"/>
          </w:tcPr>
          <w:p w14:paraId="387CCC32" w14:textId="77777777" w:rsidR="005E785F" w:rsidRDefault="005E785F">
            <w:pPr>
              <w:jc w:val="center"/>
              <w:rPr>
                <w:rStyle w:val="CommentReference"/>
                <w:rFonts w:cs="Times New Roman"/>
                <w:sz w:val="18"/>
                <w:szCs w:val="18"/>
              </w:rPr>
            </w:pPr>
          </w:p>
        </w:tc>
      </w:tr>
      <w:tr w:rsidR="005E785F" w14:paraId="5A84DFE4" w14:textId="77777777">
        <w:trPr>
          <w:trHeight w:val="340"/>
        </w:trPr>
        <w:tc>
          <w:tcPr>
            <w:tcW w:w="2122" w:type="dxa"/>
            <w:shd w:val="clear" w:color="auto" w:fill="FFFFFF" w:themeFill="background1"/>
            <w:vAlign w:val="center"/>
            <w:hideMark/>
          </w:tcPr>
          <w:p w14:paraId="2353477E" w14:textId="77777777" w:rsidR="005E785F" w:rsidRDefault="003621E8">
            <w:pPr>
              <w:rPr>
                <w:rFonts w:cs="Times New Roman"/>
                <w:sz w:val="18"/>
                <w:szCs w:val="18"/>
                <w:lang w:eastAsia="pt-BR"/>
              </w:rPr>
            </w:pPr>
            <w:r>
              <w:rPr>
                <w:rFonts w:cs="Times New Roman"/>
                <w:sz w:val="18"/>
                <w:szCs w:val="18"/>
                <w:lang w:eastAsia="pt-BR"/>
              </w:rPr>
              <w:t>Vein Assessment</w:t>
            </w:r>
          </w:p>
        </w:tc>
        <w:tc>
          <w:tcPr>
            <w:tcW w:w="992" w:type="dxa"/>
            <w:shd w:val="clear" w:color="auto" w:fill="FFFFFF" w:themeFill="background1"/>
            <w:vAlign w:val="center"/>
            <w:hideMark/>
          </w:tcPr>
          <w:p w14:paraId="4CEA6365" w14:textId="77777777" w:rsidR="005E785F" w:rsidRDefault="003621E8">
            <w:pPr>
              <w:jc w:val="center"/>
              <w:rPr>
                <w:rFonts w:cs="Times New Roman"/>
                <w:sz w:val="18"/>
                <w:szCs w:val="18"/>
                <w:lang w:eastAsia="pt-BR"/>
              </w:rPr>
            </w:pPr>
            <w:r>
              <w:rPr>
                <w:rFonts w:cs="Times New Roman"/>
                <w:sz w:val="18"/>
                <w:szCs w:val="18"/>
                <w:lang w:eastAsia="pt-BR"/>
              </w:rPr>
              <w:t>X</w:t>
            </w:r>
          </w:p>
        </w:tc>
        <w:tc>
          <w:tcPr>
            <w:tcW w:w="992" w:type="dxa"/>
            <w:shd w:val="clear" w:color="auto" w:fill="FFFFFF" w:themeFill="background1"/>
            <w:vAlign w:val="center"/>
            <w:hideMark/>
          </w:tcPr>
          <w:p w14:paraId="56F4037D" w14:textId="77777777" w:rsidR="005E785F" w:rsidRDefault="003621E8">
            <w:pPr>
              <w:jc w:val="center"/>
              <w:rPr>
                <w:rFonts w:cs="Times New Roman"/>
                <w:sz w:val="18"/>
                <w:szCs w:val="18"/>
                <w:lang w:eastAsia="pt-BR"/>
              </w:rPr>
            </w:pPr>
            <w:r>
              <w:rPr>
                <w:rFonts w:cs="Times New Roman"/>
                <w:sz w:val="18"/>
                <w:szCs w:val="18"/>
                <w:lang w:eastAsia="pt-BR"/>
              </w:rPr>
              <w:t>X</w:t>
            </w:r>
          </w:p>
        </w:tc>
        <w:tc>
          <w:tcPr>
            <w:tcW w:w="992" w:type="dxa"/>
            <w:shd w:val="clear" w:color="auto" w:fill="FFFFFF" w:themeFill="background1"/>
            <w:vAlign w:val="center"/>
            <w:hideMark/>
          </w:tcPr>
          <w:p w14:paraId="6A36BE88" w14:textId="77777777" w:rsidR="005E785F" w:rsidRDefault="003621E8">
            <w:pPr>
              <w:jc w:val="center"/>
              <w:rPr>
                <w:rFonts w:cs="Times New Roman"/>
                <w:sz w:val="18"/>
                <w:szCs w:val="18"/>
                <w:lang w:eastAsia="pt-BR"/>
              </w:rPr>
            </w:pPr>
            <w:r>
              <w:rPr>
                <w:rFonts w:cs="Times New Roman"/>
                <w:sz w:val="18"/>
                <w:szCs w:val="18"/>
                <w:lang w:eastAsia="pt-BR"/>
              </w:rPr>
              <w:t> </w:t>
            </w:r>
          </w:p>
        </w:tc>
        <w:tc>
          <w:tcPr>
            <w:tcW w:w="851" w:type="dxa"/>
            <w:shd w:val="clear" w:color="auto" w:fill="FFFFFF" w:themeFill="background1"/>
            <w:vAlign w:val="center"/>
            <w:hideMark/>
          </w:tcPr>
          <w:p w14:paraId="5138455E" w14:textId="77777777" w:rsidR="005E785F" w:rsidRDefault="003621E8">
            <w:pPr>
              <w:jc w:val="center"/>
              <w:rPr>
                <w:rFonts w:cs="Times New Roman"/>
                <w:sz w:val="18"/>
                <w:szCs w:val="18"/>
                <w:lang w:eastAsia="pt-BR"/>
              </w:rPr>
            </w:pPr>
            <w:r>
              <w:rPr>
                <w:rFonts w:cs="Times New Roman"/>
                <w:sz w:val="18"/>
                <w:szCs w:val="18"/>
                <w:lang w:eastAsia="pt-BR"/>
              </w:rPr>
              <w:t> </w:t>
            </w:r>
          </w:p>
        </w:tc>
        <w:tc>
          <w:tcPr>
            <w:tcW w:w="709" w:type="dxa"/>
            <w:shd w:val="clear" w:color="auto" w:fill="FFFFFF" w:themeFill="background1"/>
            <w:vAlign w:val="center"/>
            <w:hideMark/>
          </w:tcPr>
          <w:p w14:paraId="76C9F871" w14:textId="77777777" w:rsidR="005E785F" w:rsidRDefault="003621E8">
            <w:pPr>
              <w:jc w:val="center"/>
              <w:rPr>
                <w:rFonts w:cs="Times New Roman"/>
                <w:sz w:val="18"/>
                <w:szCs w:val="18"/>
                <w:lang w:eastAsia="pt-BR"/>
              </w:rPr>
            </w:pPr>
            <w:r>
              <w:rPr>
                <w:rFonts w:cs="Times New Roman"/>
                <w:sz w:val="18"/>
                <w:szCs w:val="18"/>
                <w:lang w:eastAsia="pt-BR"/>
              </w:rPr>
              <w:t> </w:t>
            </w:r>
          </w:p>
        </w:tc>
        <w:tc>
          <w:tcPr>
            <w:tcW w:w="425" w:type="dxa"/>
            <w:shd w:val="clear" w:color="auto" w:fill="FFFFFF" w:themeFill="background1"/>
            <w:vAlign w:val="center"/>
            <w:hideMark/>
          </w:tcPr>
          <w:p w14:paraId="3D4D0A53" w14:textId="77777777" w:rsidR="005E785F" w:rsidRDefault="003621E8">
            <w:pPr>
              <w:jc w:val="center"/>
              <w:rPr>
                <w:rFonts w:cs="Times New Roman"/>
                <w:sz w:val="18"/>
                <w:szCs w:val="18"/>
                <w:lang w:eastAsia="pt-BR"/>
              </w:rPr>
            </w:pPr>
            <w:r>
              <w:rPr>
                <w:rFonts w:cs="Times New Roman"/>
                <w:sz w:val="18"/>
                <w:szCs w:val="18"/>
                <w:lang w:eastAsia="pt-BR"/>
              </w:rPr>
              <w:t> </w:t>
            </w:r>
          </w:p>
        </w:tc>
        <w:tc>
          <w:tcPr>
            <w:tcW w:w="850" w:type="dxa"/>
            <w:shd w:val="clear" w:color="auto" w:fill="FFFFFF" w:themeFill="background1"/>
            <w:vAlign w:val="center"/>
            <w:hideMark/>
          </w:tcPr>
          <w:p w14:paraId="4F91F4FB" w14:textId="77777777" w:rsidR="005E785F" w:rsidRDefault="003621E8">
            <w:pPr>
              <w:jc w:val="center"/>
              <w:rPr>
                <w:rFonts w:cs="Times New Roman"/>
                <w:sz w:val="18"/>
                <w:szCs w:val="18"/>
                <w:lang w:eastAsia="pt-BR"/>
              </w:rPr>
            </w:pPr>
            <w:r>
              <w:rPr>
                <w:rFonts w:cs="Times New Roman"/>
                <w:sz w:val="18"/>
                <w:szCs w:val="18"/>
                <w:lang w:eastAsia="pt-BR"/>
              </w:rPr>
              <w:t> </w:t>
            </w:r>
          </w:p>
        </w:tc>
        <w:tc>
          <w:tcPr>
            <w:tcW w:w="709" w:type="dxa"/>
            <w:shd w:val="clear" w:color="auto" w:fill="FFFFFF" w:themeFill="background1"/>
            <w:vAlign w:val="center"/>
            <w:hideMark/>
          </w:tcPr>
          <w:p w14:paraId="2D70316D" w14:textId="77777777" w:rsidR="005E785F" w:rsidRDefault="003621E8">
            <w:pPr>
              <w:jc w:val="center"/>
              <w:rPr>
                <w:rFonts w:cs="Times New Roman"/>
                <w:sz w:val="18"/>
                <w:szCs w:val="18"/>
                <w:lang w:eastAsia="pt-BR"/>
              </w:rPr>
            </w:pPr>
            <w:r>
              <w:rPr>
                <w:rFonts w:cs="Times New Roman"/>
                <w:sz w:val="18"/>
                <w:szCs w:val="18"/>
                <w:lang w:eastAsia="pt-BR"/>
              </w:rPr>
              <w:t> </w:t>
            </w:r>
          </w:p>
        </w:tc>
        <w:tc>
          <w:tcPr>
            <w:tcW w:w="709" w:type="dxa"/>
            <w:shd w:val="clear" w:color="auto" w:fill="FFFFFF" w:themeFill="background1"/>
            <w:vAlign w:val="center"/>
            <w:hideMark/>
          </w:tcPr>
          <w:p w14:paraId="4425002F" w14:textId="77777777" w:rsidR="005E785F" w:rsidRDefault="003621E8">
            <w:pPr>
              <w:jc w:val="center"/>
              <w:rPr>
                <w:rFonts w:cs="Times New Roman"/>
                <w:sz w:val="18"/>
                <w:szCs w:val="18"/>
                <w:lang w:eastAsia="pt-BR"/>
              </w:rPr>
            </w:pPr>
            <w:r>
              <w:rPr>
                <w:rFonts w:cs="Times New Roman"/>
                <w:sz w:val="18"/>
                <w:szCs w:val="18"/>
                <w:lang w:eastAsia="pt-BR"/>
              </w:rPr>
              <w:t> </w:t>
            </w:r>
          </w:p>
        </w:tc>
      </w:tr>
      <w:tr w:rsidR="005E785F" w14:paraId="40D77121" w14:textId="77777777">
        <w:trPr>
          <w:trHeight w:val="340"/>
        </w:trPr>
        <w:tc>
          <w:tcPr>
            <w:tcW w:w="2122" w:type="dxa"/>
            <w:shd w:val="clear" w:color="auto" w:fill="FFFFFF" w:themeFill="background1"/>
            <w:hideMark/>
          </w:tcPr>
          <w:p w14:paraId="247E5053" w14:textId="47660BFD" w:rsidR="005E785F" w:rsidRDefault="003621E8">
            <w:pPr>
              <w:rPr>
                <w:rFonts w:cs="Times New Roman"/>
                <w:sz w:val="18"/>
                <w:szCs w:val="18"/>
                <w:lang w:eastAsia="pt-BR"/>
              </w:rPr>
            </w:pPr>
            <w:r>
              <w:rPr>
                <w:sz w:val="18"/>
                <w:szCs w:val="18"/>
              </w:rPr>
              <w:t>Urine DOA and alcohol/cotinine screen</w:t>
            </w:r>
          </w:p>
        </w:tc>
        <w:tc>
          <w:tcPr>
            <w:tcW w:w="992" w:type="dxa"/>
            <w:shd w:val="clear" w:color="auto" w:fill="FFFFFF" w:themeFill="background1"/>
            <w:vAlign w:val="center"/>
            <w:hideMark/>
          </w:tcPr>
          <w:p w14:paraId="1CDC4769" w14:textId="77777777" w:rsidR="005E785F" w:rsidRDefault="003621E8">
            <w:pPr>
              <w:jc w:val="center"/>
              <w:rPr>
                <w:rFonts w:cs="Times New Roman"/>
                <w:sz w:val="18"/>
                <w:szCs w:val="18"/>
                <w:lang w:eastAsia="pt-BR"/>
              </w:rPr>
            </w:pPr>
            <w:r>
              <w:rPr>
                <w:rFonts w:cs="Times New Roman"/>
                <w:sz w:val="18"/>
                <w:szCs w:val="18"/>
                <w:lang w:eastAsia="pt-BR"/>
              </w:rPr>
              <w:t>X</w:t>
            </w:r>
          </w:p>
        </w:tc>
        <w:tc>
          <w:tcPr>
            <w:tcW w:w="992" w:type="dxa"/>
            <w:shd w:val="clear" w:color="auto" w:fill="FFFFFF" w:themeFill="background1"/>
            <w:vAlign w:val="center"/>
            <w:hideMark/>
          </w:tcPr>
          <w:p w14:paraId="49AC5705" w14:textId="77777777" w:rsidR="005E785F" w:rsidRDefault="003621E8">
            <w:pPr>
              <w:jc w:val="center"/>
              <w:rPr>
                <w:rFonts w:cs="Times New Roman"/>
                <w:sz w:val="18"/>
                <w:szCs w:val="18"/>
                <w:lang w:eastAsia="pt-BR"/>
              </w:rPr>
            </w:pPr>
            <w:r>
              <w:rPr>
                <w:rFonts w:cs="Times New Roman"/>
                <w:sz w:val="18"/>
                <w:szCs w:val="18"/>
                <w:lang w:eastAsia="pt-BR"/>
              </w:rPr>
              <w:t>X</w:t>
            </w:r>
          </w:p>
        </w:tc>
        <w:tc>
          <w:tcPr>
            <w:tcW w:w="992" w:type="dxa"/>
            <w:shd w:val="clear" w:color="auto" w:fill="FFFFFF" w:themeFill="background1"/>
            <w:vAlign w:val="center"/>
            <w:hideMark/>
          </w:tcPr>
          <w:p w14:paraId="7393266B" w14:textId="77777777" w:rsidR="005E785F" w:rsidRDefault="003621E8">
            <w:pPr>
              <w:jc w:val="center"/>
              <w:rPr>
                <w:rFonts w:cs="Times New Roman"/>
                <w:sz w:val="18"/>
                <w:szCs w:val="18"/>
                <w:lang w:eastAsia="pt-BR"/>
              </w:rPr>
            </w:pPr>
            <w:r>
              <w:rPr>
                <w:rFonts w:cs="Times New Roman"/>
                <w:sz w:val="18"/>
                <w:szCs w:val="18"/>
                <w:lang w:eastAsia="pt-BR"/>
              </w:rPr>
              <w:t> </w:t>
            </w:r>
          </w:p>
        </w:tc>
        <w:tc>
          <w:tcPr>
            <w:tcW w:w="851" w:type="dxa"/>
            <w:shd w:val="clear" w:color="auto" w:fill="FFFFFF" w:themeFill="background1"/>
            <w:vAlign w:val="center"/>
            <w:hideMark/>
          </w:tcPr>
          <w:p w14:paraId="6F35BB46" w14:textId="77777777" w:rsidR="005E785F" w:rsidRDefault="003621E8">
            <w:pPr>
              <w:jc w:val="center"/>
              <w:rPr>
                <w:rFonts w:cs="Times New Roman"/>
                <w:sz w:val="18"/>
                <w:szCs w:val="18"/>
                <w:lang w:eastAsia="pt-BR"/>
              </w:rPr>
            </w:pPr>
            <w:r>
              <w:rPr>
                <w:rFonts w:cs="Times New Roman"/>
                <w:sz w:val="18"/>
                <w:szCs w:val="18"/>
                <w:lang w:eastAsia="pt-BR"/>
              </w:rPr>
              <w:t> </w:t>
            </w:r>
          </w:p>
        </w:tc>
        <w:tc>
          <w:tcPr>
            <w:tcW w:w="709" w:type="dxa"/>
            <w:shd w:val="clear" w:color="auto" w:fill="FFFFFF" w:themeFill="background1"/>
            <w:vAlign w:val="center"/>
            <w:hideMark/>
          </w:tcPr>
          <w:p w14:paraId="7B5E558D" w14:textId="77777777" w:rsidR="005E785F" w:rsidRDefault="003621E8">
            <w:pPr>
              <w:jc w:val="center"/>
              <w:rPr>
                <w:rFonts w:cs="Times New Roman"/>
                <w:sz w:val="18"/>
                <w:szCs w:val="18"/>
                <w:lang w:eastAsia="pt-BR"/>
              </w:rPr>
            </w:pPr>
            <w:r>
              <w:rPr>
                <w:rFonts w:cs="Times New Roman"/>
                <w:sz w:val="18"/>
                <w:szCs w:val="18"/>
                <w:lang w:eastAsia="pt-BR"/>
              </w:rPr>
              <w:t> </w:t>
            </w:r>
          </w:p>
        </w:tc>
        <w:tc>
          <w:tcPr>
            <w:tcW w:w="425" w:type="dxa"/>
            <w:shd w:val="clear" w:color="auto" w:fill="FFFFFF" w:themeFill="background1"/>
            <w:vAlign w:val="center"/>
            <w:hideMark/>
          </w:tcPr>
          <w:p w14:paraId="6D04FC6E" w14:textId="77777777" w:rsidR="005E785F" w:rsidRDefault="003621E8">
            <w:pPr>
              <w:jc w:val="center"/>
              <w:rPr>
                <w:rFonts w:cs="Times New Roman"/>
                <w:sz w:val="18"/>
                <w:szCs w:val="18"/>
                <w:lang w:eastAsia="pt-BR"/>
              </w:rPr>
            </w:pPr>
            <w:r>
              <w:rPr>
                <w:rFonts w:cs="Times New Roman"/>
                <w:sz w:val="18"/>
                <w:szCs w:val="18"/>
                <w:lang w:eastAsia="pt-BR"/>
              </w:rPr>
              <w:t> </w:t>
            </w:r>
          </w:p>
        </w:tc>
        <w:tc>
          <w:tcPr>
            <w:tcW w:w="850" w:type="dxa"/>
            <w:shd w:val="clear" w:color="auto" w:fill="FFFFFF" w:themeFill="background1"/>
            <w:vAlign w:val="center"/>
            <w:hideMark/>
          </w:tcPr>
          <w:p w14:paraId="7354EBB0" w14:textId="77777777" w:rsidR="005E785F" w:rsidRDefault="003621E8">
            <w:pPr>
              <w:jc w:val="center"/>
              <w:rPr>
                <w:rFonts w:cs="Times New Roman"/>
                <w:sz w:val="18"/>
                <w:szCs w:val="18"/>
                <w:lang w:eastAsia="pt-BR"/>
              </w:rPr>
            </w:pPr>
            <w:r>
              <w:rPr>
                <w:rFonts w:cs="Times New Roman"/>
                <w:sz w:val="18"/>
                <w:szCs w:val="18"/>
                <w:lang w:eastAsia="pt-BR"/>
              </w:rPr>
              <w:t> </w:t>
            </w:r>
          </w:p>
        </w:tc>
        <w:tc>
          <w:tcPr>
            <w:tcW w:w="709" w:type="dxa"/>
            <w:shd w:val="clear" w:color="auto" w:fill="FFFFFF" w:themeFill="background1"/>
            <w:vAlign w:val="center"/>
            <w:hideMark/>
          </w:tcPr>
          <w:p w14:paraId="1BE2B627" w14:textId="77777777" w:rsidR="005E785F" w:rsidRDefault="003621E8">
            <w:pPr>
              <w:jc w:val="center"/>
              <w:rPr>
                <w:rFonts w:cs="Times New Roman"/>
                <w:sz w:val="18"/>
                <w:szCs w:val="18"/>
                <w:lang w:eastAsia="pt-BR"/>
              </w:rPr>
            </w:pPr>
            <w:r>
              <w:rPr>
                <w:rFonts w:cs="Times New Roman"/>
                <w:sz w:val="18"/>
                <w:szCs w:val="18"/>
                <w:lang w:eastAsia="pt-BR"/>
              </w:rPr>
              <w:t> </w:t>
            </w:r>
          </w:p>
        </w:tc>
        <w:tc>
          <w:tcPr>
            <w:tcW w:w="709" w:type="dxa"/>
            <w:shd w:val="clear" w:color="auto" w:fill="FFFFFF" w:themeFill="background1"/>
            <w:vAlign w:val="center"/>
            <w:hideMark/>
          </w:tcPr>
          <w:p w14:paraId="6372A958" w14:textId="77777777" w:rsidR="005E785F" w:rsidRDefault="003621E8">
            <w:pPr>
              <w:jc w:val="center"/>
              <w:rPr>
                <w:rFonts w:cs="Times New Roman"/>
                <w:sz w:val="18"/>
                <w:szCs w:val="18"/>
                <w:lang w:eastAsia="pt-BR"/>
              </w:rPr>
            </w:pPr>
            <w:r>
              <w:rPr>
                <w:rFonts w:cs="Times New Roman"/>
                <w:sz w:val="18"/>
                <w:szCs w:val="18"/>
                <w:lang w:eastAsia="pt-BR"/>
              </w:rPr>
              <w:t> </w:t>
            </w:r>
          </w:p>
        </w:tc>
      </w:tr>
      <w:tr w:rsidR="005E785F" w14:paraId="35A9D576" w14:textId="77777777">
        <w:trPr>
          <w:trHeight w:val="340"/>
        </w:trPr>
        <w:tc>
          <w:tcPr>
            <w:tcW w:w="2122" w:type="dxa"/>
            <w:shd w:val="clear" w:color="auto" w:fill="FFFFFF" w:themeFill="background1"/>
            <w:vAlign w:val="center"/>
            <w:hideMark/>
          </w:tcPr>
          <w:p w14:paraId="6E4BF741" w14:textId="5801B047" w:rsidR="005E785F" w:rsidRDefault="003621E8">
            <w:pPr>
              <w:rPr>
                <w:rFonts w:cs="Times New Roman"/>
                <w:color w:val="7030A0"/>
                <w:sz w:val="18"/>
                <w:szCs w:val="18"/>
                <w:lang w:eastAsia="pt-BR"/>
              </w:rPr>
            </w:pPr>
            <w:r>
              <w:rPr>
                <w:rFonts w:cs="Times New Roman"/>
                <w:sz w:val="18"/>
                <w:szCs w:val="18"/>
                <w:lang w:eastAsia="pt-BR"/>
              </w:rPr>
              <w:t>Randomisation</w:t>
            </w:r>
          </w:p>
        </w:tc>
        <w:tc>
          <w:tcPr>
            <w:tcW w:w="992" w:type="dxa"/>
            <w:shd w:val="clear" w:color="auto" w:fill="FFFFFF" w:themeFill="background1"/>
            <w:vAlign w:val="center"/>
            <w:hideMark/>
          </w:tcPr>
          <w:p w14:paraId="7359645B" w14:textId="77777777" w:rsidR="005E785F" w:rsidRDefault="003621E8">
            <w:pPr>
              <w:jc w:val="center"/>
              <w:rPr>
                <w:rFonts w:cs="Times New Roman"/>
                <w:color w:val="7030A0"/>
                <w:sz w:val="18"/>
                <w:szCs w:val="18"/>
                <w:lang w:eastAsia="pt-BR"/>
              </w:rPr>
            </w:pPr>
            <w:r>
              <w:rPr>
                <w:rFonts w:cs="Times New Roman"/>
                <w:color w:val="7030A0"/>
                <w:sz w:val="18"/>
                <w:szCs w:val="18"/>
                <w:lang w:eastAsia="pt-BR"/>
              </w:rPr>
              <w:t> </w:t>
            </w:r>
          </w:p>
        </w:tc>
        <w:tc>
          <w:tcPr>
            <w:tcW w:w="992" w:type="dxa"/>
            <w:shd w:val="clear" w:color="auto" w:fill="FFFFFF" w:themeFill="background1"/>
            <w:vAlign w:val="center"/>
            <w:hideMark/>
          </w:tcPr>
          <w:p w14:paraId="476BFF0E" w14:textId="77777777" w:rsidR="005E785F" w:rsidRDefault="003621E8">
            <w:pPr>
              <w:jc w:val="center"/>
              <w:rPr>
                <w:rFonts w:cs="Times New Roman"/>
                <w:color w:val="7030A0"/>
                <w:sz w:val="18"/>
                <w:szCs w:val="18"/>
                <w:lang w:eastAsia="pt-BR"/>
              </w:rPr>
            </w:pPr>
            <w:r>
              <w:rPr>
                <w:rFonts w:cs="Times New Roman"/>
                <w:color w:val="7030A0"/>
                <w:sz w:val="18"/>
                <w:szCs w:val="18"/>
                <w:lang w:eastAsia="pt-BR"/>
              </w:rPr>
              <w:t> </w:t>
            </w:r>
          </w:p>
        </w:tc>
        <w:tc>
          <w:tcPr>
            <w:tcW w:w="992" w:type="dxa"/>
            <w:shd w:val="clear" w:color="auto" w:fill="FFFFFF" w:themeFill="background1"/>
            <w:vAlign w:val="center"/>
            <w:hideMark/>
          </w:tcPr>
          <w:p w14:paraId="152489A4" w14:textId="77777777" w:rsidR="005E785F" w:rsidRDefault="003621E8">
            <w:pPr>
              <w:jc w:val="center"/>
              <w:rPr>
                <w:rFonts w:cs="Times New Roman"/>
                <w:color w:val="7030A0"/>
                <w:sz w:val="18"/>
                <w:szCs w:val="18"/>
                <w:lang w:eastAsia="pt-BR"/>
              </w:rPr>
            </w:pPr>
            <w:r>
              <w:rPr>
                <w:rFonts w:cs="Times New Roman"/>
                <w:sz w:val="18"/>
                <w:szCs w:val="18"/>
                <w:lang w:eastAsia="pt-BR"/>
              </w:rPr>
              <w:t> X</w:t>
            </w:r>
          </w:p>
        </w:tc>
        <w:tc>
          <w:tcPr>
            <w:tcW w:w="851" w:type="dxa"/>
            <w:shd w:val="clear" w:color="auto" w:fill="FFFFFF" w:themeFill="background1"/>
            <w:vAlign w:val="center"/>
            <w:hideMark/>
          </w:tcPr>
          <w:p w14:paraId="35C10BFB" w14:textId="77777777" w:rsidR="005E785F" w:rsidRDefault="005E785F">
            <w:pPr>
              <w:jc w:val="center"/>
              <w:rPr>
                <w:rFonts w:cs="Times New Roman"/>
                <w:color w:val="7030A0"/>
                <w:sz w:val="18"/>
                <w:szCs w:val="18"/>
                <w:lang w:eastAsia="pt-BR"/>
              </w:rPr>
            </w:pPr>
          </w:p>
        </w:tc>
        <w:tc>
          <w:tcPr>
            <w:tcW w:w="709" w:type="dxa"/>
            <w:shd w:val="clear" w:color="auto" w:fill="FFFFFF" w:themeFill="background1"/>
            <w:vAlign w:val="center"/>
            <w:hideMark/>
          </w:tcPr>
          <w:p w14:paraId="49F566E3" w14:textId="77777777" w:rsidR="005E785F" w:rsidRDefault="003621E8">
            <w:pPr>
              <w:jc w:val="center"/>
              <w:rPr>
                <w:rFonts w:cs="Times New Roman"/>
                <w:color w:val="7030A0"/>
                <w:sz w:val="18"/>
                <w:szCs w:val="18"/>
                <w:lang w:eastAsia="pt-BR"/>
              </w:rPr>
            </w:pPr>
            <w:r>
              <w:rPr>
                <w:rFonts w:cs="Times New Roman"/>
                <w:color w:val="7030A0"/>
                <w:sz w:val="18"/>
                <w:szCs w:val="18"/>
                <w:lang w:eastAsia="pt-BR"/>
              </w:rPr>
              <w:t> </w:t>
            </w:r>
          </w:p>
        </w:tc>
        <w:tc>
          <w:tcPr>
            <w:tcW w:w="425" w:type="dxa"/>
            <w:shd w:val="clear" w:color="auto" w:fill="FFFFFF" w:themeFill="background1"/>
            <w:vAlign w:val="center"/>
            <w:hideMark/>
          </w:tcPr>
          <w:p w14:paraId="6678EFF9" w14:textId="77777777" w:rsidR="005E785F" w:rsidRDefault="003621E8">
            <w:pPr>
              <w:jc w:val="center"/>
              <w:rPr>
                <w:rFonts w:cs="Times New Roman"/>
                <w:color w:val="7030A0"/>
                <w:sz w:val="18"/>
                <w:szCs w:val="18"/>
                <w:lang w:eastAsia="pt-BR"/>
              </w:rPr>
            </w:pPr>
            <w:r>
              <w:rPr>
                <w:rFonts w:cs="Times New Roman"/>
                <w:color w:val="7030A0"/>
                <w:sz w:val="18"/>
                <w:szCs w:val="18"/>
                <w:lang w:eastAsia="pt-BR"/>
              </w:rPr>
              <w:t> </w:t>
            </w:r>
          </w:p>
        </w:tc>
        <w:tc>
          <w:tcPr>
            <w:tcW w:w="850" w:type="dxa"/>
            <w:shd w:val="clear" w:color="auto" w:fill="FFFFFF" w:themeFill="background1"/>
            <w:vAlign w:val="center"/>
            <w:hideMark/>
          </w:tcPr>
          <w:p w14:paraId="489B17AC" w14:textId="77777777" w:rsidR="005E785F" w:rsidRDefault="003621E8">
            <w:pPr>
              <w:jc w:val="center"/>
              <w:rPr>
                <w:rFonts w:cs="Times New Roman"/>
                <w:color w:val="7030A0"/>
                <w:sz w:val="18"/>
                <w:szCs w:val="18"/>
                <w:lang w:eastAsia="pt-BR"/>
              </w:rPr>
            </w:pPr>
            <w:r>
              <w:rPr>
                <w:rFonts w:cs="Times New Roman"/>
                <w:color w:val="7030A0"/>
                <w:sz w:val="18"/>
                <w:szCs w:val="18"/>
                <w:lang w:eastAsia="pt-BR"/>
              </w:rPr>
              <w:t> </w:t>
            </w:r>
          </w:p>
        </w:tc>
        <w:tc>
          <w:tcPr>
            <w:tcW w:w="709" w:type="dxa"/>
            <w:shd w:val="clear" w:color="auto" w:fill="FFFFFF" w:themeFill="background1"/>
            <w:vAlign w:val="center"/>
            <w:hideMark/>
          </w:tcPr>
          <w:p w14:paraId="00E7F0C3" w14:textId="77777777" w:rsidR="005E785F" w:rsidRDefault="003621E8">
            <w:pPr>
              <w:jc w:val="center"/>
              <w:rPr>
                <w:rFonts w:cs="Times New Roman"/>
                <w:color w:val="7030A0"/>
                <w:sz w:val="18"/>
                <w:szCs w:val="18"/>
                <w:lang w:eastAsia="pt-BR"/>
              </w:rPr>
            </w:pPr>
            <w:r>
              <w:rPr>
                <w:rFonts w:cs="Times New Roman"/>
                <w:color w:val="7030A0"/>
                <w:sz w:val="18"/>
                <w:szCs w:val="18"/>
                <w:lang w:eastAsia="pt-BR"/>
              </w:rPr>
              <w:t> </w:t>
            </w:r>
          </w:p>
        </w:tc>
        <w:tc>
          <w:tcPr>
            <w:tcW w:w="709" w:type="dxa"/>
            <w:shd w:val="clear" w:color="auto" w:fill="FFFFFF" w:themeFill="background1"/>
            <w:vAlign w:val="center"/>
            <w:hideMark/>
          </w:tcPr>
          <w:p w14:paraId="5D0C230F" w14:textId="77777777" w:rsidR="005E785F" w:rsidRDefault="003621E8">
            <w:pPr>
              <w:jc w:val="center"/>
              <w:rPr>
                <w:rFonts w:cs="Times New Roman"/>
                <w:color w:val="7030A0"/>
                <w:sz w:val="18"/>
                <w:szCs w:val="18"/>
                <w:lang w:eastAsia="pt-BR"/>
              </w:rPr>
            </w:pPr>
            <w:r>
              <w:rPr>
                <w:rFonts w:cs="Times New Roman"/>
                <w:color w:val="7030A0"/>
                <w:sz w:val="18"/>
                <w:szCs w:val="18"/>
                <w:lang w:eastAsia="pt-BR"/>
              </w:rPr>
              <w:t> </w:t>
            </w:r>
          </w:p>
        </w:tc>
      </w:tr>
      <w:tr w:rsidR="005E785F" w14:paraId="148742E1" w14:textId="77777777">
        <w:trPr>
          <w:trHeight w:val="340"/>
        </w:trPr>
        <w:tc>
          <w:tcPr>
            <w:tcW w:w="2122" w:type="dxa"/>
            <w:shd w:val="clear" w:color="auto" w:fill="FFFFFF" w:themeFill="background1"/>
            <w:vAlign w:val="center"/>
            <w:hideMark/>
          </w:tcPr>
          <w:p w14:paraId="4F6EDB18" w14:textId="1256C89B" w:rsidR="005E785F" w:rsidRDefault="003621E8">
            <w:pPr>
              <w:rPr>
                <w:rFonts w:cs="Times New Roman"/>
                <w:color w:val="000000"/>
                <w:sz w:val="18"/>
                <w:szCs w:val="18"/>
                <w:lang w:eastAsia="pt-BR"/>
              </w:rPr>
            </w:pPr>
            <w:r>
              <w:rPr>
                <w:rFonts w:cs="Times New Roman"/>
                <w:color w:val="000000"/>
                <w:sz w:val="18"/>
                <w:szCs w:val="18"/>
                <w:lang w:eastAsia="pt-BR"/>
              </w:rPr>
              <w:t>IMP Administration in semi-supine position</w:t>
            </w:r>
          </w:p>
        </w:tc>
        <w:tc>
          <w:tcPr>
            <w:tcW w:w="992" w:type="dxa"/>
            <w:shd w:val="clear" w:color="auto" w:fill="FFFFFF" w:themeFill="background1"/>
            <w:vAlign w:val="center"/>
            <w:hideMark/>
          </w:tcPr>
          <w:p w14:paraId="6AD80FA4"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 </w:t>
            </w:r>
          </w:p>
        </w:tc>
        <w:tc>
          <w:tcPr>
            <w:tcW w:w="992" w:type="dxa"/>
            <w:shd w:val="clear" w:color="auto" w:fill="FFFFFF" w:themeFill="background1"/>
            <w:vAlign w:val="center"/>
            <w:hideMark/>
          </w:tcPr>
          <w:p w14:paraId="7DDD044E"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 </w:t>
            </w:r>
          </w:p>
        </w:tc>
        <w:tc>
          <w:tcPr>
            <w:tcW w:w="992" w:type="dxa"/>
            <w:shd w:val="clear" w:color="auto" w:fill="FFFFFF" w:themeFill="background1"/>
            <w:vAlign w:val="center"/>
            <w:hideMark/>
          </w:tcPr>
          <w:p w14:paraId="22FB1CBF"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 </w:t>
            </w:r>
          </w:p>
        </w:tc>
        <w:tc>
          <w:tcPr>
            <w:tcW w:w="851" w:type="dxa"/>
            <w:shd w:val="clear" w:color="auto" w:fill="FFFFFF" w:themeFill="background1"/>
            <w:vAlign w:val="center"/>
            <w:hideMark/>
          </w:tcPr>
          <w:p w14:paraId="168AA155"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709" w:type="dxa"/>
            <w:shd w:val="clear" w:color="auto" w:fill="FFFFFF" w:themeFill="background1"/>
            <w:vAlign w:val="center"/>
            <w:hideMark/>
          </w:tcPr>
          <w:p w14:paraId="5F5BFA77"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 </w:t>
            </w:r>
          </w:p>
        </w:tc>
        <w:tc>
          <w:tcPr>
            <w:tcW w:w="425" w:type="dxa"/>
            <w:shd w:val="clear" w:color="auto" w:fill="FFFFFF" w:themeFill="background1"/>
            <w:vAlign w:val="center"/>
            <w:hideMark/>
          </w:tcPr>
          <w:p w14:paraId="66A49719"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 </w:t>
            </w:r>
          </w:p>
        </w:tc>
        <w:tc>
          <w:tcPr>
            <w:tcW w:w="850" w:type="dxa"/>
            <w:shd w:val="clear" w:color="auto" w:fill="FFFFFF" w:themeFill="background1"/>
            <w:vAlign w:val="center"/>
            <w:hideMark/>
          </w:tcPr>
          <w:p w14:paraId="53457B30"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 </w:t>
            </w:r>
          </w:p>
        </w:tc>
        <w:tc>
          <w:tcPr>
            <w:tcW w:w="709" w:type="dxa"/>
            <w:shd w:val="clear" w:color="auto" w:fill="FFFFFF" w:themeFill="background1"/>
            <w:vAlign w:val="center"/>
            <w:hideMark/>
          </w:tcPr>
          <w:p w14:paraId="2B93C9DD"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 </w:t>
            </w:r>
          </w:p>
        </w:tc>
        <w:tc>
          <w:tcPr>
            <w:tcW w:w="709" w:type="dxa"/>
            <w:shd w:val="clear" w:color="auto" w:fill="FFFFFF" w:themeFill="background1"/>
            <w:vAlign w:val="center"/>
            <w:hideMark/>
          </w:tcPr>
          <w:p w14:paraId="5FB3EC90"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 </w:t>
            </w:r>
          </w:p>
        </w:tc>
      </w:tr>
      <w:tr w:rsidR="005E785F" w14:paraId="1AF0F06B" w14:textId="77777777">
        <w:trPr>
          <w:trHeight w:val="340"/>
        </w:trPr>
        <w:tc>
          <w:tcPr>
            <w:tcW w:w="9351" w:type="dxa"/>
            <w:gridSpan w:val="10"/>
            <w:shd w:val="clear" w:color="auto" w:fill="FFFFFF" w:themeFill="background1"/>
            <w:vAlign w:val="center"/>
            <w:hideMark/>
          </w:tcPr>
          <w:p w14:paraId="241D812A" w14:textId="77777777" w:rsidR="005E785F" w:rsidRDefault="003621E8">
            <w:pPr>
              <w:rPr>
                <w:rFonts w:cs="Times New Roman"/>
                <w:b/>
                <w:bCs/>
                <w:color w:val="000000"/>
                <w:sz w:val="18"/>
                <w:szCs w:val="18"/>
                <w:lang w:eastAsia="pt-BR"/>
              </w:rPr>
            </w:pPr>
            <w:r>
              <w:rPr>
                <w:rFonts w:cs="Times New Roman"/>
                <w:b/>
                <w:bCs/>
                <w:sz w:val="18"/>
                <w:szCs w:val="18"/>
                <w:lang w:eastAsia="pt-BR"/>
              </w:rPr>
              <w:t>Safety Assessments</w:t>
            </w:r>
          </w:p>
        </w:tc>
      </w:tr>
      <w:tr w:rsidR="005E785F" w14:paraId="5918B15D" w14:textId="77777777">
        <w:trPr>
          <w:trHeight w:val="340"/>
        </w:trPr>
        <w:tc>
          <w:tcPr>
            <w:tcW w:w="2122" w:type="dxa"/>
            <w:shd w:val="clear" w:color="auto" w:fill="FFFFFF" w:themeFill="background1"/>
            <w:vAlign w:val="center"/>
            <w:hideMark/>
          </w:tcPr>
          <w:p w14:paraId="2843E947" w14:textId="3B301B88" w:rsidR="005E785F" w:rsidRDefault="003621E8">
            <w:pPr>
              <w:rPr>
                <w:rFonts w:cs="Times New Roman"/>
                <w:color w:val="000000"/>
                <w:sz w:val="18"/>
                <w:szCs w:val="18"/>
                <w:lang w:eastAsia="pt-BR"/>
              </w:rPr>
            </w:pPr>
            <w:r>
              <w:rPr>
                <w:rFonts w:cs="Times New Roman"/>
                <w:color w:val="000000"/>
                <w:sz w:val="18"/>
                <w:szCs w:val="18"/>
                <w:lang w:eastAsia="pt-BR"/>
              </w:rPr>
              <w:t>Physical Examination</w:t>
            </w:r>
            <w:r>
              <w:rPr>
                <w:rFonts w:cs="Times New Roman"/>
                <w:color w:val="FF0000"/>
                <w:sz w:val="18"/>
                <w:szCs w:val="18"/>
                <w:vertAlign w:val="superscript"/>
                <w:lang w:eastAsia="pt-BR"/>
              </w:rPr>
              <w:t>2</w:t>
            </w:r>
            <w:r>
              <w:rPr>
                <w:rFonts w:cs="Times New Roman"/>
                <w:color w:val="000000"/>
                <w:sz w:val="18"/>
                <w:szCs w:val="18"/>
                <w:lang w:eastAsia="pt-BR"/>
              </w:rPr>
              <w:t xml:space="preserve"> </w:t>
            </w:r>
          </w:p>
        </w:tc>
        <w:tc>
          <w:tcPr>
            <w:tcW w:w="992" w:type="dxa"/>
            <w:shd w:val="clear" w:color="auto" w:fill="FFFFFF" w:themeFill="background1"/>
            <w:vAlign w:val="center"/>
            <w:hideMark/>
          </w:tcPr>
          <w:p w14:paraId="5059094E"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992" w:type="dxa"/>
            <w:shd w:val="clear" w:color="auto" w:fill="FFFFFF" w:themeFill="background1"/>
            <w:vAlign w:val="center"/>
            <w:hideMark/>
          </w:tcPr>
          <w:p w14:paraId="31D78EEB"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p w14:paraId="02C6DE3D" w14:textId="1FC92023" w:rsidR="005E785F" w:rsidRDefault="003621E8">
            <w:pPr>
              <w:jc w:val="center"/>
              <w:rPr>
                <w:rFonts w:cs="Times New Roman"/>
                <w:color w:val="000000"/>
                <w:sz w:val="18"/>
                <w:szCs w:val="18"/>
                <w:lang w:eastAsia="pt-BR"/>
              </w:rPr>
            </w:pPr>
            <w:r>
              <w:rPr>
                <w:rFonts w:cs="Times New Roman"/>
                <w:color w:val="000000"/>
                <w:sz w:val="18"/>
                <w:szCs w:val="18"/>
                <w:lang w:eastAsia="pt-BR"/>
              </w:rPr>
              <w:t>(Brief)</w:t>
            </w:r>
          </w:p>
        </w:tc>
        <w:tc>
          <w:tcPr>
            <w:tcW w:w="992" w:type="dxa"/>
            <w:shd w:val="clear" w:color="auto" w:fill="FFFFFF" w:themeFill="background1"/>
            <w:vAlign w:val="center"/>
            <w:hideMark/>
          </w:tcPr>
          <w:p w14:paraId="70CC3CE5"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p w14:paraId="22488907" w14:textId="06B01835" w:rsidR="005E785F" w:rsidRDefault="003621E8">
            <w:pPr>
              <w:jc w:val="center"/>
              <w:rPr>
                <w:rFonts w:cs="Times New Roman"/>
                <w:color w:val="000000"/>
                <w:sz w:val="18"/>
                <w:szCs w:val="18"/>
                <w:lang w:eastAsia="pt-BR"/>
              </w:rPr>
            </w:pPr>
            <w:r>
              <w:rPr>
                <w:rFonts w:cs="Times New Roman"/>
                <w:color w:val="000000"/>
                <w:sz w:val="18"/>
                <w:szCs w:val="18"/>
                <w:lang w:eastAsia="pt-BR"/>
              </w:rPr>
              <w:t>(Brief)</w:t>
            </w:r>
          </w:p>
        </w:tc>
        <w:tc>
          <w:tcPr>
            <w:tcW w:w="851" w:type="dxa"/>
            <w:shd w:val="clear" w:color="auto" w:fill="FFFFFF" w:themeFill="background1"/>
            <w:vAlign w:val="center"/>
            <w:hideMark/>
          </w:tcPr>
          <w:p w14:paraId="29DEDBEC" w14:textId="133EB21A" w:rsidR="005E785F" w:rsidRDefault="003621E8">
            <w:pPr>
              <w:jc w:val="center"/>
              <w:rPr>
                <w:rFonts w:cs="Times New Roman"/>
                <w:color w:val="000000"/>
                <w:sz w:val="18"/>
                <w:szCs w:val="18"/>
                <w:lang w:eastAsia="pt-BR"/>
              </w:rPr>
            </w:pPr>
            <w:r>
              <w:rPr>
                <w:rFonts w:cs="Times New Roman"/>
                <w:color w:val="000000"/>
                <w:sz w:val="18"/>
                <w:szCs w:val="18"/>
                <w:lang w:eastAsia="pt-BR"/>
              </w:rPr>
              <w:t>X</w:t>
            </w:r>
          </w:p>
          <w:p w14:paraId="53BD943B" w14:textId="35706321" w:rsidR="005E785F" w:rsidRDefault="003621E8">
            <w:pPr>
              <w:jc w:val="center"/>
              <w:rPr>
                <w:rFonts w:cs="Times New Roman"/>
                <w:color w:val="000000"/>
                <w:sz w:val="18"/>
                <w:szCs w:val="18"/>
                <w:vertAlign w:val="superscript"/>
                <w:lang w:eastAsia="pt-BR"/>
              </w:rPr>
            </w:pPr>
            <w:r>
              <w:rPr>
                <w:rFonts w:cs="Times New Roman"/>
                <w:color w:val="000000"/>
                <w:sz w:val="18"/>
                <w:szCs w:val="18"/>
                <w:lang w:eastAsia="pt-BR"/>
              </w:rPr>
              <w:t>(Brief)</w:t>
            </w:r>
          </w:p>
        </w:tc>
        <w:tc>
          <w:tcPr>
            <w:tcW w:w="709" w:type="dxa"/>
            <w:shd w:val="clear" w:color="auto" w:fill="FFFFFF" w:themeFill="background1"/>
            <w:vAlign w:val="center"/>
            <w:hideMark/>
          </w:tcPr>
          <w:p w14:paraId="7A2A059C"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p w14:paraId="2AEC7F3D" w14:textId="2B130457" w:rsidR="005E785F" w:rsidRDefault="003621E8">
            <w:pPr>
              <w:jc w:val="center"/>
              <w:rPr>
                <w:rFonts w:cs="Times New Roman"/>
                <w:color w:val="000000"/>
                <w:sz w:val="18"/>
                <w:szCs w:val="18"/>
                <w:lang w:eastAsia="pt-BR"/>
              </w:rPr>
            </w:pPr>
            <w:r>
              <w:rPr>
                <w:rFonts w:cs="Times New Roman"/>
                <w:color w:val="000000"/>
                <w:sz w:val="18"/>
                <w:szCs w:val="18"/>
                <w:lang w:eastAsia="pt-BR"/>
              </w:rPr>
              <w:t>(Brief)</w:t>
            </w:r>
          </w:p>
        </w:tc>
        <w:tc>
          <w:tcPr>
            <w:tcW w:w="425" w:type="dxa"/>
            <w:shd w:val="clear" w:color="auto" w:fill="FFFFFF" w:themeFill="background1"/>
            <w:vAlign w:val="center"/>
          </w:tcPr>
          <w:p w14:paraId="4DDA1EE7" w14:textId="77777777" w:rsidR="005E785F" w:rsidRDefault="005E785F">
            <w:pPr>
              <w:jc w:val="center"/>
              <w:rPr>
                <w:rFonts w:cs="Times New Roman"/>
                <w:color w:val="000000"/>
                <w:sz w:val="18"/>
                <w:szCs w:val="18"/>
                <w:lang w:eastAsia="pt-BR"/>
              </w:rPr>
            </w:pPr>
          </w:p>
        </w:tc>
        <w:tc>
          <w:tcPr>
            <w:tcW w:w="850" w:type="dxa"/>
            <w:shd w:val="clear" w:color="auto" w:fill="FFFFFF" w:themeFill="background1"/>
            <w:vAlign w:val="center"/>
          </w:tcPr>
          <w:p w14:paraId="1A21C4CE"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p w14:paraId="43E0524B" w14:textId="1C87C20B" w:rsidR="005E785F" w:rsidRDefault="003621E8">
            <w:pPr>
              <w:jc w:val="center"/>
              <w:rPr>
                <w:rFonts w:cs="Times New Roman"/>
                <w:color w:val="000000"/>
                <w:sz w:val="18"/>
                <w:szCs w:val="18"/>
                <w:lang w:eastAsia="pt-BR"/>
              </w:rPr>
            </w:pPr>
            <w:r>
              <w:rPr>
                <w:rFonts w:cs="Times New Roman"/>
                <w:color w:val="000000"/>
                <w:sz w:val="18"/>
                <w:szCs w:val="18"/>
                <w:lang w:eastAsia="pt-BR"/>
              </w:rPr>
              <w:t>(Brief)</w:t>
            </w:r>
          </w:p>
        </w:tc>
        <w:tc>
          <w:tcPr>
            <w:tcW w:w="709" w:type="dxa"/>
            <w:shd w:val="clear" w:color="auto" w:fill="FFFFFF" w:themeFill="background1"/>
            <w:vAlign w:val="center"/>
            <w:hideMark/>
          </w:tcPr>
          <w:p w14:paraId="0F9256F1"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p w14:paraId="0FC1E0F0" w14:textId="4D946E11" w:rsidR="005E785F" w:rsidRDefault="003621E8">
            <w:pPr>
              <w:jc w:val="center"/>
              <w:rPr>
                <w:rFonts w:cs="Times New Roman"/>
                <w:color w:val="000000"/>
                <w:sz w:val="18"/>
                <w:szCs w:val="18"/>
                <w:lang w:eastAsia="pt-BR"/>
              </w:rPr>
            </w:pPr>
            <w:r>
              <w:rPr>
                <w:rFonts w:cs="Times New Roman"/>
                <w:color w:val="000000"/>
                <w:sz w:val="18"/>
                <w:szCs w:val="18"/>
                <w:lang w:eastAsia="pt-BR"/>
              </w:rPr>
              <w:t>(Brief)</w:t>
            </w:r>
          </w:p>
        </w:tc>
        <w:tc>
          <w:tcPr>
            <w:tcW w:w="709" w:type="dxa"/>
            <w:shd w:val="clear" w:color="auto" w:fill="FFFFFF" w:themeFill="background1"/>
            <w:vAlign w:val="center"/>
            <w:hideMark/>
          </w:tcPr>
          <w:p w14:paraId="4A392F3C"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p w14:paraId="1BDF1AED" w14:textId="6F1DC49B" w:rsidR="005E785F" w:rsidRDefault="003621E8">
            <w:pPr>
              <w:jc w:val="center"/>
              <w:rPr>
                <w:rFonts w:cs="Times New Roman"/>
                <w:color w:val="000000"/>
                <w:sz w:val="18"/>
                <w:szCs w:val="18"/>
                <w:lang w:eastAsia="pt-BR"/>
              </w:rPr>
            </w:pPr>
            <w:r>
              <w:rPr>
                <w:rFonts w:cs="Times New Roman"/>
                <w:color w:val="000000"/>
                <w:sz w:val="18"/>
                <w:szCs w:val="18"/>
                <w:lang w:eastAsia="pt-BR"/>
              </w:rPr>
              <w:t>(Brief)</w:t>
            </w:r>
          </w:p>
        </w:tc>
      </w:tr>
      <w:tr w:rsidR="005E785F" w14:paraId="64E4CED5" w14:textId="77777777">
        <w:trPr>
          <w:trHeight w:val="340"/>
        </w:trPr>
        <w:tc>
          <w:tcPr>
            <w:tcW w:w="2122" w:type="dxa"/>
            <w:shd w:val="clear" w:color="auto" w:fill="FFFFFF" w:themeFill="background1"/>
            <w:vAlign w:val="center"/>
          </w:tcPr>
          <w:p w14:paraId="235930A0" w14:textId="30E6B543" w:rsidR="005E785F" w:rsidRDefault="003621E8">
            <w:pPr>
              <w:rPr>
                <w:rFonts w:cs="Times New Roman"/>
                <w:color w:val="000000"/>
                <w:sz w:val="18"/>
                <w:szCs w:val="18"/>
                <w:lang w:eastAsia="pt-BR"/>
              </w:rPr>
            </w:pPr>
            <w:r>
              <w:rPr>
                <w:rFonts w:cs="Times New Roman"/>
                <w:color w:val="000000"/>
                <w:sz w:val="18"/>
                <w:szCs w:val="18"/>
                <w:lang w:eastAsia="pt-BR"/>
              </w:rPr>
              <w:t>Injection Site Examination</w:t>
            </w:r>
            <w:r>
              <w:rPr>
                <w:rFonts w:cs="Times New Roman"/>
                <w:color w:val="FF0000"/>
                <w:sz w:val="18"/>
                <w:szCs w:val="18"/>
                <w:vertAlign w:val="superscript"/>
                <w:lang w:eastAsia="pt-BR"/>
              </w:rPr>
              <w:t>3</w:t>
            </w:r>
          </w:p>
        </w:tc>
        <w:tc>
          <w:tcPr>
            <w:tcW w:w="992" w:type="dxa"/>
            <w:shd w:val="clear" w:color="auto" w:fill="FFFFFF" w:themeFill="background1"/>
            <w:vAlign w:val="center"/>
          </w:tcPr>
          <w:p w14:paraId="2FAB3CEC" w14:textId="77777777" w:rsidR="005E785F" w:rsidRDefault="005E785F">
            <w:pPr>
              <w:jc w:val="center"/>
              <w:rPr>
                <w:rFonts w:cs="Times New Roman"/>
                <w:color w:val="000000"/>
                <w:sz w:val="18"/>
                <w:szCs w:val="18"/>
                <w:lang w:eastAsia="pt-BR"/>
              </w:rPr>
            </w:pPr>
          </w:p>
        </w:tc>
        <w:tc>
          <w:tcPr>
            <w:tcW w:w="992" w:type="dxa"/>
            <w:shd w:val="clear" w:color="auto" w:fill="FFFFFF" w:themeFill="background1"/>
            <w:vAlign w:val="center"/>
          </w:tcPr>
          <w:p w14:paraId="574CF88F" w14:textId="77777777" w:rsidR="005E785F" w:rsidRDefault="005E785F">
            <w:pPr>
              <w:jc w:val="center"/>
              <w:rPr>
                <w:rFonts w:cs="Times New Roman"/>
                <w:color w:val="000000"/>
                <w:sz w:val="18"/>
                <w:szCs w:val="18"/>
                <w:lang w:eastAsia="pt-BR"/>
              </w:rPr>
            </w:pPr>
          </w:p>
        </w:tc>
        <w:tc>
          <w:tcPr>
            <w:tcW w:w="992" w:type="dxa"/>
            <w:shd w:val="clear" w:color="auto" w:fill="FFFFFF" w:themeFill="background1"/>
            <w:vAlign w:val="center"/>
          </w:tcPr>
          <w:p w14:paraId="3EE86316"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851" w:type="dxa"/>
            <w:shd w:val="clear" w:color="auto" w:fill="FFFFFF" w:themeFill="background1"/>
            <w:vAlign w:val="center"/>
          </w:tcPr>
          <w:p w14:paraId="742E145D"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709" w:type="dxa"/>
            <w:shd w:val="clear" w:color="auto" w:fill="FFFFFF" w:themeFill="background1"/>
            <w:vAlign w:val="center"/>
          </w:tcPr>
          <w:p w14:paraId="26D017AB"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425" w:type="dxa"/>
            <w:shd w:val="clear" w:color="auto" w:fill="FFFFFF" w:themeFill="background1"/>
            <w:vAlign w:val="center"/>
          </w:tcPr>
          <w:p w14:paraId="1828B38B" w14:textId="77777777" w:rsidR="005E785F" w:rsidRDefault="005E785F">
            <w:pPr>
              <w:jc w:val="center"/>
              <w:rPr>
                <w:rFonts w:cs="Times New Roman"/>
                <w:color w:val="000000"/>
                <w:sz w:val="18"/>
                <w:szCs w:val="18"/>
                <w:lang w:eastAsia="pt-BR"/>
              </w:rPr>
            </w:pPr>
          </w:p>
        </w:tc>
        <w:tc>
          <w:tcPr>
            <w:tcW w:w="850" w:type="dxa"/>
            <w:shd w:val="clear" w:color="auto" w:fill="FFFFFF" w:themeFill="background1"/>
            <w:vAlign w:val="center"/>
          </w:tcPr>
          <w:p w14:paraId="6C7CACB7"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709" w:type="dxa"/>
            <w:shd w:val="clear" w:color="auto" w:fill="FFFFFF" w:themeFill="background1"/>
            <w:vAlign w:val="center"/>
          </w:tcPr>
          <w:p w14:paraId="05FAE4CA"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709" w:type="dxa"/>
            <w:shd w:val="clear" w:color="auto" w:fill="FFFFFF" w:themeFill="background1"/>
            <w:vAlign w:val="center"/>
          </w:tcPr>
          <w:p w14:paraId="0527DA0D"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r>
      <w:tr w:rsidR="005E785F" w14:paraId="5B7223BA" w14:textId="77777777">
        <w:trPr>
          <w:trHeight w:val="340"/>
        </w:trPr>
        <w:tc>
          <w:tcPr>
            <w:tcW w:w="2122" w:type="dxa"/>
            <w:shd w:val="clear" w:color="auto" w:fill="FFFFFF" w:themeFill="background1"/>
            <w:vAlign w:val="center"/>
            <w:hideMark/>
          </w:tcPr>
          <w:p w14:paraId="38DF9E5E" w14:textId="18436D57" w:rsidR="005E785F" w:rsidRDefault="003621E8">
            <w:pPr>
              <w:rPr>
                <w:rFonts w:cs="Times New Roman"/>
                <w:color w:val="000000"/>
                <w:sz w:val="18"/>
                <w:szCs w:val="18"/>
                <w:lang w:eastAsia="pt-BR"/>
              </w:rPr>
            </w:pPr>
            <w:r>
              <w:rPr>
                <w:rFonts w:cs="Times New Roman"/>
                <w:color w:val="000000"/>
                <w:sz w:val="18"/>
                <w:szCs w:val="18"/>
                <w:lang w:eastAsia="pt-BR"/>
              </w:rPr>
              <w:t>Vital Signs</w:t>
            </w:r>
            <w:r>
              <w:rPr>
                <w:rFonts w:cs="Times New Roman"/>
                <w:color w:val="FF0000"/>
                <w:sz w:val="18"/>
                <w:szCs w:val="18"/>
                <w:vertAlign w:val="superscript"/>
                <w:lang w:eastAsia="pt-BR"/>
              </w:rPr>
              <w:t>4</w:t>
            </w:r>
          </w:p>
        </w:tc>
        <w:tc>
          <w:tcPr>
            <w:tcW w:w="992" w:type="dxa"/>
            <w:shd w:val="clear" w:color="auto" w:fill="FFFFFF" w:themeFill="background1"/>
            <w:vAlign w:val="center"/>
            <w:hideMark/>
          </w:tcPr>
          <w:p w14:paraId="75CB3F95"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992" w:type="dxa"/>
            <w:shd w:val="clear" w:color="auto" w:fill="FFFFFF" w:themeFill="background1"/>
            <w:vAlign w:val="center"/>
            <w:hideMark/>
          </w:tcPr>
          <w:p w14:paraId="11532341"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992" w:type="dxa"/>
            <w:shd w:val="clear" w:color="auto" w:fill="FFFFFF" w:themeFill="background1"/>
            <w:vAlign w:val="center"/>
            <w:hideMark/>
          </w:tcPr>
          <w:p w14:paraId="3D7C2C49"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851" w:type="dxa"/>
            <w:shd w:val="clear" w:color="auto" w:fill="FFFFFF" w:themeFill="background1"/>
            <w:vAlign w:val="center"/>
            <w:hideMark/>
          </w:tcPr>
          <w:p w14:paraId="5FBBC4C9"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709" w:type="dxa"/>
            <w:shd w:val="clear" w:color="auto" w:fill="FFFFFF" w:themeFill="background1"/>
            <w:vAlign w:val="center"/>
            <w:hideMark/>
          </w:tcPr>
          <w:p w14:paraId="41792BCF"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425" w:type="dxa"/>
            <w:shd w:val="clear" w:color="auto" w:fill="FFFFFF" w:themeFill="background1"/>
            <w:vAlign w:val="center"/>
            <w:hideMark/>
          </w:tcPr>
          <w:p w14:paraId="60928767"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850" w:type="dxa"/>
            <w:shd w:val="clear" w:color="auto" w:fill="FFFFFF" w:themeFill="background1"/>
            <w:vAlign w:val="center"/>
            <w:hideMark/>
          </w:tcPr>
          <w:p w14:paraId="70616723"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709" w:type="dxa"/>
            <w:shd w:val="clear" w:color="auto" w:fill="FFFFFF" w:themeFill="background1"/>
            <w:vAlign w:val="center"/>
            <w:hideMark/>
          </w:tcPr>
          <w:p w14:paraId="63BE990E"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709" w:type="dxa"/>
            <w:shd w:val="clear" w:color="auto" w:fill="FFFFFF" w:themeFill="background1"/>
            <w:vAlign w:val="center"/>
            <w:hideMark/>
          </w:tcPr>
          <w:p w14:paraId="2202AB4B"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r>
      <w:tr w:rsidR="005E785F" w14:paraId="0CE1B3AC" w14:textId="77777777">
        <w:trPr>
          <w:trHeight w:val="340"/>
        </w:trPr>
        <w:tc>
          <w:tcPr>
            <w:tcW w:w="2122" w:type="dxa"/>
            <w:shd w:val="clear" w:color="auto" w:fill="FFFFFF" w:themeFill="background1"/>
            <w:vAlign w:val="center"/>
            <w:hideMark/>
          </w:tcPr>
          <w:p w14:paraId="44D17B59" w14:textId="69AB6488" w:rsidR="005E785F" w:rsidRDefault="003621E8">
            <w:pPr>
              <w:rPr>
                <w:rFonts w:cs="Times New Roman"/>
                <w:color w:val="000000"/>
                <w:sz w:val="18"/>
                <w:szCs w:val="18"/>
                <w:lang w:eastAsia="pt-BR"/>
              </w:rPr>
            </w:pPr>
            <w:r>
              <w:rPr>
                <w:rFonts w:cs="Times New Roman"/>
                <w:color w:val="000000"/>
                <w:sz w:val="18"/>
                <w:szCs w:val="18"/>
                <w:lang w:eastAsia="pt-BR"/>
              </w:rPr>
              <w:t>Laboratory safety tests (biochemistry</w:t>
            </w:r>
            <w:r>
              <w:t xml:space="preserve"> </w:t>
            </w:r>
            <w:r>
              <w:rPr>
                <w:sz w:val="18"/>
                <w:szCs w:val="18"/>
              </w:rPr>
              <w:t>including</w:t>
            </w:r>
            <w:r>
              <w:t xml:space="preserve"> </w:t>
            </w:r>
            <w:r>
              <w:rPr>
                <w:rFonts w:cs="Times New Roman"/>
                <w:color w:val="000000"/>
                <w:sz w:val="18"/>
                <w:szCs w:val="18"/>
                <w:lang w:eastAsia="pt-BR"/>
              </w:rPr>
              <w:t>C-reactive protein, haematology, coagulation, urinalysis and urine microscopy, if needed)</w:t>
            </w:r>
            <w:r>
              <w:rPr>
                <w:rFonts w:cs="Times New Roman"/>
                <w:color w:val="FF0000"/>
                <w:sz w:val="18"/>
                <w:szCs w:val="18"/>
                <w:vertAlign w:val="superscript"/>
                <w:lang w:eastAsia="pt-BR"/>
              </w:rPr>
              <w:t>5</w:t>
            </w:r>
          </w:p>
        </w:tc>
        <w:tc>
          <w:tcPr>
            <w:tcW w:w="992" w:type="dxa"/>
            <w:shd w:val="clear" w:color="auto" w:fill="FFFFFF" w:themeFill="background1"/>
            <w:vAlign w:val="center"/>
            <w:hideMark/>
          </w:tcPr>
          <w:p w14:paraId="3375EAF0"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992" w:type="dxa"/>
            <w:shd w:val="clear" w:color="auto" w:fill="FFFFFF" w:themeFill="background1"/>
            <w:vAlign w:val="center"/>
            <w:hideMark/>
          </w:tcPr>
          <w:p w14:paraId="4DC2B85A"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992" w:type="dxa"/>
            <w:shd w:val="clear" w:color="auto" w:fill="FFFFFF" w:themeFill="background1"/>
            <w:vAlign w:val="center"/>
          </w:tcPr>
          <w:p w14:paraId="6CC4BBAC" w14:textId="4378C902" w:rsidR="005E785F" w:rsidRDefault="005E785F">
            <w:pPr>
              <w:jc w:val="center"/>
              <w:rPr>
                <w:rFonts w:cs="Times New Roman"/>
                <w:color w:val="C00000"/>
                <w:sz w:val="18"/>
                <w:szCs w:val="18"/>
                <w:lang w:eastAsia="pt-BR"/>
              </w:rPr>
            </w:pPr>
          </w:p>
        </w:tc>
        <w:tc>
          <w:tcPr>
            <w:tcW w:w="851" w:type="dxa"/>
            <w:shd w:val="clear" w:color="auto" w:fill="FFFFFF" w:themeFill="background1"/>
            <w:vAlign w:val="center"/>
          </w:tcPr>
          <w:p w14:paraId="74E6274A" w14:textId="77777777" w:rsidR="005E785F" w:rsidRDefault="005E785F">
            <w:pPr>
              <w:jc w:val="center"/>
              <w:rPr>
                <w:rFonts w:cs="Times New Roman"/>
                <w:color w:val="000000"/>
                <w:sz w:val="18"/>
                <w:szCs w:val="18"/>
                <w:lang w:eastAsia="pt-BR"/>
              </w:rPr>
            </w:pPr>
          </w:p>
        </w:tc>
        <w:tc>
          <w:tcPr>
            <w:tcW w:w="709" w:type="dxa"/>
            <w:shd w:val="clear" w:color="auto" w:fill="FFFFFF" w:themeFill="background1"/>
            <w:vAlign w:val="center"/>
            <w:hideMark/>
          </w:tcPr>
          <w:p w14:paraId="3C7E4A8D"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425" w:type="dxa"/>
            <w:shd w:val="clear" w:color="auto" w:fill="FFFFFF" w:themeFill="background1"/>
            <w:vAlign w:val="center"/>
            <w:hideMark/>
          </w:tcPr>
          <w:p w14:paraId="53FEE90D" w14:textId="77777777" w:rsidR="005E785F" w:rsidRDefault="005E785F">
            <w:pPr>
              <w:jc w:val="center"/>
              <w:rPr>
                <w:rFonts w:cs="Times New Roman"/>
                <w:color w:val="000000"/>
                <w:sz w:val="18"/>
                <w:szCs w:val="18"/>
                <w:lang w:eastAsia="pt-BR"/>
              </w:rPr>
            </w:pPr>
          </w:p>
        </w:tc>
        <w:tc>
          <w:tcPr>
            <w:tcW w:w="850" w:type="dxa"/>
            <w:shd w:val="clear" w:color="auto" w:fill="FFFFFF" w:themeFill="background1"/>
            <w:vAlign w:val="center"/>
            <w:hideMark/>
          </w:tcPr>
          <w:p w14:paraId="753F6BCA"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709" w:type="dxa"/>
            <w:shd w:val="clear" w:color="auto" w:fill="FFFFFF" w:themeFill="background1"/>
            <w:vAlign w:val="center"/>
            <w:hideMark/>
          </w:tcPr>
          <w:p w14:paraId="1D171CF2" w14:textId="7553E748"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709" w:type="dxa"/>
            <w:shd w:val="clear" w:color="auto" w:fill="FFFFFF" w:themeFill="background1"/>
            <w:vAlign w:val="center"/>
            <w:hideMark/>
          </w:tcPr>
          <w:p w14:paraId="1ABE2D6F"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r>
      <w:tr w:rsidR="005E785F" w14:paraId="1415D0AF" w14:textId="77777777">
        <w:trPr>
          <w:trHeight w:val="340"/>
        </w:trPr>
        <w:tc>
          <w:tcPr>
            <w:tcW w:w="2122" w:type="dxa"/>
            <w:shd w:val="clear" w:color="auto" w:fill="FFFFFF" w:themeFill="background1"/>
            <w:vAlign w:val="center"/>
          </w:tcPr>
          <w:p w14:paraId="49B697BD" w14:textId="77777777" w:rsidR="005E785F" w:rsidRDefault="003621E8">
            <w:pPr>
              <w:rPr>
                <w:rFonts w:cs="Times New Roman"/>
                <w:color w:val="000000"/>
                <w:sz w:val="18"/>
                <w:szCs w:val="18"/>
                <w:lang w:eastAsia="pt-BR"/>
              </w:rPr>
            </w:pPr>
            <w:r>
              <w:rPr>
                <w:rFonts w:cs="Times New Roman"/>
                <w:color w:val="000000"/>
                <w:sz w:val="18"/>
                <w:szCs w:val="18"/>
                <w:lang w:eastAsia="pt-BR"/>
              </w:rPr>
              <w:t>Thyroid Stimulating Hormone</w:t>
            </w:r>
          </w:p>
        </w:tc>
        <w:tc>
          <w:tcPr>
            <w:tcW w:w="992" w:type="dxa"/>
            <w:shd w:val="clear" w:color="auto" w:fill="FFFFFF" w:themeFill="background1"/>
            <w:vAlign w:val="center"/>
          </w:tcPr>
          <w:p w14:paraId="7CE807B8"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992" w:type="dxa"/>
            <w:shd w:val="clear" w:color="auto" w:fill="FFFFFF" w:themeFill="background1"/>
            <w:vAlign w:val="center"/>
          </w:tcPr>
          <w:p w14:paraId="6C7D2AC8" w14:textId="77777777" w:rsidR="005E785F" w:rsidRDefault="005E785F">
            <w:pPr>
              <w:jc w:val="center"/>
              <w:rPr>
                <w:rFonts w:cs="Times New Roman"/>
                <w:color w:val="000000"/>
                <w:sz w:val="18"/>
                <w:szCs w:val="18"/>
                <w:lang w:eastAsia="pt-BR"/>
              </w:rPr>
            </w:pPr>
          </w:p>
        </w:tc>
        <w:tc>
          <w:tcPr>
            <w:tcW w:w="992" w:type="dxa"/>
            <w:shd w:val="clear" w:color="auto" w:fill="FFFFFF" w:themeFill="background1"/>
            <w:vAlign w:val="center"/>
          </w:tcPr>
          <w:p w14:paraId="18DF2E20" w14:textId="77777777" w:rsidR="005E785F" w:rsidRDefault="005E785F">
            <w:pPr>
              <w:jc w:val="center"/>
              <w:rPr>
                <w:rFonts w:cs="Times New Roman"/>
                <w:color w:val="000000"/>
                <w:sz w:val="18"/>
                <w:szCs w:val="18"/>
                <w:lang w:eastAsia="pt-BR"/>
              </w:rPr>
            </w:pPr>
          </w:p>
        </w:tc>
        <w:tc>
          <w:tcPr>
            <w:tcW w:w="851" w:type="dxa"/>
            <w:shd w:val="clear" w:color="auto" w:fill="FFFFFF" w:themeFill="background1"/>
            <w:vAlign w:val="center"/>
          </w:tcPr>
          <w:p w14:paraId="44F931A7" w14:textId="77777777" w:rsidR="005E785F" w:rsidRDefault="005E785F">
            <w:pPr>
              <w:jc w:val="center"/>
              <w:rPr>
                <w:rFonts w:cs="Times New Roman"/>
                <w:color w:val="000000"/>
                <w:sz w:val="18"/>
                <w:szCs w:val="18"/>
                <w:lang w:eastAsia="pt-BR"/>
              </w:rPr>
            </w:pPr>
          </w:p>
        </w:tc>
        <w:tc>
          <w:tcPr>
            <w:tcW w:w="709" w:type="dxa"/>
            <w:shd w:val="clear" w:color="auto" w:fill="FFFFFF" w:themeFill="background1"/>
            <w:vAlign w:val="center"/>
          </w:tcPr>
          <w:p w14:paraId="26F2BE11" w14:textId="77777777" w:rsidR="005E785F" w:rsidRDefault="005E785F">
            <w:pPr>
              <w:jc w:val="center"/>
              <w:rPr>
                <w:rFonts w:cs="Times New Roman"/>
                <w:color w:val="000000"/>
                <w:sz w:val="18"/>
                <w:szCs w:val="18"/>
                <w:lang w:eastAsia="pt-BR"/>
              </w:rPr>
            </w:pPr>
          </w:p>
        </w:tc>
        <w:tc>
          <w:tcPr>
            <w:tcW w:w="425" w:type="dxa"/>
            <w:shd w:val="clear" w:color="auto" w:fill="FFFFFF" w:themeFill="background1"/>
            <w:vAlign w:val="center"/>
          </w:tcPr>
          <w:p w14:paraId="49726951" w14:textId="77777777" w:rsidR="005E785F" w:rsidRDefault="005E785F">
            <w:pPr>
              <w:jc w:val="center"/>
              <w:rPr>
                <w:rFonts w:cs="Times New Roman"/>
                <w:color w:val="000000"/>
                <w:sz w:val="18"/>
                <w:szCs w:val="18"/>
                <w:lang w:eastAsia="pt-BR"/>
              </w:rPr>
            </w:pPr>
          </w:p>
        </w:tc>
        <w:tc>
          <w:tcPr>
            <w:tcW w:w="850" w:type="dxa"/>
            <w:shd w:val="clear" w:color="auto" w:fill="FFFFFF" w:themeFill="background1"/>
            <w:vAlign w:val="center"/>
          </w:tcPr>
          <w:p w14:paraId="453F2BC8" w14:textId="77777777" w:rsidR="005E785F" w:rsidRDefault="005E785F">
            <w:pPr>
              <w:jc w:val="center"/>
              <w:rPr>
                <w:rFonts w:cs="Times New Roman"/>
                <w:color w:val="000000"/>
                <w:sz w:val="18"/>
                <w:szCs w:val="18"/>
                <w:lang w:eastAsia="pt-BR"/>
              </w:rPr>
            </w:pPr>
          </w:p>
        </w:tc>
        <w:tc>
          <w:tcPr>
            <w:tcW w:w="709" w:type="dxa"/>
            <w:shd w:val="clear" w:color="auto" w:fill="FFFFFF" w:themeFill="background1"/>
            <w:vAlign w:val="center"/>
          </w:tcPr>
          <w:p w14:paraId="237F6BF4" w14:textId="77777777" w:rsidR="005E785F" w:rsidRDefault="005E785F">
            <w:pPr>
              <w:jc w:val="center"/>
              <w:rPr>
                <w:rFonts w:cs="Times New Roman"/>
                <w:color w:val="000000"/>
                <w:sz w:val="18"/>
                <w:szCs w:val="18"/>
                <w:lang w:eastAsia="pt-BR"/>
              </w:rPr>
            </w:pPr>
          </w:p>
        </w:tc>
        <w:tc>
          <w:tcPr>
            <w:tcW w:w="709" w:type="dxa"/>
            <w:shd w:val="clear" w:color="auto" w:fill="FFFFFF" w:themeFill="background1"/>
            <w:vAlign w:val="center"/>
          </w:tcPr>
          <w:p w14:paraId="6A5D3060"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r>
      <w:tr w:rsidR="005E785F" w14:paraId="1C4A108E" w14:textId="77777777">
        <w:trPr>
          <w:trHeight w:val="340"/>
        </w:trPr>
        <w:tc>
          <w:tcPr>
            <w:tcW w:w="2122" w:type="dxa"/>
            <w:shd w:val="clear" w:color="auto" w:fill="FFFFFF" w:themeFill="background1"/>
            <w:vAlign w:val="center"/>
            <w:hideMark/>
          </w:tcPr>
          <w:p w14:paraId="3E52EF03" w14:textId="4A4A4FFC" w:rsidR="005E785F" w:rsidRDefault="003621E8">
            <w:pPr>
              <w:rPr>
                <w:rFonts w:cs="Times New Roman"/>
                <w:color w:val="000000"/>
                <w:sz w:val="18"/>
                <w:szCs w:val="18"/>
                <w:lang w:eastAsia="pt-BR"/>
              </w:rPr>
            </w:pPr>
            <w:r>
              <w:rPr>
                <w:rFonts w:cs="Times New Roman"/>
                <w:color w:val="000000"/>
                <w:sz w:val="18"/>
                <w:szCs w:val="18"/>
                <w:lang w:eastAsia="pt-BR"/>
              </w:rPr>
              <w:t>12-Lead ECG</w:t>
            </w:r>
            <w:r>
              <w:rPr>
                <w:rFonts w:cs="Times New Roman"/>
                <w:color w:val="FF0000"/>
                <w:sz w:val="18"/>
                <w:szCs w:val="18"/>
                <w:vertAlign w:val="superscript"/>
                <w:lang w:eastAsia="pt-BR"/>
              </w:rPr>
              <w:t>6</w:t>
            </w:r>
          </w:p>
        </w:tc>
        <w:tc>
          <w:tcPr>
            <w:tcW w:w="992" w:type="dxa"/>
            <w:shd w:val="clear" w:color="auto" w:fill="FFFFFF" w:themeFill="background1"/>
            <w:vAlign w:val="center"/>
            <w:hideMark/>
          </w:tcPr>
          <w:p w14:paraId="0EA81E22"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992" w:type="dxa"/>
            <w:shd w:val="clear" w:color="auto" w:fill="FFFFFF" w:themeFill="background1"/>
            <w:vAlign w:val="center"/>
            <w:hideMark/>
          </w:tcPr>
          <w:p w14:paraId="6298C23C"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992" w:type="dxa"/>
            <w:shd w:val="clear" w:color="auto" w:fill="FFFFFF" w:themeFill="background1"/>
            <w:vAlign w:val="center"/>
            <w:hideMark/>
          </w:tcPr>
          <w:p w14:paraId="5260A594" w14:textId="77777777" w:rsidR="005E785F" w:rsidRDefault="003621E8">
            <w:pPr>
              <w:jc w:val="center"/>
              <w:rPr>
                <w:rFonts w:cs="Times New Roman"/>
                <w:color w:val="000000"/>
                <w:sz w:val="18"/>
                <w:szCs w:val="18"/>
                <w:lang w:eastAsia="pt-BR"/>
              </w:rPr>
            </w:pPr>
            <w:r>
              <w:rPr>
                <w:rFonts w:cs="Times New Roman"/>
                <w:color w:val="000000"/>
                <w:sz w:val="18"/>
                <w:szCs w:val="18"/>
              </w:rPr>
              <w:t>X</w:t>
            </w:r>
          </w:p>
          <w:p w14:paraId="60BCEE6A" w14:textId="77777777" w:rsidR="005E785F" w:rsidRDefault="003621E8">
            <w:pPr>
              <w:jc w:val="center"/>
              <w:rPr>
                <w:rFonts w:cs="Times New Roman"/>
                <w:color w:val="000000"/>
                <w:sz w:val="16"/>
                <w:szCs w:val="16"/>
                <w:lang w:eastAsia="pt-BR"/>
              </w:rPr>
            </w:pPr>
            <w:r>
              <w:rPr>
                <w:rFonts w:cs="Times New Roman"/>
                <w:color w:val="000000"/>
                <w:sz w:val="16"/>
                <w:szCs w:val="16"/>
              </w:rPr>
              <w:t>(triplicates)</w:t>
            </w:r>
          </w:p>
        </w:tc>
        <w:tc>
          <w:tcPr>
            <w:tcW w:w="851" w:type="dxa"/>
            <w:shd w:val="clear" w:color="auto" w:fill="FFFFFF" w:themeFill="background1"/>
            <w:vAlign w:val="center"/>
            <w:hideMark/>
          </w:tcPr>
          <w:p w14:paraId="226A4662"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709" w:type="dxa"/>
            <w:shd w:val="clear" w:color="auto" w:fill="FFFFFF" w:themeFill="background1"/>
            <w:vAlign w:val="center"/>
            <w:hideMark/>
          </w:tcPr>
          <w:p w14:paraId="621AF125" w14:textId="77777777" w:rsidR="005E785F" w:rsidRDefault="005E785F">
            <w:pPr>
              <w:jc w:val="center"/>
              <w:rPr>
                <w:rFonts w:cs="Times New Roman"/>
                <w:color w:val="000000"/>
                <w:sz w:val="18"/>
                <w:szCs w:val="18"/>
                <w:lang w:eastAsia="pt-BR"/>
              </w:rPr>
            </w:pPr>
          </w:p>
        </w:tc>
        <w:tc>
          <w:tcPr>
            <w:tcW w:w="425" w:type="dxa"/>
            <w:shd w:val="clear" w:color="auto" w:fill="FFFFFF" w:themeFill="background1"/>
            <w:vAlign w:val="center"/>
            <w:hideMark/>
          </w:tcPr>
          <w:p w14:paraId="3EA20696" w14:textId="77777777" w:rsidR="005E785F" w:rsidRDefault="005E785F">
            <w:pPr>
              <w:jc w:val="center"/>
              <w:rPr>
                <w:rFonts w:cs="Times New Roman"/>
                <w:color w:val="000000"/>
                <w:sz w:val="18"/>
                <w:szCs w:val="18"/>
                <w:lang w:eastAsia="pt-BR"/>
              </w:rPr>
            </w:pPr>
          </w:p>
        </w:tc>
        <w:tc>
          <w:tcPr>
            <w:tcW w:w="850" w:type="dxa"/>
            <w:shd w:val="clear" w:color="auto" w:fill="FFFFFF" w:themeFill="background1"/>
            <w:vAlign w:val="center"/>
            <w:hideMark/>
          </w:tcPr>
          <w:p w14:paraId="68E382C7" w14:textId="30E8FD8D"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709" w:type="dxa"/>
            <w:shd w:val="clear" w:color="auto" w:fill="FFFFFF" w:themeFill="background1"/>
            <w:vAlign w:val="center"/>
            <w:hideMark/>
          </w:tcPr>
          <w:p w14:paraId="7B1D07C6" w14:textId="77777777" w:rsidR="005E785F" w:rsidRDefault="005E785F">
            <w:pPr>
              <w:jc w:val="center"/>
              <w:rPr>
                <w:rFonts w:cs="Times New Roman"/>
                <w:color w:val="000000"/>
                <w:sz w:val="18"/>
                <w:szCs w:val="18"/>
                <w:lang w:eastAsia="pt-BR"/>
              </w:rPr>
            </w:pPr>
          </w:p>
        </w:tc>
        <w:tc>
          <w:tcPr>
            <w:tcW w:w="709" w:type="dxa"/>
            <w:shd w:val="clear" w:color="auto" w:fill="FFFFFF" w:themeFill="background1"/>
            <w:vAlign w:val="center"/>
            <w:hideMark/>
          </w:tcPr>
          <w:p w14:paraId="23C01DF5" w14:textId="77777777" w:rsidR="005E785F" w:rsidRDefault="005E785F">
            <w:pPr>
              <w:jc w:val="center"/>
              <w:rPr>
                <w:rFonts w:cs="Times New Roman"/>
                <w:color w:val="000000"/>
                <w:sz w:val="18"/>
                <w:szCs w:val="18"/>
                <w:lang w:eastAsia="pt-BR"/>
              </w:rPr>
            </w:pPr>
          </w:p>
        </w:tc>
      </w:tr>
      <w:tr w:rsidR="005E785F" w14:paraId="015BB43B" w14:textId="77777777">
        <w:trPr>
          <w:trHeight w:val="397"/>
        </w:trPr>
        <w:tc>
          <w:tcPr>
            <w:tcW w:w="2122" w:type="dxa"/>
            <w:shd w:val="clear" w:color="auto" w:fill="FFFFFF" w:themeFill="background1"/>
            <w:vAlign w:val="center"/>
            <w:hideMark/>
          </w:tcPr>
          <w:p w14:paraId="6069D52D" w14:textId="1DC4A8B4" w:rsidR="005E785F" w:rsidRDefault="003621E8">
            <w:pPr>
              <w:rPr>
                <w:rFonts w:cs="Times New Roman"/>
                <w:color w:val="000000"/>
                <w:sz w:val="18"/>
                <w:szCs w:val="18"/>
                <w:lang w:eastAsia="pt-BR"/>
              </w:rPr>
            </w:pPr>
            <w:r>
              <w:rPr>
                <w:rFonts w:cs="Times New Roman"/>
                <w:color w:val="000000"/>
                <w:sz w:val="18"/>
                <w:szCs w:val="18"/>
                <w:lang w:eastAsia="pt-BR"/>
              </w:rPr>
              <w:t>AE (including SAE)</w:t>
            </w:r>
          </w:p>
        </w:tc>
        <w:tc>
          <w:tcPr>
            <w:tcW w:w="992" w:type="dxa"/>
            <w:shd w:val="clear" w:color="auto" w:fill="FFFFFF" w:themeFill="background1"/>
            <w:vAlign w:val="center"/>
            <w:hideMark/>
          </w:tcPr>
          <w:p w14:paraId="57240506"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992" w:type="dxa"/>
            <w:shd w:val="clear" w:color="auto" w:fill="FFFFFF" w:themeFill="background1"/>
            <w:vAlign w:val="center"/>
            <w:hideMark/>
          </w:tcPr>
          <w:p w14:paraId="1BE1A3AE"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992" w:type="dxa"/>
            <w:shd w:val="clear" w:color="auto" w:fill="FFFFFF" w:themeFill="background1"/>
            <w:vAlign w:val="center"/>
            <w:hideMark/>
          </w:tcPr>
          <w:p w14:paraId="3A50FE49"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851" w:type="dxa"/>
            <w:shd w:val="clear" w:color="auto" w:fill="FFFFFF" w:themeFill="background1"/>
            <w:vAlign w:val="center"/>
            <w:hideMark/>
          </w:tcPr>
          <w:p w14:paraId="50381993"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709" w:type="dxa"/>
            <w:shd w:val="clear" w:color="auto" w:fill="FFFFFF" w:themeFill="background1"/>
            <w:vAlign w:val="center"/>
            <w:hideMark/>
          </w:tcPr>
          <w:p w14:paraId="1339FB31"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425" w:type="dxa"/>
            <w:shd w:val="clear" w:color="auto" w:fill="FFFFFF" w:themeFill="background1"/>
            <w:vAlign w:val="center"/>
            <w:hideMark/>
          </w:tcPr>
          <w:p w14:paraId="326631A9"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850" w:type="dxa"/>
            <w:shd w:val="clear" w:color="auto" w:fill="FFFFFF" w:themeFill="background1"/>
            <w:vAlign w:val="center"/>
            <w:hideMark/>
          </w:tcPr>
          <w:p w14:paraId="158BF657"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709" w:type="dxa"/>
            <w:shd w:val="clear" w:color="auto" w:fill="FFFFFF" w:themeFill="background1"/>
            <w:vAlign w:val="center"/>
            <w:hideMark/>
          </w:tcPr>
          <w:p w14:paraId="35762832"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709" w:type="dxa"/>
            <w:shd w:val="clear" w:color="auto" w:fill="FFFFFF" w:themeFill="background1"/>
            <w:vAlign w:val="center"/>
            <w:hideMark/>
          </w:tcPr>
          <w:p w14:paraId="10F0CFAC"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r>
      <w:tr w:rsidR="005E785F" w14:paraId="4B471BBF" w14:textId="77777777">
        <w:trPr>
          <w:trHeight w:val="397"/>
        </w:trPr>
        <w:tc>
          <w:tcPr>
            <w:tcW w:w="2122" w:type="dxa"/>
            <w:shd w:val="clear" w:color="auto" w:fill="FFFFFF" w:themeFill="background1"/>
            <w:vAlign w:val="center"/>
            <w:hideMark/>
          </w:tcPr>
          <w:p w14:paraId="361DFE7F" w14:textId="77777777" w:rsidR="005E785F" w:rsidRDefault="003621E8">
            <w:pPr>
              <w:rPr>
                <w:rFonts w:cs="Times New Roman"/>
                <w:color w:val="000000"/>
                <w:sz w:val="18"/>
                <w:szCs w:val="18"/>
                <w:lang w:eastAsia="pt-BR"/>
              </w:rPr>
            </w:pPr>
            <w:r>
              <w:rPr>
                <w:rFonts w:cs="Times New Roman"/>
                <w:color w:val="000000"/>
                <w:sz w:val="18"/>
                <w:szCs w:val="18"/>
                <w:lang w:eastAsia="pt-BR"/>
              </w:rPr>
              <w:t>Prior and Concomitant Medication</w:t>
            </w:r>
          </w:p>
        </w:tc>
        <w:tc>
          <w:tcPr>
            <w:tcW w:w="992" w:type="dxa"/>
            <w:shd w:val="clear" w:color="auto" w:fill="FFFFFF" w:themeFill="background1"/>
            <w:vAlign w:val="center"/>
            <w:hideMark/>
          </w:tcPr>
          <w:p w14:paraId="37B9176B"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992" w:type="dxa"/>
            <w:shd w:val="clear" w:color="auto" w:fill="FFFFFF" w:themeFill="background1"/>
            <w:vAlign w:val="center"/>
            <w:hideMark/>
          </w:tcPr>
          <w:p w14:paraId="52C43B89"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992" w:type="dxa"/>
            <w:shd w:val="clear" w:color="auto" w:fill="FFFFFF" w:themeFill="background1"/>
            <w:vAlign w:val="center"/>
            <w:hideMark/>
          </w:tcPr>
          <w:p w14:paraId="4D2CE48A"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851" w:type="dxa"/>
            <w:shd w:val="clear" w:color="auto" w:fill="FFFFFF" w:themeFill="background1"/>
            <w:vAlign w:val="center"/>
            <w:hideMark/>
          </w:tcPr>
          <w:p w14:paraId="4E485FF1"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709" w:type="dxa"/>
            <w:shd w:val="clear" w:color="auto" w:fill="FFFFFF" w:themeFill="background1"/>
            <w:vAlign w:val="center"/>
            <w:hideMark/>
          </w:tcPr>
          <w:p w14:paraId="49958A46"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425" w:type="dxa"/>
            <w:shd w:val="clear" w:color="auto" w:fill="FFFFFF" w:themeFill="background1"/>
            <w:vAlign w:val="center"/>
            <w:hideMark/>
          </w:tcPr>
          <w:p w14:paraId="08E68496"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850" w:type="dxa"/>
            <w:shd w:val="clear" w:color="auto" w:fill="FFFFFF" w:themeFill="background1"/>
            <w:vAlign w:val="center"/>
            <w:hideMark/>
          </w:tcPr>
          <w:p w14:paraId="0E792A37"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709" w:type="dxa"/>
            <w:shd w:val="clear" w:color="auto" w:fill="FFFFFF" w:themeFill="background1"/>
            <w:vAlign w:val="center"/>
            <w:hideMark/>
          </w:tcPr>
          <w:p w14:paraId="59552A8A"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709" w:type="dxa"/>
            <w:shd w:val="clear" w:color="auto" w:fill="FFFFFF" w:themeFill="background1"/>
            <w:vAlign w:val="center"/>
            <w:hideMark/>
          </w:tcPr>
          <w:p w14:paraId="334DD091"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r>
      <w:tr w:rsidR="005E785F" w14:paraId="2D9C022C" w14:textId="77777777">
        <w:trPr>
          <w:trHeight w:val="397"/>
        </w:trPr>
        <w:tc>
          <w:tcPr>
            <w:tcW w:w="2122" w:type="dxa"/>
            <w:shd w:val="clear" w:color="auto" w:fill="FFFFFF" w:themeFill="background1"/>
            <w:vAlign w:val="center"/>
          </w:tcPr>
          <w:p w14:paraId="131AC0FA" w14:textId="4DD7BB53" w:rsidR="005E785F" w:rsidRDefault="003621E8">
            <w:pPr>
              <w:rPr>
                <w:rFonts w:cs="Times New Roman"/>
                <w:color w:val="000000"/>
                <w:sz w:val="18"/>
                <w:szCs w:val="18"/>
                <w:lang w:eastAsia="pt-BR"/>
              </w:rPr>
            </w:pPr>
            <w:r>
              <w:rPr>
                <w:rFonts w:cs="Times New Roman"/>
                <w:color w:val="000000"/>
                <w:sz w:val="18"/>
                <w:szCs w:val="18"/>
                <w:lang w:eastAsia="pt-BR"/>
              </w:rPr>
              <w:t>Record oral temperature in the subject temperature diaries</w:t>
            </w:r>
            <w:r>
              <w:rPr>
                <w:rFonts w:cs="Times New Roman"/>
                <w:color w:val="FF0000"/>
                <w:sz w:val="18"/>
                <w:szCs w:val="18"/>
                <w:vertAlign w:val="superscript"/>
                <w:lang w:eastAsia="pt-BR"/>
              </w:rPr>
              <w:t>7</w:t>
            </w:r>
          </w:p>
        </w:tc>
        <w:tc>
          <w:tcPr>
            <w:tcW w:w="992" w:type="dxa"/>
            <w:shd w:val="clear" w:color="auto" w:fill="FFFFFF" w:themeFill="background1"/>
            <w:vAlign w:val="center"/>
          </w:tcPr>
          <w:p w14:paraId="046A01FA" w14:textId="77777777" w:rsidR="005E785F" w:rsidRDefault="005E785F">
            <w:pPr>
              <w:jc w:val="center"/>
              <w:rPr>
                <w:rFonts w:cs="Times New Roman"/>
                <w:color w:val="000000"/>
                <w:sz w:val="18"/>
                <w:szCs w:val="18"/>
                <w:lang w:eastAsia="pt-BR"/>
              </w:rPr>
            </w:pPr>
          </w:p>
        </w:tc>
        <w:tc>
          <w:tcPr>
            <w:tcW w:w="992" w:type="dxa"/>
            <w:shd w:val="clear" w:color="auto" w:fill="FFFFFF" w:themeFill="background1"/>
            <w:vAlign w:val="center"/>
          </w:tcPr>
          <w:p w14:paraId="71DA8E69" w14:textId="77777777" w:rsidR="005E785F" w:rsidRDefault="005E785F">
            <w:pPr>
              <w:jc w:val="center"/>
              <w:rPr>
                <w:rFonts w:cs="Times New Roman"/>
                <w:color w:val="000000"/>
                <w:sz w:val="18"/>
                <w:szCs w:val="18"/>
                <w:lang w:eastAsia="pt-BR"/>
              </w:rPr>
            </w:pPr>
          </w:p>
        </w:tc>
        <w:tc>
          <w:tcPr>
            <w:tcW w:w="992" w:type="dxa"/>
            <w:shd w:val="clear" w:color="auto" w:fill="FFFFFF" w:themeFill="background1"/>
            <w:vAlign w:val="center"/>
          </w:tcPr>
          <w:p w14:paraId="689653FE" w14:textId="77777777" w:rsidR="005E785F" w:rsidRDefault="005E785F">
            <w:pPr>
              <w:jc w:val="center"/>
              <w:rPr>
                <w:rFonts w:cs="Times New Roman"/>
                <w:color w:val="000000"/>
                <w:sz w:val="18"/>
                <w:szCs w:val="18"/>
                <w:lang w:eastAsia="pt-BR"/>
              </w:rPr>
            </w:pPr>
          </w:p>
        </w:tc>
        <w:tc>
          <w:tcPr>
            <w:tcW w:w="851" w:type="dxa"/>
            <w:shd w:val="clear" w:color="auto" w:fill="FFFFFF" w:themeFill="background1"/>
            <w:vAlign w:val="center"/>
          </w:tcPr>
          <w:p w14:paraId="6A212F3B" w14:textId="77777777" w:rsidR="005E785F" w:rsidRDefault="005E785F">
            <w:pPr>
              <w:jc w:val="center"/>
              <w:rPr>
                <w:rFonts w:cs="Times New Roman"/>
                <w:color w:val="000000"/>
                <w:sz w:val="18"/>
                <w:szCs w:val="18"/>
                <w:lang w:eastAsia="pt-BR"/>
              </w:rPr>
            </w:pPr>
          </w:p>
        </w:tc>
        <w:tc>
          <w:tcPr>
            <w:tcW w:w="709" w:type="dxa"/>
            <w:shd w:val="clear" w:color="auto" w:fill="FFFFFF" w:themeFill="background1"/>
            <w:vAlign w:val="center"/>
          </w:tcPr>
          <w:p w14:paraId="161DE339" w14:textId="77777777" w:rsidR="005E785F" w:rsidRDefault="005E785F">
            <w:pPr>
              <w:jc w:val="center"/>
              <w:rPr>
                <w:rFonts w:cs="Times New Roman"/>
                <w:color w:val="000000"/>
                <w:sz w:val="18"/>
                <w:szCs w:val="18"/>
                <w:lang w:eastAsia="pt-BR"/>
              </w:rPr>
            </w:pPr>
          </w:p>
        </w:tc>
        <w:tc>
          <w:tcPr>
            <w:tcW w:w="425" w:type="dxa"/>
            <w:shd w:val="clear" w:color="auto" w:fill="FFFFFF" w:themeFill="background1"/>
            <w:vAlign w:val="center"/>
          </w:tcPr>
          <w:p w14:paraId="13A2ADB1" w14:textId="77777777" w:rsidR="005E785F" w:rsidRDefault="005E785F">
            <w:pPr>
              <w:jc w:val="center"/>
              <w:rPr>
                <w:rFonts w:cs="Times New Roman"/>
                <w:color w:val="000000"/>
                <w:sz w:val="18"/>
                <w:szCs w:val="18"/>
                <w:lang w:eastAsia="pt-BR"/>
              </w:rPr>
            </w:pPr>
          </w:p>
        </w:tc>
        <w:tc>
          <w:tcPr>
            <w:tcW w:w="850" w:type="dxa"/>
            <w:shd w:val="clear" w:color="auto" w:fill="FFFFFF" w:themeFill="background1"/>
            <w:vAlign w:val="center"/>
          </w:tcPr>
          <w:p w14:paraId="62EE2AAD" w14:textId="4169A0CD"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709" w:type="dxa"/>
            <w:shd w:val="clear" w:color="auto" w:fill="FFFFFF" w:themeFill="background1"/>
            <w:vAlign w:val="center"/>
          </w:tcPr>
          <w:p w14:paraId="65E824B5" w14:textId="0C4A9F22"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709" w:type="dxa"/>
            <w:shd w:val="clear" w:color="auto" w:fill="FFFFFF" w:themeFill="background1"/>
            <w:vAlign w:val="center"/>
          </w:tcPr>
          <w:p w14:paraId="15D5293F" w14:textId="0BC439F5" w:rsidR="005E785F" w:rsidRDefault="005E785F">
            <w:pPr>
              <w:jc w:val="center"/>
              <w:rPr>
                <w:rFonts w:cs="Times New Roman"/>
                <w:color w:val="000000"/>
                <w:sz w:val="18"/>
                <w:szCs w:val="18"/>
                <w:lang w:eastAsia="pt-BR"/>
              </w:rPr>
            </w:pPr>
          </w:p>
        </w:tc>
      </w:tr>
      <w:tr w:rsidR="005E785F" w14:paraId="62F3474E" w14:textId="77777777">
        <w:trPr>
          <w:trHeight w:val="340"/>
        </w:trPr>
        <w:tc>
          <w:tcPr>
            <w:tcW w:w="9351" w:type="dxa"/>
            <w:gridSpan w:val="10"/>
            <w:shd w:val="clear" w:color="auto" w:fill="FFFFFF" w:themeFill="background1"/>
            <w:vAlign w:val="center"/>
            <w:hideMark/>
          </w:tcPr>
          <w:p w14:paraId="02005CC3" w14:textId="4C49C3BA" w:rsidR="005E785F" w:rsidRDefault="003621E8">
            <w:pPr>
              <w:rPr>
                <w:rFonts w:cs="Times New Roman"/>
                <w:b/>
                <w:bCs/>
                <w:color w:val="000000"/>
                <w:sz w:val="18"/>
                <w:szCs w:val="18"/>
                <w:lang w:eastAsia="pt-BR"/>
              </w:rPr>
            </w:pPr>
            <w:r>
              <w:rPr>
                <w:rFonts w:cs="Times New Roman"/>
                <w:b/>
                <w:bCs/>
                <w:sz w:val="18"/>
                <w:szCs w:val="18"/>
                <w:lang w:eastAsia="pt-BR"/>
              </w:rPr>
              <w:t>Pharmacokinetic Assessments</w:t>
            </w:r>
          </w:p>
        </w:tc>
      </w:tr>
      <w:tr w:rsidR="005E785F" w14:paraId="15462297" w14:textId="77777777">
        <w:trPr>
          <w:trHeight w:val="340"/>
        </w:trPr>
        <w:tc>
          <w:tcPr>
            <w:tcW w:w="2122" w:type="dxa"/>
            <w:shd w:val="clear" w:color="auto" w:fill="FFFFFF" w:themeFill="background1"/>
            <w:vAlign w:val="center"/>
            <w:hideMark/>
          </w:tcPr>
          <w:p w14:paraId="45166D5B" w14:textId="5A910341" w:rsidR="005E785F" w:rsidRDefault="003621E8">
            <w:pPr>
              <w:rPr>
                <w:rFonts w:cs="Times New Roman"/>
                <w:color w:val="000000"/>
                <w:sz w:val="18"/>
                <w:szCs w:val="18"/>
                <w:lang w:eastAsia="pt-BR"/>
              </w:rPr>
            </w:pPr>
            <w:r>
              <w:rPr>
                <w:rFonts w:cs="Times New Roman"/>
                <w:color w:val="000000"/>
                <w:sz w:val="18"/>
                <w:szCs w:val="18"/>
                <w:lang w:eastAsia="pt-BR"/>
              </w:rPr>
              <w:lastRenderedPageBreak/>
              <w:t>PK plasma sampling</w:t>
            </w:r>
            <w:r>
              <w:rPr>
                <w:rFonts w:cs="Times New Roman"/>
                <w:color w:val="FF0000"/>
                <w:sz w:val="18"/>
                <w:szCs w:val="18"/>
                <w:vertAlign w:val="superscript"/>
                <w:lang w:eastAsia="pt-BR"/>
              </w:rPr>
              <w:t>8</w:t>
            </w:r>
          </w:p>
        </w:tc>
        <w:tc>
          <w:tcPr>
            <w:tcW w:w="992" w:type="dxa"/>
            <w:shd w:val="clear" w:color="auto" w:fill="FFFFFF" w:themeFill="background1"/>
            <w:vAlign w:val="center"/>
            <w:hideMark/>
          </w:tcPr>
          <w:p w14:paraId="086E1AFF"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 </w:t>
            </w:r>
          </w:p>
        </w:tc>
        <w:tc>
          <w:tcPr>
            <w:tcW w:w="992" w:type="dxa"/>
            <w:shd w:val="clear" w:color="auto" w:fill="FFFFFF" w:themeFill="background1"/>
            <w:vAlign w:val="center"/>
            <w:hideMark/>
          </w:tcPr>
          <w:p w14:paraId="030E6170"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 </w:t>
            </w:r>
          </w:p>
        </w:tc>
        <w:tc>
          <w:tcPr>
            <w:tcW w:w="992" w:type="dxa"/>
            <w:shd w:val="clear" w:color="auto" w:fill="FFFFFF" w:themeFill="background1"/>
            <w:vAlign w:val="center"/>
          </w:tcPr>
          <w:p w14:paraId="59BCAD06"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851" w:type="dxa"/>
            <w:shd w:val="clear" w:color="auto" w:fill="FFFFFF" w:themeFill="background1"/>
            <w:noWrap/>
            <w:vAlign w:val="center"/>
            <w:hideMark/>
          </w:tcPr>
          <w:p w14:paraId="3646A6E2"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709" w:type="dxa"/>
            <w:shd w:val="clear" w:color="auto" w:fill="FFFFFF" w:themeFill="background1"/>
            <w:vAlign w:val="center"/>
            <w:hideMark/>
          </w:tcPr>
          <w:p w14:paraId="4F7D0591"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 </w:t>
            </w:r>
          </w:p>
        </w:tc>
        <w:tc>
          <w:tcPr>
            <w:tcW w:w="425" w:type="dxa"/>
            <w:shd w:val="clear" w:color="auto" w:fill="FFFFFF" w:themeFill="background1"/>
            <w:vAlign w:val="center"/>
            <w:hideMark/>
          </w:tcPr>
          <w:p w14:paraId="0A4B60DF"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 </w:t>
            </w:r>
          </w:p>
        </w:tc>
        <w:tc>
          <w:tcPr>
            <w:tcW w:w="850" w:type="dxa"/>
            <w:shd w:val="clear" w:color="auto" w:fill="FFFFFF" w:themeFill="background1"/>
            <w:vAlign w:val="center"/>
            <w:hideMark/>
          </w:tcPr>
          <w:p w14:paraId="08D012A6"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 </w:t>
            </w:r>
          </w:p>
        </w:tc>
        <w:tc>
          <w:tcPr>
            <w:tcW w:w="709" w:type="dxa"/>
            <w:shd w:val="clear" w:color="auto" w:fill="FFFFFF" w:themeFill="background1"/>
            <w:vAlign w:val="center"/>
            <w:hideMark/>
          </w:tcPr>
          <w:p w14:paraId="3168104B"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 </w:t>
            </w:r>
          </w:p>
        </w:tc>
        <w:tc>
          <w:tcPr>
            <w:tcW w:w="709" w:type="dxa"/>
            <w:shd w:val="clear" w:color="auto" w:fill="FFFFFF" w:themeFill="background1"/>
            <w:vAlign w:val="center"/>
            <w:hideMark/>
          </w:tcPr>
          <w:p w14:paraId="0045EA9C"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 </w:t>
            </w:r>
          </w:p>
        </w:tc>
      </w:tr>
      <w:tr w:rsidR="005E785F" w14:paraId="0E38B6EE" w14:textId="77777777">
        <w:trPr>
          <w:trHeight w:val="340"/>
        </w:trPr>
        <w:tc>
          <w:tcPr>
            <w:tcW w:w="9351" w:type="dxa"/>
            <w:gridSpan w:val="10"/>
            <w:shd w:val="clear" w:color="auto" w:fill="FFFFFF" w:themeFill="background1"/>
            <w:vAlign w:val="center"/>
            <w:hideMark/>
          </w:tcPr>
          <w:p w14:paraId="3EA9AC03" w14:textId="6ABC966A" w:rsidR="005E785F" w:rsidRDefault="003621E8">
            <w:pPr>
              <w:rPr>
                <w:rFonts w:cs="Times New Roman"/>
                <w:b/>
                <w:bCs/>
                <w:color w:val="000000"/>
                <w:sz w:val="18"/>
                <w:szCs w:val="18"/>
                <w:lang w:eastAsia="pt-BR"/>
              </w:rPr>
            </w:pPr>
            <w:r>
              <w:rPr>
                <w:rFonts w:cs="Times New Roman"/>
                <w:b/>
                <w:bCs/>
                <w:sz w:val="18"/>
                <w:szCs w:val="18"/>
                <w:lang w:eastAsia="pt-BR"/>
              </w:rPr>
              <w:t>Pharmacodynamics and Exploratory Assessments</w:t>
            </w:r>
          </w:p>
        </w:tc>
      </w:tr>
      <w:tr w:rsidR="005E785F" w14:paraId="76C9465D" w14:textId="77777777">
        <w:trPr>
          <w:trHeight w:val="340"/>
        </w:trPr>
        <w:tc>
          <w:tcPr>
            <w:tcW w:w="2122" w:type="dxa"/>
            <w:shd w:val="clear" w:color="auto" w:fill="FFFFFF" w:themeFill="background1"/>
            <w:vAlign w:val="center"/>
          </w:tcPr>
          <w:p w14:paraId="21294038" w14:textId="3592E105" w:rsidR="005E785F" w:rsidRDefault="003621E8">
            <w:pPr>
              <w:rPr>
                <w:rFonts w:cs="Times New Roman"/>
                <w:color w:val="000000"/>
                <w:sz w:val="18"/>
                <w:szCs w:val="18"/>
                <w:lang w:eastAsia="pt-BR"/>
              </w:rPr>
            </w:pPr>
            <w:bookmarkStart w:id="154" w:name="_Ref52801152"/>
            <w:r>
              <w:rPr>
                <w:rFonts w:cs="Times New Roman"/>
                <w:color w:val="000000"/>
                <w:sz w:val="18"/>
                <w:szCs w:val="18"/>
                <w:lang w:eastAsia="pt-BR"/>
              </w:rPr>
              <w:t>PD blood for cytokines and chemokines</w:t>
            </w:r>
            <w:bookmarkEnd w:id="154"/>
            <w:r>
              <w:rPr>
                <w:rFonts w:cs="Times New Roman"/>
                <w:color w:val="FF0000"/>
                <w:sz w:val="18"/>
                <w:szCs w:val="18"/>
                <w:vertAlign w:val="superscript"/>
                <w:lang w:eastAsia="pt-BR"/>
              </w:rPr>
              <w:t>9</w:t>
            </w:r>
          </w:p>
        </w:tc>
        <w:tc>
          <w:tcPr>
            <w:tcW w:w="992" w:type="dxa"/>
            <w:shd w:val="clear" w:color="auto" w:fill="FFFFFF" w:themeFill="background1"/>
            <w:vAlign w:val="center"/>
          </w:tcPr>
          <w:p w14:paraId="46915A11" w14:textId="0E424415" w:rsidR="005E785F" w:rsidRDefault="003621E8">
            <w:pPr>
              <w:jc w:val="center"/>
              <w:rPr>
                <w:rFonts w:cs="Times New Roman"/>
                <w:color w:val="000000"/>
                <w:sz w:val="18"/>
                <w:szCs w:val="18"/>
                <w:lang w:eastAsia="pt-BR"/>
              </w:rPr>
            </w:pPr>
            <w:r>
              <w:rPr>
                <w:rFonts w:cs="Times New Roman"/>
                <w:color w:val="000000"/>
                <w:sz w:val="18"/>
                <w:szCs w:val="18"/>
                <w:lang w:eastAsia="pt-BR"/>
              </w:rPr>
              <w:t> </w:t>
            </w:r>
          </w:p>
        </w:tc>
        <w:tc>
          <w:tcPr>
            <w:tcW w:w="992" w:type="dxa"/>
            <w:shd w:val="clear" w:color="auto" w:fill="FFFFFF" w:themeFill="background1"/>
            <w:vAlign w:val="center"/>
          </w:tcPr>
          <w:p w14:paraId="51392115" w14:textId="1F3A95E0" w:rsidR="005E785F" w:rsidRDefault="003621E8">
            <w:pPr>
              <w:jc w:val="center"/>
              <w:rPr>
                <w:rFonts w:cs="Times New Roman"/>
                <w:color w:val="000000"/>
                <w:sz w:val="18"/>
                <w:szCs w:val="18"/>
                <w:lang w:eastAsia="pt-BR"/>
              </w:rPr>
            </w:pPr>
            <w:r>
              <w:rPr>
                <w:rFonts w:cs="Times New Roman"/>
                <w:color w:val="000000"/>
                <w:sz w:val="18"/>
                <w:szCs w:val="18"/>
                <w:lang w:eastAsia="pt-BR"/>
              </w:rPr>
              <w:t> </w:t>
            </w:r>
          </w:p>
        </w:tc>
        <w:tc>
          <w:tcPr>
            <w:tcW w:w="992" w:type="dxa"/>
            <w:shd w:val="clear" w:color="auto" w:fill="FFFFFF" w:themeFill="background1"/>
            <w:vAlign w:val="center"/>
          </w:tcPr>
          <w:p w14:paraId="17B6F37B" w14:textId="2594675A"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851" w:type="dxa"/>
            <w:shd w:val="clear" w:color="auto" w:fill="FFFFFF" w:themeFill="background1"/>
            <w:vAlign w:val="center"/>
          </w:tcPr>
          <w:p w14:paraId="60A768C8" w14:textId="494DAB48"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709" w:type="dxa"/>
            <w:shd w:val="clear" w:color="auto" w:fill="FFFFFF" w:themeFill="background1"/>
            <w:vAlign w:val="center"/>
          </w:tcPr>
          <w:p w14:paraId="116BBC37" w14:textId="43B0BCDA"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425" w:type="dxa"/>
            <w:shd w:val="clear" w:color="auto" w:fill="FFFFFF" w:themeFill="background1"/>
            <w:vAlign w:val="center"/>
          </w:tcPr>
          <w:p w14:paraId="6D20519C" w14:textId="6E49CCE9"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850" w:type="dxa"/>
            <w:shd w:val="clear" w:color="auto" w:fill="FFFFFF" w:themeFill="background1"/>
            <w:vAlign w:val="center"/>
          </w:tcPr>
          <w:p w14:paraId="0BE7C064" w14:textId="77777777" w:rsidR="005E785F" w:rsidRDefault="005E785F">
            <w:pPr>
              <w:jc w:val="center"/>
              <w:rPr>
                <w:rFonts w:cs="Times New Roman"/>
                <w:color w:val="000000"/>
                <w:sz w:val="18"/>
                <w:szCs w:val="18"/>
                <w:highlight w:val="yellow"/>
                <w:lang w:eastAsia="pt-BR"/>
              </w:rPr>
            </w:pPr>
          </w:p>
        </w:tc>
        <w:tc>
          <w:tcPr>
            <w:tcW w:w="709" w:type="dxa"/>
            <w:shd w:val="clear" w:color="auto" w:fill="FFFFFF" w:themeFill="background1"/>
            <w:vAlign w:val="center"/>
          </w:tcPr>
          <w:p w14:paraId="54CC7366" w14:textId="2046FF0E"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709" w:type="dxa"/>
            <w:shd w:val="clear" w:color="auto" w:fill="FFFFFF" w:themeFill="background1"/>
            <w:vAlign w:val="center"/>
          </w:tcPr>
          <w:p w14:paraId="4273FD4D" w14:textId="77777777" w:rsidR="005E785F" w:rsidRDefault="005E785F">
            <w:pPr>
              <w:jc w:val="center"/>
              <w:rPr>
                <w:rFonts w:cs="Times New Roman"/>
                <w:color w:val="000000"/>
                <w:sz w:val="18"/>
                <w:szCs w:val="18"/>
                <w:lang w:eastAsia="pt-BR"/>
              </w:rPr>
            </w:pPr>
          </w:p>
        </w:tc>
      </w:tr>
      <w:tr w:rsidR="005E785F" w14:paraId="045294C0" w14:textId="77777777">
        <w:trPr>
          <w:trHeight w:val="340"/>
        </w:trPr>
        <w:tc>
          <w:tcPr>
            <w:tcW w:w="2122" w:type="dxa"/>
            <w:shd w:val="clear" w:color="auto" w:fill="FFFFFF" w:themeFill="background1"/>
            <w:vAlign w:val="center"/>
          </w:tcPr>
          <w:p w14:paraId="30CE8B39" w14:textId="00629C7F" w:rsidR="005E785F" w:rsidRDefault="003621E8">
            <w:pPr>
              <w:rPr>
                <w:rFonts w:cs="Times New Roman"/>
                <w:color w:val="000000"/>
                <w:sz w:val="18"/>
                <w:szCs w:val="18"/>
                <w:lang w:eastAsia="pt-BR"/>
              </w:rPr>
            </w:pPr>
            <w:r>
              <w:rPr>
                <w:rFonts w:cs="Times New Roman"/>
                <w:color w:val="000000"/>
                <w:sz w:val="18"/>
                <w:szCs w:val="18"/>
                <w:lang w:eastAsia="pt-BR"/>
              </w:rPr>
              <w:t>Blood for mRNA markers</w:t>
            </w:r>
            <w:r>
              <w:rPr>
                <w:rFonts w:cs="Times New Roman"/>
                <w:color w:val="FF0000"/>
                <w:sz w:val="18"/>
                <w:szCs w:val="18"/>
                <w:vertAlign w:val="superscript"/>
                <w:lang w:eastAsia="pt-BR"/>
              </w:rPr>
              <w:t>10</w:t>
            </w:r>
          </w:p>
        </w:tc>
        <w:tc>
          <w:tcPr>
            <w:tcW w:w="992" w:type="dxa"/>
            <w:shd w:val="clear" w:color="auto" w:fill="FFFFFF" w:themeFill="background1"/>
            <w:vAlign w:val="center"/>
          </w:tcPr>
          <w:p w14:paraId="7EBFDD79" w14:textId="77777777" w:rsidR="005E785F" w:rsidRDefault="005E785F">
            <w:pPr>
              <w:jc w:val="center"/>
              <w:rPr>
                <w:rFonts w:cs="Times New Roman"/>
                <w:color w:val="000000"/>
                <w:sz w:val="18"/>
                <w:szCs w:val="18"/>
                <w:lang w:eastAsia="pt-BR"/>
              </w:rPr>
            </w:pPr>
          </w:p>
        </w:tc>
        <w:tc>
          <w:tcPr>
            <w:tcW w:w="992" w:type="dxa"/>
            <w:shd w:val="clear" w:color="auto" w:fill="FFFFFF" w:themeFill="background1"/>
            <w:vAlign w:val="center"/>
          </w:tcPr>
          <w:p w14:paraId="21A06E02" w14:textId="77777777" w:rsidR="005E785F" w:rsidRDefault="005E785F">
            <w:pPr>
              <w:jc w:val="center"/>
              <w:rPr>
                <w:rFonts w:cs="Times New Roman"/>
                <w:color w:val="000000"/>
                <w:sz w:val="18"/>
                <w:szCs w:val="18"/>
                <w:lang w:eastAsia="pt-BR"/>
              </w:rPr>
            </w:pPr>
          </w:p>
        </w:tc>
        <w:tc>
          <w:tcPr>
            <w:tcW w:w="992" w:type="dxa"/>
            <w:shd w:val="clear" w:color="auto" w:fill="FFFFFF" w:themeFill="background1"/>
            <w:vAlign w:val="center"/>
          </w:tcPr>
          <w:p w14:paraId="22A910BB"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851" w:type="dxa"/>
            <w:shd w:val="clear" w:color="auto" w:fill="FFFFFF" w:themeFill="background1"/>
            <w:vAlign w:val="center"/>
          </w:tcPr>
          <w:p w14:paraId="4AF38CC8"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709" w:type="dxa"/>
            <w:shd w:val="clear" w:color="auto" w:fill="FFFFFF" w:themeFill="background1"/>
            <w:vAlign w:val="center"/>
          </w:tcPr>
          <w:p w14:paraId="7C6CACFE"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425" w:type="dxa"/>
            <w:shd w:val="clear" w:color="auto" w:fill="FFFFFF" w:themeFill="background1"/>
            <w:vAlign w:val="center"/>
          </w:tcPr>
          <w:p w14:paraId="70359264"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850" w:type="dxa"/>
            <w:shd w:val="clear" w:color="auto" w:fill="FFFFFF" w:themeFill="background1"/>
            <w:vAlign w:val="center"/>
          </w:tcPr>
          <w:p w14:paraId="523E0BED" w14:textId="77777777" w:rsidR="005E785F" w:rsidRDefault="005E785F">
            <w:pPr>
              <w:jc w:val="center"/>
              <w:rPr>
                <w:rFonts w:cs="Times New Roman"/>
                <w:color w:val="000000"/>
                <w:sz w:val="18"/>
                <w:szCs w:val="18"/>
                <w:highlight w:val="yellow"/>
                <w:lang w:eastAsia="pt-BR"/>
              </w:rPr>
            </w:pPr>
          </w:p>
        </w:tc>
        <w:tc>
          <w:tcPr>
            <w:tcW w:w="709" w:type="dxa"/>
            <w:shd w:val="clear" w:color="auto" w:fill="FFFFFF" w:themeFill="background1"/>
            <w:vAlign w:val="center"/>
          </w:tcPr>
          <w:p w14:paraId="315C57D8" w14:textId="77777777" w:rsidR="005E785F" w:rsidRDefault="005E785F">
            <w:pPr>
              <w:jc w:val="center"/>
              <w:rPr>
                <w:rFonts w:cs="Times New Roman"/>
                <w:color w:val="000000"/>
                <w:sz w:val="18"/>
                <w:szCs w:val="18"/>
                <w:lang w:eastAsia="pt-BR"/>
              </w:rPr>
            </w:pPr>
          </w:p>
        </w:tc>
        <w:tc>
          <w:tcPr>
            <w:tcW w:w="709" w:type="dxa"/>
            <w:shd w:val="clear" w:color="auto" w:fill="FFFFFF" w:themeFill="background1"/>
            <w:vAlign w:val="center"/>
          </w:tcPr>
          <w:p w14:paraId="3EA2BDA7" w14:textId="77777777" w:rsidR="005E785F" w:rsidRDefault="005E785F">
            <w:pPr>
              <w:jc w:val="center"/>
              <w:rPr>
                <w:rFonts w:cs="Times New Roman"/>
                <w:color w:val="000000"/>
                <w:sz w:val="18"/>
                <w:szCs w:val="18"/>
                <w:lang w:eastAsia="pt-BR"/>
              </w:rPr>
            </w:pPr>
          </w:p>
        </w:tc>
      </w:tr>
      <w:tr w:rsidR="005E785F" w14:paraId="01994488" w14:textId="77777777">
        <w:trPr>
          <w:trHeight w:val="340"/>
        </w:trPr>
        <w:tc>
          <w:tcPr>
            <w:tcW w:w="2122" w:type="dxa"/>
            <w:shd w:val="clear" w:color="auto" w:fill="FFFFFF" w:themeFill="background1"/>
            <w:noWrap/>
            <w:vAlign w:val="center"/>
            <w:hideMark/>
          </w:tcPr>
          <w:p w14:paraId="6F213E7F" w14:textId="2AAF5C14" w:rsidR="005E785F" w:rsidRDefault="003621E8">
            <w:pPr>
              <w:rPr>
                <w:rFonts w:cs="Times New Roman"/>
                <w:color w:val="000000"/>
                <w:sz w:val="18"/>
                <w:szCs w:val="18"/>
                <w:lang w:eastAsia="pt-BR"/>
              </w:rPr>
            </w:pPr>
            <w:r>
              <w:rPr>
                <w:rFonts w:cs="Times New Roman"/>
                <w:color w:val="000000"/>
                <w:sz w:val="18"/>
                <w:szCs w:val="18"/>
                <w:lang w:eastAsia="pt-BR"/>
              </w:rPr>
              <w:t>Blood for PBMC isolate</w:t>
            </w:r>
            <w:r>
              <w:rPr>
                <w:rFonts w:cs="Times New Roman"/>
                <w:color w:val="FF0000"/>
                <w:sz w:val="18"/>
                <w:szCs w:val="18"/>
                <w:vertAlign w:val="superscript"/>
                <w:lang w:eastAsia="pt-BR"/>
              </w:rPr>
              <w:t>11</w:t>
            </w:r>
          </w:p>
        </w:tc>
        <w:tc>
          <w:tcPr>
            <w:tcW w:w="992" w:type="dxa"/>
            <w:shd w:val="clear" w:color="auto" w:fill="FFFFFF" w:themeFill="background1"/>
            <w:noWrap/>
            <w:vAlign w:val="center"/>
            <w:hideMark/>
          </w:tcPr>
          <w:p w14:paraId="6967898B" w14:textId="77777777" w:rsidR="005E785F" w:rsidRDefault="005E785F">
            <w:pPr>
              <w:jc w:val="center"/>
              <w:rPr>
                <w:rFonts w:cs="Times New Roman"/>
                <w:color w:val="000000"/>
                <w:sz w:val="18"/>
                <w:szCs w:val="18"/>
                <w:lang w:eastAsia="pt-BR"/>
              </w:rPr>
            </w:pPr>
          </w:p>
        </w:tc>
        <w:tc>
          <w:tcPr>
            <w:tcW w:w="992" w:type="dxa"/>
            <w:shd w:val="clear" w:color="auto" w:fill="FFFFFF" w:themeFill="background1"/>
            <w:noWrap/>
            <w:vAlign w:val="bottom"/>
            <w:hideMark/>
          </w:tcPr>
          <w:p w14:paraId="441479A1" w14:textId="77777777" w:rsidR="005E785F" w:rsidRDefault="003621E8">
            <w:pPr>
              <w:rPr>
                <w:rFonts w:cs="Times New Roman"/>
                <w:color w:val="000000"/>
                <w:sz w:val="18"/>
                <w:szCs w:val="18"/>
                <w:lang w:eastAsia="pt-BR"/>
              </w:rPr>
            </w:pPr>
            <w:r>
              <w:rPr>
                <w:rFonts w:cs="Times New Roman"/>
                <w:color w:val="000000"/>
                <w:sz w:val="18"/>
                <w:szCs w:val="18"/>
                <w:lang w:eastAsia="pt-BR"/>
              </w:rPr>
              <w:t> </w:t>
            </w:r>
          </w:p>
        </w:tc>
        <w:tc>
          <w:tcPr>
            <w:tcW w:w="992" w:type="dxa"/>
            <w:shd w:val="clear" w:color="auto" w:fill="FFFFFF" w:themeFill="background1"/>
            <w:noWrap/>
            <w:vAlign w:val="bottom"/>
            <w:hideMark/>
          </w:tcPr>
          <w:p w14:paraId="608AF10D"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851" w:type="dxa"/>
            <w:shd w:val="clear" w:color="auto" w:fill="FFFFFF" w:themeFill="background1"/>
            <w:noWrap/>
            <w:vAlign w:val="bottom"/>
            <w:hideMark/>
          </w:tcPr>
          <w:p w14:paraId="4D4E5836" w14:textId="77777777" w:rsidR="005E785F" w:rsidRDefault="003621E8">
            <w:pPr>
              <w:rPr>
                <w:rFonts w:cs="Times New Roman"/>
                <w:color w:val="000000"/>
                <w:sz w:val="18"/>
                <w:szCs w:val="18"/>
                <w:lang w:eastAsia="pt-BR"/>
              </w:rPr>
            </w:pPr>
            <w:r>
              <w:rPr>
                <w:rFonts w:cs="Times New Roman"/>
                <w:color w:val="000000"/>
                <w:sz w:val="18"/>
                <w:szCs w:val="18"/>
                <w:lang w:eastAsia="pt-BR"/>
              </w:rPr>
              <w:t> </w:t>
            </w:r>
          </w:p>
        </w:tc>
        <w:tc>
          <w:tcPr>
            <w:tcW w:w="709" w:type="dxa"/>
            <w:shd w:val="clear" w:color="auto" w:fill="FFFFFF" w:themeFill="background1"/>
            <w:noWrap/>
            <w:vAlign w:val="bottom"/>
            <w:hideMark/>
          </w:tcPr>
          <w:p w14:paraId="519AFD50" w14:textId="0C4E193F"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425" w:type="dxa"/>
            <w:shd w:val="clear" w:color="auto" w:fill="FFFFFF" w:themeFill="background1"/>
            <w:noWrap/>
            <w:vAlign w:val="bottom"/>
            <w:hideMark/>
          </w:tcPr>
          <w:p w14:paraId="41F4BCE8" w14:textId="77777777" w:rsidR="005E785F" w:rsidRDefault="003621E8">
            <w:pPr>
              <w:rPr>
                <w:rFonts w:cs="Times New Roman"/>
                <w:color w:val="000000"/>
                <w:sz w:val="18"/>
                <w:szCs w:val="18"/>
                <w:lang w:eastAsia="pt-BR"/>
              </w:rPr>
            </w:pPr>
            <w:r>
              <w:rPr>
                <w:rFonts w:cs="Times New Roman"/>
                <w:color w:val="000000"/>
                <w:sz w:val="18"/>
                <w:szCs w:val="18"/>
                <w:lang w:eastAsia="pt-BR"/>
              </w:rPr>
              <w:t> </w:t>
            </w:r>
          </w:p>
        </w:tc>
        <w:tc>
          <w:tcPr>
            <w:tcW w:w="850" w:type="dxa"/>
            <w:shd w:val="clear" w:color="auto" w:fill="FFFFFF" w:themeFill="background1"/>
            <w:noWrap/>
            <w:vAlign w:val="bottom"/>
            <w:hideMark/>
          </w:tcPr>
          <w:p w14:paraId="64FFD7C3" w14:textId="77777777" w:rsidR="005E785F" w:rsidRDefault="003621E8">
            <w:pPr>
              <w:rPr>
                <w:rFonts w:cs="Times New Roman"/>
                <w:color w:val="000000"/>
                <w:sz w:val="18"/>
                <w:szCs w:val="18"/>
                <w:lang w:eastAsia="pt-BR"/>
              </w:rPr>
            </w:pPr>
            <w:r>
              <w:rPr>
                <w:rFonts w:cs="Times New Roman"/>
                <w:color w:val="000000"/>
                <w:sz w:val="18"/>
                <w:szCs w:val="18"/>
                <w:lang w:eastAsia="pt-BR"/>
              </w:rPr>
              <w:t> </w:t>
            </w:r>
          </w:p>
        </w:tc>
        <w:tc>
          <w:tcPr>
            <w:tcW w:w="709" w:type="dxa"/>
            <w:shd w:val="clear" w:color="auto" w:fill="FFFFFF" w:themeFill="background1"/>
            <w:noWrap/>
            <w:vAlign w:val="bottom"/>
            <w:hideMark/>
          </w:tcPr>
          <w:p w14:paraId="4605389E" w14:textId="77777777"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709" w:type="dxa"/>
            <w:shd w:val="clear" w:color="auto" w:fill="FFFFFF" w:themeFill="background1"/>
            <w:noWrap/>
            <w:vAlign w:val="center"/>
            <w:hideMark/>
          </w:tcPr>
          <w:p w14:paraId="5159EB00" w14:textId="77777777" w:rsidR="005E785F" w:rsidRDefault="005E785F">
            <w:pPr>
              <w:jc w:val="center"/>
              <w:rPr>
                <w:rFonts w:cs="Times New Roman"/>
                <w:color w:val="000000"/>
                <w:sz w:val="18"/>
                <w:szCs w:val="18"/>
                <w:lang w:eastAsia="pt-BR"/>
              </w:rPr>
            </w:pPr>
          </w:p>
        </w:tc>
      </w:tr>
      <w:tr w:rsidR="005E785F" w14:paraId="391D23D8" w14:textId="77777777">
        <w:trPr>
          <w:trHeight w:val="340"/>
        </w:trPr>
        <w:tc>
          <w:tcPr>
            <w:tcW w:w="2122" w:type="dxa"/>
            <w:shd w:val="clear" w:color="auto" w:fill="FFFFFF" w:themeFill="background1"/>
            <w:noWrap/>
            <w:vAlign w:val="center"/>
          </w:tcPr>
          <w:p w14:paraId="4BB263E0" w14:textId="033D891F" w:rsidR="005E785F" w:rsidRDefault="003621E8">
            <w:pPr>
              <w:rPr>
                <w:rFonts w:cs="Times New Roman"/>
                <w:color w:val="000000"/>
                <w:sz w:val="18"/>
                <w:szCs w:val="18"/>
                <w:lang w:eastAsia="pt-BR"/>
              </w:rPr>
            </w:pPr>
            <w:r>
              <w:rPr>
                <w:rFonts w:cs="Times New Roman"/>
                <w:color w:val="000000"/>
                <w:sz w:val="18"/>
                <w:szCs w:val="18"/>
                <w:lang w:eastAsia="pt-BR"/>
              </w:rPr>
              <w:t>Blood for titration of autoantibodies</w:t>
            </w:r>
            <w:r>
              <w:rPr>
                <w:rFonts w:cs="Times New Roman"/>
                <w:color w:val="FF0000"/>
                <w:sz w:val="18"/>
                <w:szCs w:val="18"/>
                <w:vertAlign w:val="superscript"/>
                <w:lang w:eastAsia="pt-BR"/>
              </w:rPr>
              <w:t>12</w:t>
            </w:r>
          </w:p>
        </w:tc>
        <w:tc>
          <w:tcPr>
            <w:tcW w:w="992" w:type="dxa"/>
            <w:shd w:val="clear" w:color="auto" w:fill="FFFFFF" w:themeFill="background1"/>
            <w:noWrap/>
            <w:vAlign w:val="center"/>
          </w:tcPr>
          <w:p w14:paraId="15AE569A" w14:textId="77777777" w:rsidR="005E785F" w:rsidRDefault="005E785F">
            <w:pPr>
              <w:jc w:val="center"/>
              <w:rPr>
                <w:rFonts w:cs="Times New Roman"/>
                <w:color w:val="000000"/>
                <w:sz w:val="18"/>
                <w:szCs w:val="18"/>
                <w:lang w:eastAsia="pt-BR"/>
              </w:rPr>
            </w:pPr>
          </w:p>
        </w:tc>
        <w:tc>
          <w:tcPr>
            <w:tcW w:w="992" w:type="dxa"/>
            <w:shd w:val="clear" w:color="auto" w:fill="FFFFFF" w:themeFill="background1"/>
            <w:noWrap/>
            <w:vAlign w:val="bottom"/>
          </w:tcPr>
          <w:p w14:paraId="5C3D1DB2" w14:textId="77777777" w:rsidR="005E785F" w:rsidRDefault="005E785F">
            <w:pPr>
              <w:rPr>
                <w:rFonts w:cs="Times New Roman"/>
                <w:color w:val="000000"/>
                <w:sz w:val="18"/>
                <w:szCs w:val="18"/>
                <w:lang w:eastAsia="pt-BR"/>
              </w:rPr>
            </w:pPr>
          </w:p>
        </w:tc>
        <w:tc>
          <w:tcPr>
            <w:tcW w:w="992" w:type="dxa"/>
            <w:shd w:val="clear" w:color="auto" w:fill="FFFFFF" w:themeFill="background1"/>
            <w:noWrap/>
            <w:vAlign w:val="bottom"/>
          </w:tcPr>
          <w:p w14:paraId="2FA92802" w14:textId="6CC1D8C5" w:rsidR="005E785F" w:rsidRDefault="003621E8">
            <w:pPr>
              <w:jc w:val="center"/>
              <w:rPr>
                <w:rFonts w:cs="Times New Roman"/>
                <w:color w:val="000000"/>
                <w:sz w:val="18"/>
                <w:szCs w:val="18"/>
                <w:lang w:eastAsia="pt-BR"/>
              </w:rPr>
            </w:pPr>
            <w:r>
              <w:rPr>
                <w:rFonts w:cs="Times New Roman"/>
                <w:color w:val="000000"/>
                <w:sz w:val="18"/>
                <w:szCs w:val="18"/>
                <w:lang w:eastAsia="pt-BR"/>
              </w:rPr>
              <w:t>X</w:t>
            </w:r>
          </w:p>
        </w:tc>
        <w:tc>
          <w:tcPr>
            <w:tcW w:w="851" w:type="dxa"/>
            <w:shd w:val="clear" w:color="auto" w:fill="FFFFFF" w:themeFill="background1"/>
            <w:noWrap/>
            <w:vAlign w:val="bottom"/>
          </w:tcPr>
          <w:p w14:paraId="07708F40" w14:textId="77777777" w:rsidR="005E785F" w:rsidRDefault="005E785F">
            <w:pPr>
              <w:rPr>
                <w:rFonts w:cs="Times New Roman"/>
                <w:color w:val="000000"/>
                <w:sz w:val="18"/>
                <w:szCs w:val="18"/>
                <w:lang w:eastAsia="pt-BR"/>
              </w:rPr>
            </w:pPr>
          </w:p>
        </w:tc>
        <w:tc>
          <w:tcPr>
            <w:tcW w:w="709" w:type="dxa"/>
            <w:shd w:val="clear" w:color="auto" w:fill="FFFFFF" w:themeFill="background1"/>
            <w:noWrap/>
            <w:vAlign w:val="bottom"/>
          </w:tcPr>
          <w:p w14:paraId="04343869" w14:textId="77777777" w:rsidR="005E785F" w:rsidRDefault="005E785F">
            <w:pPr>
              <w:jc w:val="center"/>
              <w:rPr>
                <w:rFonts w:cs="Times New Roman"/>
                <w:color w:val="000000"/>
                <w:sz w:val="18"/>
                <w:szCs w:val="18"/>
                <w:lang w:eastAsia="pt-BR"/>
              </w:rPr>
            </w:pPr>
          </w:p>
        </w:tc>
        <w:tc>
          <w:tcPr>
            <w:tcW w:w="425" w:type="dxa"/>
            <w:shd w:val="clear" w:color="auto" w:fill="FFFFFF" w:themeFill="background1"/>
            <w:noWrap/>
            <w:vAlign w:val="bottom"/>
          </w:tcPr>
          <w:p w14:paraId="6264C36C" w14:textId="77777777" w:rsidR="005E785F" w:rsidRDefault="005E785F">
            <w:pPr>
              <w:rPr>
                <w:rFonts w:cs="Times New Roman"/>
                <w:color w:val="000000"/>
                <w:sz w:val="18"/>
                <w:szCs w:val="18"/>
                <w:lang w:eastAsia="pt-BR"/>
              </w:rPr>
            </w:pPr>
          </w:p>
        </w:tc>
        <w:tc>
          <w:tcPr>
            <w:tcW w:w="850" w:type="dxa"/>
            <w:shd w:val="clear" w:color="auto" w:fill="FFFFFF" w:themeFill="background1"/>
            <w:noWrap/>
            <w:vAlign w:val="bottom"/>
          </w:tcPr>
          <w:p w14:paraId="4EA9F7AD" w14:textId="77777777" w:rsidR="005E785F" w:rsidRDefault="005E785F">
            <w:pPr>
              <w:rPr>
                <w:rFonts w:cs="Times New Roman"/>
                <w:color w:val="000000"/>
                <w:sz w:val="18"/>
                <w:szCs w:val="18"/>
                <w:lang w:eastAsia="pt-BR"/>
              </w:rPr>
            </w:pPr>
          </w:p>
        </w:tc>
        <w:tc>
          <w:tcPr>
            <w:tcW w:w="709" w:type="dxa"/>
            <w:shd w:val="clear" w:color="auto" w:fill="FFFFFF" w:themeFill="background1"/>
            <w:noWrap/>
            <w:vAlign w:val="bottom"/>
          </w:tcPr>
          <w:p w14:paraId="698F81D6" w14:textId="77777777" w:rsidR="005E785F" w:rsidRDefault="005E785F">
            <w:pPr>
              <w:jc w:val="center"/>
              <w:rPr>
                <w:rFonts w:cs="Times New Roman"/>
                <w:color w:val="000000"/>
                <w:sz w:val="18"/>
                <w:szCs w:val="18"/>
                <w:lang w:eastAsia="pt-BR"/>
              </w:rPr>
            </w:pPr>
          </w:p>
        </w:tc>
        <w:tc>
          <w:tcPr>
            <w:tcW w:w="709" w:type="dxa"/>
            <w:shd w:val="clear" w:color="auto" w:fill="FFFFFF" w:themeFill="background1"/>
            <w:noWrap/>
            <w:vAlign w:val="center"/>
          </w:tcPr>
          <w:p w14:paraId="4174CE5A" w14:textId="77777777" w:rsidR="005E785F" w:rsidRDefault="005E785F">
            <w:pPr>
              <w:jc w:val="center"/>
              <w:rPr>
                <w:rFonts w:cs="Times New Roman"/>
                <w:color w:val="000000"/>
                <w:sz w:val="18"/>
                <w:szCs w:val="18"/>
                <w:lang w:eastAsia="pt-BR"/>
              </w:rPr>
            </w:pPr>
          </w:p>
        </w:tc>
      </w:tr>
    </w:tbl>
    <w:p w14:paraId="32265D69" w14:textId="77777777" w:rsidR="005E785F" w:rsidRDefault="003621E8">
      <w:pPr>
        <w:pStyle w:val="C-BodyText"/>
        <w:spacing w:before="40" w:after="40" w:line="240" w:lineRule="auto"/>
        <w:jc w:val="both"/>
        <w:rPr>
          <w:b/>
          <w:sz w:val="18"/>
          <w:szCs w:val="18"/>
          <w:lang w:val="en-GB"/>
        </w:rPr>
      </w:pPr>
      <w:r>
        <w:rPr>
          <w:b/>
          <w:sz w:val="18"/>
          <w:szCs w:val="18"/>
          <w:lang w:val="en-GB"/>
        </w:rPr>
        <w:t>Study Flow Chart Footnotes:</w:t>
      </w:r>
    </w:p>
    <w:p w14:paraId="6C2B91F9" w14:textId="6A710A10" w:rsidR="005E785F" w:rsidRDefault="003621E8">
      <w:pPr>
        <w:pStyle w:val="C-BodyText"/>
        <w:numPr>
          <w:ilvl w:val="0"/>
          <w:numId w:val="55"/>
        </w:numPr>
        <w:spacing w:before="40" w:after="40" w:line="240" w:lineRule="auto"/>
        <w:jc w:val="both"/>
        <w:rPr>
          <w:bCs/>
          <w:sz w:val="18"/>
          <w:szCs w:val="18"/>
          <w:lang w:val="en-GB"/>
        </w:rPr>
      </w:pPr>
      <w:r>
        <w:rPr>
          <w:bCs/>
          <w:sz w:val="18"/>
          <w:szCs w:val="18"/>
          <w:lang w:val="en-GB"/>
        </w:rPr>
        <w:t>Full inclusion/exclusion criteria will be checked at Screening. Eligibility will be re-confirmed on Day -1 and prior to dosing.</w:t>
      </w:r>
    </w:p>
    <w:p w14:paraId="5E8BEB86" w14:textId="036E31D0" w:rsidR="005E785F" w:rsidRDefault="003621E8">
      <w:pPr>
        <w:pStyle w:val="C-BodyText"/>
        <w:numPr>
          <w:ilvl w:val="0"/>
          <w:numId w:val="55"/>
        </w:numPr>
        <w:spacing w:before="40" w:after="40" w:line="240" w:lineRule="auto"/>
        <w:jc w:val="both"/>
        <w:rPr>
          <w:bCs/>
          <w:sz w:val="18"/>
          <w:szCs w:val="18"/>
          <w:lang w:val="en-GB"/>
        </w:rPr>
      </w:pPr>
      <w:r>
        <w:rPr>
          <w:bCs/>
          <w:sz w:val="18"/>
          <w:szCs w:val="18"/>
          <w:lang w:val="en-GB"/>
        </w:rPr>
        <w:t xml:space="preserve">Physical examination: Full physical examination will be performed at Screening. A brief physical examination </w:t>
      </w:r>
      <w:r>
        <w:rPr>
          <w:bCs/>
          <w:sz w:val="18"/>
          <w:szCs w:val="18"/>
        </w:rPr>
        <w:t xml:space="preserve">will be performed on Day -1, Day 1 (pre-dose and 2 h, 4h and 8 h post-dose), Day 2, Day 4, Day 7 and </w:t>
      </w:r>
      <w:bookmarkStart w:id="155" w:name="_Hlk65074241"/>
      <w:r>
        <w:rPr>
          <w:bCs/>
          <w:sz w:val="18"/>
          <w:szCs w:val="18"/>
        </w:rPr>
        <w:t>post study</w:t>
      </w:r>
      <w:r>
        <w:t xml:space="preserve"> </w:t>
      </w:r>
      <w:r>
        <w:rPr>
          <w:sz w:val="18"/>
          <w:szCs w:val="18"/>
        </w:rPr>
        <w:t>f</w:t>
      </w:r>
      <w:r>
        <w:rPr>
          <w:bCs/>
          <w:sz w:val="18"/>
          <w:szCs w:val="18"/>
        </w:rPr>
        <w:t>ollow-up</w:t>
      </w:r>
      <w:bookmarkEnd w:id="155"/>
      <w:r>
        <w:rPr>
          <w:bCs/>
          <w:sz w:val="18"/>
          <w:szCs w:val="18"/>
        </w:rPr>
        <w:t>.</w:t>
      </w:r>
    </w:p>
    <w:p w14:paraId="3AFAEC72" w14:textId="74FF472A" w:rsidR="005E785F" w:rsidRDefault="003621E8">
      <w:pPr>
        <w:pStyle w:val="C-BodyText"/>
        <w:numPr>
          <w:ilvl w:val="0"/>
          <w:numId w:val="55"/>
        </w:numPr>
        <w:spacing w:before="40" w:after="40" w:line="240" w:lineRule="auto"/>
        <w:jc w:val="both"/>
        <w:rPr>
          <w:bCs/>
          <w:sz w:val="18"/>
          <w:szCs w:val="18"/>
          <w:lang w:val="en-GB"/>
        </w:rPr>
      </w:pPr>
      <w:r>
        <w:rPr>
          <w:sz w:val="18"/>
          <w:szCs w:val="18"/>
        </w:rPr>
        <w:t>Injection site examinations will be performed at Day 1 (pre-dose and 2 h, 4h and 8 h post-dose), Day 2, Day 4, Day 7 and post study follow-up. Photographs of injection site reactions may be taken if grade 2 or above is reached.</w:t>
      </w:r>
    </w:p>
    <w:p w14:paraId="10E6653A" w14:textId="1111B1CD" w:rsidR="005E785F" w:rsidRDefault="003621E8">
      <w:pPr>
        <w:pStyle w:val="ListParagraph"/>
        <w:numPr>
          <w:ilvl w:val="0"/>
          <w:numId w:val="55"/>
        </w:numPr>
        <w:rPr>
          <w:rFonts w:cs="Times New Roman"/>
          <w:bCs/>
          <w:sz w:val="18"/>
          <w:szCs w:val="18"/>
          <w:lang w:val="en-GB"/>
        </w:rPr>
      </w:pPr>
      <w:r>
        <w:rPr>
          <w:rFonts w:cs="Times New Roman"/>
          <w:sz w:val="18"/>
          <w:szCs w:val="18"/>
        </w:rPr>
        <w:t>Vital signs (supine blood pressure, heart rate and oral temperature, respiration rate) will be measured at Screening, Day -1, Day 1 (pre-dose and15 mins, 30 mins, 1 h, 2 h, 4 h, 8 h and 12 h post-dose), Day 2, Day 3, Day 4, Day 7 and Post Study follow-up.</w:t>
      </w:r>
    </w:p>
    <w:p w14:paraId="5B82D0B9" w14:textId="720339BA" w:rsidR="005E785F" w:rsidRDefault="003621E8">
      <w:pPr>
        <w:pStyle w:val="C-BodyText"/>
        <w:numPr>
          <w:ilvl w:val="0"/>
          <w:numId w:val="55"/>
        </w:numPr>
        <w:spacing w:before="40" w:after="40" w:line="240" w:lineRule="auto"/>
        <w:jc w:val="both"/>
        <w:rPr>
          <w:bCs/>
          <w:sz w:val="18"/>
          <w:szCs w:val="18"/>
          <w:lang w:val="en-GB"/>
        </w:rPr>
      </w:pPr>
      <w:r>
        <w:rPr>
          <w:bCs/>
          <w:sz w:val="18"/>
          <w:szCs w:val="18"/>
          <w:lang w:val="en-GB"/>
        </w:rPr>
        <w:t>Laboratory safety tests (biochemistry including C-reactive protein, haematology, coagulation, urinalysis and urine microscopy, if needed) will be performed at Screening, Day -1, Day 2, Day 4, Day 7 and post study follow-up, following an 8 hour fast.</w:t>
      </w:r>
    </w:p>
    <w:p w14:paraId="71C62A60" w14:textId="22D01DAE" w:rsidR="005E785F" w:rsidRDefault="003621E8">
      <w:pPr>
        <w:pStyle w:val="C-BodyText"/>
        <w:numPr>
          <w:ilvl w:val="0"/>
          <w:numId w:val="55"/>
        </w:numPr>
        <w:spacing w:before="40" w:after="40" w:line="240" w:lineRule="auto"/>
        <w:jc w:val="both"/>
        <w:rPr>
          <w:bCs/>
          <w:sz w:val="18"/>
          <w:szCs w:val="18"/>
          <w:lang w:val="en-GB"/>
        </w:rPr>
      </w:pPr>
      <w:r>
        <w:rPr>
          <w:sz w:val="18"/>
          <w:szCs w:val="18"/>
        </w:rPr>
        <w:t>12-lead ECGs (HR, RR, PR, QRS, QT, QTcF) will be taken at Screening, Day -1, Day 1 (pre-dose and15 mins, 30 mins, 1 h and 8 h post-dose) and Day 4.</w:t>
      </w:r>
      <w:r>
        <w:rPr>
          <w:szCs w:val="24"/>
        </w:rPr>
        <w:t xml:space="preserve"> </w:t>
      </w:r>
      <w:r>
        <w:rPr>
          <w:sz w:val="18"/>
          <w:szCs w:val="18"/>
        </w:rPr>
        <w:t>Day 1, pre-dose ECG will be taken in triplicate (for baseline), all post-dose time points will be single ECGs. An ECG can be repeated for any reason (technical in particular). The PI or sub-Investigator must review the results. At the discretion of PI or delegate, additional ECGs can be required.</w:t>
      </w:r>
    </w:p>
    <w:p w14:paraId="0668BFC4" w14:textId="1598AEC3" w:rsidR="005E785F" w:rsidRDefault="003621E8">
      <w:pPr>
        <w:pStyle w:val="C-BodyText"/>
        <w:numPr>
          <w:ilvl w:val="0"/>
          <w:numId w:val="55"/>
        </w:numPr>
        <w:spacing w:before="40" w:after="40" w:line="240" w:lineRule="auto"/>
        <w:jc w:val="both"/>
        <w:rPr>
          <w:bCs/>
          <w:sz w:val="18"/>
          <w:szCs w:val="18"/>
          <w:lang w:val="en-GB"/>
        </w:rPr>
      </w:pPr>
      <w:r>
        <w:rPr>
          <w:bCs/>
          <w:sz w:val="18"/>
          <w:szCs w:val="18"/>
          <w:lang w:val="en-GB"/>
        </w:rPr>
        <w:t>Temperature diary will be issued at discharge on Day 4 to record oral temperatures in the morning and evening at home from evening on Day 4 to evening on Day 6 (the diary will be collected on Day 7 and the Day 7 morning temperature taken whilst in the clinical unit). A new diary will be issued on Day 7 to record oral temperatures in the morning and evening from evening on Day 7 to the evening on Day 13 (if post study follow up is conducted on Day 14). If the post study follow up is conducted on Day 13, participants will only be required to record their temperature from the evening of Day 7 until the evening of Day 12. If the post study follow up is conducted on Day 15, participants will be required to record their temperature from the evening of Day 7 to the evening of Day 13. The diary will be collected at post study and the temperature for that day will be taken whilst in the clinical unit).</w:t>
      </w:r>
    </w:p>
    <w:p w14:paraId="782ED166" w14:textId="61CD86E9" w:rsidR="005E785F" w:rsidRDefault="003621E8">
      <w:pPr>
        <w:pStyle w:val="C-BodyText"/>
        <w:numPr>
          <w:ilvl w:val="0"/>
          <w:numId w:val="55"/>
        </w:numPr>
        <w:spacing w:before="40" w:after="40" w:line="240" w:lineRule="auto"/>
        <w:jc w:val="both"/>
        <w:rPr>
          <w:bCs/>
          <w:sz w:val="18"/>
          <w:szCs w:val="18"/>
          <w:lang w:val="en-GB"/>
        </w:rPr>
      </w:pPr>
      <w:r>
        <w:rPr>
          <w:sz w:val="18"/>
          <w:szCs w:val="18"/>
        </w:rPr>
        <w:t xml:space="preserve">Plasma PK samples for </w:t>
      </w:r>
      <w:bookmarkStart w:id="156" w:name="_Hlk48729890"/>
      <w:r>
        <w:rPr>
          <w:sz w:val="18"/>
          <w:szCs w:val="18"/>
        </w:rPr>
        <w:t>CpG ODN D35 will be taken (3 mL K3-EDTA tube) on Day 1 (pre-dose and 10 mins, 20 mins, 30 mins, 45 mins, 60 mins, 2 h and 4 h post-dose).</w:t>
      </w:r>
      <w:bookmarkEnd w:id="156"/>
    </w:p>
    <w:p w14:paraId="7FE11AB9" w14:textId="5E24F356" w:rsidR="005E785F" w:rsidRDefault="003621E8">
      <w:pPr>
        <w:pStyle w:val="ListParagraph"/>
        <w:numPr>
          <w:ilvl w:val="0"/>
          <w:numId w:val="55"/>
        </w:numPr>
        <w:rPr>
          <w:rFonts w:cs="Times New Roman"/>
          <w:bCs/>
          <w:sz w:val="18"/>
          <w:szCs w:val="18"/>
          <w:lang w:val="en-GB"/>
        </w:rPr>
      </w:pPr>
      <w:r>
        <w:rPr>
          <w:rFonts w:cs="Times New Roman"/>
          <w:sz w:val="18"/>
          <w:szCs w:val="18"/>
        </w:rPr>
        <w:t>PD blood samples (5 mL) for serum cytokine and chemokine analysis will be collected at Day 1 (pre-dose and 8 h and 12 h post-dose), Day 2, Day 3 and Day 7. Cytokine and chemokine samples will be batched and analysed at the end of the study</w:t>
      </w:r>
      <w:r>
        <w:t xml:space="preserve"> </w:t>
      </w:r>
      <w:r>
        <w:rPr>
          <w:rFonts w:cs="Times New Roman"/>
          <w:sz w:val="18"/>
          <w:szCs w:val="18"/>
        </w:rPr>
        <w:t>or at the end of each cohort. 4.5 mL blood will be collected at the same timepoint for IL-6 analysis during the study in case it is required for safety monitoring.</w:t>
      </w:r>
    </w:p>
    <w:p w14:paraId="007E61CB" w14:textId="516693DA" w:rsidR="005E785F" w:rsidRDefault="003621E8">
      <w:pPr>
        <w:pStyle w:val="C-BodyText"/>
        <w:numPr>
          <w:ilvl w:val="0"/>
          <w:numId w:val="55"/>
        </w:numPr>
        <w:spacing w:before="40" w:after="40" w:line="240" w:lineRule="auto"/>
        <w:jc w:val="both"/>
        <w:rPr>
          <w:bCs/>
          <w:sz w:val="18"/>
          <w:szCs w:val="18"/>
          <w:lang w:val="en-GB"/>
        </w:rPr>
      </w:pPr>
      <w:r>
        <w:rPr>
          <w:sz w:val="18"/>
          <w:szCs w:val="18"/>
        </w:rPr>
        <w:t>Full blood sampling for mRNA markers will be collected (2 x 2.5 mL vacutainer PAXgene® blood RNA tube) on Day 1 (pre-dose and 4 h, 8 h and 12 h post-dose), Day 2 (24 h post-dose) and Day 3 (48 h post-dose).</w:t>
      </w:r>
    </w:p>
    <w:p w14:paraId="0B7A4EBD" w14:textId="55149C2F" w:rsidR="005E785F" w:rsidRDefault="003621E8">
      <w:pPr>
        <w:pStyle w:val="C-BodyText"/>
        <w:numPr>
          <w:ilvl w:val="0"/>
          <w:numId w:val="55"/>
        </w:numPr>
        <w:spacing w:before="40" w:after="40" w:line="240" w:lineRule="auto"/>
        <w:jc w:val="both"/>
        <w:rPr>
          <w:bCs/>
          <w:sz w:val="18"/>
          <w:szCs w:val="18"/>
          <w:lang w:val="en-GB"/>
        </w:rPr>
      </w:pPr>
      <w:r>
        <w:rPr>
          <w:color w:val="000000"/>
          <w:sz w:val="18"/>
          <w:szCs w:val="18"/>
        </w:rPr>
        <w:t>Blood sample for PBMC isolate will be collected on Day 1 (pre-dose), Day 2 and Day 7.</w:t>
      </w:r>
    </w:p>
    <w:p w14:paraId="739A5F4F" w14:textId="4A981FCE" w:rsidR="005E785F" w:rsidRDefault="003621E8">
      <w:pPr>
        <w:pStyle w:val="C-BodyText"/>
        <w:numPr>
          <w:ilvl w:val="0"/>
          <w:numId w:val="55"/>
        </w:numPr>
        <w:spacing w:before="40" w:after="40" w:line="240" w:lineRule="auto"/>
        <w:jc w:val="both"/>
        <w:rPr>
          <w:bCs/>
          <w:sz w:val="18"/>
          <w:szCs w:val="18"/>
          <w:lang w:val="en-GB"/>
        </w:rPr>
      </w:pPr>
      <w:r>
        <w:rPr>
          <w:bCs/>
          <w:sz w:val="18"/>
          <w:szCs w:val="18"/>
          <w:lang w:val="en-GB"/>
        </w:rPr>
        <w:t>Blood sample for titration of autoantibodies (5 mL) will be collected on Day 1, pre-dose and stored for future analysis, if required.</w:t>
      </w:r>
    </w:p>
    <w:p w14:paraId="1C54F489" w14:textId="77777777" w:rsidR="005E785F" w:rsidRDefault="005E785F">
      <w:pPr>
        <w:pStyle w:val="C-BodyText"/>
        <w:spacing w:before="40" w:after="40" w:line="240" w:lineRule="auto"/>
        <w:jc w:val="both"/>
        <w:rPr>
          <w:bCs/>
          <w:sz w:val="18"/>
          <w:szCs w:val="18"/>
          <w:lang w:val="en-GB"/>
        </w:rPr>
      </w:pPr>
    </w:p>
    <w:p w14:paraId="1FA6A313" w14:textId="041BB857" w:rsidR="005E785F" w:rsidRDefault="005E785F">
      <w:pPr>
        <w:pStyle w:val="C-BodyText"/>
        <w:spacing w:before="40" w:after="40" w:line="240" w:lineRule="auto"/>
        <w:jc w:val="both"/>
        <w:rPr>
          <w:bCs/>
          <w:sz w:val="18"/>
          <w:szCs w:val="18"/>
          <w:lang w:val="en-GB"/>
        </w:rPr>
        <w:sectPr w:rsidR="005E785F">
          <w:pgSz w:w="11907" w:h="16839" w:code="9"/>
          <w:pgMar w:top="1440" w:right="1440" w:bottom="1440" w:left="1440" w:header="540" w:footer="720" w:gutter="0"/>
          <w:cols w:space="720"/>
          <w:docGrid w:linePitch="254"/>
        </w:sectPr>
      </w:pPr>
    </w:p>
    <w:p w14:paraId="73FB213D" w14:textId="77777777" w:rsidR="005E785F" w:rsidRDefault="003621E8">
      <w:pPr>
        <w:pStyle w:val="Heading3"/>
      </w:pPr>
      <w:bookmarkStart w:id="157" w:name="_Toc74904399"/>
      <w:bookmarkStart w:id="158" w:name="_Toc200273942"/>
      <w:r>
        <w:lastRenderedPageBreak/>
        <w:t>Demographic and Background Assessments</w:t>
      </w:r>
      <w:bookmarkEnd w:id="157"/>
    </w:p>
    <w:p w14:paraId="73FB2140" w14:textId="39AF0198" w:rsidR="005E785F" w:rsidRDefault="003621E8">
      <w:pPr>
        <w:spacing w:before="120" w:after="120"/>
        <w:jc w:val="both"/>
        <w:rPr>
          <w:lang w:val="en-GB"/>
        </w:rPr>
      </w:pPr>
      <w:r>
        <w:rPr>
          <w:lang w:val="en-GB"/>
        </w:rPr>
        <w:t>The following demographic and background assessments will be performed during the study at the time</w:t>
      </w:r>
      <w:r>
        <w:rPr>
          <w:lang w:val="en-GB"/>
        </w:rPr>
        <w:noBreakHyphen/>
        <w:t xml:space="preserve">points specified in </w:t>
      </w:r>
      <w:r>
        <w:rPr>
          <w:color w:val="0000FF"/>
          <w:lang w:val="en-GB"/>
        </w:rPr>
        <w:fldChar w:fldCharType="begin"/>
      </w:r>
      <w:r>
        <w:rPr>
          <w:color w:val="0000FF"/>
          <w:lang w:val="en-GB"/>
        </w:rPr>
        <w:instrText xml:space="preserve"> REF _Ref66109390 \h </w:instrText>
      </w:r>
      <w:r>
        <w:rPr>
          <w:color w:val="0000FF"/>
          <w:lang w:val="en-GB"/>
        </w:rPr>
      </w:r>
      <w:r>
        <w:rPr>
          <w:color w:val="0000FF"/>
          <w:lang w:val="en-GB"/>
        </w:rPr>
        <w:fldChar w:fldCharType="separate"/>
      </w:r>
      <w:r>
        <w:rPr>
          <w:color w:val="0000FF"/>
        </w:rPr>
        <w:t>Table 5</w:t>
      </w:r>
      <w:r>
        <w:rPr>
          <w:color w:val="0000FF"/>
          <w:lang w:val="en-GB"/>
        </w:rPr>
        <w:fldChar w:fldCharType="end"/>
      </w:r>
      <w:r>
        <w:rPr>
          <w:lang w:val="en-GB"/>
        </w:rPr>
        <w:t xml:space="preserve">. </w:t>
      </w:r>
    </w:p>
    <w:p w14:paraId="73FB2141" w14:textId="77777777" w:rsidR="005E785F" w:rsidRDefault="003621E8">
      <w:pPr>
        <w:pStyle w:val="Heading4"/>
      </w:pPr>
      <w:bookmarkStart w:id="159" w:name="_Toc74904400"/>
      <w:r>
        <w:t>Demographics</w:t>
      </w:r>
      <w:bookmarkEnd w:id="159"/>
    </w:p>
    <w:p w14:paraId="4F0B92C5" w14:textId="69FE82D0" w:rsidR="005E785F" w:rsidRDefault="003621E8">
      <w:pPr>
        <w:pStyle w:val="C-Bullet"/>
        <w:numPr>
          <w:ilvl w:val="0"/>
          <w:numId w:val="0"/>
        </w:numPr>
        <w:spacing w:line="240" w:lineRule="auto"/>
        <w:jc w:val="both"/>
        <w:rPr>
          <w:lang w:val="en-GB"/>
        </w:rPr>
      </w:pPr>
      <w:r>
        <w:rPr>
          <w:lang w:val="en-GB"/>
        </w:rPr>
        <w:t xml:space="preserve">Demographic data: age, date of birth (only year of birth is recorded in the eCRF), gender, race, ethnicity, height, weight and body mass index (BMI). </w:t>
      </w:r>
    </w:p>
    <w:p w14:paraId="22527CCD" w14:textId="15178413" w:rsidR="005E785F" w:rsidRDefault="003621E8">
      <w:pPr>
        <w:pStyle w:val="C-Bullet"/>
        <w:numPr>
          <w:ilvl w:val="0"/>
          <w:numId w:val="0"/>
        </w:numPr>
        <w:spacing w:line="240" w:lineRule="auto"/>
        <w:jc w:val="both"/>
        <w:rPr>
          <w:lang w:val="en-GB"/>
        </w:rPr>
      </w:pPr>
      <w:r>
        <w:rPr>
          <w:lang w:val="en-GB"/>
        </w:rPr>
        <w:t>Height in metres (to the nearest cm) and weight in kg (to the nearest 0.1 kg) in indoor clothing and without shoes will be measured.  BMI = body weight (kg) / [height (m)]2 will be calculated.</w:t>
      </w:r>
    </w:p>
    <w:p w14:paraId="73FB2144" w14:textId="599F5003" w:rsidR="005E785F" w:rsidRDefault="003621E8">
      <w:pPr>
        <w:pStyle w:val="Heading4"/>
      </w:pPr>
      <w:bookmarkStart w:id="160" w:name="_Toc74904401"/>
      <w:r>
        <w:t>Medical and Surgical History</w:t>
      </w:r>
      <w:bookmarkEnd w:id="160"/>
    </w:p>
    <w:p w14:paraId="73FB2145" w14:textId="11F755BA" w:rsidR="005E785F" w:rsidRDefault="003621E8">
      <w:pPr>
        <w:pStyle w:val="C-Bullet"/>
        <w:numPr>
          <w:ilvl w:val="0"/>
          <w:numId w:val="0"/>
        </w:numPr>
        <w:tabs>
          <w:tab w:val="left" w:pos="0"/>
        </w:tabs>
        <w:spacing w:line="240" w:lineRule="auto"/>
        <w:jc w:val="both"/>
        <w:rPr>
          <w:lang w:val="en-GB"/>
        </w:rPr>
      </w:pPr>
      <w:r>
        <w:rPr>
          <w:lang w:val="en-GB"/>
        </w:rPr>
        <w:t xml:space="preserve">Relevant medical and surgical history will be recorded in the eCRF.  </w:t>
      </w:r>
    </w:p>
    <w:p w14:paraId="73FB2146" w14:textId="24F56EDF" w:rsidR="005E785F" w:rsidRDefault="003621E8">
      <w:pPr>
        <w:pStyle w:val="Heading4"/>
      </w:pPr>
      <w:bookmarkStart w:id="161" w:name="_Toc442704841"/>
      <w:bookmarkStart w:id="162" w:name="_Toc442704842"/>
      <w:bookmarkStart w:id="163" w:name="_Toc74904402"/>
      <w:bookmarkEnd w:id="161"/>
      <w:r>
        <w:t>Virology</w:t>
      </w:r>
      <w:bookmarkEnd w:id="162"/>
      <w:r>
        <w:t xml:space="preserve"> Tests</w:t>
      </w:r>
      <w:bookmarkEnd w:id="163"/>
    </w:p>
    <w:p w14:paraId="73FB2147" w14:textId="0CECD400" w:rsidR="005E785F" w:rsidRDefault="003621E8">
      <w:pPr>
        <w:spacing w:before="120" w:after="120"/>
        <w:jc w:val="both"/>
        <w:rPr>
          <w:lang w:val="en-GB"/>
        </w:rPr>
      </w:pPr>
      <w:r>
        <w:rPr>
          <w:lang w:val="en-GB"/>
        </w:rPr>
        <w:t xml:space="preserve">Virology tests: HBsAg, HCV Ab and HIV test (antibodies to HIV-1 and HIV-2). </w:t>
      </w:r>
    </w:p>
    <w:p w14:paraId="73FB2148" w14:textId="147B9075" w:rsidR="005E785F" w:rsidRDefault="003621E8">
      <w:pPr>
        <w:pStyle w:val="C-Bullet"/>
        <w:numPr>
          <w:ilvl w:val="0"/>
          <w:numId w:val="0"/>
        </w:numPr>
        <w:spacing w:line="240" w:lineRule="auto"/>
        <w:jc w:val="both"/>
        <w:rPr>
          <w:szCs w:val="24"/>
          <w:lang w:val="en-GB"/>
        </w:rPr>
      </w:pPr>
      <w:r>
        <w:rPr>
          <w:lang w:val="en-GB"/>
        </w:rPr>
        <w:t xml:space="preserve">Virology tests </w:t>
      </w:r>
      <w:r>
        <w:rPr>
          <w:szCs w:val="24"/>
          <w:lang w:val="en-GB"/>
        </w:rPr>
        <w:t>will be analysed from the same serum sample for biochemistry analyses at Screening by Simbec-Orion Laboratory Services, or at an appropriate referral laboratory, using an appropriate</w:t>
      </w:r>
      <w:r>
        <w:rPr>
          <w:lang w:val="en-GB"/>
        </w:rPr>
        <w:t xml:space="preserve"> analyser/method(s) of analyses</w:t>
      </w:r>
      <w:r>
        <w:rPr>
          <w:szCs w:val="24"/>
          <w:lang w:val="en-GB"/>
        </w:rPr>
        <w:t xml:space="preserve">.  </w:t>
      </w:r>
    </w:p>
    <w:p w14:paraId="30860AE2" w14:textId="77777777" w:rsidR="005E785F" w:rsidRDefault="003621E8">
      <w:pPr>
        <w:pStyle w:val="Heading4"/>
      </w:pPr>
      <w:bookmarkStart w:id="164" w:name="_Toc74904403"/>
      <w:bookmarkStart w:id="165" w:name="_Hlk55327027"/>
      <w:r>
        <w:t>COVID-19 PCR Testing:</w:t>
      </w:r>
      <w:bookmarkEnd w:id="164"/>
    </w:p>
    <w:p w14:paraId="63618DB3" w14:textId="176511E8" w:rsidR="005E785F" w:rsidRDefault="003621E8">
      <w:pPr>
        <w:jc w:val="both"/>
        <w:rPr>
          <w:lang w:val="en-GB"/>
        </w:rPr>
      </w:pPr>
      <w:r>
        <w:rPr>
          <w:lang w:val="en-GB"/>
        </w:rPr>
        <w:t>A nasopharyngeal and/or oropharyngeal swab will be collected. A real-time reverse transcription polymerase chain reaction (RT-PCR) test will be performed by Simbec-Orion Laboratories Services, using the Menarini VitaPCR analyser/</w:t>
      </w:r>
      <w:r>
        <w:rPr>
          <w:szCs w:val="24"/>
          <w:lang w:val="en-GB"/>
        </w:rPr>
        <w:t>using an</w:t>
      </w:r>
      <w:r>
        <w:t xml:space="preserve"> appropriate analyser/manual kit(s)/method(s) of analysis</w:t>
      </w:r>
      <w:r>
        <w:rPr>
          <w:lang w:val="en-GB"/>
        </w:rPr>
        <w:t>.</w:t>
      </w:r>
      <w:bookmarkEnd w:id="165"/>
    </w:p>
    <w:p w14:paraId="73FB2149" w14:textId="2523D5AB" w:rsidR="005E785F" w:rsidRDefault="003621E8">
      <w:pPr>
        <w:pStyle w:val="Heading4"/>
      </w:pPr>
      <w:bookmarkStart w:id="166" w:name="_Toc442704843"/>
      <w:bookmarkStart w:id="167" w:name="_Toc74904404"/>
      <w:r>
        <w:t>Drugs of Abuse (including Alcohol</w:t>
      </w:r>
      <w:bookmarkEnd w:id="166"/>
      <w:r>
        <w:t xml:space="preserve"> and Cotinine)</w:t>
      </w:r>
      <w:bookmarkEnd w:id="167"/>
    </w:p>
    <w:p w14:paraId="23E63E52" w14:textId="77777777" w:rsidR="005E785F" w:rsidRDefault="003621E8">
      <w:pPr>
        <w:spacing w:before="120" w:after="120"/>
        <w:jc w:val="both"/>
        <w:rPr>
          <w:lang w:val="en-GB"/>
        </w:rPr>
      </w:pPr>
      <w:r>
        <w:rPr>
          <w:lang w:val="en-GB"/>
        </w:rPr>
        <w:t xml:space="preserve">Urine DOA screen (including alcohol and cotinine): </w:t>
      </w:r>
    </w:p>
    <w:p w14:paraId="52F18E81" w14:textId="4A55AA33" w:rsidR="005E785F" w:rsidRDefault="003621E8">
      <w:pPr>
        <w:pStyle w:val="ListParagraph"/>
        <w:numPr>
          <w:ilvl w:val="0"/>
          <w:numId w:val="53"/>
        </w:numPr>
        <w:jc w:val="both"/>
        <w:rPr>
          <w:lang w:val="en-GB"/>
        </w:rPr>
      </w:pPr>
      <w:r>
        <w:rPr>
          <w:lang w:val="en-GB"/>
        </w:rPr>
        <w:t>Alcohol</w:t>
      </w:r>
    </w:p>
    <w:p w14:paraId="17F4C5FB" w14:textId="5305D8B1" w:rsidR="005E785F" w:rsidRDefault="003621E8">
      <w:pPr>
        <w:pStyle w:val="ListParagraph"/>
        <w:numPr>
          <w:ilvl w:val="0"/>
          <w:numId w:val="53"/>
        </w:numPr>
        <w:jc w:val="both"/>
        <w:rPr>
          <w:lang w:val="en-GB"/>
        </w:rPr>
      </w:pPr>
      <w:r>
        <w:rPr>
          <w:lang w:val="en-GB"/>
        </w:rPr>
        <w:t>Cotinine</w:t>
      </w:r>
    </w:p>
    <w:p w14:paraId="245BDCDE" w14:textId="1916F5E6" w:rsidR="005E785F" w:rsidRDefault="003621E8">
      <w:pPr>
        <w:pStyle w:val="ListParagraph"/>
        <w:numPr>
          <w:ilvl w:val="0"/>
          <w:numId w:val="53"/>
        </w:numPr>
        <w:jc w:val="both"/>
        <w:rPr>
          <w:lang w:val="en-GB"/>
        </w:rPr>
      </w:pPr>
      <w:r>
        <w:rPr>
          <w:lang w:val="en-GB"/>
        </w:rPr>
        <w:t>Amphetamines</w:t>
      </w:r>
    </w:p>
    <w:p w14:paraId="7334EA57" w14:textId="7FA269FF" w:rsidR="005E785F" w:rsidRDefault="003621E8">
      <w:pPr>
        <w:pStyle w:val="ListParagraph"/>
        <w:numPr>
          <w:ilvl w:val="0"/>
          <w:numId w:val="53"/>
        </w:numPr>
        <w:jc w:val="both"/>
        <w:rPr>
          <w:lang w:val="en-GB"/>
        </w:rPr>
      </w:pPr>
      <w:r>
        <w:rPr>
          <w:lang w:val="en-GB"/>
        </w:rPr>
        <w:t>Barbiturates</w:t>
      </w:r>
    </w:p>
    <w:p w14:paraId="500F0690" w14:textId="1FF81C25" w:rsidR="005E785F" w:rsidRDefault="003621E8">
      <w:pPr>
        <w:pStyle w:val="ListParagraph"/>
        <w:numPr>
          <w:ilvl w:val="0"/>
          <w:numId w:val="53"/>
        </w:numPr>
        <w:jc w:val="both"/>
        <w:rPr>
          <w:lang w:val="en-GB"/>
        </w:rPr>
      </w:pPr>
      <w:r>
        <w:rPr>
          <w:lang w:val="en-GB"/>
        </w:rPr>
        <w:t>Benzodiazepines</w:t>
      </w:r>
    </w:p>
    <w:p w14:paraId="6B7B9EFF" w14:textId="72009DF6" w:rsidR="005E785F" w:rsidRDefault="003621E8">
      <w:pPr>
        <w:pStyle w:val="ListParagraph"/>
        <w:numPr>
          <w:ilvl w:val="0"/>
          <w:numId w:val="53"/>
        </w:numPr>
        <w:jc w:val="both"/>
        <w:rPr>
          <w:lang w:val="en-GB"/>
        </w:rPr>
      </w:pPr>
      <w:r>
        <w:rPr>
          <w:lang w:val="en-GB"/>
        </w:rPr>
        <w:t>Cocaine</w:t>
      </w:r>
    </w:p>
    <w:p w14:paraId="008F90EE" w14:textId="375C50B1" w:rsidR="005E785F" w:rsidRDefault="003621E8">
      <w:pPr>
        <w:pStyle w:val="ListParagraph"/>
        <w:numPr>
          <w:ilvl w:val="0"/>
          <w:numId w:val="53"/>
        </w:numPr>
        <w:jc w:val="both"/>
        <w:rPr>
          <w:lang w:val="en-GB"/>
        </w:rPr>
      </w:pPr>
      <w:r>
        <w:rPr>
          <w:lang w:val="en-GB"/>
        </w:rPr>
        <w:t>Marijuana/Cannabis</w:t>
      </w:r>
    </w:p>
    <w:p w14:paraId="1EB7AA58" w14:textId="77D3324E" w:rsidR="005E785F" w:rsidRDefault="003621E8">
      <w:pPr>
        <w:pStyle w:val="ListParagraph"/>
        <w:numPr>
          <w:ilvl w:val="0"/>
          <w:numId w:val="53"/>
        </w:numPr>
        <w:jc w:val="both"/>
        <w:rPr>
          <w:lang w:val="en-GB"/>
        </w:rPr>
      </w:pPr>
      <w:r>
        <w:rPr>
          <w:lang w:val="en-GB"/>
        </w:rPr>
        <w:t>Methadone</w:t>
      </w:r>
    </w:p>
    <w:p w14:paraId="070EA812" w14:textId="3B5E353D" w:rsidR="005E785F" w:rsidRDefault="003621E8">
      <w:pPr>
        <w:pStyle w:val="ListParagraph"/>
        <w:numPr>
          <w:ilvl w:val="0"/>
          <w:numId w:val="53"/>
        </w:numPr>
        <w:jc w:val="both"/>
        <w:rPr>
          <w:lang w:val="en-GB"/>
        </w:rPr>
      </w:pPr>
      <w:r>
        <w:rPr>
          <w:lang w:val="en-GB"/>
        </w:rPr>
        <w:t>Methamphetamine (reported under Amphetamine test)</w:t>
      </w:r>
    </w:p>
    <w:p w14:paraId="58527F0F" w14:textId="79A27A34" w:rsidR="005E785F" w:rsidRDefault="003621E8">
      <w:pPr>
        <w:pStyle w:val="ListParagraph"/>
        <w:numPr>
          <w:ilvl w:val="0"/>
          <w:numId w:val="53"/>
        </w:numPr>
        <w:jc w:val="both"/>
        <w:rPr>
          <w:lang w:val="en-GB"/>
        </w:rPr>
      </w:pPr>
      <w:r>
        <w:rPr>
          <w:lang w:val="en-GB"/>
        </w:rPr>
        <w:t>Ecstasy (reported under Amphetamine test)</w:t>
      </w:r>
    </w:p>
    <w:p w14:paraId="6FE153B3" w14:textId="64FD38CB" w:rsidR="005E785F" w:rsidRDefault="003621E8">
      <w:pPr>
        <w:pStyle w:val="ListParagraph"/>
        <w:numPr>
          <w:ilvl w:val="0"/>
          <w:numId w:val="53"/>
        </w:numPr>
        <w:jc w:val="both"/>
        <w:rPr>
          <w:lang w:val="en-GB"/>
        </w:rPr>
      </w:pPr>
      <w:r>
        <w:rPr>
          <w:lang w:val="en-GB"/>
        </w:rPr>
        <w:t>Morphine/Opiates</w:t>
      </w:r>
    </w:p>
    <w:p w14:paraId="3254FC1B" w14:textId="6169E8D2" w:rsidR="005E785F" w:rsidRDefault="003621E8">
      <w:pPr>
        <w:pStyle w:val="ListParagraph"/>
        <w:numPr>
          <w:ilvl w:val="0"/>
          <w:numId w:val="53"/>
        </w:numPr>
        <w:jc w:val="both"/>
        <w:rPr>
          <w:lang w:val="en-GB"/>
        </w:rPr>
      </w:pPr>
      <w:r>
        <w:rPr>
          <w:lang w:val="en-GB"/>
        </w:rPr>
        <w:t>Phencyclidine</w:t>
      </w:r>
    </w:p>
    <w:p w14:paraId="142C24B7" w14:textId="01F977BD" w:rsidR="005E785F" w:rsidRDefault="003621E8">
      <w:pPr>
        <w:pStyle w:val="ListParagraph"/>
        <w:numPr>
          <w:ilvl w:val="0"/>
          <w:numId w:val="53"/>
        </w:numPr>
        <w:jc w:val="both"/>
        <w:rPr>
          <w:lang w:val="en-GB"/>
        </w:rPr>
      </w:pPr>
      <w:r>
        <w:rPr>
          <w:lang w:val="en-GB"/>
        </w:rPr>
        <w:t>Tricyclic Antidepressants</w:t>
      </w:r>
    </w:p>
    <w:p w14:paraId="73FB214C" w14:textId="35BA795E" w:rsidR="005E785F" w:rsidRDefault="003621E8">
      <w:pPr>
        <w:pStyle w:val="C-Bullet"/>
        <w:numPr>
          <w:ilvl w:val="0"/>
          <w:numId w:val="0"/>
        </w:numPr>
        <w:spacing w:line="240" w:lineRule="auto"/>
        <w:jc w:val="both"/>
        <w:rPr>
          <w:lang w:val="en-GB"/>
        </w:rPr>
      </w:pPr>
      <w:r>
        <w:rPr>
          <w:lang w:val="en-GB"/>
        </w:rPr>
        <w:lastRenderedPageBreak/>
        <w:t xml:space="preserve">A </w:t>
      </w:r>
      <w:r>
        <w:rPr>
          <w:b/>
          <w:u w:val="single"/>
          <w:lang w:val="en-GB"/>
        </w:rPr>
        <w:t>mid-stream</w:t>
      </w:r>
      <w:r>
        <w:rPr>
          <w:lang w:val="en-GB"/>
        </w:rPr>
        <w:t xml:space="preserve"> urine sample will be collected into a universal collection/storage container. At protocol-defined time-points, when both urinalysis and DOA/alcohol screening are required, all urine analyses will be performed from a single approximately 30 mL urine sample.</w:t>
      </w:r>
    </w:p>
    <w:p w14:paraId="76E7CB43" w14:textId="4DCEEAD5" w:rsidR="005E785F" w:rsidRDefault="003621E8">
      <w:pPr>
        <w:autoSpaceDE w:val="0"/>
        <w:autoSpaceDN w:val="0"/>
        <w:adjustRightInd w:val="0"/>
        <w:spacing w:before="120" w:after="120"/>
        <w:jc w:val="both"/>
        <w:rPr>
          <w:lang w:val="en-GB"/>
        </w:rPr>
      </w:pPr>
      <w:r>
        <w:rPr>
          <w:rFonts w:cs="Times New Roman"/>
          <w:szCs w:val="24"/>
          <w:lang w:val="en-GB"/>
        </w:rPr>
        <w:t xml:space="preserve">Urine samples for DOA (including alcohol and cotinine) will be analysed by </w:t>
      </w:r>
      <w:r>
        <w:rPr>
          <w:szCs w:val="24"/>
          <w:lang w:val="en-GB"/>
        </w:rPr>
        <w:t>Simbec-Orion Laboratory Services</w:t>
      </w:r>
      <w:r>
        <w:rPr>
          <w:rFonts w:cs="Times New Roman"/>
          <w:szCs w:val="24"/>
          <w:lang w:val="en-GB"/>
        </w:rPr>
        <w:t xml:space="preserve">, </w:t>
      </w:r>
      <w:r>
        <w:rPr>
          <w:szCs w:val="24"/>
          <w:lang w:val="en-GB"/>
        </w:rPr>
        <w:t xml:space="preserve">or at an appropriate referral laboratory, </w:t>
      </w:r>
      <w:r>
        <w:rPr>
          <w:rFonts w:cs="Times New Roman"/>
          <w:szCs w:val="24"/>
          <w:lang w:val="en-GB"/>
        </w:rPr>
        <w:t xml:space="preserve">using an appropriate </w:t>
      </w:r>
      <w:r>
        <w:rPr>
          <w:lang w:val="en-GB"/>
        </w:rPr>
        <w:t>analyser/manual kit(s)/method(s) of analyses</w:t>
      </w:r>
      <w:r>
        <w:rPr>
          <w:rFonts w:cs="Times New Roman"/>
          <w:szCs w:val="24"/>
          <w:lang w:val="en-GB"/>
        </w:rPr>
        <w:t>.</w:t>
      </w:r>
      <w:r>
        <w:rPr>
          <w:lang w:val="en-GB"/>
        </w:rPr>
        <w:t xml:space="preserve"> </w:t>
      </w:r>
    </w:p>
    <w:p w14:paraId="73FB214D" w14:textId="6C01F1DB" w:rsidR="005E785F" w:rsidRDefault="003621E8">
      <w:pPr>
        <w:autoSpaceDE w:val="0"/>
        <w:autoSpaceDN w:val="0"/>
        <w:adjustRightInd w:val="0"/>
        <w:spacing w:before="120" w:after="120"/>
        <w:jc w:val="both"/>
        <w:rPr>
          <w:rFonts w:cs="Times New Roman"/>
          <w:szCs w:val="24"/>
          <w:lang w:val="en-GB"/>
        </w:rPr>
      </w:pPr>
      <w:r>
        <w:rPr>
          <w:lang w:val="en-GB"/>
        </w:rPr>
        <w:t>Assessments of urine sample quality (i.e., urine sample verification/adulteration) will be performed by measuring urine creatinine for urine DOA.</w:t>
      </w:r>
    </w:p>
    <w:p w14:paraId="73FB2152" w14:textId="77777777" w:rsidR="005E785F" w:rsidRDefault="003621E8">
      <w:pPr>
        <w:pStyle w:val="Heading4"/>
      </w:pPr>
      <w:bookmarkStart w:id="168" w:name="_Toc74904405"/>
      <w:r>
        <w:t>Compliance with Inclusion/Exclusion Criteria</w:t>
      </w:r>
      <w:bookmarkEnd w:id="168"/>
    </w:p>
    <w:p w14:paraId="73FB2153" w14:textId="1613C57F" w:rsidR="005E785F" w:rsidRDefault="003621E8">
      <w:pPr>
        <w:spacing w:before="120" w:after="120"/>
        <w:jc w:val="both"/>
        <w:rPr>
          <w:lang w:val="en-GB"/>
        </w:rPr>
      </w:pPr>
      <w:r>
        <w:rPr>
          <w:lang w:val="en-GB"/>
        </w:rPr>
        <w:t xml:space="preserve">An Investigator will assess all participants against the study inclusion and exclusion criteria at Screening. Compliance will be re-confirmed on Day -1. </w:t>
      </w:r>
    </w:p>
    <w:p w14:paraId="73FB2154" w14:textId="7C3E68B7" w:rsidR="005E785F" w:rsidRDefault="003621E8">
      <w:pPr>
        <w:pStyle w:val="Heading3"/>
      </w:pPr>
      <w:bookmarkStart w:id="169" w:name="_Toc74904406"/>
      <w:r>
        <w:t>Efficacy Assessments</w:t>
      </w:r>
      <w:bookmarkEnd w:id="158"/>
      <w:bookmarkEnd w:id="169"/>
    </w:p>
    <w:p w14:paraId="73FB2158" w14:textId="77777777" w:rsidR="005E785F" w:rsidRDefault="003621E8">
      <w:pPr>
        <w:pStyle w:val="BodyText"/>
      </w:pPr>
      <w:r>
        <w:t>Not applicable.</w:t>
      </w:r>
    </w:p>
    <w:p w14:paraId="73FB2159" w14:textId="2E12822E" w:rsidR="005E785F" w:rsidRDefault="003621E8">
      <w:pPr>
        <w:pStyle w:val="Heading3"/>
      </w:pPr>
      <w:bookmarkStart w:id="170" w:name="_Toc74904407"/>
      <w:r>
        <w:t>Safety Assessments</w:t>
      </w:r>
      <w:bookmarkEnd w:id="170"/>
    </w:p>
    <w:p w14:paraId="73FB215B" w14:textId="7C483535" w:rsidR="005E785F" w:rsidRDefault="003621E8">
      <w:pPr>
        <w:spacing w:before="120" w:after="120"/>
        <w:jc w:val="both"/>
        <w:rPr>
          <w:lang w:val="en-GB"/>
        </w:rPr>
      </w:pPr>
      <w:r>
        <w:rPr>
          <w:rFonts w:eastAsia="MS Mincho"/>
          <w:lang w:val="en-GB"/>
        </w:rPr>
        <w:t xml:space="preserve">Safety assessments will be performed at the time-points specified in </w:t>
      </w:r>
      <w:r>
        <w:rPr>
          <w:rFonts w:eastAsia="MS Mincho"/>
          <w:color w:val="0000FF"/>
          <w:lang w:val="en-GB"/>
        </w:rPr>
        <w:fldChar w:fldCharType="begin"/>
      </w:r>
      <w:r>
        <w:rPr>
          <w:rFonts w:eastAsia="MS Mincho"/>
          <w:color w:val="0000FF"/>
          <w:lang w:val="en-GB"/>
        </w:rPr>
        <w:instrText xml:space="preserve"> REF _Ref66109390 \h </w:instrText>
      </w:r>
      <w:r>
        <w:rPr>
          <w:rFonts w:eastAsia="MS Mincho"/>
          <w:color w:val="0000FF"/>
          <w:lang w:val="en-GB"/>
        </w:rPr>
      </w:r>
      <w:r>
        <w:rPr>
          <w:rFonts w:eastAsia="MS Mincho"/>
          <w:color w:val="0000FF"/>
          <w:lang w:val="en-GB"/>
        </w:rPr>
        <w:fldChar w:fldCharType="separate"/>
      </w:r>
      <w:r>
        <w:rPr>
          <w:color w:val="0000FF"/>
        </w:rPr>
        <w:t>Table 5</w:t>
      </w:r>
      <w:r>
        <w:rPr>
          <w:rFonts w:eastAsia="MS Mincho"/>
          <w:color w:val="0000FF"/>
          <w:lang w:val="en-GB"/>
        </w:rPr>
        <w:fldChar w:fldCharType="end"/>
      </w:r>
      <w:r>
        <w:rPr>
          <w:color w:val="0000FF"/>
          <w:lang w:val="en-GB"/>
        </w:rPr>
        <w:t>.</w:t>
      </w:r>
    </w:p>
    <w:p w14:paraId="21A9579C" w14:textId="77777777" w:rsidR="005E785F" w:rsidRDefault="003621E8">
      <w:pPr>
        <w:pStyle w:val="Heading4"/>
      </w:pPr>
      <w:bookmarkStart w:id="171" w:name="_Ref49526891"/>
      <w:bookmarkStart w:id="172" w:name="_Toc74904408"/>
      <w:r>
        <w:t>Definitions</w:t>
      </w:r>
      <w:bookmarkEnd w:id="171"/>
      <w:bookmarkEnd w:id="172"/>
      <w:r>
        <w:t xml:space="preserve"> </w:t>
      </w:r>
    </w:p>
    <w:p w14:paraId="7892C7A5" w14:textId="77777777" w:rsidR="005E785F" w:rsidRDefault="003621E8">
      <w:pPr>
        <w:rPr>
          <w:b/>
          <w:bCs/>
        </w:rPr>
      </w:pPr>
      <w:r>
        <w:rPr>
          <w:b/>
          <w:bCs/>
        </w:rPr>
        <w:t>Adverse Events:</w:t>
      </w:r>
    </w:p>
    <w:p w14:paraId="32020C30" w14:textId="77777777" w:rsidR="005E785F" w:rsidRDefault="003621E8">
      <w:pPr>
        <w:spacing w:before="120" w:after="120"/>
        <w:jc w:val="both"/>
        <w:rPr>
          <w:lang w:val="en-GB"/>
        </w:rPr>
      </w:pPr>
      <w:r>
        <w:rPr>
          <w:lang w:val="en-GB"/>
        </w:rPr>
        <w:t>An AE is any untoward medical occurrence in a patient or clinical trial subject administered an IMP, which does not necessarily have a causal relationship with this treatment.</w:t>
      </w:r>
    </w:p>
    <w:p w14:paraId="139A6209" w14:textId="1A741C75" w:rsidR="005E785F" w:rsidRDefault="003621E8">
      <w:pPr>
        <w:spacing w:before="120" w:after="120"/>
        <w:jc w:val="both"/>
        <w:rPr>
          <w:lang w:val="en-GB"/>
        </w:rPr>
      </w:pPr>
      <w:r>
        <w:rPr>
          <w:lang w:val="en-GB"/>
        </w:rPr>
        <w:t xml:space="preserve">It can therefore be any unfavourable and unintended sign (i.e., an abnormal laboratory finding), symptom, or disease temporally associated with the use of a medicinal product, whether or not considered related to the medicinal product. </w:t>
      </w:r>
    </w:p>
    <w:p w14:paraId="24AFA985" w14:textId="5E979051" w:rsidR="005E785F" w:rsidRDefault="003621E8">
      <w:pPr>
        <w:spacing w:before="120" w:after="120"/>
        <w:jc w:val="both"/>
        <w:rPr>
          <w:lang w:val="en-GB"/>
        </w:rPr>
      </w:pPr>
      <w:r>
        <w:rPr>
          <w:lang w:val="en-GB"/>
        </w:rPr>
        <w:t>Definition of an AE includes worsening (in severity and frequency) of pre-existing conditions (“Medical history”) before first IMP administration and abnormalities of procedures (i.e., 12-lead ECG results) or abnormal laboratory results which are assessed as “clinically significant”.</w:t>
      </w:r>
    </w:p>
    <w:p w14:paraId="6587C9CB" w14:textId="77777777" w:rsidR="005E785F" w:rsidRDefault="003621E8">
      <w:pPr>
        <w:rPr>
          <w:b/>
          <w:bCs/>
        </w:rPr>
      </w:pPr>
      <w:r>
        <w:rPr>
          <w:b/>
          <w:bCs/>
        </w:rPr>
        <w:t>Clinically Significant Laboratory Procedures/Abnormalities:</w:t>
      </w:r>
    </w:p>
    <w:p w14:paraId="25554CD6" w14:textId="19A143EC" w:rsidR="005E785F" w:rsidRDefault="003621E8">
      <w:pPr>
        <w:spacing w:before="120" w:after="120"/>
        <w:jc w:val="both"/>
        <w:rPr>
          <w:lang w:val="en-GB"/>
        </w:rPr>
      </w:pPr>
      <w:r>
        <w:rPr>
          <w:lang w:val="en-GB"/>
        </w:rPr>
        <w:t xml:space="preserve">For every laboratory assessment, the Investigator will evaluate if the laboratory test result is normal or abnormal. If abnormal (after repeat test as performed), the Investigator will assess if this finding is clinically significant or not. If a laboratory parameter is abnormal and clinically significant, it should be reported as an AE. </w:t>
      </w:r>
    </w:p>
    <w:p w14:paraId="54718149" w14:textId="5543DA7B" w:rsidR="005E785F" w:rsidRDefault="003621E8">
      <w:pPr>
        <w:spacing w:before="120" w:after="120"/>
        <w:jc w:val="both"/>
        <w:rPr>
          <w:lang w:val="en-GB"/>
        </w:rPr>
      </w:pPr>
      <w:r>
        <w:rPr>
          <w:lang w:val="en-GB"/>
        </w:rPr>
        <w:t xml:space="preserve">An abnormal laboratory/procedure result must be compared with the previous value, taking into account normal values in the studied population/country. </w:t>
      </w:r>
    </w:p>
    <w:p w14:paraId="2179BBAB" w14:textId="1CC99EC6" w:rsidR="005E785F" w:rsidRDefault="003621E8">
      <w:pPr>
        <w:spacing w:before="120" w:after="120"/>
        <w:jc w:val="both"/>
        <w:rPr>
          <w:lang w:val="en-GB"/>
        </w:rPr>
      </w:pPr>
      <w:r>
        <w:rPr>
          <w:lang w:val="en-GB"/>
        </w:rPr>
        <w:t xml:space="preserve">A treatment emergent adverse event (TEAE) is a new event after the administration of the first dose of the study drug or a worsening in the condition. In the case of abnormal laboratory/procedure tests results, it is an increase in severity (clinical intensity) of the abnormality which is judged clinically significant by the Investigator. </w:t>
      </w:r>
    </w:p>
    <w:p w14:paraId="5621430C" w14:textId="77777777" w:rsidR="005E785F" w:rsidRDefault="003621E8">
      <w:pPr>
        <w:spacing w:before="120" w:after="120"/>
        <w:jc w:val="both"/>
        <w:rPr>
          <w:lang w:val="en-GB"/>
        </w:rPr>
      </w:pPr>
      <w:r>
        <w:rPr>
          <w:lang w:val="en-GB"/>
        </w:rPr>
        <w:lastRenderedPageBreak/>
        <w:t xml:space="preserve">Any abnormalities will be assessed as “clinically significant” (and therefore have to be reported as an AE) if they meet at least one of the following conditions: </w:t>
      </w:r>
    </w:p>
    <w:p w14:paraId="5515F87A" w14:textId="77777777" w:rsidR="005E785F" w:rsidRDefault="003621E8">
      <w:pPr>
        <w:numPr>
          <w:ilvl w:val="1"/>
          <w:numId w:val="56"/>
        </w:numPr>
        <w:jc w:val="both"/>
        <w:rPr>
          <w:lang w:val="en-GB"/>
        </w:rPr>
      </w:pPr>
      <w:r>
        <w:rPr>
          <w:lang w:val="en-GB"/>
        </w:rPr>
        <w:t xml:space="preserve">The abnormality suggests a disease and/or organ toxicity AND this abnormality was not present at the Screening visit or is assessed as having evolved since the Screening visit, </w:t>
      </w:r>
    </w:p>
    <w:p w14:paraId="46EA4759" w14:textId="77777777" w:rsidR="005E785F" w:rsidRDefault="003621E8">
      <w:pPr>
        <w:numPr>
          <w:ilvl w:val="1"/>
          <w:numId w:val="56"/>
        </w:numPr>
        <w:jc w:val="both"/>
        <w:rPr>
          <w:lang w:val="en-GB"/>
        </w:rPr>
      </w:pPr>
      <w:r>
        <w:rPr>
          <w:lang w:val="en-GB"/>
        </w:rPr>
        <w:t>The abnormality requires medical intervention or concomitant therapy,</w:t>
      </w:r>
    </w:p>
    <w:p w14:paraId="24BFF1CF" w14:textId="77777777" w:rsidR="005E785F" w:rsidRDefault="003621E8">
      <w:pPr>
        <w:numPr>
          <w:ilvl w:val="1"/>
          <w:numId w:val="56"/>
        </w:numPr>
        <w:jc w:val="both"/>
        <w:rPr>
          <w:lang w:val="en-GB"/>
        </w:rPr>
      </w:pPr>
      <w:r>
        <w:rPr>
          <w:lang w:val="en-GB"/>
        </w:rPr>
        <w:t xml:space="preserve">Furthermore, laboratory abnormalities associated with clinical signs and symptoms will also be considered clinically significant. </w:t>
      </w:r>
    </w:p>
    <w:p w14:paraId="72AC48D2" w14:textId="2EF4E00E" w:rsidR="005E785F" w:rsidRDefault="003621E8">
      <w:pPr>
        <w:spacing w:before="120" w:after="120"/>
        <w:jc w:val="both"/>
        <w:rPr>
          <w:lang w:val="en-GB"/>
        </w:rPr>
      </w:pPr>
      <w:r>
        <w:rPr>
          <w:lang w:val="en-GB"/>
        </w:rPr>
        <w:t>When reporting an abnormal laboratory result as an AE, a clinical diagnosis should be recorded rather than the abnormal value itself, if available. However, in these cases, the AE should be recorded as the syndromic clinical diagnosis (i.e., acute pancreatitis instead of each finding separately: high levels of amylase, high levels of lipase, abdominal pain and vomiting; “hypokalaemia” rather than “decreased potassium levels”).</w:t>
      </w:r>
    </w:p>
    <w:p w14:paraId="56728A16" w14:textId="77777777" w:rsidR="005E785F" w:rsidRDefault="003621E8">
      <w:pPr>
        <w:spacing w:before="240" w:after="120"/>
        <w:rPr>
          <w:b/>
          <w:bCs/>
        </w:rPr>
      </w:pPr>
      <w:r>
        <w:rPr>
          <w:b/>
          <w:bCs/>
        </w:rPr>
        <w:t>Adverse Drug Reaction:</w:t>
      </w:r>
    </w:p>
    <w:p w14:paraId="03285A1E" w14:textId="77777777" w:rsidR="005E785F" w:rsidRDefault="003621E8">
      <w:pPr>
        <w:spacing w:before="120" w:after="120"/>
        <w:jc w:val="both"/>
        <w:rPr>
          <w:lang w:val="en-GB"/>
        </w:rPr>
      </w:pPr>
      <w:r>
        <w:rPr>
          <w:lang w:val="en-GB"/>
        </w:rPr>
        <w:t>An adverse drug reaction (ADR) is any AE where a causal relationship with the IMP is at least a reasonable possibility (possibly related, probably related or definitely related). This means that there are facts (evidence) or arguments to suggest a causal relationship between the event and the IMP (see definition of causality below).</w:t>
      </w:r>
    </w:p>
    <w:p w14:paraId="3E15E87F" w14:textId="77777777" w:rsidR="005E785F" w:rsidRDefault="003621E8">
      <w:pPr>
        <w:spacing w:before="240" w:after="120"/>
        <w:rPr>
          <w:b/>
          <w:bCs/>
        </w:rPr>
      </w:pPr>
      <w:r>
        <w:rPr>
          <w:b/>
          <w:bCs/>
        </w:rPr>
        <w:t>Serious Adverse Events:</w:t>
      </w:r>
    </w:p>
    <w:p w14:paraId="6985216F" w14:textId="77777777" w:rsidR="005E785F" w:rsidRDefault="003621E8">
      <w:pPr>
        <w:spacing w:before="120" w:after="120"/>
        <w:rPr>
          <w:lang w:val="en-GB"/>
        </w:rPr>
      </w:pPr>
      <w:r>
        <w:rPr>
          <w:lang w:val="en-GB"/>
        </w:rPr>
        <w:t>An SAE is defined as any untoward medical occurrence that at any dose:</w:t>
      </w:r>
    </w:p>
    <w:p w14:paraId="3360933D" w14:textId="0344387B" w:rsidR="005E785F" w:rsidRDefault="003621E8">
      <w:pPr>
        <w:numPr>
          <w:ilvl w:val="0"/>
          <w:numId w:val="57"/>
        </w:numPr>
        <w:spacing w:before="120" w:after="120"/>
        <w:rPr>
          <w:lang w:val="en-GB"/>
        </w:rPr>
      </w:pPr>
      <w:r>
        <w:rPr>
          <w:lang w:val="en-GB"/>
        </w:rPr>
        <w:t xml:space="preserve">results in death; </w:t>
      </w:r>
    </w:p>
    <w:p w14:paraId="1AFD64ED" w14:textId="77777777" w:rsidR="005E785F" w:rsidRDefault="003621E8">
      <w:pPr>
        <w:numPr>
          <w:ilvl w:val="0"/>
          <w:numId w:val="57"/>
        </w:numPr>
        <w:spacing w:before="120" w:after="120"/>
        <w:jc w:val="both"/>
        <w:rPr>
          <w:lang w:val="en-GB"/>
        </w:rPr>
      </w:pPr>
      <w:r>
        <w:rPr>
          <w:lang w:val="en-GB"/>
        </w:rPr>
        <w:t>is life-threatening (at the time of the event): in this context refers to an AE in which the patient was at risk of death at the time of the AE; it does not refer to an AE that hypothetically might have caused death if more severe;</w:t>
      </w:r>
    </w:p>
    <w:p w14:paraId="0615A2CE" w14:textId="7D71F751" w:rsidR="005E785F" w:rsidRDefault="003621E8">
      <w:pPr>
        <w:numPr>
          <w:ilvl w:val="0"/>
          <w:numId w:val="57"/>
        </w:numPr>
        <w:spacing w:before="120" w:after="120"/>
        <w:jc w:val="both"/>
        <w:rPr>
          <w:lang w:val="en-GB"/>
        </w:rPr>
      </w:pPr>
      <w:r>
        <w:rPr>
          <w:lang w:val="en-GB"/>
        </w:rPr>
        <w:t>requires hospitalisation or prolongation of existing hospitalisation: i.e., the AE requires at least an overnight admission or prolongs a hospitalisation beyond the expected length of stay;</w:t>
      </w:r>
    </w:p>
    <w:p w14:paraId="07136FFD" w14:textId="77777777" w:rsidR="005E785F" w:rsidRDefault="003621E8">
      <w:pPr>
        <w:numPr>
          <w:ilvl w:val="0"/>
          <w:numId w:val="57"/>
        </w:numPr>
        <w:spacing w:before="120" w:after="120"/>
        <w:jc w:val="both"/>
        <w:rPr>
          <w:lang w:val="en-GB"/>
        </w:rPr>
      </w:pPr>
      <w:r>
        <w:rPr>
          <w:lang w:val="en-GB"/>
        </w:rPr>
        <w:t>results in persistent or significant disability or incapacity: i.e., the AE resulted in a substantial disruption of the subject’s ability to conduct normal activities;</w:t>
      </w:r>
    </w:p>
    <w:p w14:paraId="0FBBE467" w14:textId="1829C8C0" w:rsidR="005E785F" w:rsidRDefault="003621E8">
      <w:pPr>
        <w:numPr>
          <w:ilvl w:val="0"/>
          <w:numId w:val="57"/>
        </w:numPr>
        <w:spacing w:before="120" w:after="120"/>
        <w:jc w:val="both"/>
        <w:rPr>
          <w:lang w:val="en-GB"/>
        </w:rPr>
      </w:pPr>
      <w:r>
        <w:rPr>
          <w:lang w:val="en-GB"/>
        </w:rPr>
        <w:t>consists of a congenital anomaly or birth defect: i.e., an AE outcome in a child or foetus of a subject exposed to the IMP before conception or during pregnancy;</w:t>
      </w:r>
    </w:p>
    <w:p w14:paraId="3635EC54" w14:textId="16073E00" w:rsidR="005E785F" w:rsidRDefault="003621E8">
      <w:pPr>
        <w:numPr>
          <w:ilvl w:val="0"/>
          <w:numId w:val="57"/>
        </w:numPr>
        <w:spacing w:before="120" w:after="120"/>
        <w:jc w:val="both"/>
        <w:rPr>
          <w:lang w:val="en-GB"/>
        </w:rPr>
      </w:pPr>
      <w:r>
        <w:rPr>
          <w:lang w:val="en-GB"/>
        </w:rPr>
        <w:t xml:space="preserve">an important medical event as recognised by the PI: i.e., AE is medically significant: medical and scientific judgment should be exercised in deciding whether other situations should be considered serious events/reactions, such as important medical event that may not be immediately life-threatening or results in death or hospitalisation but may jeopardize the subject or may require intervention to prevent one of the other outcomes listed in the above definition should also usually be considered as serious. In addition, any suspected transmission via a medicinal product of an infectious agent is also considered a SAE/reaction. </w:t>
      </w:r>
    </w:p>
    <w:p w14:paraId="4DB83319" w14:textId="77777777" w:rsidR="005E785F" w:rsidRDefault="003621E8">
      <w:pPr>
        <w:spacing w:before="240" w:after="120"/>
        <w:rPr>
          <w:b/>
          <w:bCs/>
        </w:rPr>
      </w:pPr>
      <w:r>
        <w:rPr>
          <w:b/>
          <w:bCs/>
        </w:rPr>
        <w:lastRenderedPageBreak/>
        <w:t>Unexpected Adverse Reaction:</w:t>
      </w:r>
    </w:p>
    <w:p w14:paraId="2E8D2518" w14:textId="1887C9A5" w:rsidR="005E785F" w:rsidRDefault="003621E8">
      <w:pPr>
        <w:spacing w:before="120" w:after="120"/>
        <w:jc w:val="both"/>
        <w:rPr>
          <w:lang w:val="en-GB"/>
        </w:rPr>
      </w:pPr>
      <w:r>
        <w:rPr>
          <w:lang w:val="en-GB"/>
        </w:rPr>
        <w:t>An unexpected adverse reaction is an adverse reaction, whose nature, severity or outcome is not consistent with the applicable product safety reference information on the IMP i.e., the IB.</w:t>
      </w:r>
    </w:p>
    <w:p w14:paraId="77D4C97B" w14:textId="77777777" w:rsidR="005E785F" w:rsidRDefault="003621E8">
      <w:pPr>
        <w:spacing w:before="240" w:after="120"/>
        <w:rPr>
          <w:b/>
          <w:bCs/>
        </w:rPr>
      </w:pPr>
      <w:r>
        <w:rPr>
          <w:b/>
          <w:bCs/>
        </w:rPr>
        <w:t>Suspected Unexpected Serious Adverse Reactions (SUSARs):</w:t>
      </w:r>
    </w:p>
    <w:p w14:paraId="6E2B5FA8" w14:textId="0188C628" w:rsidR="005E785F" w:rsidRDefault="003621E8">
      <w:pPr>
        <w:spacing w:before="120" w:after="120"/>
        <w:jc w:val="both"/>
        <w:rPr>
          <w:lang w:val="en-GB"/>
        </w:rPr>
      </w:pPr>
      <w:r>
        <w:rPr>
          <w:rFonts w:cs="Times New Roman"/>
          <w:szCs w:val="24"/>
        </w:rPr>
        <w:t>SUSARs are SAEs which are believed to be related to an IMP and are both unexpected (</w:t>
      </w:r>
      <w:r>
        <w:rPr>
          <w:rFonts w:cs="Times New Roman"/>
          <w:iCs/>
          <w:szCs w:val="24"/>
        </w:rPr>
        <w:t>i.e.,</w:t>
      </w:r>
      <w:r>
        <w:rPr>
          <w:rFonts w:cs="Times New Roman"/>
          <w:szCs w:val="24"/>
        </w:rPr>
        <w:t xml:space="preserve"> the nature or severity is not expected from the information provided in the IB) and serious. SUSARs are subject to expedited reporting to the MHRA and REC.</w:t>
      </w:r>
    </w:p>
    <w:p w14:paraId="42F4D95A" w14:textId="77777777" w:rsidR="005E785F" w:rsidRDefault="003621E8">
      <w:pPr>
        <w:spacing w:before="240" w:after="120"/>
        <w:rPr>
          <w:b/>
          <w:bCs/>
        </w:rPr>
      </w:pPr>
      <w:r>
        <w:rPr>
          <w:b/>
          <w:bCs/>
        </w:rPr>
        <w:t>Reference Documents for Expectedness Assessment:</w:t>
      </w:r>
    </w:p>
    <w:p w14:paraId="46431E92" w14:textId="5149F7D8" w:rsidR="005E785F" w:rsidRDefault="003621E8">
      <w:pPr>
        <w:spacing w:before="120" w:after="120"/>
        <w:jc w:val="both"/>
        <w:rPr>
          <w:lang w:val="en-GB"/>
        </w:rPr>
      </w:pPr>
      <w:r>
        <w:rPr>
          <w:lang w:val="en-GB"/>
        </w:rPr>
        <w:t xml:space="preserve">The reference document for expectedness assessment of SAE related to study product for the present study is the IB currently in force at the time of SAE occurrence. </w:t>
      </w:r>
    </w:p>
    <w:p w14:paraId="17F8AED1" w14:textId="51214CD2" w:rsidR="005E785F" w:rsidRDefault="003621E8">
      <w:pPr>
        <w:pStyle w:val="Heading4"/>
      </w:pPr>
      <w:bookmarkStart w:id="173" w:name="_Toc74904409"/>
      <w:r>
        <w:t>Adverse Events</w:t>
      </w:r>
      <w:bookmarkEnd w:id="173"/>
    </w:p>
    <w:p w14:paraId="3A57515B" w14:textId="5751DD1C" w:rsidR="005E785F" w:rsidRDefault="003621E8">
      <w:pPr>
        <w:pStyle w:val="Heading5"/>
      </w:pPr>
      <w:bookmarkStart w:id="174" w:name="_Toc74904410"/>
      <w:r>
        <w:t>Recording Adverse Events</w:t>
      </w:r>
      <w:bookmarkEnd w:id="174"/>
    </w:p>
    <w:p w14:paraId="42D8EA33" w14:textId="77777777" w:rsidR="005E785F" w:rsidRDefault="003621E8">
      <w:pPr>
        <w:spacing w:before="120" w:after="120"/>
        <w:jc w:val="both"/>
        <w:rPr>
          <w:lang w:val="en-GB"/>
        </w:rPr>
      </w:pPr>
      <w:r>
        <w:rPr>
          <w:lang w:val="en-GB"/>
        </w:rPr>
        <w:t xml:space="preserve">AEs will be recorded from the time of providing written informed consent until discharge from the study at the follow-up visit. </w:t>
      </w:r>
    </w:p>
    <w:p w14:paraId="169D6DB6" w14:textId="2EE24E15" w:rsidR="005E785F" w:rsidRDefault="003621E8">
      <w:pPr>
        <w:spacing w:before="120" w:after="120"/>
        <w:jc w:val="both"/>
        <w:rPr>
          <w:lang w:val="en-GB"/>
        </w:rPr>
      </w:pPr>
      <w:bookmarkStart w:id="175" w:name="_Hlk50560991"/>
      <w:r>
        <w:rPr>
          <w:lang w:val="en-GB"/>
        </w:rPr>
        <w:t>Any untoward medical event which occurs after the completion of the clinical trial and is reported by the subject to Simbec-Orion will be classified as a “post study event”. All serious post study events assessed as related to the IMP will be reported to the pharmacovigilance of the Sponsor</w:t>
      </w:r>
      <w:bookmarkEnd w:id="175"/>
      <w:r>
        <w:rPr>
          <w:lang w:val="en-GB"/>
        </w:rPr>
        <w:t>.</w:t>
      </w:r>
    </w:p>
    <w:p w14:paraId="3086A806" w14:textId="64BF8461" w:rsidR="005E785F" w:rsidRDefault="003621E8">
      <w:pPr>
        <w:spacing w:before="120" w:after="120"/>
        <w:jc w:val="both"/>
        <w:rPr>
          <w:lang w:val="en-GB"/>
        </w:rPr>
      </w:pPr>
      <w:r>
        <w:rPr>
          <w:lang w:val="en-GB"/>
        </w:rPr>
        <w:t xml:space="preserve">During each study visit, the subject will be questioned directly regarding the occurrence of any adverse medical event according to the schedule in the source. All AEs, whether ascribed to study procedures or not, will be documented immediately in the source. This will include the date and time of onset, a description of the AE, severity, duration, actions taken, outcome and an Investigator’s current opinion on the relationship between the study drug and the event. A diagnosis and final opinion on the relationship between the study drug and the event will be provided at the end of the study by the Investigator. </w:t>
      </w:r>
    </w:p>
    <w:p w14:paraId="38E8BDE7" w14:textId="77777777" w:rsidR="005E785F" w:rsidRDefault="003621E8">
      <w:pPr>
        <w:spacing w:before="120" w:after="120"/>
        <w:jc w:val="both"/>
        <w:rPr>
          <w:lang w:val="en-GB"/>
        </w:rPr>
      </w:pPr>
      <w:r>
        <w:rPr>
          <w:lang w:val="en-GB"/>
        </w:rPr>
        <w:t>Any subject who withdraws from the study due to an AE will be followed up until the outcome is determined and written reports provided by the Investigator.</w:t>
      </w:r>
    </w:p>
    <w:p w14:paraId="53CA2AF2" w14:textId="77777777" w:rsidR="005E785F" w:rsidRDefault="003621E8">
      <w:pPr>
        <w:pStyle w:val="Heading5"/>
      </w:pPr>
      <w:bookmarkStart w:id="176" w:name="_Toc74904411"/>
      <w:r>
        <w:t>Analysis of Events by the Investigator</w:t>
      </w:r>
      <w:bookmarkEnd w:id="176"/>
      <w:r>
        <w:t xml:space="preserve"> </w:t>
      </w:r>
    </w:p>
    <w:p w14:paraId="0DDE7290" w14:textId="77777777" w:rsidR="005E785F" w:rsidRDefault="003621E8">
      <w:pPr>
        <w:spacing w:before="120" w:after="120"/>
        <w:jc w:val="both"/>
        <w:rPr>
          <w:lang w:val="en-GB"/>
        </w:rPr>
      </w:pPr>
      <w:r>
        <w:rPr>
          <w:lang w:val="en-GB"/>
        </w:rPr>
        <w:t xml:space="preserve">Each AE is to be classified by the Investigator (in this order): </w:t>
      </w:r>
    </w:p>
    <w:p w14:paraId="29DDC053" w14:textId="77777777" w:rsidR="005E785F" w:rsidRDefault="003621E8">
      <w:pPr>
        <w:numPr>
          <w:ilvl w:val="1"/>
          <w:numId w:val="58"/>
        </w:numPr>
        <w:rPr>
          <w:lang w:val="en-GB"/>
        </w:rPr>
      </w:pPr>
      <w:r>
        <w:rPr>
          <w:lang w:val="en-GB"/>
        </w:rPr>
        <w:t xml:space="preserve">For severity </w:t>
      </w:r>
    </w:p>
    <w:p w14:paraId="3B280AF7" w14:textId="77777777" w:rsidR="005E785F" w:rsidRDefault="003621E8">
      <w:pPr>
        <w:numPr>
          <w:ilvl w:val="1"/>
          <w:numId w:val="58"/>
        </w:numPr>
        <w:rPr>
          <w:lang w:val="en-GB"/>
        </w:rPr>
      </w:pPr>
      <w:r>
        <w:rPr>
          <w:lang w:val="en-GB"/>
        </w:rPr>
        <w:t xml:space="preserve">For causality </w:t>
      </w:r>
    </w:p>
    <w:p w14:paraId="0A398545" w14:textId="4B610825" w:rsidR="005E785F" w:rsidRDefault="003621E8">
      <w:pPr>
        <w:numPr>
          <w:ilvl w:val="1"/>
          <w:numId w:val="58"/>
        </w:numPr>
        <w:rPr>
          <w:lang w:val="en-GB"/>
        </w:rPr>
      </w:pPr>
      <w:r>
        <w:rPr>
          <w:lang w:val="en-GB"/>
        </w:rPr>
        <w:t xml:space="preserve">As serious or non-serious. </w:t>
      </w:r>
    </w:p>
    <w:p w14:paraId="5BBA4BE1" w14:textId="77777777" w:rsidR="005E785F" w:rsidRDefault="003621E8">
      <w:pPr>
        <w:pStyle w:val="BodyTextFull"/>
        <w:rPr>
          <w:rFonts w:ascii="Times New Roman" w:hAnsi="Times New Roman" w:cs="Times New Roman"/>
          <w:b/>
          <w:bCs/>
          <w:sz w:val="24"/>
          <w:szCs w:val="24"/>
        </w:rPr>
      </w:pPr>
      <w:r>
        <w:rPr>
          <w:rFonts w:ascii="Times New Roman" w:hAnsi="Times New Roman" w:cs="Times New Roman"/>
          <w:b/>
          <w:bCs/>
          <w:sz w:val="24"/>
          <w:szCs w:val="24"/>
        </w:rPr>
        <w:t xml:space="preserve">Grading of Adverse Event Severity </w:t>
      </w:r>
    </w:p>
    <w:p w14:paraId="05430CBD" w14:textId="65FD16A3" w:rsidR="005E785F" w:rsidRDefault="003621E8">
      <w:pPr>
        <w:spacing w:before="120" w:after="120"/>
        <w:jc w:val="both"/>
        <w:rPr>
          <w:lang w:val="en-GB"/>
        </w:rPr>
      </w:pPr>
      <w:r>
        <w:rPr>
          <w:lang w:val="en-GB"/>
        </w:rPr>
        <w:t>The Investigator will evaluate each event with regard to its severity. The severity of the AEs will be determined according to the Guidance for Industry: Toxicity Grading Scale for Healthy Adult and Adolescent Volunteers Enrolled in Preventive Vaccine Clinical Trials (September 2007)</w:t>
      </w:r>
      <w:r>
        <w:rPr>
          <w:color w:val="0000FF"/>
          <w:vertAlign w:val="superscript"/>
          <w:lang w:val="en-GB"/>
        </w:rPr>
        <w:t>[0</w:t>
      </w:r>
      <w:r>
        <w:rPr>
          <w:color w:val="0000FF"/>
          <w:vertAlign w:val="superscript"/>
          <w:lang w:val="en-GB"/>
        </w:rPr>
        <w:fldChar w:fldCharType="begin"/>
      </w:r>
      <w:r>
        <w:rPr>
          <w:color w:val="0000FF"/>
          <w:vertAlign w:val="superscript"/>
          <w:lang w:val="en-GB"/>
        </w:rPr>
        <w:instrText xml:space="preserve"> REF _Ref65269319 \r \h  \* MERGEFORMAT </w:instrText>
      </w:r>
      <w:r>
        <w:rPr>
          <w:color w:val="0000FF"/>
          <w:vertAlign w:val="superscript"/>
          <w:lang w:val="en-GB"/>
        </w:rPr>
      </w:r>
      <w:r>
        <w:rPr>
          <w:color w:val="0000FF"/>
          <w:vertAlign w:val="superscript"/>
          <w:lang w:val="en-GB"/>
        </w:rPr>
        <w:fldChar w:fldCharType="separate"/>
      </w:r>
      <w:r>
        <w:rPr>
          <w:color w:val="0000FF"/>
          <w:vertAlign w:val="superscript"/>
          <w:lang w:val="en-GB"/>
        </w:rPr>
        <w:t>1</w:t>
      </w:r>
      <w:r>
        <w:rPr>
          <w:color w:val="0000FF"/>
          <w:vertAlign w:val="superscript"/>
          <w:lang w:val="en-GB"/>
        </w:rPr>
        <w:fldChar w:fldCharType="end"/>
      </w:r>
      <w:r>
        <w:rPr>
          <w:color w:val="0000FF"/>
          <w:vertAlign w:val="superscript"/>
          <w:lang w:val="en-GB"/>
        </w:rPr>
        <w:t>]</w:t>
      </w:r>
      <w:r>
        <w:rPr>
          <w:lang w:val="en-GB"/>
        </w:rPr>
        <w:t xml:space="preserve">. </w:t>
      </w:r>
    </w:p>
    <w:p w14:paraId="14FDF033" w14:textId="61AB575A" w:rsidR="005E785F" w:rsidRDefault="003621E8">
      <w:pPr>
        <w:spacing w:before="120" w:after="120"/>
        <w:jc w:val="both"/>
        <w:rPr>
          <w:b/>
          <w:bCs/>
          <w:lang w:val="en-GB"/>
        </w:rPr>
      </w:pPr>
      <w:r>
        <w:rPr>
          <w:lang w:val="en-GB"/>
        </w:rPr>
        <w:lastRenderedPageBreak/>
        <w:t>In the event that a reported AE is not listed the following will be used to assess severity:</w:t>
      </w:r>
    </w:p>
    <w:p w14:paraId="6CF498DC" w14:textId="77777777" w:rsidR="005E785F" w:rsidRDefault="003621E8">
      <w:pPr>
        <w:numPr>
          <w:ilvl w:val="0"/>
          <w:numId w:val="59"/>
        </w:numPr>
        <w:rPr>
          <w:lang w:val="en-GB"/>
        </w:rPr>
      </w:pPr>
      <w:r>
        <w:rPr>
          <w:lang w:val="en-GB"/>
        </w:rPr>
        <w:t>Mild: An AE that is easily tolerated by the subject, causes minimal discomfort, and does not interfere with everyday activities</w:t>
      </w:r>
    </w:p>
    <w:p w14:paraId="7E9922EF" w14:textId="77777777" w:rsidR="005E785F" w:rsidRDefault="003621E8">
      <w:pPr>
        <w:numPr>
          <w:ilvl w:val="0"/>
          <w:numId w:val="59"/>
        </w:numPr>
        <w:rPr>
          <w:lang w:val="en-GB"/>
        </w:rPr>
      </w:pPr>
      <w:r>
        <w:rPr>
          <w:lang w:val="en-GB"/>
        </w:rPr>
        <w:t>Moderate: An AE that is sufficiently discomforting to interfere with normal everyday activities; intervention may be needed</w:t>
      </w:r>
    </w:p>
    <w:p w14:paraId="53DE2422" w14:textId="77777777" w:rsidR="005E785F" w:rsidRDefault="003621E8">
      <w:pPr>
        <w:numPr>
          <w:ilvl w:val="0"/>
          <w:numId w:val="59"/>
        </w:numPr>
        <w:rPr>
          <w:lang w:val="en-GB"/>
        </w:rPr>
      </w:pPr>
      <w:r>
        <w:rPr>
          <w:lang w:val="en-GB"/>
        </w:rPr>
        <w:t>Severe: An AE that prevents normal everyday activities; treatment or other intervention usually needed</w:t>
      </w:r>
    </w:p>
    <w:p w14:paraId="0C1D0931" w14:textId="77777777" w:rsidR="005E785F" w:rsidRDefault="003621E8">
      <w:pPr>
        <w:numPr>
          <w:ilvl w:val="0"/>
          <w:numId w:val="59"/>
        </w:numPr>
        <w:rPr>
          <w:lang w:val="en-GB"/>
        </w:rPr>
      </w:pPr>
      <w:r>
        <w:rPr>
          <w:lang w:val="en-GB"/>
        </w:rPr>
        <w:t xml:space="preserve">Life-Threatening: The subject is at significant risk of life; it does not refer to an event which hypothetically might have caused death if it were more severe (life threatening consequences, urgent intervention required). </w:t>
      </w:r>
    </w:p>
    <w:p w14:paraId="50F6524D" w14:textId="77777777" w:rsidR="005E785F" w:rsidRDefault="003621E8">
      <w:pPr>
        <w:numPr>
          <w:ilvl w:val="0"/>
          <w:numId w:val="59"/>
        </w:numPr>
        <w:rPr>
          <w:lang w:val="en-GB"/>
        </w:rPr>
      </w:pPr>
      <w:r>
        <w:rPr>
          <w:lang w:val="en-GB"/>
        </w:rPr>
        <w:t xml:space="preserve">Death: Death related to an event. </w:t>
      </w:r>
    </w:p>
    <w:p w14:paraId="14C021FA" w14:textId="77777777" w:rsidR="005E785F" w:rsidRDefault="003621E8">
      <w:pPr>
        <w:spacing w:before="120" w:after="120"/>
        <w:jc w:val="both"/>
        <w:rPr>
          <w:lang w:val="en-GB"/>
        </w:rPr>
      </w:pPr>
      <w:bookmarkStart w:id="177" w:name="_Hlk51341107"/>
      <w:r>
        <w:rPr>
          <w:lang w:val="en-GB"/>
        </w:rPr>
        <w:t xml:space="preserve">When the severity of an AE changes over time, only one AE and the maximum severity will be recorded in the eCRF for each separate event. </w:t>
      </w:r>
      <w:bookmarkEnd w:id="177"/>
      <w:r>
        <w:rPr>
          <w:lang w:val="en-GB"/>
        </w:rPr>
        <w:t>If the AE resolves but then recurs, each will be recorded as a separate AE, with the appropriate start and stop times.</w:t>
      </w:r>
    </w:p>
    <w:p w14:paraId="29E42AAB" w14:textId="77777777" w:rsidR="005E785F" w:rsidRDefault="003621E8">
      <w:pPr>
        <w:spacing w:before="120" w:after="120"/>
        <w:jc w:val="both"/>
        <w:rPr>
          <w:lang w:val="en-GB"/>
        </w:rPr>
      </w:pPr>
      <w:r>
        <w:rPr>
          <w:lang w:val="en-GB"/>
        </w:rPr>
        <w:t>To ensure no confusion or misunderstanding of the difference between the terms “serious” and “severe,” which are not synonymous, the following note of clarification is provided:</w:t>
      </w:r>
    </w:p>
    <w:p w14:paraId="3145BA76" w14:textId="77777777" w:rsidR="005E785F" w:rsidRDefault="003621E8">
      <w:pPr>
        <w:spacing w:before="120" w:after="120"/>
        <w:jc w:val="both"/>
        <w:rPr>
          <w:b/>
          <w:bCs/>
          <w:lang w:val="en-GB"/>
        </w:rPr>
      </w:pPr>
      <w:r>
        <w:rPr>
          <w:lang w:val="en-GB"/>
        </w:rPr>
        <w:t>The term “severe” is often used to describe the severity of a specific event (as in mild, moderate, or severe myocardial infarction); the event itself, however, may be of relatively minor medical significance (such as severe headache). This is not the same as “serious,” which is based on patient/event outcome or action criteria usually associated with events that pose a threat to a patient’s life or functioning. Seriousness (not severity) serves as a guide for defining regulatory reporting obligations</w:t>
      </w:r>
      <w:r>
        <w:rPr>
          <w:b/>
          <w:bCs/>
          <w:lang w:val="en-GB"/>
        </w:rPr>
        <w:t>.</w:t>
      </w:r>
    </w:p>
    <w:p w14:paraId="5B0F20A0" w14:textId="77777777" w:rsidR="005E785F" w:rsidRDefault="003621E8">
      <w:pPr>
        <w:pStyle w:val="BodyTextFull"/>
        <w:rPr>
          <w:rFonts w:ascii="Times New Roman" w:hAnsi="Times New Roman" w:cs="Times New Roman"/>
          <w:b/>
          <w:bCs/>
          <w:sz w:val="24"/>
          <w:szCs w:val="24"/>
        </w:rPr>
      </w:pPr>
      <w:r>
        <w:rPr>
          <w:rFonts w:ascii="Times New Roman" w:hAnsi="Times New Roman" w:cs="Times New Roman"/>
          <w:b/>
          <w:bCs/>
          <w:sz w:val="24"/>
          <w:szCs w:val="24"/>
        </w:rPr>
        <w:t>Assessment of Causality</w:t>
      </w:r>
    </w:p>
    <w:p w14:paraId="2C19E7D7" w14:textId="60360153" w:rsidR="005E785F" w:rsidRDefault="003621E8">
      <w:pPr>
        <w:spacing w:before="120" w:after="120"/>
        <w:jc w:val="both"/>
        <w:rPr>
          <w:lang w:val="en-GB"/>
        </w:rPr>
      </w:pPr>
      <w:r>
        <w:rPr>
          <w:rFonts w:cs="Times New Roman"/>
          <w:szCs w:val="24"/>
        </w:rPr>
        <w:t>For both serious and non-serious AEs, the Investigator is required to assess the possible relationship between the AE and the study drug (</w:t>
      </w:r>
      <w:r>
        <w:rPr>
          <w:rFonts w:cs="Times New Roman"/>
          <w:iCs/>
          <w:szCs w:val="24"/>
        </w:rPr>
        <w:t>i.e.,</w:t>
      </w:r>
      <w:r>
        <w:rPr>
          <w:rFonts w:cs="Times New Roman"/>
          <w:szCs w:val="24"/>
        </w:rPr>
        <w:t xml:space="preserve"> to determine whether there exists a reasonable possibility that the study drug caused or contributed to the AE). </w:t>
      </w:r>
    </w:p>
    <w:p w14:paraId="792DD359" w14:textId="77777777" w:rsidR="005E785F" w:rsidRDefault="003621E8">
      <w:pPr>
        <w:spacing w:before="120" w:after="120"/>
        <w:jc w:val="both"/>
        <w:rPr>
          <w:lang w:val="en-GB"/>
        </w:rPr>
      </w:pPr>
      <w:r>
        <w:rPr>
          <w:lang w:val="en-GB"/>
        </w:rPr>
        <w:t>This means that there are facts (evidence) or arguments to suggest a causal relationship.</w:t>
      </w:r>
    </w:p>
    <w:p w14:paraId="6E11E927" w14:textId="12DDB442" w:rsidR="005E785F" w:rsidRDefault="003621E8">
      <w:pPr>
        <w:spacing w:before="120" w:after="120"/>
        <w:jc w:val="both"/>
        <w:rPr>
          <w:lang w:val="en-GB"/>
        </w:rPr>
      </w:pPr>
      <w:r>
        <w:rPr>
          <w:lang w:val="en-GB"/>
        </w:rPr>
        <w:t>To help Investigators with the decision binary tree yes/no (i.e., Related/Not related) in the evaluation of causality, the Council for International Organizations of Medical Sciences (CIOMS VI) group recommends that Investigators be asked to consider the following before reaching a decision:</w:t>
      </w:r>
    </w:p>
    <w:p w14:paraId="402A65B1" w14:textId="77777777" w:rsidR="005E785F" w:rsidRDefault="003621E8">
      <w:pPr>
        <w:numPr>
          <w:ilvl w:val="0"/>
          <w:numId w:val="60"/>
        </w:numPr>
        <w:rPr>
          <w:lang w:val="en-GB"/>
        </w:rPr>
      </w:pPr>
      <w:r>
        <w:rPr>
          <w:lang w:val="en-GB"/>
        </w:rPr>
        <w:t>Medical history (including presence of risk factors)</w:t>
      </w:r>
    </w:p>
    <w:p w14:paraId="358C2020" w14:textId="77777777" w:rsidR="005E785F" w:rsidRDefault="003621E8">
      <w:pPr>
        <w:numPr>
          <w:ilvl w:val="0"/>
          <w:numId w:val="60"/>
        </w:numPr>
        <w:rPr>
          <w:lang w:val="en-GB"/>
        </w:rPr>
      </w:pPr>
      <w:r>
        <w:rPr>
          <w:lang w:val="en-GB"/>
        </w:rPr>
        <w:t>Lack of efficacy/worsening of existing condition</w:t>
      </w:r>
    </w:p>
    <w:p w14:paraId="5BB949E2" w14:textId="77777777" w:rsidR="005E785F" w:rsidRDefault="003621E8">
      <w:pPr>
        <w:numPr>
          <w:ilvl w:val="0"/>
          <w:numId w:val="60"/>
        </w:numPr>
        <w:rPr>
          <w:lang w:val="en-GB"/>
        </w:rPr>
      </w:pPr>
      <w:r>
        <w:rPr>
          <w:lang w:val="en-GB"/>
        </w:rPr>
        <w:t>Study medications</w:t>
      </w:r>
    </w:p>
    <w:p w14:paraId="6E545045" w14:textId="77777777" w:rsidR="005E785F" w:rsidRDefault="003621E8">
      <w:pPr>
        <w:numPr>
          <w:ilvl w:val="0"/>
          <w:numId w:val="60"/>
        </w:numPr>
        <w:rPr>
          <w:lang w:val="en-GB"/>
        </w:rPr>
      </w:pPr>
      <w:r>
        <w:rPr>
          <w:lang w:val="en-GB"/>
        </w:rPr>
        <w:t>Other medications (concomitant or previous)</w:t>
      </w:r>
    </w:p>
    <w:p w14:paraId="339859DC" w14:textId="09DDF13C" w:rsidR="005E785F" w:rsidRDefault="003621E8">
      <w:pPr>
        <w:numPr>
          <w:ilvl w:val="0"/>
          <w:numId w:val="60"/>
        </w:numPr>
        <w:rPr>
          <w:lang w:val="en-GB"/>
        </w:rPr>
      </w:pPr>
      <w:r>
        <w:rPr>
          <w:lang w:val="en-GB"/>
        </w:rPr>
        <w:t>Withdrawal of study medication, especially following trial discontinuation/end of study medication</w:t>
      </w:r>
    </w:p>
    <w:p w14:paraId="76BC0AE2" w14:textId="77777777" w:rsidR="005E785F" w:rsidRDefault="003621E8">
      <w:pPr>
        <w:numPr>
          <w:ilvl w:val="0"/>
          <w:numId w:val="60"/>
        </w:numPr>
        <w:rPr>
          <w:lang w:val="en-GB"/>
        </w:rPr>
      </w:pPr>
      <w:r>
        <w:rPr>
          <w:lang w:val="en-GB"/>
        </w:rPr>
        <w:t>Erroneous treatment with study medication (or concomitant)</w:t>
      </w:r>
    </w:p>
    <w:p w14:paraId="26FA889F" w14:textId="77777777" w:rsidR="005E785F" w:rsidRDefault="003621E8">
      <w:pPr>
        <w:numPr>
          <w:ilvl w:val="0"/>
          <w:numId w:val="60"/>
        </w:numPr>
        <w:rPr>
          <w:lang w:val="en-GB"/>
        </w:rPr>
      </w:pPr>
      <w:r>
        <w:rPr>
          <w:lang w:val="en-GB"/>
        </w:rPr>
        <w:t>Protocol related procedure</w:t>
      </w:r>
    </w:p>
    <w:p w14:paraId="745813CD" w14:textId="77777777" w:rsidR="005E785F" w:rsidRDefault="003621E8">
      <w:pPr>
        <w:spacing w:before="120" w:after="120"/>
        <w:rPr>
          <w:lang w:val="en-GB"/>
        </w:rPr>
      </w:pPr>
      <w:r>
        <w:rPr>
          <w:lang w:val="en-GB"/>
        </w:rPr>
        <w:t>The terms for reporting are:</w:t>
      </w:r>
    </w:p>
    <w:p w14:paraId="71FC89B8" w14:textId="77777777" w:rsidR="005E785F" w:rsidRDefault="003621E8">
      <w:pPr>
        <w:numPr>
          <w:ilvl w:val="0"/>
          <w:numId w:val="61"/>
        </w:numPr>
        <w:rPr>
          <w:lang w:val="en-GB"/>
        </w:rPr>
      </w:pPr>
      <w:r>
        <w:rPr>
          <w:lang w:val="en-GB"/>
        </w:rPr>
        <w:lastRenderedPageBreak/>
        <w:t>Definitely related. The AE and administration of study agent are related in time, and a direct association can be demonstrated.</w:t>
      </w:r>
    </w:p>
    <w:p w14:paraId="003C4791" w14:textId="77777777" w:rsidR="005E785F" w:rsidRDefault="003621E8">
      <w:pPr>
        <w:numPr>
          <w:ilvl w:val="0"/>
          <w:numId w:val="61"/>
        </w:numPr>
        <w:rPr>
          <w:lang w:val="en-GB"/>
        </w:rPr>
      </w:pPr>
      <w:r>
        <w:rPr>
          <w:lang w:val="en-GB"/>
        </w:rPr>
        <w:t>Probably related. The AE and administration of study agent are reasonably related in time, and the AE is more likely explained by study agent than other causes.</w:t>
      </w:r>
    </w:p>
    <w:p w14:paraId="2392328F" w14:textId="77777777" w:rsidR="005E785F" w:rsidRDefault="003621E8">
      <w:pPr>
        <w:numPr>
          <w:ilvl w:val="0"/>
          <w:numId w:val="61"/>
        </w:numPr>
        <w:rPr>
          <w:lang w:val="en-GB"/>
        </w:rPr>
      </w:pPr>
      <w:r>
        <w:rPr>
          <w:lang w:val="en-GB"/>
        </w:rPr>
        <w:t>Possibly related. The AE and administration of study agent are reasonably related in time, and the AE can be explained equally well by causes other than study agent.</w:t>
      </w:r>
    </w:p>
    <w:p w14:paraId="3AAA6A39" w14:textId="5E58F90E" w:rsidR="005E785F" w:rsidRDefault="003621E8">
      <w:pPr>
        <w:numPr>
          <w:ilvl w:val="0"/>
          <w:numId w:val="61"/>
        </w:numPr>
        <w:rPr>
          <w:lang w:val="en-GB"/>
        </w:rPr>
      </w:pPr>
      <w:r>
        <w:rPr>
          <w:lang w:val="en-GB"/>
        </w:rPr>
        <w:t>Probably not related. A potential relationship between study agent and the AE could exist (i.e., the possibility cannot be excluded), but the AE is most likely explained by causes other than the study agent.</w:t>
      </w:r>
    </w:p>
    <w:p w14:paraId="36B9DF81" w14:textId="77777777" w:rsidR="005E785F" w:rsidRDefault="003621E8">
      <w:pPr>
        <w:numPr>
          <w:ilvl w:val="0"/>
          <w:numId w:val="61"/>
        </w:numPr>
        <w:rPr>
          <w:lang w:val="en-GB"/>
        </w:rPr>
      </w:pPr>
      <w:r>
        <w:rPr>
          <w:lang w:val="en-GB"/>
        </w:rPr>
        <w:t xml:space="preserve">Not related. The AE is clearly explained by another cause not related to the study agent. </w:t>
      </w:r>
    </w:p>
    <w:p w14:paraId="13C026B1" w14:textId="77777777" w:rsidR="005E785F" w:rsidRDefault="003621E8">
      <w:pPr>
        <w:spacing w:before="120" w:after="120"/>
        <w:jc w:val="both"/>
        <w:rPr>
          <w:lang w:val="en-GB"/>
        </w:rPr>
      </w:pPr>
      <w:r>
        <w:rPr>
          <w:lang w:val="en-GB"/>
        </w:rPr>
        <w:t>Note: When compared to Binary “regulatory” classification, “not related” corresponds to “not related, probably not related” and “related” corresponds to “possible, probable and definitely related”.</w:t>
      </w:r>
    </w:p>
    <w:p w14:paraId="4D990B13" w14:textId="77777777" w:rsidR="005E785F" w:rsidRDefault="003621E8">
      <w:pPr>
        <w:spacing w:before="240" w:after="120"/>
        <w:rPr>
          <w:b/>
          <w:bCs/>
          <w:lang w:val="en-GB"/>
        </w:rPr>
      </w:pPr>
      <w:r>
        <w:rPr>
          <w:b/>
          <w:bCs/>
          <w:lang w:val="en-GB"/>
        </w:rPr>
        <w:t xml:space="preserve">Adverse Event Seriousness Assessment </w:t>
      </w:r>
    </w:p>
    <w:p w14:paraId="034AA947" w14:textId="77777777" w:rsidR="005E785F" w:rsidRDefault="003621E8">
      <w:pPr>
        <w:spacing w:before="120" w:after="120"/>
        <w:jc w:val="both"/>
        <w:rPr>
          <w:lang w:val="en-GB"/>
        </w:rPr>
      </w:pPr>
      <w:r>
        <w:rPr>
          <w:lang w:val="en-GB"/>
        </w:rPr>
        <w:t>The Investigator will evaluate the seriousness of any event</w:t>
      </w:r>
      <w:r>
        <w:t xml:space="preserve"> </w:t>
      </w:r>
      <w:r>
        <w:rPr>
          <w:lang w:val="en-GB"/>
        </w:rPr>
        <w:t xml:space="preserve">as per the definition in </w:t>
      </w:r>
      <w:r>
        <w:rPr>
          <w:color w:val="0000FF"/>
          <w:lang w:val="en-GB"/>
        </w:rPr>
        <w:t xml:space="preserve">Section </w:t>
      </w:r>
      <w:r>
        <w:rPr>
          <w:color w:val="0000FF"/>
          <w:lang w:val="en-GB"/>
        </w:rPr>
        <w:fldChar w:fldCharType="begin"/>
      </w:r>
      <w:r>
        <w:rPr>
          <w:color w:val="0000FF"/>
          <w:lang w:val="en-GB"/>
        </w:rPr>
        <w:instrText xml:space="preserve"> REF _Ref49526891 \r \h  \* MERGEFORMAT </w:instrText>
      </w:r>
      <w:r>
        <w:rPr>
          <w:color w:val="0000FF"/>
          <w:lang w:val="en-GB"/>
        </w:rPr>
      </w:r>
      <w:r>
        <w:rPr>
          <w:color w:val="0000FF"/>
          <w:lang w:val="en-GB"/>
        </w:rPr>
        <w:fldChar w:fldCharType="separate"/>
      </w:r>
      <w:r>
        <w:rPr>
          <w:color w:val="0000FF"/>
          <w:lang w:val="en-GB"/>
        </w:rPr>
        <w:t>10.7.4.1</w:t>
      </w:r>
      <w:r>
        <w:rPr>
          <w:color w:val="0000FF"/>
          <w:lang w:val="en-GB"/>
        </w:rPr>
        <w:fldChar w:fldCharType="end"/>
      </w:r>
      <w:r>
        <w:rPr>
          <w:color w:val="0000FF"/>
          <w:lang w:val="en-GB"/>
        </w:rPr>
        <w:t>.</w:t>
      </w:r>
    </w:p>
    <w:p w14:paraId="624CC64F" w14:textId="77777777" w:rsidR="005E785F" w:rsidRDefault="003621E8">
      <w:pPr>
        <w:pStyle w:val="Heading5"/>
      </w:pPr>
      <w:bookmarkStart w:id="178" w:name="_Toc74904412"/>
      <w:r>
        <w:t>Analysis of Events by the Sponsor</w:t>
      </w:r>
      <w:bookmarkEnd w:id="178"/>
      <w:r>
        <w:t xml:space="preserve"> </w:t>
      </w:r>
    </w:p>
    <w:p w14:paraId="3660A369" w14:textId="1393F032" w:rsidR="005E785F" w:rsidRDefault="003621E8">
      <w:pPr>
        <w:spacing w:before="120" w:after="120"/>
        <w:jc w:val="both"/>
        <w:rPr>
          <w:lang w:val="en-GB"/>
        </w:rPr>
      </w:pPr>
      <w:r>
        <w:rPr>
          <w:lang w:val="en-GB"/>
        </w:rPr>
        <w:t>The Sponsor will also evaluate the seriousness of all events which are reported by the Investigator, and the causality of the study drug and any other treatments for each AE.</w:t>
      </w:r>
    </w:p>
    <w:p w14:paraId="3469D467" w14:textId="77777777" w:rsidR="005E785F" w:rsidRDefault="003621E8">
      <w:pPr>
        <w:spacing w:before="120" w:after="120"/>
        <w:jc w:val="both"/>
        <w:rPr>
          <w:lang w:val="en-GB"/>
        </w:rPr>
      </w:pPr>
      <w:r>
        <w:rPr>
          <w:lang w:val="en-GB"/>
        </w:rPr>
        <w:t xml:space="preserve">AEs for which the Investigator consider that a causal link with the study product is a reasonable possibility will be considered to be suspected adverse effects. Should the evaluations of the Sponsor and the Investigator differ with regard to causality and the event being serious, then both will be reported in the declaration of suspected adverse reactions. </w:t>
      </w:r>
    </w:p>
    <w:p w14:paraId="3F1DD974" w14:textId="0EB44496" w:rsidR="005E785F" w:rsidRDefault="003621E8">
      <w:pPr>
        <w:jc w:val="both"/>
        <w:rPr>
          <w:lang w:val="en-GB"/>
        </w:rPr>
      </w:pPr>
      <w:r>
        <w:rPr>
          <w:rFonts w:cs="Times New Roman"/>
          <w:szCs w:val="24"/>
        </w:rPr>
        <w:t>The Sponsor is responsible for determining the expectedness of the SAE, using the IMP reference safety information, which is the IB currently in force at the time of SAE reporting. Each SAE has to be classified by the Sponsor as expected or unexpected for the IMP.</w:t>
      </w:r>
    </w:p>
    <w:p w14:paraId="1A7B7DE9" w14:textId="070F8AF7" w:rsidR="005E785F" w:rsidRDefault="003621E8">
      <w:pPr>
        <w:pStyle w:val="Heading5"/>
      </w:pPr>
      <w:bookmarkStart w:id="179" w:name="_Ref49527268"/>
      <w:bookmarkStart w:id="180" w:name="_Toc74904413"/>
      <w:r>
        <w:t>Reporting Serious Adverse Events</w:t>
      </w:r>
      <w:bookmarkEnd w:id="179"/>
      <w:bookmarkEnd w:id="180"/>
    </w:p>
    <w:p w14:paraId="772C2043" w14:textId="7D0B91CF" w:rsidR="005E785F" w:rsidRDefault="003621E8">
      <w:pPr>
        <w:spacing w:before="120" w:after="120" w:line="280" w:lineRule="atLeast"/>
        <w:jc w:val="both"/>
        <w:rPr>
          <w:rFonts w:cs="Times New Roman"/>
          <w:lang w:val="en-GB"/>
        </w:rPr>
      </w:pPr>
      <w:r>
        <w:rPr>
          <w:rFonts w:cs="Times New Roman"/>
          <w:szCs w:val="24"/>
        </w:rPr>
        <w:t>The Investigator is required to notify the study Sponsor and DNDi PV within 24 h of becoming aware of the occurrence of an SAE. A copy of the written report of the SAE should promptly be sent to the study Sponsor, in accordance with International Council for Harmonisation of Technical Requirements for Registration of Pharmaceuticals for Human Use (ICH) guidelines</w:t>
      </w:r>
      <w:r>
        <w:rPr>
          <w:rFonts w:cs="Times New Roman"/>
          <w:color w:val="0000FF"/>
          <w:vertAlign w:val="superscript"/>
        </w:rPr>
        <w:t>[</w:t>
      </w:r>
      <w:r>
        <w:rPr>
          <w:rFonts w:cs="Times New Roman"/>
          <w:color w:val="0000FF"/>
          <w:vertAlign w:val="superscript"/>
          <w:lang w:val="en-GB"/>
        </w:rPr>
        <w:fldChar w:fldCharType="begin"/>
      </w:r>
      <w:r>
        <w:rPr>
          <w:rFonts w:cs="Times New Roman"/>
          <w:color w:val="0000FF"/>
          <w:vertAlign w:val="superscript"/>
          <w:lang w:val="en-GB"/>
        </w:rPr>
        <w:instrText xml:space="preserve"> REF _Ref51098203 \r \h  \* MERGEFORMAT </w:instrText>
      </w:r>
      <w:r>
        <w:rPr>
          <w:rFonts w:cs="Times New Roman"/>
          <w:color w:val="0000FF"/>
          <w:vertAlign w:val="superscript"/>
          <w:lang w:val="en-GB"/>
        </w:rPr>
      </w:r>
      <w:r>
        <w:rPr>
          <w:rFonts w:cs="Times New Roman"/>
          <w:color w:val="0000FF"/>
          <w:vertAlign w:val="superscript"/>
          <w:lang w:val="en-GB"/>
        </w:rPr>
        <w:fldChar w:fldCharType="separate"/>
      </w:r>
      <w:r>
        <w:rPr>
          <w:rFonts w:cs="Times New Roman"/>
          <w:color w:val="0000FF"/>
          <w:vertAlign w:val="superscript"/>
          <w:lang w:val="en-GB"/>
        </w:rPr>
        <w:t>12</w:t>
      </w:r>
      <w:r>
        <w:rPr>
          <w:rFonts w:cs="Times New Roman"/>
          <w:color w:val="0000FF"/>
          <w:vertAlign w:val="superscript"/>
          <w:lang w:val="en-GB"/>
        </w:rPr>
        <w:fldChar w:fldCharType="end"/>
      </w:r>
      <w:r>
        <w:rPr>
          <w:rFonts w:cs="Times New Roman"/>
          <w:color w:val="0000FF"/>
          <w:vertAlign w:val="superscript"/>
        </w:rPr>
        <w:t>]</w:t>
      </w:r>
      <w:r>
        <w:rPr>
          <w:rFonts w:cs="Times New Roman"/>
          <w:szCs w:val="24"/>
        </w:rPr>
        <w:t>.</w:t>
      </w:r>
    </w:p>
    <w:p w14:paraId="49E155F6" w14:textId="77777777" w:rsidR="005E785F" w:rsidRDefault="003621E8">
      <w:pPr>
        <w:spacing w:before="120" w:after="120" w:line="280" w:lineRule="atLeast"/>
        <w:jc w:val="both"/>
        <w:rPr>
          <w:rFonts w:cs="Times New Roman"/>
          <w:lang w:val="en-GB"/>
        </w:rPr>
      </w:pPr>
      <w:r>
        <w:rPr>
          <w:rFonts w:cs="Times New Roman"/>
          <w:lang w:val="en-GB"/>
        </w:rPr>
        <w:t xml:space="preserve">The Investigator will notify the Sponsor without delay on the day of discovery of any SAEs. </w:t>
      </w:r>
    </w:p>
    <w:p w14:paraId="64ABAA0A" w14:textId="77777777" w:rsidR="005E785F" w:rsidRDefault="003621E8">
      <w:pPr>
        <w:spacing w:before="120" w:after="120" w:line="280" w:lineRule="atLeast"/>
        <w:jc w:val="both"/>
        <w:rPr>
          <w:rFonts w:cs="Times New Roman"/>
          <w:lang w:val="en-GB"/>
        </w:rPr>
      </w:pPr>
      <w:r>
        <w:rPr>
          <w:rFonts w:cs="Times New Roman"/>
          <w:lang w:val="en-GB"/>
        </w:rPr>
        <w:t xml:space="preserve">The Investigator must: </w:t>
      </w:r>
    </w:p>
    <w:p w14:paraId="28A71C26" w14:textId="704F7A7D" w:rsidR="005E785F" w:rsidRDefault="003621E8">
      <w:pPr>
        <w:numPr>
          <w:ilvl w:val="0"/>
          <w:numId w:val="62"/>
        </w:numPr>
        <w:spacing w:before="120" w:after="120" w:line="280" w:lineRule="atLeast"/>
        <w:jc w:val="both"/>
        <w:rPr>
          <w:rFonts w:cs="Times New Roman"/>
          <w:lang w:val="en-GB"/>
        </w:rPr>
      </w:pPr>
      <w:r>
        <w:rPr>
          <w:rFonts w:cs="Times New Roman"/>
          <w:lang w:val="en-GB"/>
        </w:rPr>
        <w:t xml:space="preserve">note in the participant's medical file the date on which he/she become aware of the SAE (at a follow-up visit or a telephone contact with the participant or a third person, etc.); </w:t>
      </w:r>
    </w:p>
    <w:p w14:paraId="6FBE7B8A" w14:textId="341AF543" w:rsidR="005E785F" w:rsidRDefault="003621E8">
      <w:pPr>
        <w:numPr>
          <w:ilvl w:val="0"/>
          <w:numId w:val="62"/>
        </w:numPr>
        <w:spacing w:before="120" w:after="120" w:line="280" w:lineRule="atLeast"/>
        <w:jc w:val="both"/>
        <w:rPr>
          <w:rFonts w:cs="Times New Roman"/>
          <w:lang w:val="en-GB"/>
        </w:rPr>
      </w:pPr>
      <w:r>
        <w:rPr>
          <w:rFonts w:cs="Times New Roman"/>
          <w:szCs w:val="24"/>
        </w:rPr>
        <w:t xml:space="preserve">complete the SAE form and send it by email </w:t>
      </w:r>
      <w:r>
        <w:rPr>
          <w:rFonts w:cs="Times New Roman"/>
          <w:b/>
          <w:bCs/>
          <w:szCs w:val="24"/>
        </w:rPr>
        <w:t>to pharmacovigilance@dndi.org (copy SAE_DNDICPG@dndi.org),</w:t>
      </w:r>
      <w:r>
        <w:rPr>
          <w:rFonts w:cs="Times New Roman"/>
          <w:szCs w:val="24"/>
        </w:rPr>
        <w:t xml:space="preserve"> immediately after of being informed of this event, </w:t>
      </w:r>
      <w:r>
        <w:rPr>
          <w:rFonts w:cs="Times New Roman"/>
          <w:szCs w:val="24"/>
        </w:rPr>
        <w:lastRenderedPageBreak/>
        <w:t>without waiting for the results of the clinical outcome or additional investigations, and in any case, within 24 h of knowledge by the Investigator; this form includes a description of the event, onset date and seriousness criteria, duration, severity, causal relationship to study drug, outcome, measures taken and all other relevant clinical and laboratory data;</w:t>
      </w:r>
    </w:p>
    <w:p w14:paraId="79965CBC" w14:textId="77777777" w:rsidR="005E785F" w:rsidRDefault="003621E8">
      <w:pPr>
        <w:numPr>
          <w:ilvl w:val="0"/>
          <w:numId w:val="62"/>
        </w:numPr>
        <w:spacing w:before="120" w:after="120" w:line="280" w:lineRule="atLeast"/>
        <w:jc w:val="both"/>
        <w:rPr>
          <w:rFonts w:cs="Times New Roman"/>
          <w:lang w:val="en-GB"/>
        </w:rPr>
      </w:pPr>
      <w:r>
        <w:rPr>
          <w:rFonts w:cs="Times New Roman"/>
          <w:szCs w:val="24"/>
        </w:rPr>
        <w:t>make a telephone call after the initial email notification (within 24 hours of awareness of SAE) for all treatment emergent SAEs to the Sponsor Medical Responsible and/or Senior Clinical Manager.</w:t>
      </w:r>
    </w:p>
    <w:p w14:paraId="1D511ECA" w14:textId="6190ED4F" w:rsidR="005E785F" w:rsidRDefault="003621E8">
      <w:pPr>
        <w:numPr>
          <w:ilvl w:val="0"/>
          <w:numId w:val="62"/>
        </w:numPr>
        <w:spacing w:before="120" w:after="120" w:line="280" w:lineRule="atLeast"/>
        <w:jc w:val="both"/>
        <w:rPr>
          <w:rFonts w:cs="Times New Roman"/>
          <w:lang w:val="en-GB"/>
        </w:rPr>
      </w:pPr>
      <w:r>
        <w:rPr>
          <w:rFonts w:cs="Times New Roman"/>
          <w:lang w:val="en-GB"/>
        </w:rPr>
        <w:t xml:space="preserve">provide the persons designated above, as they become available, additional information (follow-up SAE form) with all relevant information  that could contribute to the clarification of the SAE and to the assessment of potential risk for the study subjects and with anonymised copies of the documents which provide additional useful information, such as hospital admission reports, reports of further consultations, laboratory test reports, reports of other examinations aiding diagnosis (where possible, the results from pre-treatment assessments should be appended for comparison with the results obtained under treatment), or the autopsy report, if autopsy is performed; any follow-up reports should be submitted as soon as possible, and if possible within 2 working days of knowledge, inform the persons designated above of the outcome, if not previously reported, and other relevant follow-up information of the SAE as soon as possible; </w:t>
      </w:r>
    </w:p>
    <w:p w14:paraId="4C16FDCE" w14:textId="77777777" w:rsidR="005E785F" w:rsidRDefault="003621E8">
      <w:pPr>
        <w:spacing w:before="120" w:after="120" w:line="280" w:lineRule="atLeast"/>
        <w:jc w:val="both"/>
        <w:rPr>
          <w:rFonts w:cs="Times New Roman"/>
          <w:lang w:val="en-GB"/>
        </w:rPr>
      </w:pPr>
      <w:r>
        <w:rPr>
          <w:rFonts w:cs="Times New Roman"/>
          <w:lang w:val="en-GB"/>
        </w:rPr>
        <w:t xml:space="preserve">The Investigator must also report all SAEs in the source by filling in the AE form. Where the same data are collected in the source and in the SAE form, the two forms must be completed in a consistent manner, and the same medical terminology should be used. </w:t>
      </w:r>
    </w:p>
    <w:p w14:paraId="29139A2F" w14:textId="77777777" w:rsidR="005E785F" w:rsidRDefault="003621E8">
      <w:pPr>
        <w:spacing w:before="120" w:after="120" w:line="280" w:lineRule="atLeast"/>
        <w:jc w:val="both"/>
        <w:rPr>
          <w:rFonts w:cs="Times New Roman"/>
          <w:lang w:val="en-GB"/>
        </w:rPr>
      </w:pPr>
      <w:r>
        <w:rPr>
          <w:rFonts w:cs="Times New Roman"/>
          <w:lang w:val="en-GB"/>
        </w:rPr>
        <w:t xml:space="preserve">If the SAE is the reason of subject drop-out from the study, the Investigator will detail the reason for such a statement in the comment section of the form and the Sponsor Medical Responsible and Sponsor Clinical Project Manager will be informed immediately (within 24 h of the Investigator becoming aware of the event) by telephone and email. </w:t>
      </w:r>
    </w:p>
    <w:p w14:paraId="700EC873" w14:textId="77777777" w:rsidR="005E785F" w:rsidRDefault="003621E8">
      <w:pPr>
        <w:spacing w:before="120" w:after="120" w:line="280" w:lineRule="atLeast"/>
        <w:jc w:val="both"/>
        <w:rPr>
          <w:rFonts w:cs="Times New Roman"/>
          <w:lang w:val="en-GB"/>
        </w:rPr>
      </w:pPr>
      <w:r>
        <w:rPr>
          <w:rFonts w:cs="Times New Roman"/>
          <w:lang w:val="en-GB"/>
        </w:rPr>
        <w:t xml:space="preserve">The minimum criteria to be reported are as follows: </w:t>
      </w:r>
    </w:p>
    <w:p w14:paraId="022CD9A5" w14:textId="77777777" w:rsidR="005E785F" w:rsidRDefault="003621E8">
      <w:pPr>
        <w:numPr>
          <w:ilvl w:val="0"/>
          <w:numId w:val="63"/>
        </w:numPr>
        <w:spacing w:line="280" w:lineRule="atLeast"/>
        <w:jc w:val="both"/>
        <w:rPr>
          <w:rFonts w:cs="Times New Roman"/>
          <w:lang w:val="en-GB"/>
        </w:rPr>
      </w:pPr>
      <w:r>
        <w:rPr>
          <w:rFonts w:cs="Times New Roman"/>
          <w:lang w:val="en-GB"/>
        </w:rPr>
        <w:t>a suspected IMP,</w:t>
      </w:r>
    </w:p>
    <w:p w14:paraId="0DA637C8" w14:textId="77777777" w:rsidR="005E785F" w:rsidRDefault="003621E8">
      <w:pPr>
        <w:numPr>
          <w:ilvl w:val="0"/>
          <w:numId w:val="63"/>
        </w:numPr>
        <w:spacing w:line="280" w:lineRule="atLeast"/>
        <w:jc w:val="both"/>
        <w:rPr>
          <w:rFonts w:cs="Times New Roman"/>
          <w:lang w:val="en-GB"/>
        </w:rPr>
      </w:pPr>
      <w:r>
        <w:rPr>
          <w:rFonts w:cs="Times New Roman"/>
          <w:lang w:val="en-GB"/>
        </w:rPr>
        <w:t>an identifiable subject (at least study subject identification code number but no subject initials),</w:t>
      </w:r>
    </w:p>
    <w:p w14:paraId="3CB6A6E9" w14:textId="77777777" w:rsidR="005E785F" w:rsidRDefault="003621E8">
      <w:pPr>
        <w:numPr>
          <w:ilvl w:val="0"/>
          <w:numId w:val="63"/>
        </w:numPr>
        <w:spacing w:line="280" w:lineRule="atLeast"/>
        <w:jc w:val="both"/>
        <w:rPr>
          <w:rFonts w:cs="Times New Roman"/>
          <w:lang w:val="en-GB"/>
        </w:rPr>
      </w:pPr>
      <w:r>
        <w:rPr>
          <w:rFonts w:cs="Times New Roman"/>
          <w:lang w:val="en-GB"/>
        </w:rPr>
        <w:t>an AE assessed as serious,</w:t>
      </w:r>
    </w:p>
    <w:p w14:paraId="462E0C6A" w14:textId="77777777" w:rsidR="005E785F" w:rsidRDefault="003621E8">
      <w:pPr>
        <w:numPr>
          <w:ilvl w:val="0"/>
          <w:numId w:val="63"/>
        </w:numPr>
        <w:spacing w:line="280" w:lineRule="atLeast"/>
        <w:jc w:val="both"/>
        <w:rPr>
          <w:rFonts w:cs="Times New Roman"/>
          <w:lang w:val="en-GB"/>
        </w:rPr>
      </w:pPr>
      <w:r>
        <w:rPr>
          <w:rFonts w:cs="Times New Roman"/>
          <w:lang w:val="en-GB"/>
        </w:rPr>
        <w:t>an identifiable reporting source.</w:t>
      </w:r>
    </w:p>
    <w:p w14:paraId="6F9F1B31" w14:textId="77777777" w:rsidR="005E785F" w:rsidRDefault="003621E8">
      <w:pPr>
        <w:spacing w:before="120" w:after="120" w:line="280" w:lineRule="atLeast"/>
        <w:jc w:val="both"/>
        <w:rPr>
          <w:rFonts w:cs="Times New Roman"/>
          <w:lang w:val="en-GB"/>
        </w:rPr>
      </w:pPr>
      <w:r>
        <w:rPr>
          <w:rFonts w:cs="Times New Roman"/>
          <w:lang w:val="en-GB"/>
        </w:rPr>
        <w:t xml:space="preserve">The outcome of the SAE shall be classified as following: </w:t>
      </w:r>
    </w:p>
    <w:p w14:paraId="45E31B17" w14:textId="77777777" w:rsidR="005E785F" w:rsidRDefault="003621E8">
      <w:pPr>
        <w:numPr>
          <w:ilvl w:val="0"/>
          <w:numId w:val="63"/>
        </w:numPr>
        <w:spacing w:line="280" w:lineRule="atLeast"/>
        <w:jc w:val="both"/>
        <w:rPr>
          <w:rFonts w:cs="Times New Roman"/>
          <w:lang w:val="en-GB"/>
        </w:rPr>
      </w:pPr>
      <w:r>
        <w:rPr>
          <w:rFonts w:cs="Times New Roman"/>
          <w:lang w:val="en-GB"/>
        </w:rPr>
        <w:t>recovered/resolved,</w:t>
      </w:r>
    </w:p>
    <w:p w14:paraId="34931799" w14:textId="77777777" w:rsidR="005E785F" w:rsidRDefault="003621E8">
      <w:pPr>
        <w:numPr>
          <w:ilvl w:val="0"/>
          <w:numId w:val="63"/>
        </w:numPr>
        <w:spacing w:line="280" w:lineRule="atLeast"/>
        <w:jc w:val="both"/>
        <w:rPr>
          <w:rFonts w:cs="Times New Roman"/>
          <w:lang w:val="en-GB"/>
        </w:rPr>
      </w:pPr>
      <w:r>
        <w:rPr>
          <w:rFonts w:cs="Times New Roman"/>
          <w:lang w:val="en-GB"/>
        </w:rPr>
        <w:t>recovering/resolving,</w:t>
      </w:r>
    </w:p>
    <w:p w14:paraId="09FD250C" w14:textId="77777777" w:rsidR="005E785F" w:rsidRDefault="003621E8">
      <w:pPr>
        <w:numPr>
          <w:ilvl w:val="0"/>
          <w:numId w:val="63"/>
        </w:numPr>
        <w:spacing w:line="280" w:lineRule="atLeast"/>
        <w:jc w:val="both"/>
        <w:rPr>
          <w:rFonts w:cs="Times New Roman"/>
          <w:lang w:val="en-GB"/>
        </w:rPr>
      </w:pPr>
      <w:r>
        <w:rPr>
          <w:rFonts w:cs="Times New Roman"/>
          <w:lang w:val="en-GB"/>
        </w:rPr>
        <w:t xml:space="preserve">recovered/resolved with sequelae, </w:t>
      </w:r>
    </w:p>
    <w:p w14:paraId="4F82F661" w14:textId="77777777" w:rsidR="005E785F" w:rsidRDefault="003621E8">
      <w:pPr>
        <w:numPr>
          <w:ilvl w:val="0"/>
          <w:numId w:val="63"/>
        </w:numPr>
        <w:spacing w:line="280" w:lineRule="atLeast"/>
        <w:jc w:val="both"/>
        <w:rPr>
          <w:rFonts w:cs="Times New Roman"/>
          <w:lang w:val="en-GB"/>
        </w:rPr>
      </w:pPr>
      <w:r>
        <w:rPr>
          <w:rFonts w:cs="Times New Roman"/>
          <w:lang w:val="en-GB"/>
        </w:rPr>
        <w:t xml:space="preserve">not recovered/not resolved, </w:t>
      </w:r>
    </w:p>
    <w:p w14:paraId="6E32C9D7" w14:textId="77777777" w:rsidR="005E785F" w:rsidRDefault="003621E8">
      <w:pPr>
        <w:numPr>
          <w:ilvl w:val="0"/>
          <w:numId w:val="63"/>
        </w:numPr>
        <w:spacing w:line="280" w:lineRule="atLeast"/>
        <w:jc w:val="both"/>
        <w:rPr>
          <w:rFonts w:cs="Times New Roman"/>
          <w:lang w:val="en-GB"/>
        </w:rPr>
      </w:pPr>
      <w:r>
        <w:rPr>
          <w:rFonts w:cs="Times New Roman"/>
          <w:lang w:val="en-GB"/>
        </w:rPr>
        <w:t>fatal,</w:t>
      </w:r>
    </w:p>
    <w:p w14:paraId="2D763ECF" w14:textId="77777777" w:rsidR="005E785F" w:rsidRDefault="003621E8">
      <w:pPr>
        <w:numPr>
          <w:ilvl w:val="0"/>
          <w:numId w:val="63"/>
        </w:numPr>
        <w:spacing w:line="280" w:lineRule="atLeast"/>
        <w:jc w:val="both"/>
        <w:rPr>
          <w:rFonts w:cs="Times New Roman"/>
          <w:lang w:val="en-GB"/>
        </w:rPr>
      </w:pPr>
      <w:r>
        <w:rPr>
          <w:rFonts w:cs="Times New Roman"/>
          <w:lang w:val="en-GB"/>
        </w:rPr>
        <w:t xml:space="preserve">unknown. </w:t>
      </w:r>
    </w:p>
    <w:p w14:paraId="2C544EDC" w14:textId="77777777" w:rsidR="005E785F" w:rsidRDefault="003621E8">
      <w:pPr>
        <w:spacing w:before="120" w:after="120" w:line="280" w:lineRule="atLeast"/>
        <w:jc w:val="both"/>
        <w:rPr>
          <w:rFonts w:cs="Times New Roman"/>
          <w:lang w:val="en-GB"/>
        </w:rPr>
      </w:pPr>
      <w:r>
        <w:rPr>
          <w:rFonts w:cs="Times New Roman"/>
          <w:lang w:val="en-GB"/>
        </w:rPr>
        <w:t xml:space="preserve">Details should be given for the latter four categories. </w:t>
      </w:r>
    </w:p>
    <w:p w14:paraId="39622896" w14:textId="77777777" w:rsidR="005E785F" w:rsidRDefault="003621E8">
      <w:pPr>
        <w:numPr>
          <w:ilvl w:val="0"/>
          <w:numId w:val="64"/>
        </w:numPr>
        <w:spacing w:before="120" w:after="120" w:line="280" w:lineRule="atLeast"/>
        <w:jc w:val="both"/>
        <w:rPr>
          <w:rFonts w:cs="Times New Roman"/>
          <w:lang w:val="en-GB"/>
        </w:rPr>
      </w:pPr>
      <w:r>
        <w:rPr>
          <w:rFonts w:cs="Times New Roman"/>
          <w:lang w:val="en-GB"/>
        </w:rPr>
        <w:lastRenderedPageBreak/>
        <w:t>Start date of SAE or date when the AE becomes serious. SAE end date is the date of AE recovery.</w:t>
      </w:r>
    </w:p>
    <w:p w14:paraId="05BBD418" w14:textId="332C9A7B" w:rsidR="005E785F" w:rsidRDefault="003621E8">
      <w:pPr>
        <w:pStyle w:val="Heading5"/>
      </w:pPr>
      <w:bookmarkStart w:id="181" w:name="_Toc74904414"/>
      <w:r>
        <w:t>Reporting of SUSARs</w:t>
      </w:r>
      <w:bookmarkEnd w:id="181"/>
    </w:p>
    <w:p w14:paraId="11C448C8" w14:textId="0D21EB2C" w:rsidR="005E785F" w:rsidRDefault="003621E8">
      <w:pPr>
        <w:spacing w:before="120" w:after="120" w:line="280" w:lineRule="atLeast"/>
        <w:jc w:val="both"/>
        <w:rPr>
          <w:rFonts w:cs="Times New Roman"/>
          <w:lang w:val="en-GB"/>
        </w:rPr>
      </w:pPr>
      <w:r>
        <w:rPr>
          <w:rFonts w:cs="Times New Roman"/>
          <w:lang w:val="en-GB"/>
        </w:rPr>
        <w:t xml:space="preserve">The Sponsor is responsible for all declarations to Health Authorities (MHRA) as described in this protocol and in the safety management plan (SMP). Simbec-Orion is responsible to inform the Sponsor of any update/modification of the local requirements. </w:t>
      </w:r>
    </w:p>
    <w:p w14:paraId="3228CCA4" w14:textId="77777777" w:rsidR="005E785F" w:rsidRDefault="003621E8">
      <w:pPr>
        <w:spacing w:before="120" w:after="120" w:line="280" w:lineRule="atLeast"/>
        <w:jc w:val="both"/>
        <w:rPr>
          <w:rFonts w:cs="Times New Roman"/>
          <w:lang w:val="en-GB"/>
        </w:rPr>
      </w:pPr>
      <w:r>
        <w:rPr>
          <w:rFonts w:cs="Times New Roman"/>
          <w:lang w:val="en-GB"/>
        </w:rPr>
        <w:t>It is the responsibility of the Sponsor to determine whether a reported SAE fits the classification of a SUSAR and to notify the Investigator of their decision as soon as possible.</w:t>
      </w:r>
    </w:p>
    <w:p w14:paraId="18707F07" w14:textId="4D0AB46A" w:rsidR="005E785F" w:rsidRDefault="003621E8">
      <w:pPr>
        <w:spacing w:before="120" w:after="120" w:line="280" w:lineRule="atLeast"/>
        <w:jc w:val="both"/>
        <w:rPr>
          <w:rFonts w:cs="Times New Roman"/>
          <w:lang w:val="en-GB"/>
        </w:rPr>
      </w:pPr>
      <w:r>
        <w:rPr>
          <w:rFonts w:cs="Times New Roman"/>
          <w:szCs w:val="24"/>
        </w:rPr>
        <w:t>The Sponsor (the PV service provider [United BioSource Corporation]) is responsible for reporting SUSARs to the REC and MHRA.</w:t>
      </w:r>
    </w:p>
    <w:p w14:paraId="385CD881" w14:textId="7D940F98" w:rsidR="005E785F" w:rsidRDefault="003621E8">
      <w:pPr>
        <w:pStyle w:val="Heading5"/>
      </w:pPr>
      <w:bookmarkStart w:id="182" w:name="_Toc74904415"/>
      <w:r>
        <w:t>Expedited Reporting of Events</w:t>
      </w:r>
      <w:bookmarkEnd w:id="182"/>
    </w:p>
    <w:p w14:paraId="5CEA9BFC" w14:textId="77777777" w:rsidR="005E785F" w:rsidRDefault="003621E8">
      <w:pPr>
        <w:spacing w:before="120" w:after="120" w:line="280" w:lineRule="atLeast"/>
        <w:jc w:val="both"/>
        <w:rPr>
          <w:rFonts w:cs="Times New Roman"/>
          <w:lang w:val="en-GB"/>
        </w:rPr>
      </w:pPr>
      <w:r>
        <w:rPr>
          <w:rFonts w:cs="Times New Roman"/>
          <w:lang w:val="en-GB"/>
        </w:rPr>
        <w:t>It is the responsibility of the Sponsor to determine whether an event requires expedited reporting and to notify the Investigator of their decision as soon as possible.</w:t>
      </w:r>
    </w:p>
    <w:p w14:paraId="2F6F0B8F" w14:textId="7CDD6968" w:rsidR="005E785F" w:rsidRDefault="003621E8">
      <w:pPr>
        <w:spacing w:before="120" w:after="120" w:line="280" w:lineRule="atLeast"/>
        <w:jc w:val="both"/>
        <w:rPr>
          <w:rFonts w:cs="Times New Roman"/>
          <w:lang w:val="en-GB"/>
        </w:rPr>
      </w:pPr>
      <w:r>
        <w:rPr>
          <w:rFonts w:cs="Times New Roman"/>
          <w:lang w:val="en-GB"/>
        </w:rPr>
        <w:t>Where expedited reporting is required, the following procedures should be followed:</w:t>
      </w:r>
    </w:p>
    <w:p w14:paraId="521B2DD6" w14:textId="77777777" w:rsidR="005E785F" w:rsidRDefault="003621E8">
      <w:pPr>
        <w:spacing w:before="240" w:after="120" w:line="280" w:lineRule="atLeast"/>
        <w:jc w:val="both"/>
        <w:rPr>
          <w:rFonts w:cs="Times New Roman"/>
          <w:b/>
          <w:bCs/>
          <w:lang w:val="en-GB"/>
        </w:rPr>
      </w:pPr>
      <w:r>
        <w:rPr>
          <w:rFonts w:cs="Times New Roman"/>
          <w:b/>
          <w:bCs/>
          <w:lang w:val="en-GB"/>
        </w:rPr>
        <w:t>Fatal or life-threatening SUSARs</w:t>
      </w:r>
    </w:p>
    <w:p w14:paraId="77BA501E" w14:textId="06816044" w:rsidR="005E785F" w:rsidRDefault="003621E8">
      <w:pPr>
        <w:spacing w:before="120" w:after="120" w:line="280" w:lineRule="atLeast"/>
        <w:jc w:val="both"/>
        <w:rPr>
          <w:rFonts w:cs="Times New Roman"/>
          <w:lang w:val="en-GB"/>
        </w:rPr>
      </w:pPr>
      <w:r>
        <w:rPr>
          <w:rFonts w:cs="Times New Roman"/>
          <w:lang w:val="en-GB"/>
        </w:rPr>
        <w:t xml:space="preserve">It is the responsibility of the Sponsor to report fatal or life-threatening SUSARs to the MHRA as soon as possible, but no later than 7 calendar days after the Sponsor first became aware of the reaction. Any additional relevant information should be sent within 8 days of the report. This responsibility may be delegated to the DNDi PV provider. </w:t>
      </w:r>
    </w:p>
    <w:p w14:paraId="41A085E3" w14:textId="2039925E" w:rsidR="005E785F" w:rsidRDefault="003621E8">
      <w:pPr>
        <w:spacing w:before="120" w:after="120" w:line="280" w:lineRule="atLeast"/>
        <w:jc w:val="both"/>
        <w:rPr>
          <w:rFonts w:cs="Times New Roman"/>
          <w:lang w:val="en-GB"/>
        </w:rPr>
      </w:pPr>
      <w:r>
        <w:rPr>
          <w:rFonts w:cs="Times New Roman"/>
          <w:lang w:val="en-GB"/>
        </w:rPr>
        <w:t xml:space="preserve">The Sponsor (represented by the pharmacovigilance service provider [United BioSource Corporation] by delegation) is required to notify the REC of any fatal or life-threatening SUSAR as soon as possible, but no later than 7 calendar days after the Sponsor first became aware of the reaction. Any additional relevant information should be sent within 8 days of the report. </w:t>
      </w:r>
    </w:p>
    <w:p w14:paraId="311C39BD" w14:textId="77777777" w:rsidR="005E785F" w:rsidRDefault="003621E8">
      <w:pPr>
        <w:spacing w:before="240" w:after="120" w:line="280" w:lineRule="atLeast"/>
        <w:jc w:val="both"/>
        <w:rPr>
          <w:rFonts w:cs="Times New Roman"/>
          <w:b/>
          <w:bCs/>
          <w:lang w:val="en-GB"/>
        </w:rPr>
      </w:pPr>
      <w:r>
        <w:rPr>
          <w:rFonts w:cs="Times New Roman"/>
          <w:b/>
          <w:bCs/>
          <w:lang w:val="en-GB"/>
        </w:rPr>
        <w:t>Other SUSARs (not fatal or life-threatening)</w:t>
      </w:r>
    </w:p>
    <w:p w14:paraId="22DFCE2B" w14:textId="192F392F" w:rsidR="005E785F" w:rsidRDefault="003621E8">
      <w:pPr>
        <w:spacing w:before="120" w:after="120" w:line="280" w:lineRule="atLeast"/>
        <w:jc w:val="both"/>
        <w:rPr>
          <w:rFonts w:cs="Times New Roman"/>
          <w:lang w:val="en-GB"/>
        </w:rPr>
      </w:pPr>
      <w:r>
        <w:rPr>
          <w:rFonts w:cs="Times New Roman"/>
          <w:lang w:val="en-GB"/>
        </w:rPr>
        <w:t>It is the responsibility of the Sponsor to report other SUSARs to the MHRA and EMA as soon as possible, but no later than 15 calendar days after they first became aware of the reaction. This responsibility may be delegated to the PV provider.</w:t>
      </w:r>
    </w:p>
    <w:p w14:paraId="7EF51E89" w14:textId="43B18E73" w:rsidR="005E785F" w:rsidRDefault="003621E8">
      <w:pPr>
        <w:spacing w:before="120" w:after="120" w:line="280" w:lineRule="atLeast"/>
        <w:jc w:val="both"/>
        <w:rPr>
          <w:rFonts w:cs="Times New Roman"/>
          <w:lang w:val="en-GB"/>
        </w:rPr>
      </w:pPr>
      <w:r>
        <w:rPr>
          <w:rFonts w:cs="Times New Roman"/>
          <w:lang w:val="en-GB"/>
        </w:rPr>
        <w:t xml:space="preserve">The Sponsor (represented by the PV service provider [United BioSource Corporation] by delegation) is required to notify the REC of other SUSARs as soon as possible, but no later than 15 calendar days after they first became aware of the reaction. </w:t>
      </w:r>
    </w:p>
    <w:p w14:paraId="1CA16296" w14:textId="1E44614C" w:rsidR="005E785F" w:rsidRDefault="003621E8">
      <w:pPr>
        <w:pStyle w:val="Heading5"/>
      </w:pPr>
      <w:bookmarkStart w:id="183" w:name="_Toc74904416"/>
      <w:r>
        <w:t>Reporting of Urgent Safety Measures</w:t>
      </w:r>
      <w:bookmarkEnd w:id="183"/>
    </w:p>
    <w:p w14:paraId="764FCEDC" w14:textId="2CA1BC8C" w:rsidR="005E785F" w:rsidRDefault="003621E8">
      <w:pPr>
        <w:spacing w:before="120" w:after="120" w:line="280" w:lineRule="atLeast"/>
        <w:jc w:val="both"/>
        <w:rPr>
          <w:rFonts w:cs="Times New Roman"/>
          <w:lang w:val="en-GB"/>
        </w:rPr>
      </w:pPr>
      <w:r>
        <w:rPr>
          <w:rFonts w:cs="Times New Roman"/>
          <w:lang w:val="en-GB"/>
        </w:rPr>
        <w:t>Simbec-Orion is required to inform the appropriate competent authorities and the REC within 3 calendar days of the urgent safety measure</w:t>
      </w:r>
      <w:r>
        <w:t xml:space="preserve"> </w:t>
      </w:r>
      <w:r>
        <w:rPr>
          <w:rFonts w:cs="Times New Roman"/>
          <w:lang w:val="en-GB"/>
        </w:rPr>
        <w:t>via substantial amendment after consultation with DNDi.</w:t>
      </w:r>
    </w:p>
    <w:p w14:paraId="6EBFBADD" w14:textId="6BA65B58" w:rsidR="005E785F" w:rsidRDefault="003621E8">
      <w:pPr>
        <w:pStyle w:val="Heading5"/>
      </w:pPr>
      <w:bookmarkStart w:id="184" w:name="_Toc74904417"/>
      <w:r>
        <w:lastRenderedPageBreak/>
        <w:t>Serious Breaches</w:t>
      </w:r>
      <w:bookmarkEnd w:id="184"/>
    </w:p>
    <w:p w14:paraId="4C70B4AF" w14:textId="77777777" w:rsidR="005E785F" w:rsidRDefault="003621E8">
      <w:pPr>
        <w:spacing w:before="120" w:after="120" w:line="280" w:lineRule="atLeast"/>
        <w:jc w:val="both"/>
        <w:rPr>
          <w:rFonts w:cs="Times New Roman"/>
          <w:lang w:val="en-GB"/>
        </w:rPr>
      </w:pPr>
      <w:r>
        <w:rPr>
          <w:rFonts w:cs="Times New Roman"/>
          <w:lang w:val="en-GB"/>
        </w:rPr>
        <w:t>It is the responsibility of the Sponsor to notify the licensing authority of any serious breach, which is likely to affect, to a significant degree, the safety or mental integrity of the subjects of the study or the scientific value of the study. This has been delegated to Simbec-Orion.</w:t>
      </w:r>
    </w:p>
    <w:p w14:paraId="1AD075EB" w14:textId="77777777" w:rsidR="005E785F" w:rsidRDefault="003621E8">
      <w:pPr>
        <w:spacing w:before="120" w:after="120" w:line="280" w:lineRule="atLeast"/>
        <w:jc w:val="both"/>
        <w:rPr>
          <w:rFonts w:cs="Times New Roman"/>
          <w:lang w:val="en-GB"/>
        </w:rPr>
      </w:pPr>
      <w:r>
        <w:rPr>
          <w:rFonts w:cs="Times New Roman"/>
          <w:lang w:val="en-GB"/>
        </w:rPr>
        <w:t>All serious breaches will be notified to the MHRA within 7 days. The reporting will be performed by the party who suspects the serious breach.</w:t>
      </w:r>
    </w:p>
    <w:p w14:paraId="4A4871C4" w14:textId="476F740B" w:rsidR="005E785F" w:rsidRDefault="003621E8">
      <w:pPr>
        <w:spacing w:before="120" w:after="120" w:line="280" w:lineRule="atLeast"/>
        <w:jc w:val="both"/>
        <w:rPr>
          <w:rFonts w:cs="Times New Roman"/>
          <w:lang w:val="en-GB"/>
        </w:rPr>
      </w:pPr>
      <w:r>
        <w:rPr>
          <w:rFonts w:cs="Times New Roman"/>
          <w:lang w:val="en-GB"/>
        </w:rPr>
        <w:t>The personal data of volunteers will be pseudonymised in that they will only include health, date of birth (year of birth only) and demographics (gender and ethnicity) and cannot be linked back to the individual by the recipient. The Sponsor shall be the data controller in respect of the personal data of the study subjects collected in connection with the study and shall act in accordance with the relevant data protection laws in relation to the collection and processing of those personal data. The study subjects’ pseudonymised personal data shall be collected and processed for the purposes of the study and may also be added to research databases and used in the future by the Sponsor and its affiliates for certain additional clinical research, for product regulation and safety reporting purposes and for ensuring compliance with legal requirements. The study subjects’ pseudonymised personal data may be processed for such purposes by other parties including: the Sponsor’s affiliates and licensing partners, its business or academic partners, its donors, regulatory agencies and other health authorities, and ECs. The study subjects’ authorisation for such use and disclosure shall be obtained by the study subjects signing the ICF for the study.</w:t>
      </w:r>
    </w:p>
    <w:p w14:paraId="58414B49" w14:textId="77777777" w:rsidR="005E785F" w:rsidRDefault="003621E8">
      <w:pPr>
        <w:spacing w:before="120" w:after="120" w:line="280" w:lineRule="atLeast"/>
        <w:jc w:val="both"/>
        <w:rPr>
          <w:rFonts w:cs="Times New Roman"/>
          <w:lang w:val="en-GB"/>
        </w:rPr>
      </w:pPr>
      <w:r>
        <w:rPr>
          <w:rFonts w:cs="Times New Roman"/>
          <w:lang w:val="en-GB"/>
        </w:rPr>
        <w:t>Additionally, Simbec-Orion personnel are contractually bound by a duty of confidentiality and receive training in this matter.</w:t>
      </w:r>
    </w:p>
    <w:p w14:paraId="5BF21C9D" w14:textId="6D95E9CE" w:rsidR="005E785F" w:rsidRDefault="003621E8">
      <w:pPr>
        <w:pStyle w:val="Heading5"/>
      </w:pPr>
      <w:bookmarkStart w:id="185" w:name="_Toc74904418"/>
      <w:r>
        <w:t>Data Security Breach</w:t>
      </w:r>
      <w:bookmarkEnd w:id="185"/>
    </w:p>
    <w:p w14:paraId="72409EDB" w14:textId="0DB2AB78" w:rsidR="005E785F" w:rsidRDefault="003621E8">
      <w:pPr>
        <w:spacing w:before="120" w:after="120"/>
        <w:jc w:val="both"/>
        <w:rPr>
          <w:rFonts w:cs="Times New Roman"/>
          <w:lang w:val="en-GB"/>
        </w:rPr>
      </w:pPr>
      <w:r>
        <w:rPr>
          <w:rFonts w:cs="Times New Roman"/>
          <w:lang w:val="en-GB"/>
        </w:rPr>
        <w:t>Simbec-Orion has a comprehensive process in place for identifying, assessing, resolving and reporting any potential data security breach. All staff are trained in the identification of potential data security breaches. Potential breaches are managed by appropriately trained quality assurance (QA) personnel in accordance with Simbec-Orion SOPs. After robust assessment of data breaches, those deemed serious will be reported to the Sponsor and Information Commissioner’s Office, as applicable.</w:t>
      </w:r>
    </w:p>
    <w:p w14:paraId="341B2002" w14:textId="714123E5" w:rsidR="005E785F" w:rsidRDefault="003621E8">
      <w:pPr>
        <w:pStyle w:val="Heading5"/>
      </w:pPr>
      <w:bookmarkStart w:id="186" w:name="_Toc74904419"/>
      <w:r>
        <w:t>Monitoring of Subjects with Adverse Events</w:t>
      </w:r>
      <w:bookmarkEnd w:id="186"/>
    </w:p>
    <w:p w14:paraId="0FA7CEA9" w14:textId="07E2A02C" w:rsidR="005E785F" w:rsidRDefault="003621E8">
      <w:pPr>
        <w:spacing w:before="120" w:after="120"/>
        <w:jc w:val="both"/>
        <w:rPr>
          <w:rFonts w:cs="Times New Roman"/>
          <w:lang w:val="en-GB"/>
        </w:rPr>
      </w:pPr>
      <w:r>
        <w:rPr>
          <w:rFonts w:cs="Times New Roman"/>
          <w:lang w:val="en-GB"/>
        </w:rPr>
        <w:t>In the event of any abnormalities considered to be clinically significant by the investigating physician or ongoing AEs, subjects will be followed up with appropriate medical management until:</w:t>
      </w:r>
    </w:p>
    <w:p w14:paraId="33AFEC62" w14:textId="77777777" w:rsidR="005E785F" w:rsidRDefault="003621E8">
      <w:pPr>
        <w:numPr>
          <w:ilvl w:val="0"/>
          <w:numId w:val="14"/>
        </w:numPr>
        <w:spacing w:before="120" w:after="120"/>
        <w:jc w:val="both"/>
        <w:rPr>
          <w:rFonts w:cs="Times New Roman"/>
          <w:lang w:val="en-GB"/>
        </w:rPr>
      </w:pPr>
      <w:r>
        <w:rPr>
          <w:rFonts w:cs="Times New Roman"/>
          <w:lang w:val="en-GB"/>
        </w:rPr>
        <w:t>It has resolved/returned to normal or baseline.</w:t>
      </w:r>
    </w:p>
    <w:p w14:paraId="7F0C2DE9" w14:textId="77777777" w:rsidR="005E785F" w:rsidRDefault="003621E8">
      <w:pPr>
        <w:numPr>
          <w:ilvl w:val="0"/>
          <w:numId w:val="14"/>
        </w:numPr>
        <w:spacing w:before="120" w:after="120"/>
        <w:jc w:val="both"/>
        <w:rPr>
          <w:rFonts w:cs="Times New Roman"/>
          <w:lang w:val="en-GB"/>
        </w:rPr>
      </w:pPr>
      <w:r>
        <w:rPr>
          <w:rFonts w:cs="Times New Roman"/>
          <w:lang w:val="en-GB"/>
        </w:rPr>
        <w:t>The event has stabilised at a level acceptable to the Investigator and is not considered to be clinically significant.</w:t>
      </w:r>
    </w:p>
    <w:p w14:paraId="48835CFB" w14:textId="17BF3780" w:rsidR="005E785F" w:rsidRDefault="003621E8">
      <w:pPr>
        <w:pStyle w:val="Heading4"/>
      </w:pPr>
      <w:bookmarkStart w:id="187" w:name="_Toc74904420"/>
      <w:r>
        <w:t>Pregnancy</w:t>
      </w:r>
      <w:bookmarkEnd w:id="187"/>
    </w:p>
    <w:p w14:paraId="1A0CFAC5" w14:textId="28D0C663" w:rsidR="005E785F" w:rsidRDefault="003621E8">
      <w:pPr>
        <w:pStyle w:val="C-Bullet"/>
        <w:numPr>
          <w:ilvl w:val="0"/>
          <w:numId w:val="0"/>
        </w:numPr>
        <w:jc w:val="both"/>
        <w:rPr>
          <w:iCs/>
          <w:color w:val="000000"/>
          <w:szCs w:val="24"/>
          <w:lang w:val="en-GB"/>
        </w:rPr>
      </w:pPr>
      <w:r>
        <w:rPr>
          <w:iCs/>
          <w:color w:val="000000"/>
          <w:szCs w:val="24"/>
          <w:lang w:val="en-GB"/>
        </w:rPr>
        <w:t>The following procedures should be followed if the partner of a subject becomes pregnant.</w:t>
      </w:r>
    </w:p>
    <w:p w14:paraId="7EFD1322" w14:textId="3F41E9AD" w:rsidR="005E785F" w:rsidRDefault="003621E8">
      <w:pPr>
        <w:pStyle w:val="C-Bullet"/>
        <w:numPr>
          <w:ilvl w:val="0"/>
          <w:numId w:val="64"/>
        </w:numPr>
        <w:jc w:val="both"/>
        <w:rPr>
          <w:iCs/>
          <w:color w:val="000000"/>
          <w:szCs w:val="24"/>
          <w:lang w:val="en-GB"/>
        </w:rPr>
      </w:pPr>
      <w:r>
        <w:rPr>
          <w:iCs/>
          <w:color w:val="000000"/>
          <w:szCs w:val="24"/>
          <w:lang w:val="en-GB"/>
        </w:rPr>
        <w:lastRenderedPageBreak/>
        <w:t>Subjects will be instructed that if their partner becomes pregnant during the study, this should be reported to the Investigator who will evaluate the date of pregnancy start (1</w:t>
      </w:r>
      <w:r>
        <w:rPr>
          <w:iCs/>
          <w:color w:val="000000"/>
          <w:szCs w:val="24"/>
          <w:vertAlign w:val="superscript"/>
          <w:lang w:val="en-GB"/>
        </w:rPr>
        <w:t>st</w:t>
      </w:r>
      <w:r>
        <w:rPr>
          <w:iCs/>
          <w:color w:val="000000"/>
          <w:szCs w:val="24"/>
          <w:lang w:val="en-GB"/>
        </w:rPr>
        <w:t xml:space="preserve"> day of last menstruation period) and if there was exposure during pregnancy based on product’s half-life. The Investigator should also be notified of pregnancy occurring during the study but confirmed after completion of the study. </w:t>
      </w:r>
    </w:p>
    <w:p w14:paraId="4DD3E8B3" w14:textId="0393B776" w:rsidR="005E785F" w:rsidRDefault="003621E8">
      <w:pPr>
        <w:pStyle w:val="C-Bullet"/>
        <w:numPr>
          <w:ilvl w:val="0"/>
          <w:numId w:val="64"/>
        </w:numPr>
        <w:jc w:val="both"/>
        <w:rPr>
          <w:iCs/>
          <w:color w:val="000000"/>
          <w:szCs w:val="24"/>
          <w:lang w:val="en-GB"/>
        </w:rPr>
      </w:pPr>
      <w:r>
        <w:rPr>
          <w:iCs/>
          <w:color w:val="000000"/>
          <w:szCs w:val="24"/>
          <w:lang w:val="en-GB"/>
        </w:rPr>
        <w:t xml:space="preserve">In the event that a subject’s partner is subsequently found to be pregnant after the subject has been dosed, the Investigator must submit the event in writing, on a “Pregnancy Surveillance Form”, to the Sponsor in an expedited manner, i.e., within 24 h, with the same procedure and timelines as for SAEs (see </w:t>
      </w:r>
      <w:r>
        <w:rPr>
          <w:iCs/>
          <w:color w:val="0000FF"/>
          <w:szCs w:val="24"/>
          <w:lang w:val="en-GB"/>
        </w:rPr>
        <w:t xml:space="preserve">Section </w:t>
      </w:r>
      <w:r>
        <w:rPr>
          <w:iCs/>
          <w:color w:val="0000FF"/>
          <w:szCs w:val="24"/>
          <w:lang w:val="en-GB"/>
        </w:rPr>
        <w:fldChar w:fldCharType="begin"/>
      </w:r>
      <w:r>
        <w:rPr>
          <w:iCs/>
          <w:color w:val="0000FF"/>
          <w:szCs w:val="24"/>
          <w:lang w:val="en-GB"/>
        </w:rPr>
        <w:instrText xml:space="preserve"> REF _Ref49527268 \r \h  \* MERGEFORMAT </w:instrText>
      </w:r>
      <w:r>
        <w:rPr>
          <w:iCs/>
          <w:color w:val="0000FF"/>
          <w:szCs w:val="24"/>
          <w:lang w:val="en-GB"/>
        </w:rPr>
      </w:r>
      <w:r>
        <w:rPr>
          <w:iCs/>
          <w:color w:val="0000FF"/>
          <w:szCs w:val="24"/>
          <w:lang w:val="en-GB"/>
        </w:rPr>
        <w:fldChar w:fldCharType="separate"/>
      </w:r>
      <w:r>
        <w:rPr>
          <w:iCs/>
          <w:color w:val="0000FF"/>
          <w:szCs w:val="24"/>
          <w:lang w:val="en-GB"/>
        </w:rPr>
        <w:t>10.7.4.2.4</w:t>
      </w:r>
      <w:r>
        <w:rPr>
          <w:iCs/>
          <w:color w:val="0000FF"/>
          <w:szCs w:val="24"/>
          <w:lang w:val="en-GB"/>
        </w:rPr>
        <w:fldChar w:fldCharType="end"/>
      </w:r>
      <w:r>
        <w:rPr>
          <w:iCs/>
          <w:color w:val="000000"/>
          <w:szCs w:val="24"/>
          <w:lang w:val="en-GB"/>
        </w:rPr>
        <w:t>). This must be done irrespective of whether an AE has occurred. The information submitted should include the anticipated date of delivery.</w:t>
      </w:r>
    </w:p>
    <w:p w14:paraId="559303DA" w14:textId="719CCB8D" w:rsidR="005E785F" w:rsidRDefault="003621E8">
      <w:pPr>
        <w:pStyle w:val="C-Bullet"/>
        <w:numPr>
          <w:ilvl w:val="0"/>
          <w:numId w:val="64"/>
        </w:numPr>
        <w:jc w:val="both"/>
        <w:rPr>
          <w:iCs/>
          <w:color w:val="000000"/>
          <w:szCs w:val="24"/>
          <w:lang w:val="en-GB"/>
        </w:rPr>
      </w:pPr>
      <w:r>
        <w:rPr>
          <w:iCs/>
          <w:color w:val="000000"/>
          <w:szCs w:val="24"/>
          <w:lang w:val="en-GB"/>
        </w:rPr>
        <w:t xml:space="preserve">Consent will be sought from subject’s partner and, if granted, any pregnancy will be followed and the status of mother and/or child will be reported to the Sponsor after delivery or pregnancy termination (i.e., induced/spontaneous abortion).  </w:t>
      </w:r>
    </w:p>
    <w:p w14:paraId="0407A076" w14:textId="77777777" w:rsidR="005E785F" w:rsidRDefault="003621E8">
      <w:pPr>
        <w:pStyle w:val="C-Bullet"/>
        <w:numPr>
          <w:ilvl w:val="0"/>
          <w:numId w:val="64"/>
        </w:numPr>
        <w:jc w:val="both"/>
        <w:rPr>
          <w:iCs/>
          <w:color w:val="000000"/>
          <w:szCs w:val="24"/>
          <w:lang w:val="en-GB"/>
        </w:rPr>
      </w:pPr>
      <w:r>
        <w:rPr>
          <w:iCs/>
          <w:color w:val="000000"/>
          <w:szCs w:val="24"/>
          <w:lang w:val="en-GB"/>
        </w:rPr>
        <w:t>The Investigator will provide pregnancy outcome information on a “Pregnancy Surveillance Form</w:t>
      </w:r>
      <w:bookmarkStart w:id="188" w:name="_Hlk49527439"/>
      <w:r>
        <w:rPr>
          <w:iCs/>
          <w:color w:val="000000"/>
          <w:szCs w:val="24"/>
          <w:lang w:val="en-GB"/>
        </w:rPr>
        <w:t>”</w:t>
      </w:r>
      <w:bookmarkEnd w:id="188"/>
      <w:r>
        <w:rPr>
          <w:iCs/>
          <w:color w:val="000000"/>
          <w:szCs w:val="24"/>
          <w:lang w:val="en-GB"/>
        </w:rPr>
        <w:t xml:space="preserve">.  </w:t>
      </w:r>
    </w:p>
    <w:p w14:paraId="33A36F50" w14:textId="77777777" w:rsidR="005E785F" w:rsidRDefault="003621E8">
      <w:pPr>
        <w:pStyle w:val="C-Bullet"/>
        <w:numPr>
          <w:ilvl w:val="0"/>
          <w:numId w:val="64"/>
        </w:numPr>
        <w:jc w:val="both"/>
        <w:rPr>
          <w:iCs/>
          <w:color w:val="000000"/>
          <w:szCs w:val="24"/>
          <w:lang w:val="en-GB"/>
        </w:rPr>
      </w:pPr>
      <w:r>
        <w:rPr>
          <w:iCs/>
          <w:color w:val="000000"/>
          <w:szCs w:val="24"/>
          <w:lang w:val="en-GB"/>
        </w:rPr>
        <w:t xml:space="preserve">In the case of a live birth, a medically qualified person should assess the infant at the time of birth and submit a “Child Surveillance Form” (provided by the Sponsor). An SAE should be declared in the case of unfavourable pregnancy outcome (abortion, still birth) or congenital abnormality (in addition to the “Child Surveillance Form”). </w:t>
      </w:r>
    </w:p>
    <w:p w14:paraId="1FF21C7E" w14:textId="77777777" w:rsidR="005E785F" w:rsidRDefault="003621E8">
      <w:pPr>
        <w:pStyle w:val="C-Bullet"/>
        <w:numPr>
          <w:ilvl w:val="0"/>
          <w:numId w:val="64"/>
        </w:numPr>
        <w:jc w:val="both"/>
        <w:rPr>
          <w:iCs/>
          <w:color w:val="000000"/>
          <w:szCs w:val="24"/>
          <w:lang w:val="en-GB"/>
        </w:rPr>
      </w:pPr>
      <w:r>
        <w:rPr>
          <w:iCs/>
          <w:color w:val="000000"/>
          <w:szCs w:val="24"/>
          <w:lang w:val="en-GB"/>
        </w:rPr>
        <w:t>In case of in utero exposure, the parents will be proposed a follow-up of the new-born up to the age of 2 years old.</w:t>
      </w:r>
    </w:p>
    <w:p w14:paraId="58374513" w14:textId="6E03CCC5" w:rsidR="005E785F" w:rsidRDefault="003621E8">
      <w:pPr>
        <w:pStyle w:val="C-Bullet"/>
        <w:numPr>
          <w:ilvl w:val="0"/>
          <w:numId w:val="0"/>
        </w:numPr>
        <w:spacing w:line="240" w:lineRule="auto"/>
        <w:jc w:val="both"/>
        <w:rPr>
          <w:iCs/>
          <w:color w:val="000000"/>
          <w:szCs w:val="24"/>
          <w:lang w:val="en-GB"/>
        </w:rPr>
      </w:pPr>
      <w:bookmarkStart w:id="189" w:name="_Hlk49527497"/>
      <w:r>
        <w:rPr>
          <w:iCs/>
          <w:color w:val="000000"/>
          <w:szCs w:val="24"/>
          <w:lang w:val="en-GB"/>
        </w:rPr>
        <w:t>Consent to report information regarding these pregnancy outcomes should be obtained from the mother</w:t>
      </w:r>
      <w:bookmarkEnd w:id="189"/>
      <w:r>
        <w:rPr>
          <w:iCs/>
          <w:color w:val="000000"/>
          <w:szCs w:val="24"/>
          <w:lang w:val="en-GB"/>
        </w:rPr>
        <w:t>.</w:t>
      </w:r>
    </w:p>
    <w:p w14:paraId="73FB21B9" w14:textId="4BA3D886" w:rsidR="005E785F" w:rsidRDefault="003621E8">
      <w:pPr>
        <w:pStyle w:val="Heading4"/>
      </w:pPr>
      <w:bookmarkStart w:id="190" w:name="_Toc74904421"/>
      <w:r>
        <w:t>Laboratory Safety Assessments</w:t>
      </w:r>
      <w:bookmarkEnd w:id="190"/>
    </w:p>
    <w:p w14:paraId="73FB21BC" w14:textId="707C2800" w:rsidR="005E785F" w:rsidRDefault="003621E8">
      <w:pPr>
        <w:autoSpaceDE w:val="0"/>
        <w:autoSpaceDN w:val="0"/>
        <w:adjustRightInd w:val="0"/>
        <w:spacing w:before="120" w:after="120"/>
        <w:jc w:val="both"/>
        <w:rPr>
          <w:rFonts w:cs="Times New Roman"/>
          <w:bCs/>
          <w:szCs w:val="24"/>
          <w:lang w:val="en-GB"/>
        </w:rPr>
      </w:pPr>
      <w:r>
        <w:rPr>
          <w:rFonts w:cs="Times New Roman"/>
          <w:szCs w:val="24"/>
          <w:lang w:val="en-GB"/>
        </w:rPr>
        <w:t xml:space="preserve">Laboratory safety screen samples will be analysed by Simbec-Orion Laboratory Services. </w:t>
      </w:r>
      <w:r>
        <w:rPr>
          <w:rFonts w:cs="Times New Roman"/>
          <w:bCs/>
          <w:szCs w:val="24"/>
          <w:lang w:val="en-GB"/>
        </w:rPr>
        <w:t xml:space="preserve">Printed laboratory test result reports will include normal reference ranges. A decision regarding whether the laboratory test result outside the normal reference range is of clinical significance or not shall be made by an Investigator/designee and the report will be annotated accordingly.  Clinically significant laboratory test result abnormalities will be recorded on the AE page. The normal reference ranges for laboratory test parameters will be detailed in the </w:t>
      </w:r>
      <w:r>
        <w:t>SLPDoc0024 Normal Reference Ranges and Alert Reference Values document</w:t>
      </w:r>
      <w:r>
        <w:rPr>
          <w:rFonts w:cs="Times New Roman"/>
          <w:bCs/>
          <w:szCs w:val="24"/>
          <w:lang w:val="en-GB"/>
        </w:rPr>
        <w:t xml:space="preserve">. </w:t>
      </w:r>
    </w:p>
    <w:p w14:paraId="0E78869E" w14:textId="671FFB1D" w:rsidR="005E785F" w:rsidRDefault="003621E8">
      <w:pPr>
        <w:pStyle w:val="Heading5"/>
      </w:pPr>
      <w:bookmarkStart w:id="191" w:name="_Toc74904422"/>
      <w:r>
        <w:t>Biochemistry Tests</w:t>
      </w:r>
      <w:bookmarkEnd w:id="191"/>
    </w:p>
    <w:p w14:paraId="18AC382B" w14:textId="77777777" w:rsidR="005E785F" w:rsidRDefault="003621E8">
      <w:pPr>
        <w:pStyle w:val="Tabletext10pt"/>
        <w:numPr>
          <w:ilvl w:val="0"/>
          <w:numId w:val="66"/>
        </w:numPr>
        <w:spacing w:before="0" w:after="0" w:line="240" w:lineRule="auto"/>
        <w:rPr>
          <w:rFonts w:ascii="Times New Roman" w:hAnsi="Times New Roman"/>
          <w:sz w:val="24"/>
          <w:szCs w:val="24"/>
        </w:rPr>
      </w:pPr>
      <w:r>
        <w:rPr>
          <w:rFonts w:ascii="Times New Roman" w:hAnsi="Times New Roman"/>
          <w:sz w:val="24"/>
          <w:szCs w:val="24"/>
        </w:rPr>
        <w:t>Alanine Aminotransferase (ALT)</w:t>
      </w:r>
    </w:p>
    <w:p w14:paraId="21F382B8" w14:textId="77777777" w:rsidR="005E785F" w:rsidRDefault="003621E8">
      <w:pPr>
        <w:pStyle w:val="Tabletext10pt"/>
        <w:numPr>
          <w:ilvl w:val="0"/>
          <w:numId w:val="66"/>
        </w:numPr>
        <w:spacing w:before="0" w:after="0" w:line="240" w:lineRule="auto"/>
        <w:rPr>
          <w:rFonts w:ascii="Times New Roman" w:hAnsi="Times New Roman"/>
          <w:sz w:val="24"/>
          <w:szCs w:val="24"/>
        </w:rPr>
      </w:pPr>
      <w:r>
        <w:rPr>
          <w:rFonts w:ascii="Times New Roman" w:hAnsi="Times New Roman"/>
          <w:sz w:val="24"/>
          <w:szCs w:val="24"/>
        </w:rPr>
        <w:t>Albumin</w:t>
      </w:r>
    </w:p>
    <w:p w14:paraId="15EA900F" w14:textId="77777777" w:rsidR="005E785F" w:rsidRDefault="003621E8">
      <w:pPr>
        <w:pStyle w:val="Tabletext10pt"/>
        <w:numPr>
          <w:ilvl w:val="0"/>
          <w:numId w:val="66"/>
        </w:numPr>
        <w:spacing w:before="0" w:after="0" w:line="240" w:lineRule="auto"/>
        <w:rPr>
          <w:rFonts w:ascii="Times New Roman" w:hAnsi="Times New Roman"/>
          <w:sz w:val="24"/>
          <w:szCs w:val="24"/>
        </w:rPr>
      </w:pPr>
      <w:r>
        <w:rPr>
          <w:rFonts w:ascii="Times New Roman" w:hAnsi="Times New Roman"/>
          <w:sz w:val="24"/>
          <w:szCs w:val="24"/>
        </w:rPr>
        <w:t>Alkaline Phosphatase</w:t>
      </w:r>
    </w:p>
    <w:p w14:paraId="62A5404D" w14:textId="77777777" w:rsidR="005E785F" w:rsidRDefault="003621E8">
      <w:pPr>
        <w:pStyle w:val="Tabletext10pt"/>
        <w:numPr>
          <w:ilvl w:val="0"/>
          <w:numId w:val="66"/>
        </w:numPr>
        <w:spacing w:before="0" w:after="0" w:line="240" w:lineRule="auto"/>
        <w:rPr>
          <w:rFonts w:ascii="Times New Roman" w:hAnsi="Times New Roman"/>
          <w:sz w:val="24"/>
          <w:szCs w:val="24"/>
        </w:rPr>
      </w:pPr>
      <w:r>
        <w:rPr>
          <w:rFonts w:ascii="Times New Roman" w:hAnsi="Times New Roman"/>
          <w:sz w:val="24"/>
          <w:szCs w:val="24"/>
        </w:rPr>
        <w:t>Aspartate Aminotransferase (AST)</w:t>
      </w:r>
    </w:p>
    <w:p w14:paraId="78A0B44B" w14:textId="77777777" w:rsidR="005E785F" w:rsidRDefault="003621E8">
      <w:pPr>
        <w:pStyle w:val="Tabletext10pt"/>
        <w:numPr>
          <w:ilvl w:val="0"/>
          <w:numId w:val="66"/>
        </w:numPr>
        <w:spacing w:before="0" w:after="0" w:line="240" w:lineRule="auto"/>
        <w:rPr>
          <w:rFonts w:ascii="Times New Roman" w:hAnsi="Times New Roman"/>
          <w:sz w:val="24"/>
          <w:szCs w:val="24"/>
        </w:rPr>
      </w:pPr>
      <w:r>
        <w:rPr>
          <w:rFonts w:ascii="Times New Roman" w:hAnsi="Times New Roman"/>
          <w:sz w:val="24"/>
          <w:szCs w:val="24"/>
        </w:rPr>
        <w:t>Bicarbonate</w:t>
      </w:r>
    </w:p>
    <w:p w14:paraId="483197C8" w14:textId="77777777" w:rsidR="005E785F" w:rsidRDefault="003621E8">
      <w:pPr>
        <w:pStyle w:val="Tabletext10pt"/>
        <w:numPr>
          <w:ilvl w:val="0"/>
          <w:numId w:val="66"/>
        </w:numPr>
        <w:spacing w:before="0" w:after="0" w:line="240" w:lineRule="auto"/>
        <w:rPr>
          <w:rFonts w:ascii="Times New Roman" w:hAnsi="Times New Roman"/>
          <w:sz w:val="24"/>
          <w:szCs w:val="24"/>
        </w:rPr>
      </w:pPr>
      <w:r>
        <w:rPr>
          <w:rFonts w:ascii="Times New Roman" w:hAnsi="Times New Roman"/>
          <w:sz w:val="24"/>
          <w:szCs w:val="24"/>
        </w:rPr>
        <w:t>Bilirubin (Total)</w:t>
      </w:r>
    </w:p>
    <w:p w14:paraId="3198BB49" w14:textId="77777777" w:rsidR="005E785F" w:rsidRDefault="003621E8">
      <w:pPr>
        <w:pStyle w:val="Tabletext10pt"/>
        <w:numPr>
          <w:ilvl w:val="0"/>
          <w:numId w:val="66"/>
        </w:numPr>
        <w:spacing w:before="0" w:after="0" w:line="240" w:lineRule="auto"/>
        <w:rPr>
          <w:rFonts w:ascii="Times New Roman" w:hAnsi="Times New Roman"/>
          <w:sz w:val="24"/>
          <w:szCs w:val="24"/>
        </w:rPr>
      </w:pPr>
      <w:r>
        <w:rPr>
          <w:rFonts w:ascii="Times New Roman" w:hAnsi="Times New Roman"/>
          <w:sz w:val="24"/>
          <w:szCs w:val="24"/>
        </w:rPr>
        <w:t>Bilirubin (Direct) (only if Total is elevated)</w:t>
      </w:r>
    </w:p>
    <w:p w14:paraId="4B559B03" w14:textId="77777777" w:rsidR="005E785F" w:rsidRDefault="003621E8">
      <w:pPr>
        <w:pStyle w:val="Tabletext10pt"/>
        <w:numPr>
          <w:ilvl w:val="0"/>
          <w:numId w:val="66"/>
        </w:numPr>
        <w:spacing w:before="0" w:after="0" w:line="240" w:lineRule="auto"/>
        <w:rPr>
          <w:rFonts w:ascii="Times New Roman" w:hAnsi="Times New Roman"/>
          <w:sz w:val="24"/>
          <w:szCs w:val="24"/>
        </w:rPr>
      </w:pPr>
      <w:r>
        <w:rPr>
          <w:rFonts w:ascii="Times New Roman" w:hAnsi="Times New Roman"/>
          <w:sz w:val="24"/>
          <w:szCs w:val="24"/>
        </w:rPr>
        <w:lastRenderedPageBreak/>
        <w:t>Calcium</w:t>
      </w:r>
    </w:p>
    <w:p w14:paraId="2E28A479" w14:textId="77777777" w:rsidR="005E785F" w:rsidRDefault="003621E8">
      <w:pPr>
        <w:pStyle w:val="Tabletext10pt"/>
        <w:numPr>
          <w:ilvl w:val="0"/>
          <w:numId w:val="66"/>
        </w:numPr>
        <w:spacing w:before="0" w:after="0" w:line="240" w:lineRule="auto"/>
        <w:rPr>
          <w:rFonts w:ascii="Times New Roman" w:hAnsi="Times New Roman"/>
          <w:sz w:val="24"/>
          <w:szCs w:val="24"/>
        </w:rPr>
      </w:pPr>
      <w:r>
        <w:rPr>
          <w:rFonts w:ascii="Times New Roman" w:hAnsi="Times New Roman"/>
          <w:sz w:val="24"/>
          <w:szCs w:val="24"/>
        </w:rPr>
        <w:t>Cholesterol (Total)</w:t>
      </w:r>
    </w:p>
    <w:p w14:paraId="683A7C63" w14:textId="77777777" w:rsidR="005E785F" w:rsidRDefault="003621E8">
      <w:pPr>
        <w:pStyle w:val="Tabletext10pt"/>
        <w:numPr>
          <w:ilvl w:val="0"/>
          <w:numId w:val="66"/>
        </w:numPr>
        <w:spacing w:before="0" w:after="0" w:line="240" w:lineRule="auto"/>
        <w:rPr>
          <w:rFonts w:ascii="Times New Roman" w:hAnsi="Times New Roman"/>
          <w:sz w:val="24"/>
          <w:szCs w:val="24"/>
        </w:rPr>
      </w:pPr>
      <w:r>
        <w:rPr>
          <w:rFonts w:ascii="Times New Roman" w:hAnsi="Times New Roman"/>
          <w:sz w:val="24"/>
          <w:szCs w:val="24"/>
        </w:rPr>
        <w:t>Chloride</w:t>
      </w:r>
    </w:p>
    <w:p w14:paraId="26C2D847" w14:textId="492E564A" w:rsidR="005E785F" w:rsidRDefault="003621E8">
      <w:pPr>
        <w:pStyle w:val="Tabletext10pt"/>
        <w:numPr>
          <w:ilvl w:val="0"/>
          <w:numId w:val="66"/>
        </w:numPr>
        <w:spacing w:before="0" w:after="0" w:line="240" w:lineRule="auto"/>
        <w:rPr>
          <w:rFonts w:ascii="Times New Roman" w:hAnsi="Times New Roman"/>
          <w:sz w:val="24"/>
          <w:szCs w:val="24"/>
        </w:rPr>
      </w:pPr>
      <w:r>
        <w:rPr>
          <w:rFonts w:ascii="Times New Roman" w:hAnsi="Times New Roman"/>
          <w:sz w:val="24"/>
          <w:szCs w:val="24"/>
        </w:rPr>
        <w:t>C-reactive protein (CRP)</w:t>
      </w:r>
    </w:p>
    <w:p w14:paraId="57E29E63" w14:textId="6FE2AB12" w:rsidR="005E785F" w:rsidRDefault="003621E8">
      <w:pPr>
        <w:pStyle w:val="Tabletext10pt"/>
        <w:numPr>
          <w:ilvl w:val="0"/>
          <w:numId w:val="66"/>
        </w:numPr>
        <w:spacing w:before="0" w:after="0" w:line="240" w:lineRule="auto"/>
        <w:rPr>
          <w:rFonts w:ascii="Times New Roman" w:hAnsi="Times New Roman"/>
          <w:sz w:val="24"/>
          <w:szCs w:val="24"/>
        </w:rPr>
      </w:pPr>
      <w:r>
        <w:rPr>
          <w:rFonts w:ascii="Times New Roman" w:hAnsi="Times New Roman"/>
          <w:sz w:val="24"/>
          <w:szCs w:val="24"/>
        </w:rPr>
        <w:t>Creatine Kinase (CK) or creatine phosphokinase (CPK)</w:t>
      </w:r>
    </w:p>
    <w:p w14:paraId="5E984611" w14:textId="581C7C8A" w:rsidR="005E785F" w:rsidRDefault="003621E8">
      <w:pPr>
        <w:pStyle w:val="Tabletext10pt"/>
        <w:numPr>
          <w:ilvl w:val="0"/>
          <w:numId w:val="66"/>
        </w:numPr>
        <w:spacing w:before="0" w:after="0" w:line="240" w:lineRule="auto"/>
        <w:rPr>
          <w:rFonts w:ascii="Times New Roman" w:hAnsi="Times New Roman"/>
          <w:sz w:val="24"/>
          <w:szCs w:val="24"/>
        </w:rPr>
      </w:pPr>
      <w:r>
        <w:rPr>
          <w:rFonts w:ascii="Times New Roman" w:hAnsi="Times New Roman"/>
          <w:sz w:val="24"/>
          <w:szCs w:val="24"/>
        </w:rPr>
        <w:t>Creatinine</w:t>
      </w:r>
    </w:p>
    <w:p w14:paraId="12C4E3AE" w14:textId="77777777" w:rsidR="005E785F" w:rsidRDefault="003621E8">
      <w:pPr>
        <w:pStyle w:val="Tabletext10pt"/>
        <w:numPr>
          <w:ilvl w:val="0"/>
          <w:numId w:val="66"/>
        </w:numPr>
        <w:spacing w:before="0" w:after="0" w:line="240" w:lineRule="auto"/>
        <w:rPr>
          <w:rFonts w:ascii="Times New Roman" w:hAnsi="Times New Roman"/>
          <w:sz w:val="24"/>
          <w:szCs w:val="24"/>
          <w:lang w:val="en-US"/>
        </w:rPr>
      </w:pPr>
      <w:r>
        <w:rPr>
          <w:rFonts w:ascii="Times New Roman" w:hAnsi="Times New Roman"/>
          <w:sz w:val="24"/>
          <w:szCs w:val="24"/>
          <w:lang w:val="en-US"/>
        </w:rPr>
        <w:t>Gamma Glutamyl Transferase (GGT)</w:t>
      </w:r>
    </w:p>
    <w:p w14:paraId="265F3419" w14:textId="77777777" w:rsidR="005E785F" w:rsidRDefault="003621E8">
      <w:pPr>
        <w:pStyle w:val="Tabletext10pt"/>
        <w:numPr>
          <w:ilvl w:val="0"/>
          <w:numId w:val="66"/>
        </w:numPr>
        <w:spacing w:before="0" w:after="0" w:line="240" w:lineRule="auto"/>
        <w:rPr>
          <w:rFonts w:ascii="Times New Roman" w:hAnsi="Times New Roman"/>
          <w:sz w:val="24"/>
          <w:szCs w:val="24"/>
          <w:lang w:val="en-US"/>
        </w:rPr>
      </w:pPr>
      <w:r>
        <w:rPr>
          <w:rFonts w:ascii="Times New Roman" w:hAnsi="Times New Roman"/>
          <w:sz w:val="24"/>
          <w:szCs w:val="24"/>
          <w:lang w:val="en-US"/>
        </w:rPr>
        <w:t>Glucose</w:t>
      </w:r>
    </w:p>
    <w:p w14:paraId="2D5E6B2A" w14:textId="77777777" w:rsidR="005E785F" w:rsidRDefault="003621E8">
      <w:pPr>
        <w:pStyle w:val="Tabletext10pt"/>
        <w:numPr>
          <w:ilvl w:val="0"/>
          <w:numId w:val="66"/>
        </w:numPr>
        <w:spacing w:before="0" w:after="0" w:line="240" w:lineRule="auto"/>
        <w:rPr>
          <w:rFonts w:ascii="Times New Roman" w:hAnsi="Times New Roman"/>
          <w:sz w:val="24"/>
          <w:szCs w:val="24"/>
          <w:lang w:val="en-US"/>
        </w:rPr>
      </w:pPr>
      <w:r>
        <w:rPr>
          <w:rFonts w:ascii="Times New Roman" w:hAnsi="Times New Roman"/>
          <w:sz w:val="24"/>
          <w:szCs w:val="24"/>
          <w:lang w:val="en-US"/>
        </w:rPr>
        <w:t>Glucose (Fasting)</w:t>
      </w:r>
    </w:p>
    <w:p w14:paraId="1A41FA0F" w14:textId="77777777" w:rsidR="005E785F" w:rsidRDefault="003621E8">
      <w:pPr>
        <w:pStyle w:val="Tabletext10pt"/>
        <w:numPr>
          <w:ilvl w:val="0"/>
          <w:numId w:val="66"/>
        </w:numPr>
        <w:spacing w:before="0" w:after="0" w:line="240" w:lineRule="auto"/>
        <w:rPr>
          <w:rFonts w:ascii="Times New Roman" w:hAnsi="Times New Roman"/>
          <w:sz w:val="24"/>
          <w:szCs w:val="24"/>
        </w:rPr>
      </w:pPr>
      <w:r>
        <w:rPr>
          <w:rFonts w:ascii="Times New Roman" w:hAnsi="Times New Roman"/>
          <w:sz w:val="24"/>
          <w:szCs w:val="24"/>
        </w:rPr>
        <w:t>Potassium</w:t>
      </w:r>
    </w:p>
    <w:p w14:paraId="7022D615" w14:textId="77777777" w:rsidR="005E785F" w:rsidRDefault="003621E8">
      <w:pPr>
        <w:pStyle w:val="Tabletext10pt"/>
        <w:numPr>
          <w:ilvl w:val="0"/>
          <w:numId w:val="66"/>
        </w:numPr>
        <w:spacing w:before="0" w:after="0" w:line="240" w:lineRule="auto"/>
        <w:rPr>
          <w:rFonts w:ascii="Times New Roman" w:hAnsi="Times New Roman"/>
          <w:sz w:val="24"/>
          <w:szCs w:val="24"/>
        </w:rPr>
      </w:pPr>
      <w:r>
        <w:rPr>
          <w:rFonts w:ascii="Times New Roman" w:hAnsi="Times New Roman"/>
          <w:sz w:val="24"/>
          <w:szCs w:val="24"/>
        </w:rPr>
        <w:t>Phosphate (Inorganic)</w:t>
      </w:r>
    </w:p>
    <w:p w14:paraId="037BCC28" w14:textId="77777777" w:rsidR="005E785F" w:rsidRDefault="003621E8">
      <w:pPr>
        <w:pStyle w:val="Tabletext10pt"/>
        <w:numPr>
          <w:ilvl w:val="0"/>
          <w:numId w:val="66"/>
        </w:numPr>
        <w:spacing w:before="0" w:after="0" w:line="240" w:lineRule="auto"/>
        <w:rPr>
          <w:rFonts w:ascii="Times New Roman" w:hAnsi="Times New Roman"/>
          <w:sz w:val="24"/>
          <w:szCs w:val="24"/>
        </w:rPr>
      </w:pPr>
      <w:r>
        <w:rPr>
          <w:rFonts w:ascii="Times New Roman" w:hAnsi="Times New Roman"/>
          <w:sz w:val="24"/>
          <w:szCs w:val="24"/>
        </w:rPr>
        <w:t>Protein (Total)</w:t>
      </w:r>
    </w:p>
    <w:p w14:paraId="3F53DCFE" w14:textId="77777777" w:rsidR="005E785F" w:rsidRDefault="003621E8">
      <w:pPr>
        <w:pStyle w:val="Tabletext10pt"/>
        <w:numPr>
          <w:ilvl w:val="0"/>
          <w:numId w:val="66"/>
        </w:numPr>
        <w:spacing w:before="0" w:after="0" w:line="240" w:lineRule="auto"/>
        <w:rPr>
          <w:rFonts w:ascii="Times New Roman" w:hAnsi="Times New Roman"/>
          <w:sz w:val="24"/>
          <w:szCs w:val="24"/>
        </w:rPr>
      </w:pPr>
      <w:r>
        <w:rPr>
          <w:rFonts w:ascii="Times New Roman" w:hAnsi="Times New Roman"/>
          <w:sz w:val="24"/>
          <w:szCs w:val="24"/>
        </w:rPr>
        <w:t>Sodium</w:t>
      </w:r>
    </w:p>
    <w:p w14:paraId="0F51DA89" w14:textId="77777777" w:rsidR="005E785F" w:rsidRDefault="003621E8">
      <w:pPr>
        <w:pStyle w:val="Tabletext10pt"/>
        <w:numPr>
          <w:ilvl w:val="0"/>
          <w:numId w:val="66"/>
        </w:numPr>
        <w:spacing w:before="0" w:after="0" w:line="240" w:lineRule="auto"/>
        <w:rPr>
          <w:rFonts w:ascii="Times New Roman" w:hAnsi="Times New Roman"/>
          <w:sz w:val="24"/>
          <w:szCs w:val="24"/>
        </w:rPr>
      </w:pPr>
      <w:r>
        <w:rPr>
          <w:rFonts w:ascii="Times New Roman" w:hAnsi="Times New Roman"/>
          <w:sz w:val="24"/>
          <w:szCs w:val="24"/>
        </w:rPr>
        <w:t>Triglycerides</w:t>
      </w:r>
    </w:p>
    <w:p w14:paraId="52398093" w14:textId="77777777" w:rsidR="005E785F" w:rsidRDefault="003621E8">
      <w:pPr>
        <w:pStyle w:val="Tabletext10pt"/>
        <w:numPr>
          <w:ilvl w:val="0"/>
          <w:numId w:val="66"/>
        </w:numPr>
        <w:spacing w:before="0" w:after="0" w:line="240" w:lineRule="auto"/>
        <w:rPr>
          <w:rFonts w:ascii="Times New Roman" w:hAnsi="Times New Roman"/>
          <w:sz w:val="24"/>
          <w:szCs w:val="24"/>
        </w:rPr>
      </w:pPr>
      <w:r>
        <w:rPr>
          <w:rFonts w:ascii="Times New Roman" w:hAnsi="Times New Roman"/>
          <w:sz w:val="24"/>
          <w:szCs w:val="24"/>
        </w:rPr>
        <w:t>Urea</w:t>
      </w:r>
    </w:p>
    <w:p w14:paraId="21E39BA9" w14:textId="212CC646" w:rsidR="005E785F" w:rsidRDefault="003621E8">
      <w:pPr>
        <w:numPr>
          <w:ilvl w:val="0"/>
          <w:numId w:val="65"/>
        </w:numPr>
        <w:jc w:val="both"/>
        <w:rPr>
          <w:lang w:val="en-GB"/>
        </w:rPr>
      </w:pPr>
      <w:r>
        <w:t>Uric Acid</w:t>
      </w:r>
    </w:p>
    <w:p w14:paraId="43BFA90A" w14:textId="3BDD6701" w:rsidR="005E785F" w:rsidRDefault="003621E8">
      <w:pPr>
        <w:autoSpaceDE w:val="0"/>
        <w:autoSpaceDN w:val="0"/>
        <w:adjustRightInd w:val="0"/>
        <w:spacing w:before="120" w:after="120"/>
        <w:jc w:val="both"/>
        <w:rPr>
          <w:lang w:val="en-GB"/>
        </w:rPr>
      </w:pPr>
      <w:r>
        <w:rPr>
          <w:rFonts w:cs="Times New Roman"/>
          <w:szCs w:val="24"/>
          <w:lang w:val="en-GB"/>
        </w:rPr>
        <w:t xml:space="preserve">Blood samples for biochemistry analyses for each time-point will be collected into an appropriately sized serum collection tube with or without a separator, and analysed by Simbec-Orion Laboratory Services, or at an appropriate referral laboratory, using an </w:t>
      </w:r>
      <w:r>
        <w:rPr>
          <w:lang w:val="en-GB"/>
        </w:rPr>
        <w:t>appropriate analyser/method(s) of analyses</w:t>
      </w:r>
      <w:r>
        <w:rPr>
          <w:rFonts w:cs="Times New Roman"/>
          <w:szCs w:val="24"/>
          <w:lang w:val="en-GB"/>
        </w:rPr>
        <w:t>.</w:t>
      </w:r>
      <w:r>
        <w:rPr>
          <w:lang w:val="en-GB"/>
        </w:rPr>
        <w:t xml:space="preserve"> Assessments of blood sample quality (i.e., for sample verification) will be performed by measuring</w:t>
      </w:r>
      <w:r>
        <w:rPr>
          <w:rFonts w:cs="Times New Roman"/>
          <w:szCs w:val="24"/>
          <w:lang w:val="en-GB"/>
        </w:rPr>
        <w:t xml:space="preserve"> 3 indices [namely, </w:t>
      </w:r>
      <w:r>
        <w:rPr>
          <w:lang w:val="en-GB"/>
        </w:rPr>
        <w:t>Lipaemic (for Lipaemia), Haemolytic (for Haemolysis) and Icteric (for Icterus)] in serum.</w:t>
      </w:r>
    </w:p>
    <w:p w14:paraId="37C5588C" w14:textId="0C701447" w:rsidR="005E785F" w:rsidRDefault="003621E8">
      <w:pPr>
        <w:pStyle w:val="Heading5"/>
      </w:pPr>
      <w:bookmarkStart w:id="192" w:name="_Toc74904423"/>
      <w:r>
        <w:t>Thyroid Stimulating Hormone (TSH)</w:t>
      </w:r>
      <w:bookmarkEnd w:id="192"/>
    </w:p>
    <w:p w14:paraId="790F97AF" w14:textId="1D75264A" w:rsidR="005E785F" w:rsidRDefault="003621E8">
      <w:pPr>
        <w:rPr>
          <w:lang w:val="en-GB"/>
        </w:rPr>
      </w:pPr>
      <w:r>
        <w:rPr>
          <w:lang w:val="en-GB"/>
        </w:rPr>
        <w:t>TSH testing will be included in biochemistry panel at Screening and Post study.</w:t>
      </w:r>
    </w:p>
    <w:p w14:paraId="5565077D" w14:textId="0008A9FC" w:rsidR="005E785F" w:rsidRDefault="003621E8">
      <w:pPr>
        <w:pStyle w:val="Heading5"/>
      </w:pPr>
      <w:bookmarkStart w:id="193" w:name="_Toc74904424"/>
      <w:r>
        <w:t>Haematology Tests</w:t>
      </w:r>
      <w:bookmarkEnd w:id="193"/>
      <w:r>
        <w:t xml:space="preserve"> </w:t>
      </w:r>
    </w:p>
    <w:p w14:paraId="27DD060A" w14:textId="05D0CC52" w:rsidR="005E785F" w:rsidRDefault="003621E8">
      <w:pPr>
        <w:numPr>
          <w:ilvl w:val="0"/>
          <w:numId w:val="67"/>
        </w:numPr>
        <w:jc w:val="both"/>
        <w:rPr>
          <w:lang w:val="en-GB"/>
        </w:rPr>
      </w:pPr>
      <w:r>
        <w:rPr>
          <w:lang w:val="en-GB"/>
        </w:rPr>
        <w:t>Erythrocyte sedimentation rate (ESR)</w:t>
      </w:r>
    </w:p>
    <w:p w14:paraId="1FDD1E14" w14:textId="28C4FAFA" w:rsidR="005E785F" w:rsidRDefault="003621E8">
      <w:pPr>
        <w:numPr>
          <w:ilvl w:val="0"/>
          <w:numId w:val="67"/>
        </w:numPr>
        <w:jc w:val="both"/>
        <w:rPr>
          <w:lang w:val="en-GB"/>
        </w:rPr>
      </w:pPr>
      <w:r>
        <w:rPr>
          <w:lang w:val="en-GB"/>
        </w:rPr>
        <w:t>Haemoglobin</w:t>
      </w:r>
    </w:p>
    <w:p w14:paraId="00D7ACAD" w14:textId="610D0E78" w:rsidR="005E785F" w:rsidRDefault="003621E8">
      <w:pPr>
        <w:numPr>
          <w:ilvl w:val="0"/>
          <w:numId w:val="67"/>
        </w:numPr>
        <w:jc w:val="both"/>
        <w:rPr>
          <w:lang w:val="en-GB"/>
        </w:rPr>
      </w:pPr>
      <w:r>
        <w:rPr>
          <w:lang w:val="en-GB"/>
        </w:rPr>
        <w:t>Haematocrit (Packed Cell Volume- PCV)</w:t>
      </w:r>
    </w:p>
    <w:p w14:paraId="6D08204B" w14:textId="77777777" w:rsidR="005E785F" w:rsidRDefault="003621E8">
      <w:pPr>
        <w:numPr>
          <w:ilvl w:val="0"/>
          <w:numId w:val="67"/>
        </w:numPr>
        <w:jc w:val="both"/>
        <w:rPr>
          <w:lang w:val="en-GB"/>
        </w:rPr>
      </w:pPr>
      <w:r>
        <w:rPr>
          <w:lang w:val="en-GB"/>
        </w:rPr>
        <w:t>Mean Corpuscular Volume (MCV)</w:t>
      </w:r>
    </w:p>
    <w:p w14:paraId="6BCBC6F8" w14:textId="77777777" w:rsidR="005E785F" w:rsidRDefault="003621E8">
      <w:pPr>
        <w:numPr>
          <w:ilvl w:val="0"/>
          <w:numId w:val="67"/>
        </w:numPr>
        <w:jc w:val="both"/>
        <w:rPr>
          <w:lang w:val="en-GB"/>
        </w:rPr>
      </w:pPr>
      <w:r>
        <w:rPr>
          <w:lang w:val="en-GB"/>
        </w:rPr>
        <w:t>Mean Corpuscular Haemoglobin (MCH)</w:t>
      </w:r>
    </w:p>
    <w:p w14:paraId="039D08DD" w14:textId="77777777" w:rsidR="005E785F" w:rsidRDefault="003621E8">
      <w:pPr>
        <w:numPr>
          <w:ilvl w:val="0"/>
          <w:numId w:val="67"/>
        </w:numPr>
        <w:jc w:val="both"/>
        <w:rPr>
          <w:lang w:val="en-GB"/>
        </w:rPr>
      </w:pPr>
      <w:r>
        <w:rPr>
          <w:lang w:val="en-GB"/>
        </w:rPr>
        <w:t>Mean Corpuscular Haemoglobin Concentration (MCHC)</w:t>
      </w:r>
    </w:p>
    <w:p w14:paraId="56A39806" w14:textId="5D0BF82B" w:rsidR="005E785F" w:rsidRDefault="003621E8">
      <w:pPr>
        <w:numPr>
          <w:ilvl w:val="0"/>
          <w:numId w:val="67"/>
        </w:numPr>
        <w:jc w:val="both"/>
        <w:rPr>
          <w:lang w:val="en-GB"/>
        </w:rPr>
      </w:pPr>
      <w:r>
        <w:rPr>
          <w:lang w:val="en-GB"/>
        </w:rPr>
        <w:t xml:space="preserve">Platelet Count </w:t>
      </w:r>
    </w:p>
    <w:p w14:paraId="70457C84" w14:textId="60E7C8AC" w:rsidR="005E785F" w:rsidRDefault="003621E8">
      <w:pPr>
        <w:numPr>
          <w:ilvl w:val="0"/>
          <w:numId w:val="67"/>
        </w:numPr>
        <w:jc w:val="both"/>
        <w:rPr>
          <w:lang w:val="en-GB"/>
        </w:rPr>
      </w:pPr>
      <w:r>
        <w:rPr>
          <w:lang w:val="en-GB"/>
        </w:rPr>
        <w:t>Red Blood Cell Count (RBC)</w:t>
      </w:r>
    </w:p>
    <w:p w14:paraId="072A66F2" w14:textId="2FE49C1B" w:rsidR="005E785F" w:rsidRDefault="003621E8">
      <w:pPr>
        <w:numPr>
          <w:ilvl w:val="0"/>
          <w:numId w:val="67"/>
        </w:numPr>
        <w:jc w:val="both"/>
        <w:rPr>
          <w:lang w:val="en-GB"/>
        </w:rPr>
      </w:pPr>
      <w:r>
        <w:rPr>
          <w:lang w:val="en-GB"/>
        </w:rPr>
        <w:t>White Blood Cell Count (WBC)</w:t>
      </w:r>
    </w:p>
    <w:p w14:paraId="00BBF536" w14:textId="77777777" w:rsidR="005E785F" w:rsidRDefault="003621E8">
      <w:pPr>
        <w:numPr>
          <w:ilvl w:val="0"/>
          <w:numId w:val="67"/>
        </w:numPr>
        <w:jc w:val="both"/>
        <w:rPr>
          <w:lang w:val="en-GB"/>
        </w:rPr>
      </w:pPr>
      <w:r>
        <w:rPr>
          <w:lang w:val="en-GB"/>
        </w:rPr>
        <w:t xml:space="preserve">WBC Differential Count (Neutrophils, Lymphocytes, Monocytes, Eosinophils, and Basophils) (Reported in absolute and percentage values). </w:t>
      </w:r>
    </w:p>
    <w:p w14:paraId="73FB21C0" w14:textId="12E98EDA" w:rsidR="005E785F" w:rsidRDefault="003621E8">
      <w:pPr>
        <w:autoSpaceDE w:val="0"/>
        <w:autoSpaceDN w:val="0"/>
        <w:adjustRightInd w:val="0"/>
        <w:spacing w:before="120" w:after="120"/>
        <w:jc w:val="both"/>
        <w:rPr>
          <w:rFonts w:cs="Times New Roman"/>
          <w:szCs w:val="24"/>
          <w:lang w:val="en-GB"/>
        </w:rPr>
      </w:pPr>
      <w:r>
        <w:rPr>
          <w:rFonts w:cs="Times New Roman"/>
          <w:szCs w:val="24"/>
          <w:lang w:val="en-GB"/>
        </w:rPr>
        <w:t xml:space="preserve">Blood samples for haematology analyses for each time-point will be collected into an appropriately sized blood collection tube containing ethylenediaminetetraacetic acid (EDTA) and analysed </w:t>
      </w:r>
      <w:r>
        <w:rPr>
          <w:szCs w:val="24"/>
          <w:lang w:val="en-GB"/>
        </w:rPr>
        <w:t xml:space="preserve">by Simbec-Orion Laboratory Services, or at an appropriate referral laboratory, </w:t>
      </w:r>
      <w:r>
        <w:rPr>
          <w:rFonts w:cs="Times New Roman"/>
          <w:szCs w:val="24"/>
          <w:lang w:val="en-GB"/>
        </w:rPr>
        <w:t>using an</w:t>
      </w:r>
      <w:r>
        <w:rPr>
          <w:lang w:val="en-GB"/>
        </w:rPr>
        <w:t xml:space="preserve"> appropriate analyser/method(s) of analyses</w:t>
      </w:r>
      <w:r>
        <w:rPr>
          <w:rFonts w:cs="Times New Roman"/>
          <w:szCs w:val="24"/>
          <w:lang w:val="en-GB"/>
        </w:rPr>
        <w:t>.</w:t>
      </w:r>
    </w:p>
    <w:p w14:paraId="08A2E763" w14:textId="5EBE849F" w:rsidR="005E785F" w:rsidRDefault="003621E8">
      <w:pPr>
        <w:pStyle w:val="Heading5"/>
      </w:pPr>
      <w:bookmarkStart w:id="194" w:name="_Toc74904425"/>
      <w:r>
        <w:lastRenderedPageBreak/>
        <w:t>Coagulation Tests</w:t>
      </w:r>
      <w:bookmarkEnd w:id="194"/>
    </w:p>
    <w:p w14:paraId="3D8B65A0" w14:textId="39A0C7D3" w:rsidR="005E785F" w:rsidRDefault="003621E8">
      <w:pPr>
        <w:pStyle w:val="BodyTextFull"/>
        <w:numPr>
          <w:ilvl w:val="0"/>
          <w:numId w:val="68"/>
        </w:numPr>
        <w:spacing w:before="0" w:after="0"/>
        <w:rPr>
          <w:rFonts w:ascii="Times New Roman" w:hAnsi="Times New Roman" w:cs="Times New Roman"/>
          <w:sz w:val="24"/>
          <w:szCs w:val="24"/>
          <w:lang w:val="en-GB"/>
        </w:rPr>
      </w:pPr>
      <w:r>
        <w:rPr>
          <w:rFonts w:ascii="Times New Roman" w:hAnsi="Times New Roman" w:cs="Times New Roman"/>
          <w:sz w:val="24"/>
          <w:szCs w:val="24"/>
          <w:lang w:val="en-GB"/>
        </w:rPr>
        <w:t>Activated partial thromboplastin time (aPTT)</w:t>
      </w:r>
    </w:p>
    <w:p w14:paraId="681EB03C" w14:textId="101795B2" w:rsidR="005E785F" w:rsidRDefault="003621E8">
      <w:pPr>
        <w:pStyle w:val="BodyTextFull"/>
        <w:numPr>
          <w:ilvl w:val="0"/>
          <w:numId w:val="68"/>
        </w:numPr>
        <w:spacing w:before="0" w:after="0"/>
        <w:rPr>
          <w:rFonts w:ascii="Times New Roman" w:hAnsi="Times New Roman" w:cs="Times New Roman"/>
          <w:sz w:val="24"/>
          <w:szCs w:val="24"/>
          <w:lang w:val="en-GB"/>
        </w:rPr>
      </w:pPr>
      <w:r>
        <w:rPr>
          <w:rFonts w:ascii="Times New Roman" w:hAnsi="Times New Roman" w:cs="Times New Roman"/>
          <w:sz w:val="24"/>
          <w:szCs w:val="24"/>
          <w:lang w:val="en-GB"/>
        </w:rPr>
        <w:t xml:space="preserve">Prothrombin time (PT) </w:t>
      </w:r>
    </w:p>
    <w:p w14:paraId="2F9D2DE2" w14:textId="6BE0A5DB" w:rsidR="005E785F" w:rsidRDefault="003621E8">
      <w:pPr>
        <w:pStyle w:val="BodyTextFull"/>
        <w:numPr>
          <w:ilvl w:val="0"/>
          <w:numId w:val="68"/>
        </w:numPr>
        <w:spacing w:before="0" w:after="0"/>
        <w:rPr>
          <w:rFonts w:ascii="Times New Roman" w:hAnsi="Times New Roman" w:cs="Times New Roman"/>
          <w:sz w:val="24"/>
          <w:szCs w:val="24"/>
          <w:lang w:val="en-GB"/>
        </w:rPr>
      </w:pPr>
      <w:r>
        <w:rPr>
          <w:rFonts w:ascii="Times New Roman" w:hAnsi="Times New Roman" w:cs="Times New Roman"/>
          <w:sz w:val="24"/>
          <w:szCs w:val="24"/>
          <w:lang w:val="en-GB"/>
        </w:rPr>
        <w:t>international normalised ratio (INR)</w:t>
      </w:r>
    </w:p>
    <w:p w14:paraId="3FCC515B" w14:textId="79AF05E6" w:rsidR="005E785F" w:rsidRDefault="003621E8">
      <w:pPr>
        <w:autoSpaceDE w:val="0"/>
        <w:autoSpaceDN w:val="0"/>
        <w:adjustRightInd w:val="0"/>
        <w:spacing w:before="120" w:after="120"/>
        <w:jc w:val="both"/>
        <w:rPr>
          <w:rFonts w:cs="Times New Roman"/>
          <w:szCs w:val="24"/>
          <w:lang w:val="en-GB"/>
        </w:rPr>
      </w:pPr>
      <w:r>
        <w:rPr>
          <w:rFonts w:cs="Times New Roman"/>
          <w:szCs w:val="24"/>
          <w:lang w:val="en-GB"/>
        </w:rPr>
        <w:t>Blood samples for coagulation analyses for each time-point will be collected into an appropriately sized plasma collection tube containing buffered trisodium citrate solution (0.105 M or 0.109 M, equivalent to 3.2% trisodium citrate) and analysed by Simbec-Orion Laboratory Services, or at an appropriate referral laboratory, using an</w:t>
      </w:r>
      <w:r>
        <w:rPr>
          <w:lang w:val="en-GB"/>
        </w:rPr>
        <w:t xml:space="preserve"> appropriate analyser/method(s) of analyses</w:t>
      </w:r>
      <w:r>
        <w:rPr>
          <w:rFonts w:cs="Times New Roman"/>
          <w:szCs w:val="24"/>
          <w:lang w:val="en-GB"/>
        </w:rPr>
        <w:t>.</w:t>
      </w:r>
    </w:p>
    <w:p w14:paraId="3C724267" w14:textId="43F206BA" w:rsidR="005E785F" w:rsidRDefault="003621E8">
      <w:pPr>
        <w:pStyle w:val="Heading5"/>
      </w:pPr>
      <w:bookmarkStart w:id="195" w:name="_Toc74904426"/>
      <w:r>
        <w:t>Urinalysis Tests</w:t>
      </w:r>
      <w:bookmarkEnd w:id="195"/>
      <w:r>
        <w:rPr>
          <w:rFonts w:cs="Times New Roman"/>
          <w:szCs w:val="24"/>
        </w:rPr>
        <w:t xml:space="preserve"> </w:t>
      </w:r>
    </w:p>
    <w:p w14:paraId="066A2F54" w14:textId="6AA03CF9" w:rsidR="005E785F" w:rsidRDefault="003621E8">
      <w:pPr>
        <w:numPr>
          <w:ilvl w:val="0"/>
          <w:numId w:val="69"/>
        </w:numPr>
        <w:autoSpaceDE w:val="0"/>
        <w:autoSpaceDN w:val="0"/>
        <w:adjustRightInd w:val="0"/>
        <w:jc w:val="both"/>
        <w:rPr>
          <w:lang w:val="en-GB"/>
        </w:rPr>
      </w:pPr>
      <w:r>
        <w:rPr>
          <w:lang w:val="en-GB"/>
        </w:rPr>
        <w:t>Bilirubin</w:t>
      </w:r>
    </w:p>
    <w:p w14:paraId="32A66F0D" w14:textId="77777777" w:rsidR="005E785F" w:rsidRDefault="003621E8">
      <w:pPr>
        <w:numPr>
          <w:ilvl w:val="0"/>
          <w:numId w:val="69"/>
        </w:numPr>
        <w:autoSpaceDE w:val="0"/>
        <w:autoSpaceDN w:val="0"/>
        <w:adjustRightInd w:val="0"/>
        <w:jc w:val="both"/>
        <w:rPr>
          <w:lang w:val="en-GB"/>
        </w:rPr>
      </w:pPr>
      <w:r>
        <w:rPr>
          <w:lang w:val="en-GB"/>
        </w:rPr>
        <w:t>Blood</w:t>
      </w:r>
    </w:p>
    <w:p w14:paraId="35FF0EC7" w14:textId="77777777" w:rsidR="005E785F" w:rsidRDefault="003621E8">
      <w:pPr>
        <w:numPr>
          <w:ilvl w:val="0"/>
          <w:numId w:val="69"/>
        </w:numPr>
        <w:autoSpaceDE w:val="0"/>
        <w:autoSpaceDN w:val="0"/>
        <w:adjustRightInd w:val="0"/>
        <w:jc w:val="both"/>
        <w:rPr>
          <w:lang w:val="en-GB"/>
        </w:rPr>
      </w:pPr>
      <w:r>
        <w:rPr>
          <w:lang w:val="en-GB"/>
        </w:rPr>
        <w:t>Glucose</w:t>
      </w:r>
    </w:p>
    <w:p w14:paraId="14E6C5F5" w14:textId="77777777" w:rsidR="005E785F" w:rsidRDefault="003621E8">
      <w:pPr>
        <w:numPr>
          <w:ilvl w:val="0"/>
          <w:numId w:val="69"/>
        </w:numPr>
        <w:autoSpaceDE w:val="0"/>
        <w:autoSpaceDN w:val="0"/>
        <w:adjustRightInd w:val="0"/>
        <w:jc w:val="both"/>
        <w:rPr>
          <w:lang w:val="en-GB"/>
        </w:rPr>
      </w:pPr>
      <w:r>
        <w:rPr>
          <w:lang w:val="en-GB"/>
        </w:rPr>
        <w:t>Ketones</w:t>
      </w:r>
    </w:p>
    <w:p w14:paraId="7444FD6D" w14:textId="77777777" w:rsidR="005E785F" w:rsidRDefault="003621E8">
      <w:pPr>
        <w:numPr>
          <w:ilvl w:val="0"/>
          <w:numId w:val="69"/>
        </w:numPr>
        <w:autoSpaceDE w:val="0"/>
        <w:autoSpaceDN w:val="0"/>
        <w:adjustRightInd w:val="0"/>
        <w:jc w:val="both"/>
        <w:rPr>
          <w:lang w:val="en-GB"/>
        </w:rPr>
      </w:pPr>
      <w:r>
        <w:rPr>
          <w:lang w:val="en-GB"/>
        </w:rPr>
        <w:t>Leukocytes</w:t>
      </w:r>
    </w:p>
    <w:p w14:paraId="15BB2BFF" w14:textId="77777777" w:rsidR="005E785F" w:rsidRDefault="003621E8">
      <w:pPr>
        <w:numPr>
          <w:ilvl w:val="0"/>
          <w:numId w:val="69"/>
        </w:numPr>
        <w:autoSpaceDE w:val="0"/>
        <w:autoSpaceDN w:val="0"/>
        <w:adjustRightInd w:val="0"/>
        <w:jc w:val="both"/>
        <w:rPr>
          <w:lang w:val="en-GB"/>
        </w:rPr>
      </w:pPr>
      <w:r>
        <w:rPr>
          <w:lang w:val="en-GB"/>
        </w:rPr>
        <w:t>Nitrites</w:t>
      </w:r>
    </w:p>
    <w:p w14:paraId="4893909B" w14:textId="77777777" w:rsidR="005E785F" w:rsidRDefault="003621E8">
      <w:pPr>
        <w:numPr>
          <w:ilvl w:val="0"/>
          <w:numId w:val="69"/>
        </w:numPr>
        <w:autoSpaceDE w:val="0"/>
        <w:autoSpaceDN w:val="0"/>
        <w:adjustRightInd w:val="0"/>
        <w:jc w:val="both"/>
        <w:rPr>
          <w:lang w:val="en-GB"/>
        </w:rPr>
      </w:pPr>
      <w:r>
        <w:rPr>
          <w:lang w:val="en-GB"/>
        </w:rPr>
        <w:t>pH</w:t>
      </w:r>
    </w:p>
    <w:p w14:paraId="601F6246" w14:textId="77777777" w:rsidR="005E785F" w:rsidRDefault="003621E8">
      <w:pPr>
        <w:numPr>
          <w:ilvl w:val="0"/>
          <w:numId w:val="69"/>
        </w:numPr>
        <w:autoSpaceDE w:val="0"/>
        <w:autoSpaceDN w:val="0"/>
        <w:adjustRightInd w:val="0"/>
        <w:jc w:val="both"/>
        <w:rPr>
          <w:lang w:val="en-GB"/>
        </w:rPr>
      </w:pPr>
      <w:r>
        <w:rPr>
          <w:lang w:val="en-GB"/>
        </w:rPr>
        <w:t>Protein</w:t>
      </w:r>
    </w:p>
    <w:p w14:paraId="2F09FAB6" w14:textId="77777777" w:rsidR="005E785F" w:rsidRDefault="003621E8">
      <w:pPr>
        <w:numPr>
          <w:ilvl w:val="0"/>
          <w:numId w:val="69"/>
        </w:numPr>
        <w:autoSpaceDE w:val="0"/>
        <w:autoSpaceDN w:val="0"/>
        <w:adjustRightInd w:val="0"/>
        <w:jc w:val="both"/>
        <w:rPr>
          <w:lang w:val="en-GB"/>
        </w:rPr>
      </w:pPr>
      <w:r>
        <w:rPr>
          <w:lang w:val="en-GB"/>
        </w:rPr>
        <w:t>Specific gravity</w:t>
      </w:r>
    </w:p>
    <w:p w14:paraId="2B13282A" w14:textId="77777777" w:rsidR="005E785F" w:rsidRDefault="003621E8">
      <w:pPr>
        <w:numPr>
          <w:ilvl w:val="0"/>
          <w:numId w:val="69"/>
        </w:numPr>
        <w:autoSpaceDE w:val="0"/>
        <w:autoSpaceDN w:val="0"/>
        <w:adjustRightInd w:val="0"/>
        <w:jc w:val="both"/>
        <w:rPr>
          <w:lang w:val="en-GB"/>
        </w:rPr>
      </w:pPr>
      <w:r>
        <w:rPr>
          <w:lang w:val="en-GB"/>
        </w:rPr>
        <w:t xml:space="preserve">Urobilinogen </w:t>
      </w:r>
    </w:p>
    <w:p w14:paraId="0DCF0B87" w14:textId="499FE4F4" w:rsidR="005E785F" w:rsidRDefault="003621E8">
      <w:pPr>
        <w:numPr>
          <w:ilvl w:val="0"/>
          <w:numId w:val="69"/>
        </w:numPr>
        <w:autoSpaceDE w:val="0"/>
        <w:autoSpaceDN w:val="0"/>
        <w:adjustRightInd w:val="0"/>
        <w:jc w:val="both"/>
        <w:rPr>
          <w:lang w:val="en-GB"/>
        </w:rPr>
      </w:pPr>
      <w:r>
        <w:rPr>
          <w:szCs w:val="24"/>
          <w:lang w:val="en-GB"/>
        </w:rPr>
        <w:t>Urine Microscopy</w:t>
      </w:r>
      <w:r>
        <w:rPr>
          <w:lang w:val="en-GB"/>
        </w:rPr>
        <w:t xml:space="preserve"> (</w:t>
      </w:r>
      <w:r>
        <w:rPr>
          <w:szCs w:val="24"/>
          <w:lang w:val="en-GB"/>
        </w:rPr>
        <w:t xml:space="preserve">if needed or </w:t>
      </w:r>
      <w:r>
        <w:rPr>
          <w:szCs w:val="24"/>
        </w:rPr>
        <w:t>at the discretion of Investigator based on urinalysis results</w:t>
      </w:r>
      <w:r>
        <w:rPr>
          <w:szCs w:val="24"/>
          <w:lang w:val="en-GB"/>
        </w:rPr>
        <w:t>).</w:t>
      </w:r>
    </w:p>
    <w:p w14:paraId="5AF9EC18" w14:textId="77777777" w:rsidR="005E785F" w:rsidRDefault="003621E8">
      <w:pPr>
        <w:autoSpaceDE w:val="0"/>
        <w:autoSpaceDN w:val="0"/>
        <w:adjustRightInd w:val="0"/>
        <w:spacing w:before="120" w:after="120"/>
        <w:jc w:val="both"/>
        <w:rPr>
          <w:rFonts w:cs="Times New Roman"/>
          <w:szCs w:val="24"/>
          <w:lang w:val="en-GB"/>
        </w:rPr>
      </w:pPr>
      <w:r>
        <w:rPr>
          <w:lang w:val="en-GB"/>
        </w:rPr>
        <w:t xml:space="preserve">A </w:t>
      </w:r>
      <w:r>
        <w:rPr>
          <w:u w:val="single"/>
          <w:lang w:val="en-GB"/>
        </w:rPr>
        <w:t>mid-stream</w:t>
      </w:r>
      <w:r>
        <w:rPr>
          <w:lang w:val="en-GB"/>
        </w:rPr>
        <w:t xml:space="preserve"> urine sample for each time-point will be collected into a 30 mL collection/storage container.</w:t>
      </w:r>
      <w:r>
        <w:rPr>
          <w:rFonts w:cs="Times New Roman"/>
          <w:szCs w:val="24"/>
          <w:lang w:val="en-GB"/>
        </w:rPr>
        <w:t xml:space="preserve"> Urinalysis will be performed by Simbec-Orion Laboratory Services, or at an appropriate referral laboratory, using an</w:t>
      </w:r>
      <w:r>
        <w:rPr>
          <w:lang w:val="en-GB"/>
        </w:rPr>
        <w:t xml:space="preserve"> appropriate analyser/ manual kit(s)/method(s) of analyses</w:t>
      </w:r>
      <w:r>
        <w:rPr>
          <w:rFonts w:cs="Times New Roman"/>
          <w:szCs w:val="24"/>
          <w:lang w:val="en-GB"/>
        </w:rPr>
        <w:t>.</w:t>
      </w:r>
    </w:p>
    <w:p w14:paraId="73FB21C7" w14:textId="4D48DF6A" w:rsidR="005E785F" w:rsidRDefault="003621E8">
      <w:pPr>
        <w:autoSpaceDE w:val="0"/>
        <w:autoSpaceDN w:val="0"/>
        <w:adjustRightInd w:val="0"/>
        <w:spacing w:before="120" w:after="120"/>
        <w:jc w:val="both"/>
        <w:rPr>
          <w:rFonts w:cs="Times New Roman"/>
          <w:bCs/>
          <w:szCs w:val="24"/>
          <w:lang w:val="en-GB"/>
        </w:rPr>
      </w:pPr>
      <w:r>
        <w:rPr>
          <w:lang w:val="en-GB"/>
        </w:rPr>
        <w:t>In the event that the urinalysis ‘dipstick’ test result is positive for nitrite and/or 2+ or more reported for protein, blood, and/or leucocytes, then urine microscopy will be performed by reflex. The following test parameters will be reported: bacteria, casts (non-pathogenic), casts (pathogenic), crystals, epithelial cells, red blood cells and white blood cells</w:t>
      </w:r>
      <w:r>
        <w:rPr>
          <w:rFonts w:cs="Times New Roman"/>
          <w:szCs w:val="24"/>
          <w:lang w:val="en-GB"/>
        </w:rPr>
        <w:t xml:space="preserve">. </w:t>
      </w:r>
      <w:r>
        <w:rPr>
          <w:rFonts w:cs="Times New Roman"/>
          <w:bCs/>
          <w:szCs w:val="24"/>
          <w:lang w:val="en-GB"/>
        </w:rPr>
        <w:t>The urine microscopy will be performed by Simbec-Orion Laboratory Services, or at an appropriate referral laboratory, using an</w:t>
      </w:r>
      <w:r>
        <w:rPr>
          <w:lang w:val="en-GB"/>
        </w:rPr>
        <w:t xml:space="preserve"> appropriate analyser/method(s) of analyses.</w:t>
      </w:r>
    </w:p>
    <w:p w14:paraId="30C859AD" w14:textId="16A27753" w:rsidR="005E785F" w:rsidRDefault="003621E8">
      <w:pPr>
        <w:pStyle w:val="Heading4"/>
      </w:pPr>
      <w:bookmarkStart w:id="196" w:name="_Toc351382638"/>
      <w:bookmarkStart w:id="197" w:name="_Toc74904427"/>
      <w:bookmarkEnd w:id="196"/>
      <w:r>
        <w:t>Vital signs</w:t>
      </w:r>
      <w:bookmarkEnd w:id="197"/>
    </w:p>
    <w:p w14:paraId="201FC8B3" w14:textId="1CACC51E" w:rsidR="005E785F" w:rsidRDefault="003621E8">
      <w:pPr>
        <w:pStyle w:val="BodyTextFull"/>
        <w:rPr>
          <w:rFonts w:ascii="Times New Roman" w:hAnsi="Times New Roman" w:cs="Times New Roman"/>
          <w:sz w:val="24"/>
          <w:szCs w:val="24"/>
        </w:rPr>
      </w:pPr>
      <w:r>
        <w:rPr>
          <w:rFonts w:ascii="Times New Roman" w:hAnsi="Times New Roman" w:cs="Times New Roman"/>
          <w:sz w:val="24"/>
          <w:szCs w:val="24"/>
        </w:rPr>
        <w:t>Supine systolic/diastolic blood pressure, pulse rate, oral temperature and respiration rate</w:t>
      </w:r>
      <w:r>
        <w:rPr>
          <w:rFonts w:ascii="Times New Roman" w:hAnsi="Times New Roman" w:cs="Times New Roman"/>
          <w:color w:val="FF0000"/>
          <w:sz w:val="24"/>
          <w:szCs w:val="24"/>
        </w:rPr>
        <w:t>.</w:t>
      </w:r>
    </w:p>
    <w:p w14:paraId="176B500E" w14:textId="44A59A75" w:rsidR="005E785F" w:rsidRDefault="003621E8">
      <w:pPr>
        <w:pStyle w:val="BodyTextFull"/>
        <w:rPr>
          <w:rFonts w:ascii="Times New Roman" w:hAnsi="Times New Roman" w:cs="Times New Roman"/>
          <w:i/>
          <w:color w:val="FF0000"/>
          <w:sz w:val="24"/>
          <w:szCs w:val="24"/>
          <w:lang w:val="en-GB"/>
        </w:rPr>
      </w:pPr>
      <w:r>
        <w:rPr>
          <w:rFonts w:ascii="Times New Roman" w:hAnsi="Times New Roman" w:cs="Times New Roman"/>
          <w:sz w:val="24"/>
          <w:szCs w:val="24"/>
          <w:lang w:val="en-GB"/>
        </w:rPr>
        <w:t xml:space="preserve">Measurements will be recorded in the supine position after 10 min supine. Blood pressure, pulse and oral temperature will be measured by the DINAMAP* Compact Vital Signs Monitor (Model TS) or equivalent. Normal ranges for vital signs are presented in </w:t>
      </w:r>
      <w:r>
        <w:rPr>
          <w:rFonts w:ascii="Times New Roman" w:hAnsi="Times New Roman" w:cs="Times New Roman"/>
          <w:color w:val="0000FF"/>
          <w:sz w:val="24"/>
          <w:szCs w:val="24"/>
          <w:lang w:val="en-GB"/>
        </w:rPr>
        <w:fldChar w:fldCharType="begin"/>
      </w:r>
      <w:r>
        <w:rPr>
          <w:rFonts w:ascii="Times New Roman" w:hAnsi="Times New Roman" w:cs="Times New Roman"/>
          <w:color w:val="0000FF"/>
          <w:sz w:val="24"/>
          <w:szCs w:val="24"/>
          <w:lang w:val="en-GB"/>
        </w:rPr>
        <w:instrText xml:space="preserve"> REF _Ref67033154 \h  \* MERGEFORMAT </w:instrText>
      </w:r>
      <w:r>
        <w:rPr>
          <w:rFonts w:ascii="Times New Roman" w:hAnsi="Times New Roman" w:cs="Times New Roman"/>
          <w:color w:val="0000FF"/>
          <w:sz w:val="24"/>
          <w:szCs w:val="24"/>
          <w:lang w:val="en-GB"/>
        </w:rPr>
      </w:r>
      <w:r>
        <w:rPr>
          <w:rFonts w:ascii="Times New Roman" w:hAnsi="Times New Roman" w:cs="Times New Roman"/>
          <w:color w:val="0000FF"/>
          <w:sz w:val="24"/>
          <w:szCs w:val="24"/>
          <w:lang w:val="en-GB"/>
        </w:rPr>
        <w:fldChar w:fldCharType="separate"/>
      </w:r>
      <w:r>
        <w:rPr>
          <w:rFonts w:ascii="Times New Roman" w:hAnsi="Times New Roman" w:cs="Times New Roman"/>
          <w:color w:val="0000FF"/>
          <w:sz w:val="24"/>
          <w:szCs w:val="24"/>
        </w:rPr>
        <w:t>Appendix 1</w:t>
      </w:r>
      <w:r>
        <w:rPr>
          <w:rFonts w:ascii="Times New Roman" w:hAnsi="Times New Roman" w:cs="Times New Roman"/>
          <w:color w:val="0000FF"/>
          <w:sz w:val="24"/>
          <w:szCs w:val="24"/>
          <w:lang w:val="en-GB"/>
        </w:rPr>
        <w:fldChar w:fldCharType="end"/>
      </w:r>
      <w:r>
        <w:rPr>
          <w:rFonts w:ascii="Times New Roman" w:hAnsi="Times New Roman" w:cs="Times New Roman"/>
          <w:color w:val="0000FF"/>
          <w:sz w:val="24"/>
          <w:szCs w:val="24"/>
          <w:lang w:val="en-GB"/>
        </w:rPr>
        <w:t>.</w:t>
      </w:r>
    </w:p>
    <w:p w14:paraId="2B8AC82C" w14:textId="743A9A96" w:rsidR="005E785F" w:rsidRDefault="003621E8">
      <w:pPr>
        <w:pStyle w:val="Heading4"/>
      </w:pPr>
      <w:bookmarkStart w:id="198" w:name="_Toc74904428"/>
      <w:r>
        <w:lastRenderedPageBreak/>
        <w:t>Physical Examination</w:t>
      </w:r>
      <w:bookmarkEnd w:id="198"/>
    </w:p>
    <w:p w14:paraId="473CE318" w14:textId="04BE6163" w:rsidR="005E785F" w:rsidRDefault="003621E8">
      <w:pPr>
        <w:pStyle w:val="BodyTextFull"/>
        <w:rPr>
          <w:rFonts w:ascii="Times New Roman" w:hAnsi="Times New Roman" w:cs="Times New Roman"/>
          <w:sz w:val="24"/>
          <w:szCs w:val="24"/>
          <w:lang w:val="en-GB"/>
        </w:rPr>
      </w:pPr>
      <w:r>
        <w:rPr>
          <w:rFonts w:ascii="Times New Roman" w:hAnsi="Times New Roman" w:cs="Times New Roman"/>
          <w:sz w:val="24"/>
          <w:szCs w:val="24"/>
          <w:lang w:val="en-GB"/>
        </w:rPr>
        <w:t>A physical examination will be performed by an Investigator.  The full examination will include ear/nose/throat, ophthalmological, dermatological, cardiovascular, respiratory, gastrointestinal, CNS, lymph nodes and musculoskeletal. An Investigator can examine other body systems if required, at their discretion.</w:t>
      </w:r>
    </w:p>
    <w:p w14:paraId="62041CBD" w14:textId="16AAB642" w:rsidR="005E785F" w:rsidRDefault="003621E8">
      <w:pPr>
        <w:pStyle w:val="C-Bullet"/>
        <w:numPr>
          <w:ilvl w:val="0"/>
          <w:numId w:val="0"/>
        </w:numPr>
        <w:jc w:val="both"/>
        <w:rPr>
          <w:lang w:val="en-GB"/>
        </w:rPr>
      </w:pPr>
      <w:r>
        <w:rPr>
          <w:lang w:val="en-GB"/>
        </w:rPr>
        <w:t>A brief physical examination will include respiratory, cardiovascular, GI and other examinations, if required.</w:t>
      </w:r>
    </w:p>
    <w:p w14:paraId="31E39689" w14:textId="595ABEB7" w:rsidR="005E785F" w:rsidRDefault="003621E8">
      <w:pPr>
        <w:pStyle w:val="Heading4"/>
      </w:pPr>
      <w:bookmarkStart w:id="199" w:name="_Toc74904429"/>
      <w:r>
        <w:t>12-lead ECG</w:t>
      </w:r>
      <w:bookmarkEnd w:id="199"/>
    </w:p>
    <w:p w14:paraId="1CB389F2" w14:textId="3E96AC97" w:rsidR="005E785F" w:rsidRDefault="003621E8">
      <w:pPr>
        <w:pStyle w:val="BodyTextFull"/>
        <w:rPr>
          <w:rFonts w:ascii="Times New Roman" w:hAnsi="Times New Roman" w:cs="Times New Roman"/>
          <w:sz w:val="24"/>
          <w:szCs w:val="24"/>
        </w:rPr>
      </w:pPr>
      <w:r>
        <w:rPr>
          <w:rFonts w:ascii="Times New Roman" w:hAnsi="Times New Roman" w:cs="Times New Roman"/>
          <w:sz w:val="24"/>
          <w:szCs w:val="24"/>
        </w:rPr>
        <w:t xml:space="preserve">HR, PR interval, RR interval, QRS width, QT interval and QT interval corrected using Fredericia’s formula (QTcF). </w:t>
      </w:r>
    </w:p>
    <w:p w14:paraId="4E811CEF" w14:textId="64FAC480" w:rsidR="005E785F" w:rsidRDefault="003621E8">
      <w:pPr>
        <w:pStyle w:val="BodyTextFull"/>
        <w:rPr>
          <w:rFonts w:ascii="Times New Roman" w:hAnsi="Times New Roman" w:cs="Times New Roman"/>
          <w:sz w:val="24"/>
          <w:szCs w:val="24"/>
        </w:rPr>
      </w:pPr>
      <w:r>
        <w:rPr>
          <w:rFonts w:ascii="Times New Roman" w:hAnsi="Times New Roman" w:cs="Times New Roman"/>
          <w:sz w:val="24"/>
          <w:szCs w:val="24"/>
        </w:rPr>
        <w:t xml:space="preserve">12-lead ECG recordings will be made using a Mortara ELI280 or equivalent. Each ECG trace should be labelled with the study number, subject number, gender, age and race. An Investigator will provide an interpretation of each tracing within 2 hours.  Clinically significant abnormalities will be recorded on the AE page. Normal ranges for 12-lead ECG parameters are presented in </w:t>
      </w:r>
      <w:r>
        <w:rPr>
          <w:rFonts w:ascii="Times New Roman" w:hAnsi="Times New Roman" w:cs="Times New Roman"/>
          <w:color w:val="0000FF"/>
          <w:sz w:val="24"/>
          <w:szCs w:val="24"/>
        </w:rPr>
        <w:fldChar w:fldCharType="begin"/>
      </w:r>
      <w:r>
        <w:rPr>
          <w:rFonts w:ascii="Times New Roman" w:hAnsi="Times New Roman" w:cs="Times New Roman"/>
          <w:color w:val="0000FF"/>
          <w:sz w:val="24"/>
          <w:szCs w:val="24"/>
        </w:rPr>
        <w:instrText xml:space="preserve"> REF _Ref67033154 \h  \* MERGEFORMAT </w:instrText>
      </w:r>
      <w:r>
        <w:rPr>
          <w:rFonts w:ascii="Times New Roman" w:hAnsi="Times New Roman" w:cs="Times New Roman"/>
          <w:color w:val="0000FF"/>
          <w:sz w:val="24"/>
          <w:szCs w:val="24"/>
        </w:rPr>
      </w:r>
      <w:r>
        <w:rPr>
          <w:rFonts w:ascii="Times New Roman" w:hAnsi="Times New Roman" w:cs="Times New Roman"/>
          <w:color w:val="0000FF"/>
          <w:sz w:val="24"/>
          <w:szCs w:val="24"/>
        </w:rPr>
        <w:fldChar w:fldCharType="separate"/>
      </w:r>
      <w:r>
        <w:rPr>
          <w:rFonts w:ascii="Times New Roman" w:hAnsi="Times New Roman" w:cs="Times New Roman"/>
          <w:color w:val="0000FF"/>
          <w:sz w:val="24"/>
          <w:szCs w:val="24"/>
        </w:rPr>
        <w:t>Appendix 1</w:t>
      </w:r>
      <w:r>
        <w:rPr>
          <w:rFonts w:ascii="Times New Roman" w:hAnsi="Times New Roman" w:cs="Times New Roman"/>
          <w:color w:val="0000FF"/>
          <w:sz w:val="24"/>
          <w:szCs w:val="24"/>
        </w:rPr>
        <w:fldChar w:fldCharType="end"/>
      </w:r>
      <w:r>
        <w:rPr>
          <w:rFonts w:ascii="Times New Roman" w:hAnsi="Times New Roman" w:cs="Times New Roman"/>
          <w:sz w:val="24"/>
          <w:szCs w:val="24"/>
        </w:rPr>
        <w:t>.</w:t>
      </w:r>
    </w:p>
    <w:p w14:paraId="5B93A77B" w14:textId="2B3C4E60" w:rsidR="005E785F" w:rsidRDefault="003621E8">
      <w:pPr>
        <w:pStyle w:val="Heading4"/>
      </w:pPr>
      <w:bookmarkStart w:id="200" w:name="_Toc74904430"/>
      <w:r>
        <w:t>Concomitant Medication</w:t>
      </w:r>
      <w:bookmarkEnd w:id="200"/>
    </w:p>
    <w:p w14:paraId="4A8D104B" w14:textId="61388559" w:rsidR="005E785F" w:rsidRDefault="003621E8">
      <w:pPr>
        <w:spacing w:before="120" w:after="120"/>
        <w:jc w:val="both"/>
        <w:rPr>
          <w:lang w:val="en-GB"/>
        </w:rPr>
      </w:pPr>
      <w:r>
        <w:rPr>
          <w:lang w:val="en-GB"/>
        </w:rPr>
        <w:t xml:space="preserve">All prior and concomitant medications taken during the study will be recorded in the participant’s eCRF (see </w:t>
      </w:r>
      <w:r>
        <w:rPr>
          <w:color w:val="0000FF"/>
          <w:lang w:val="en-GB"/>
        </w:rPr>
        <w:t xml:space="preserve">Section </w:t>
      </w:r>
      <w:r>
        <w:rPr>
          <w:color w:val="0000FF"/>
          <w:lang w:val="en-GB"/>
        </w:rPr>
        <w:fldChar w:fldCharType="begin"/>
      </w:r>
      <w:r>
        <w:rPr>
          <w:color w:val="0000FF"/>
          <w:lang w:val="en-GB"/>
        </w:rPr>
        <w:instrText xml:space="preserve"> REF _Ref66988554 \r \h </w:instrText>
      </w:r>
      <w:r>
        <w:rPr>
          <w:color w:val="0000FF"/>
          <w:lang w:val="en-GB"/>
        </w:rPr>
      </w:r>
      <w:r>
        <w:rPr>
          <w:color w:val="0000FF"/>
          <w:lang w:val="en-GB"/>
        </w:rPr>
        <w:fldChar w:fldCharType="separate"/>
      </w:r>
      <w:r>
        <w:rPr>
          <w:color w:val="0000FF"/>
          <w:lang w:val="en-GB"/>
        </w:rPr>
        <w:t>10.6.10</w:t>
      </w:r>
      <w:r>
        <w:rPr>
          <w:color w:val="0000FF"/>
          <w:lang w:val="en-GB"/>
        </w:rPr>
        <w:fldChar w:fldCharType="end"/>
      </w:r>
      <w:r>
        <w:rPr>
          <w:lang w:val="en-GB"/>
        </w:rPr>
        <w:t>).</w:t>
      </w:r>
    </w:p>
    <w:p w14:paraId="1DD5D278" w14:textId="61842EAA" w:rsidR="005E785F" w:rsidRDefault="003621E8">
      <w:pPr>
        <w:pStyle w:val="Heading4"/>
      </w:pPr>
      <w:bookmarkStart w:id="201" w:name="_Toc74904431"/>
      <w:r>
        <w:t>Injection Site Examination</w:t>
      </w:r>
      <w:bookmarkEnd w:id="201"/>
    </w:p>
    <w:p w14:paraId="05F01B0E" w14:textId="540AA7FD" w:rsidR="005E785F" w:rsidRDefault="003621E8">
      <w:pPr>
        <w:spacing w:before="120" w:after="120"/>
        <w:rPr>
          <w:lang w:val="en-GB"/>
        </w:rPr>
      </w:pPr>
      <w:r>
        <w:rPr>
          <w:rFonts w:cs="Times New Roman"/>
          <w:szCs w:val="24"/>
        </w:rPr>
        <w:t xml:space="preserve">Injection site reactions (redness, swelling, warmth, tenderness, pain) will be assessed during the study, according the assessment scales in </w:t>
      </w:r>
      <w:r>
        <w:rPr>
          <w:rFonts w:cs="Times New Roman"/>
          <w:color w:val="0000FF"/>
          <w:szCs w:val="24"/>
        </w:rPr>
        <w:fldChar w:fldCharType="begin"/>
      </w:r>
      <w:r>
        <w:rPr>
          <w:rFonts w:cs="Times New Roman"/>
          <w:color w:val="0000FF"/>
          <w:szCs w:val="24"/>
        </w:rPr>
        <w:instrText xml:space="preserve"> REF _Ref67033060 \h </w:instrText>
      </w:r>
      <w:r>
        <w:rPr>
          <w:rFonts w:cs="Times New Roman"/>
          <w:color w:val="0000FF"/>
          <w:szCs w:val="24"/>
        </w:rPr>
      </w:r>
      <w:r>
        <w:rPr>
          <w:rFonts w:cs="Times New Roman"/>
          <w:color w:val="0000FF"/>
          <w:szCs w:val="24"/>
        </w:rPr>
        <w:fldChar w:fldCharType="separate"/>
      </w:r>
      <w:r>
        <w:rPr>
          <w:color w:val="0000FF"/>
        </w:rPr>
        <w:t>Appendix 3</w:t>
      </w:r>
      <w:r>
        <w:rPr>
          <w:rFonts w:cs="Times New Roman"/>
          <w:color w:val="0000FF"/>
          <w:szCs w:val="24"/>
        </w:rPr>
        <w:fldChar w:fldCharType="end"/>
      </w:r>
      <w:r>
        <w:rPr>
          <w:rFonts w:cs="Times New Roman"/>
          <w:szCs w:val="24"/>
        </w:rPr>
        <w:t>. Photographs of injection site reactions will be taken if grade 2 or above is reached.</w:t>
      </w:r>
    </w:p>
    <w:p w14:paraId="73FB21DB" w14:textId="60C16E39" w:rsidR="005E785F" w:rsidRDefault="003621E8">
      <w:pPr>
        <w:pStyle w:val="Heading3"/>
      </w:pPr>
      <w:bookmarkStart w:id="202" w:name="_Toc74904432"/>
      <w:r>
        <w:t>Appropriateness of Measurements</w:t>
      </w:r>
      <w:bookmarkEnd w:id="202"/>
    </w:p>
    <w:p w14:paraId="73FB21DC" w14:textId="77777777" w:rsidR="005E785F" w:rsidRDefault="003621E8">
      <w:pPr>
        <w:pStyle w:val="C-BodyText"/>
        <w:jc w:val="both"/>
        <w:rPr>
          <w:lang w:val="en-GB"/>
        </w:rPr>
      </w:pPr>
      <w:r>
        <w:rPr>
          <w:lang w:val="en-GB"/>
        </w:rPr>
        <w:t>All measurements performed in the study are standard measurements.</w:t>
      </w:r>
    </w:p>
    <w:p w14:paraId="73FB21DD" w14:textId="37B08076" w:rsidR="005E785F" w:rsidRDefault="003621E8">
      <w:pPr>
        <w:spacing w:before="120" w:after="120"/>
        <w:rPr>
          <w:lang w:val="en-GB"/>
        </w:rPr>
      </w:pPr>
      <w:r>
        <w:rPr>
          <w:lang w:val="en-GB"/>
        </w:rPr>
        <w:t xml:space="preserve">The total volume of blood to be collected from each participant during the study (less than 340 mL) is considered acceptable </w:t>
      </w:r>
      <w:bookmarkStart w:id="203" w:name="_Toc303783692"/>
      <w:bookmarkEnd w:id="203"/>
      <w:r>
        <w:rPr>
          <w:lang w:val="en-GB"/>
        </w:rPr>
        <w:t>(</w:t>
      </w:r>
      <w:r>
        <w:rPr>
          <w:color w:val="0000FF"/>
          <w:lang w:val="en-GB"/>
        </w:rPr>
        <w:fldChar w:fldCharType="begin"/>
      </w:r>
      <w:r>
        <w:rPr>
          <w:color w:val="0000FF"/>
          <w:lang w:val="en-GB"/>
        </w:rPr>
        <w:instrText xml:space="preserve"> REF _Ref66119228 \h </w:instrText>
      </w:r>
      <w:r>
        <w:rPr>
          <w:color w:val="0000FF"/>
          <w:lang w:val="en-GB"/>
        </w:rPr>
      </w:r>
      <w:r>
        <w:rPr>
          <w:color w:val="0000FF"/>
          <w:lang w:val="en-GB"/>
        </w:rPr>
        <w:fldChar w:fldCharType="separate"/>
      </w:r>
      <w:r>
        <w:rPr>
          <w:color w:val="0000FF"/>
        </w:rPr>
        <w:t>Table 6</w:t>
      </w:r>
      <w:r>
        <w:rPr>
          <w:color w:val="0000FF"/>
          <w:lang w:val="en-GB"/>
        </w:rPr>
        <w:fldChar w:fldCharType="end"/>
      </w:r>
      <w:r>
        <w:rPr>
          <w:lang w:val="en-GB"/>
        </w:rPr>
        <w:t xml:space="preserve">).  </w:t>
      </w:r>
    </w:p>
    <w:p w14:paraId="73FB21DE" w14:textId="5EF3B757" w:rsidR="005E785F" w:rsidRDefault="003621E8">
      <w:pPr>
        <w:pStyle w:val="Caption"/>
        <w:rPr>
          <w:lang w:val="en-GB"/>
        </w:rPr>
      </w:pPr>
      <w:bookmarkStart w:id="204" w:name="_Ref66119228"/>
      <w:bookmarkStart w:id="205" w:name="_Toc66992767"/>
      <w:r>
        <w:lastRenderedPageBreak/>
        <w:t xml:space="preserve">Table </w:t>
      </w:r>
      <w:r w:rsidR="00747B9C">
        <w:fldChar w:fldCharType="begin"/>
      </w:r>
      <w:r w:rsidR="00747B9C">
        <w:instrText xml:space="preserve"> SEQ Table \* ARABIC </w:instrText>
      </w:r>
      <w:r w:rsidR="00747B9C">
        <w:fldChar w:fldCharType="separate"/>
      </w:r>
      <w:r>
        <w:t>6</w:t>
      </w:r>
      <w:r w:rsidR="00747B9C">
        <w:fldChar w:fldCharType="end"/>
      </w:r>
      <w:bookmarkEnd w:id="204"/>
      <w:r>
        <w:rPr>
          <w:lang w:val="en-GB"/>
        </w:rPr>
        <w:tab/>
        <w:t>Summary of Blood Volume</w:t>
      </w:r>
      <w:bookmarkEnd w:id="205"/>
    </w:p>
    <w:tbl>
      <w:tblPr>
        <w:tblStyle w:val="TableGrid"/>
        <w:tblW w:w="0" w:type="auto"/>
        <w:tblLook w:val="04A0" w:firstRow="1" w:lastRow="0" w:firstColumn="1" w:lastColumn="0" w:noHBand="0" w:noVBand="1"/>
      </w:tblPr>
      <w:tblGrid>
        <w:gridCol w:w="1838"/>
        <w:gridCol w:w="1368"/>
        <w:gridCol w:w="1381"/>
        <w:gridCol w:w="1496"/>
        <w:gridCol w:w="1480"/>
        <w:gridCol w:w="1454"/>
      </w:tblGrid>
      <w:tr w:rsidR="005E785F" w14:paraId="73FB21E5" w14:textId="77777777">
        <w:tc>
          <w:tcPr>
            <w:tcW w:w="1838" w:type="dxa"/>
          </w:tcPr>
          <w:p w14:paraId="73FB21DF" w14:textId="77777777" w:rsidR="005E785F" w:rsidRDefault="003621E8">
            <w:pPr>
              <w:pStyle w:val="C-BodyText"/>
              <w:keepNext/>
              <w:spacing w:line="240" w:lineRule="auto"/>
              <w:rPr>
                <w:b/>
                <w:sz w:val="18"/>
                <w:szCs w:val="18"/>
                <w:lang w:val="en-GB"/>
              </w:rPr>
            </w:pPr>
            <w:r>
              <w:rPr>
                <w:b/>
                <w:sz w:val="18"/>
                <w:szCs w:val="18"/>
                <w:lang w:val="en-GB"/>
              </w:rPr>
              <w:t>Procedure</w:t>
            </w:r>
          </w:p>
        </w:tc>
        <w:tc>
          <w:tcPr>
            <w:tcW w:w="1368" w:type="dxa"/>
          </w:tcPr>
          <w:p w14:paraId="73FB21E0" w14:textId="77777777" w:rsidR="005E785F" w:rsidRDefault="003621E8">
            <w:pPr>
              <w:pStyle w:val="C-BodyText"/>
              <w:keepNext/>
              <w:spacing w:line="240" w:lineRule="auto"/>
              <w:jc w:val="center"/>
              <w:rPr>
                <w:b/>
                <w:sz w:val="18"/>
                <w:szCs w:val="18"/>
                <w:lang w:val="en-GB"/>
              </w:rPr>
            </w:pPr>
            <w:r>
              <w:rPr>
                <w:b/>
                <w:sz w:val="18"/>
                <w:szCs w:val="18"/>
                <w:lang w:val="en-GB"/>
              </w:rPr>
              <w:t>Visit</w:t>
            </w:r>
          </w:p>
        </w:tc>
        <w:tc>
          <w:tcPr>
            <w:tcW w:w="1381" w:type="dxa"/>
          </w:tcPr>
          <w:p w14:paraId="73FB21E1" w14:textId="4AB55F57" w:rsidR="005E785F" w:rsidRDefault="003621E8">
            <w:pPr>
              <w:pStyle w:val="C-BodyText"/>
              <w:keepNext/>
              <w:spacing w:line="240" w:lineRule="auto"/>
              <w:jc w:val="center"/>
              <w:rPr>
                <w:b/>
                <w:sz w:val="18"/>
                <w:szCs w:val="18"/>
                <w:lang w:val="en-GB"/>
              </w:rPr>
            </w:pPr>
            <w:r>
              <w:rPr>
                <w:b/>
                <w:sz w:val="18"/>
                <w:szCs w:val="18"/>
                <w:lang w:val="en-GB"/>
              </w:rPr>
              <w:t>Number of Samples</w:t>
            </w:r>
          </w:p>
        </w:tc>
        <w:tc>
          <w:tcPr>
            <w:tcW w:w="1496" w:type="dxa"/>
          </w:tcPr>
          <w:p w14:paraId="73FB21E2" w14:textId="77777777" w:rsidR="005E785F" w:rsidRDefault="003621E8">
            <w:pPr>
              <w:pStyle w:val="C-BodyText"/>
              <w:keepNext/>
              <w:spacing w:line="240" w:lineRule="auto"/>
              <w:jc w:val="center"/>
              <w:rPr>
                <w:b/>
                <w:sz w:val="18"/>
                <w:szCs w:val="18"/>
                <w:lang w:val="en-GB"/>
              </w:rPr>
            </w:pPr>
            <w:r>
              <w:rPr>
                <w:b/>
                <w:sz w:val="18"/>
                <w:szCs w:val="18"/>
                <w:lang w:val="en-GB"/>
              </w:rPr>
              <w:t>Blood Volume per Sample (mL)</w:t>
            </w:r>
          </w:p>
        </w:tc>
        <w:tc>
          <w:tcPr>
            <w:tcW w:w="1480" w:type="dxa"/>
          </w:tcPr>
          <w:p w14:paraId="73FB21E3" w14:textId="77777777" w:rsidR="005E785F" w:rsidRDefault="003621E8">
            <w:pPr>
              <w:pStyle w:val="C-BodyText"/>
              <w:keepNext/>
              <w:spacing w:line="240" w:lineRule="auto"/>
              <w:jc w:val="center"/>
              <w:rPr>
                <w:b/>
                <w:sz w:val="18"/>
                <w:szCs w:val="18"/>
                <w:lang w:val="en-GB"/>
              </w:rPr>
            </w:pPr>
            <w:r>
              <w:rPr>
                <w:b/>
                <w:sz w:val="18"/>
                <w:szCs w:val="18"/>
                <w:lang w:val="en-GB"/>
              </w:rPr>
              <w:t>No. Treatment Periods</w:t>
            </w:r>
          </w:p>
        </w:tc>
        <w:tc>
          <w:tcPr>
            <w:tcW w:w="1454" w:type="dxa"/>
          </w:tcPr>
          <w:p w14:paraId="73FB21E4" w14:textId="77777777" w:rsidR="005E785F" w:rsidRDefault="003621E8">
            <w:pPr>
              <w:pStyle w:val="C-BodyText"/>
              <w:keepNext/>
              <w:spacing w:line="240" w:lineRule="auto"/>
              <w:jc w:val="center"/>
              <w:rPr>
                <w:b/>
                <w:sz w:val="18"/>
                <w:szCs w:val="18"/>
                <w:lang w:val="en-GB"/>
              </w:rPr>
            </w:pPr>
            <w:r>
              <w:rPr>
                <w:b/>
                <w:sz w:val="18"/>
                <w:szCs w:val="18"/>
                <w:lang w:val="en-GB"/>
              </w:rPr>
              <w:t>Blood Volume (mL)</w:t>
            </w:r>
          </w:p>
        </w:tc>
      </w:tr>
      <w:tr w:rsidR="005E785F" w14:paraId="73FB21EC" w14:textId="77777777">
        <w:tc>
          <w:tcPr>
            <w:tcW w:w="1838" w:type="dxa"/>
            <w:vMerge w:val="restart"/>
          </w:tcPr>
          <w:p w14:paraId="73FB21E6" w14:textId="77777777" w:rsidR="005E785F" w:rsidRDefault="003621E8">
            <w:pPr>
              <w:pStyle w:val="C-BodyText"/>
              <w:keepNext/>
              <w:spacing w:line="240" w:lineRule="auto"/>
              <w:rPr>
                <w:b/>
                <w:sz w:val="18"/>
                <w:szCs w:val="18"/>
                <w:lang w:val="en-GB"/>
              </w:rPr>
            </w:pPr>
            <w:r>
              <w:rPr>
                <w:b/>
                <w:sz w:val="18"/>
                <w:szCs w:val="18"/>
                <w:lang w:val="en-GB"/>
              </w:rPr>
              <w:t xml:space="preserve">Biochemistry </w:t>
            </w:r>
          </w:p>
        </w:tc>
        <w:tc>
          <w:tcPr>
            <w:tcW w:w="1368" w:type="dxa"/>
          </w:tcPr>
          <w:p w14:paraId="73FB21E7" w14:textId="77777777" w:rsidR="005E785F" w:rsidRDefault="003621E8">
            <w:pPr>
              <w:pStyle w:val="C-BodyText"/>
              <w:keepNext/>
              <w:spacing w:line="240" w:lineRule="auto"/>
              <w:jc w:val="center"/>
              <w:rPr>
                <w:sz w:val="18"/>
                <w:szCs w:val="18"/>
                <w:lang w:val="en-GB"/>
              </w:rPr>
            </w:pPr>
            <w:r>
              <w:rPr>
                <w:sz w:val="18"/>
                <w:szCs w:val="18"/>
                <w:lang w:val="en-GB"/>
              </w:rPr>
              <w:t>Screening</w:t>
            </w:r>
            <w:r>
              <w:rPr>
                <w:color w:val="FF0000"/>
                <w:sz w:val="18"/>
                <w:szCs w:val="18"/>
                <w:vertAlign w:val="superscript"/>
                <w:lang w:val="en-GB"/>
              </w:rPr>
              <w:t>1</w:t>
            </w:r>
          </w:p>
        </w:tc>
        <w:tc>
          <w:tcPr>
            <w:tcW w:w="1381" w:type="dxa"/>
          </w:tcPr>
          <w:p w14:paraId="73FB21E8" w14:textId="77DAEF8D" w:rsidR="005E785F" w:rsidRDefault="003621E8">
            <w:pPr>
              <w:pStyle w:val="C-BodyText"/>
              <w:keepNext/>
              <w:spacing w:line="240" w:lineRule="auto"/>
              <w:jc w:val="center"/>
              <w:rPr>
                <w:sz w:val="18"/>
                <w:szCs w:val="18"/>
                <w:lang w:val="en-GB"/>
              </w:rPr>
            </w:pPr>
            <w:r>
              <w:rPr>
                <w:sz w:val="18"/>
                <w:szCs w:val="18"/>
                <w:lang w:val="en-GB"/>
              </w:rPr>
              <w:t>1</w:t>
            </w:r>
          </w:p>
        </w:tc>
        <w:tc>
          <w:tcPr>
            <w:tcW w:w="1496" w:type="dxa"/>
          </w:tcPr>
          <w:p w14:paraId="73FB21E9" w14:textId="5735F034" w:rsidR="005E785F" w:rsidRDefault="003621E8">
            <w:pPr>
              <w:pStyle w:val="C-BodyText"/>
              <w:keepNext/>
              <w:spacing w:line="240" w:lineRule="auto"/>
              <w:jc w:val="center"/>
              <w:rPr>
                <w:sz w:val="18"/>
                <w:szCs w:val="18"/>
                <w:lang w:val="en-GB"/>
              </w:rPr>
            </w:pPr>
            <w:r>
              <w:rPr>
                <w:sz w:val="18"/>
                <w:szCs w:val="18"/>
                <w:lang w:val="en-GB"/>
              </w:rPr>
              <w:t>4.5</w:t>
            </w:r>
          </w:p>
        </w:tc>
        <w:tc>
          <w:tcPr>
            <w:tcW w:w="1480" w:type="dxa"/>
          </w:tcPr>
          <w:p w14:paraId="73FB21EA" w14:textId="77777777" w:rsidR="005E785F" w:rsidRDefault="003621E8">
            <w:pPr>
              <w:pStyle w:val="C-BodyText"/>
              <w:keepNext/>
              <w:spacing w:line="240" w:lineRule="auto"/>
              <w:jc w:val="center"/>
              <w:rPr>
                <w:sz w:val="18"/>
                <w:szCs w:val="18"/>
                <w:lang w:val="en-GB"/>
              </w:rPr>
            </w:pPr>
            <w:r>
              <w:rPr>
                <w:sz w:val="18"/>
                <w:szCs w:val="18"/>
                <w:lang w:val="en-GB"/>
              </w:rPr>
              <w:t>N/A</w:t>
            </w:r>
          </w:p>
        </w:tc>
        <w:tc>
          <w:tcPr>
            <w:tcW w:w="1454" w:type="dxa"/>
          </w:tcPr>
          <w:p w14:paraId="73FB21EB" w14:textId="4B4CEE81" w:rsidR="005E785F" w:rsidRDefault="003621E8">
            <w:pPr>
              <w:pStyle w:val="C-BodyText"/>
              <w:keepNext/>
              <w:spacing w:line="240" w:lineRule="auto"/>
              <w:jc w:val="center"/>
              <w:rPr>
                <w:sz w:val="18"/>
                <w:szCs w:val="18"/>
                <w:lang w:val="en-GB"/>
              </w:rPr>
            </w:pPr>
            <w:r>
              <w:rPr>
                <w:sz w:val="18"/>
                <w:szCs w:val="18"/>
                <w:lang w:val="en-GB"/>
              </w:rPr>
              <w:t>4.5</w:t>
            </w:r>
          </w:p>
        </w:tc>
      </w:tr>
      <w:tr w:rsidR="005E785F" w14:paraId="73FB21F3" w14:textId="77777777">
        <w:tc>
          <w:tcPr>
            <w:tcW w:w="1838" w:type="dxa"/>
            <w:vMerge/>
          </w:tcPr>
          <w:p w14:paraId="73FB21ED" w14:textId="77777777" w:rsidR="005E785F" w:rsidRDefault="005E785F">
            <w:pPr>
              <w:pStyle w:val="C-BodyText"/>
              <w:keepNext/>
              <w:spacing w:line="240" w:lineRule="auto"/>
              <w:rPr>
                <w:b/>
                <w:sz w:val="18"/>
                <w:szCs w:val="18"/>
                <w:lang w:val="en-GB"/>
              </w:rPr>
            </w:pPr>
          </w:p>
        </w:tc>
        <w:tc>
          <w:tcPr>
            <w:tcW w:w="1368" w:type="dxa"/>
          </w:tcPr>
          <w:p w14:paraId="73FB21EE" w14:textId="093CEFE9" w:rsidR="005E785F" w:rsidRDefault="003621E8">
            <w:pPr>
              <w:pStyle w:val="C-BodyText"/>
              <w:keepNext/>
              <w:spacing w:line="240" w:lineRule="auto"/>
              <w:jc w:val="center"/>
              <w:rPr>
                <w:sz w:val="18"/>
                <w:szCs w:val="18"/>
                <w:lang w:val="en-GB"/>
              </w:rPr>
            </w:pPr>
            <w:r>
              <w:rPr>
                <w:sz w:val="18"/>
                <w:szCs w:val="18"/>
                <w:lang w:val="en-GB"/>
              </w:rPr>
              <w:t>Day -1/ Day 2/Day 4/Day 7</w:t>
            </w:r>
          </w:p>
        </w:tc>
        <w:tc>
          <w:tcPr>
            <w:tcW w:w="1381" w:type="dxa"/>
          </w:tcPr>
          <w:p w14:paraId="73FB21EF" w14:textId="01CC643D" w:rsidR="005E785F" w:rsidRDefault="003621E8">
            <w:pPr>
              <w:pStyle w:val="C-BodyText"/>
              <w:keepNext/>
              <w:spacing w:line="240" w:lineRule="auto"/>
              <w:jc w:val="center"/>
              <w:rPr>
                <w:sz w:val="18"/>
                <w:szCs w:val="18"/>
                <w:lang w:val="en-GB"/>
              </w:rPr>
            </w:pPr>
            <w:r>
              <w:rPr>
                <w:sz w:val="18"/>
                <w:szCs w:val="18"/>
                <w:lang w:val="en-GB"/>
              </w:rPr>
              <w:t>4</w:t>
            </w:r>
          </w:p>
        </w:tc>
        <w:tc>
          <w:tcPr>
            <w:tcW w:w="1496" w:type="dxa"/>
          </w:tcPr>
          <w:p w14:paraId="73FB21F0" w14:textId="01BCEE61" w:rsidR="005E785F" w:rsidRDefault="003621E8">
            <w:pPr>
              <w:pStyle w:val="C-BodyText"/>
              <w:keepNext/>
              <w:spacing w:line="240" w:lineRule="auto"/>
              <w:jc w:val="center"/>
              <w:rPr>
                <w:sz w:val="18"/>
                <w:szCs w:val="18"/>
                <w:lang w:val="en-GB"/>
              </w:rPr>
            </w:pPr>
            <w:r>
              <w:rPr>
                <w:sz w:val="18"/>
                <w:szCs w:val="18"/>
                <w:lang w:val="en-GB"/>
              </w:rPr>
              <w:t>4.5</w:t>
            </w:r>
          </w:p>
        </w:tc>
        <w:tc>
          <w:tcPr>
            <w:tcW w:w="1480" w:type="dxa"/>
          </w:tcPr>
          <w:p w14:paraId="73FB21F1" w14:textId="3508EC66" w:rsidR="005E785F" w:rsidRDefault="003621E8">
            <w:pPr>
              <w:pStyle w:val="C-BodyText"/>
              <w:keepNext/>
              <w:spacing w:line="240" w:lineRule="auto"/>
              <w:jc w:val="center"/>
              <w:rPr>
                <w:sz w:val="18"/>
                <w:szCs w:val="18"/>
                <w:lang w:val="en-GB"/>
              </w:rPr>
            </w:pPr>
            <w:r>
              <w:rPr>
                <w:sz w:val="18"/>
                <w:szCs w:val="18"/>
                <w:lang w:val="en-GB"/>
              </w:rPr>
              <w:t>N/A</w:t>
            </w:r>
          </w:p>
        </w:tc>
        <w:tc>
          <w:tcPr>
            <w:tcW w:w="1454" w:type="dxa"/>
          </w:tcPr>
          <w:p w14:paraId="73FB21F2" w14:textId="192E1A2E" w:rsidR="005E785F" w:rsidRDefault="003621E8">
            <w:pPr>
              <w:pStyle w:val="C-BodyText"/>
              <w:keepNext/>
              <w:spacing w:line="240" w:lineRule="auto"/>
              <w:jc w:val="center"/>
              <w:rPr>
                <w:sz w:val="18"/>
                <w:szCs w:val="18"/>
                <w:lang w:val="en-GB"/>
              </w:rPr>
            </w:pPr>
            <w:r>
              <w:rPr>
                <w:sz w:val="18"/>
                <w:szCs w:val="18"/>
                <w:lang w:val="en-GB"/>
              </w:rPr>
              <w:t>18</w:t>
            </w:r>
          </w:p>
        </w:tc>
      </w:tr>
      <w:tr w:rsidR="005E785F" w14:paraId="73FB2201" w14:textId="77777777">
        <w:tc>
          <w:tcPr>
            <w:tcW w:w="1838" w:type="dxa"/>
            <w:vMerge/>
          </w:tcPr>
          <w:p w14:paraId="73FB21FB" w14:textId="77777777" w:rsidR="005E785F" w:rsidRDefault="005E785F">
            <w:pPr>
              <w:pStyle w:val="C-BodyText"/>
              <w:keepNext/>
              <w:spacing w:line="240" w:lineRule="auto"/>
              <w:rPr>
                <w:b/>
                <w:sz w:val="18"/>
                <w:szCs w:val="18"/>
                <w:lang w:val="en-GB"/>
              </w:rPr>
            </w:pPr>
          </w:p>
        </w:tc>
        <w:tc>
          <w:tcPr>
            <w:tcW w:w="1368" w:type="dxa"/>
          </w:tcPr>
          <w:p w14:paraId="73FB21FC" w14:textId="18AF1C06" w:rsidR="005E785F" w:rsidRDefault="003621E8">
            <w:pPr>
              <w:pStyle w:val="C-BodyText"/>
              <w:keepNext/>
              <w:spacing w:line="240" w:lineRule="auto"/>
              <w:jc w:val="center"/>
              <w:rPr>
                <w:sz w:val="18"/>
                <w:szCs w:val="18"/>
                <w:lang w:val="en-GB"/>
              </w:rPr>
            </w:pPr>
            <w:r>
              <w:rPr>
                <w:sz w:val="18"/>
                <w:szCs w:val="18"/>
                <w:lang w:val="en-GB"/>
              </w:rPr>
              <w:t>Post study</w:t>
            </w:r>
          </w:p>
        </w:tc>
        <w:tc>
          <w:tcPr>
            <w:tcW w:w="1381" w:type="dxa"/>
          </w:tcPr>
          <w:p w14:paraId="73FB21FD" w14:textId="7C5A0AF2" w:rsidR="005E785F" w:rsidRDefault="003621E8">
            <w:pPr>
              <w:pStyle w:val="C-BodyText"/>
              <w:keepNext/>
              <w:spacing w:line="240" w:lineRule="auto"/>
              <w:jc w:val="center"/>
              <w:rPr>
                <w:sz w:val="18"/>
                <w:szCs w:val="18"/>
                <w:lang w:val="en-GB"/>
              </w:rPr>
            </w:pPr>
            <w:r>
              <w:rPr>
                <w:sz w:val="18"/>
                <w:szCs w:val="18"/>
                <w:lang w:val="en-GB"/>
              </w:rPr>
              <w:t>1</w:t>
            </w:r>
          </w:p>
        </w:tc>
        <w:tc>
          <w:tcPr>
            <w:tcW w:w="1496" w:type="dxa"/>
          </w:tcPr>
          <w:p w14:paraId="73FB21FE" w14:textId="6166AF1E" w:rsidR="005E785F" w:rsidRDefault="003621E8">
            <w:pPr>
              <w:pStyle w:val="C-BodyText"/>
              <w:keepNext/>
              <w:spacing w:line="240" w:lineRule="auto"/>
              <w:jc w:val="center"/>
              <w:rPr>
                <w:sz w:val="18"/>
                <w:szCs w:val="18"/>
                <w:lang w:val="en-GB"/>
              </w:rPr>
            </w:pPr>
            <w:r>
              <w:rPr>
                <w:sz w:val="18"/>
                <w:szCs w:val="18"/>
                <w:lang w:val="en-GB"/>
              </w:rPr>
              <w:t>4.5</w:t>
            </w:r>
          </w:p>
        </w:tc>
        <w:tc>
          <w:tcPr>
            <w:tcW w:w="1480" w:type="dxa"/>
          </w:tcPr>
          <w:p w14:paraId="73FB21FF" w14:textId="77777777" w:rsidR="005E785F" w:rsidRDefault="003621E8">
            <w:pPr>
              <w:pStyle w:val="C-BodyText"/>
              <w:keepNext/>
              <w:spacing w:line="240" w:lineRule="auto"/>
              <w:jc w:val="center"/>
              <w:rPr>
                <w:sz w:val="18"/>
                <w:szCs w:val="18"/>
                <w:lang w:val="en-GB"/>
              </w:rPr>
            </w:pPr>
            <w:r>
              <w:rPr>
                <w:sz w:val="18"/>
                <w:szCs w:val="18"/>
                <w:lang w:val="en-GB"/>
              </w:rPr>
              <w:t>N/A</w:t>
            </w:r>
          </w:p>
        </w:tc>
        <w:tc>
          <w:tcPr>
            <w:tcW w:w="1454" w:type="dxa"/>
          </w:tcPr>
          <w:p w14:paraId="73FB2200" w14:textId="3B58ED16" w:rsidR="005E785F" w:rsidRDefault="003621E8">
            <w:pPr>
              <w:pStyle w:val="C-BodyText"/>
              <w:keepNext/>
              <w:spacing w:line="240" w:lineRule="auto"/>
              <w:jc w:val="center"/>
              <w:rPr>
                <w:sz w:val="18"/>
                <w:szCs w:val="18"/>
                <w:highlight w:val="yellow"/>
                <w:lang w:val="en-GB"/>
              </w:rPr>
            </w:pPr>
            <w:r>
              <w:rPr>
                <w:sz w:val="18"/>
                <w:szCs w:val="18"/>
                <w:lang w:val="en-GB"/>
              </w:rPr>
              <w:t>4.5</w:t>
            </w:r>
          </w:p>
        </w:tc>
      </w:tr>
      <w:tr w:rsidR="005E785F" w14:paraId="73FB2208" w14:textId="77777777">
        <w:tc>
          <w:tcPr>
            <w:tcW w:w="1838" w:type="dxa"/>
            <w:vMerge w:val="restart"/>
          </w:tcPr>
          <w:p w14:paraId="73FB2202" w14:textId="77777777" w:rsidR="005E785F" w:rsidRDefault="003621E8">
            <w:pPr>
              <w:pStyle w:val="C-BodyText"/>
              <w:keepNext/>
              <w:spacing w:line="240" w:lineRule="auto"/>
              <w:rPr>
                <w:b/>
                <w:sz w:val="18"/>
                <w:szCs w:val="18"/>
                <w:lang w:val="en-GB"/>
              </w:rPr>
            </w:pPr>
            <w:bookmarkStart w:id="206" w:name="_Hlk521654794"/>
            <w:r>
              <w:rPr>
                <w:b/>
                <w:sz w:val="18"/>
                <w:szCs w:val="18"/>
                <w:lang w:val="en-GB"/>
              </w:rPr>
              <w:t xml:space="preserve">Haematology </w:t>
            </w:r>
          </w:p>
        </w:tc>
        <w:tc>
          <w:tcPr>
            <w:tcW w:w="1368" w:type="dxa"/>
          </w:tcPr>
          <w:p w14:paraId="73FB2203" w14:textId="77777777" w:rsidR="005E785F" w:rsidRDefault="003621E8">
            <w:pPr>
              <w:pStyle w:val="C-BodyText"/>
              <w:keepNext/>
              <w:spacing w:line="240" w:lineRule="auto"/>
              <w:jc w:val="center"/>
              <w:rPr>
                <w:sz w:val="18"/>
                <w:szCs w:val="18"/>
                <w:lang w:val="en-GB"/>
              </w:rPr>
            </w:pPr>
            <w:r>
              <w:rPr>
                <w:sz w:val="18"/>
                <w:szCs w:val="18"/>
                <w:lang w:val="en-GB"/>
              </w:rPr>
              <w:t>Screening</w:t>
            </w:r>
          </w:p>
        </w:tc>
        <w:tc>
          <w:tcPr>
            <w:tcW w:w="1381" w:type="dxa"/>
          </w:tcPr>
          <w:p w14:paraId="73FB2204" w14:textId="0E4B5EFB" w:rsidR="005E785F" w:rsidRDefault="003621E8">
            <w:pPr>
              <w:pStyle w:val="C-BodyText"/>
              <w:keepNext/>
              <w:spacing w:line="240" w:lineRule="auto"/>
              <w:jc w:val="center"/>
              <w:rPr>
                <w:sz w:val="18"/>
                <w:szCs w:val="18"/>
                <w:lang w:val="en-GB"/>
              </w:rPr>
            </w:pPr>
            <w:r>
              <w:rPr>
                <w:sz w:val="18"/>
                <w:szCs w:val="18"/>
                <w:lang w:val="en-GB"/>
              </w:rPr>
              <w:t>1</w:t>
            </w:r>
          </w:p>
        </w:tc>
        <w:tc>
          <w:tcPr>
            <w:tcW w:w="1496" w:type="dxa"/>
          </w:tcPr>
          <w:p w14:paraId="73FB2205" w14:textId="5D8C4101" w:rsidR="005E785F" w:rsidRDefault="003621E8">
            <w:pPr>
              <w:pStyle w:val="C-BodyText"/>
              <w:keepNext/>
              <w:spacing w:line="240" w:lineRule="auto"/>
              <w:jc w:val="center"/>
              <w:rPr>
                <w:sz w:val="18"/>
                <w:szCs w:val="18"/>
                <w:lang w:val="en-GB"/>
              </w:rPr>
            </w:pPr>
            <w:r>
              <w:rPr>
                <w:sz w:val="18"/>
                <w:szCs w:val="18"/>
                <w:lang w:val="en-GB"/>
              </w:rPr>
              <w:t>3.0</w:t>
            </w:r>
          </w:p>
        </w:tc>
        <w:tc>
          <w:tcPr>
            <w:tcW w:w="1480" w:type="dxa"/>
          </w:tcPr>
          <w:p w14:paraId="73FB2206" w14:textId="77777777" w:rsidR="005E785F" w:rsidRDefault="003621E8">
            <w:pPr>
              <w:pStyle w:val="C-BodyText"/>
              <w:keepNext/>
              <w:spacing w:line="240" w:lineRule="auto"/>
              <w:jc w:val="center"/>
              <w:rPr>
                <w:sz w:val="18"/>
                <w:szCs w:val="18"/>
                <w:lang w:val="en-GB"/>
              </w:rPr>
            </w:pPr>
            <w:r>
              <w:rPr>
                <w:sz w:val="18"/>
                <w:szCs w:val="18"/>
                <w:lang w:val="en-GB"/>
              </w:rPr>
              <w:t>N/A</w:t>
            </w:r>
          </w:p>
        </w:tc>
        <w:tc>
          <w:tcPr>
            <w:tcW w:w="1454" w:type="dxa"/>
          </w:tcPr>
          <w:p w14:paraId="73FB2207" w14:textId="68A69F4C" w:rsidR="005E785F" w:rsidRDefault="003621E8">
            <w:pPr>
              <w:pStyle w:val="C-BodyText"/>
              <w:keepNext/>
              <w:spacing w:line="240" w:lineRule="auto"/>
              <w:jc w:val="center"/>
              <w:rPr>
                <w:sz w:val="18"/>
                <w:szCs w:val="18"/>
                <w:lang w:val="en-GB"/>
              </w:rPr>
            </w:pPr>
            <w:r>
              <w:rPr>
                <w:sz w:val="18"/>
                <w:szCs w:val="18"/>
                <w:lang w:val="en-GB"/>
              </w:rPr>
              <w:t>3.0</w:t>
            </w:r>
          </w:p>
        </w:tc>
      </w:tr>
      <w:tr w:rsidR="005E785F" w14:paraId="73FB220F" w14:textId="77777777">
        <w:tc>
          <w:tcPr>
            <w:tcW w:w="1838" w:type="dxa"/>
            <w:vMerge/>
          </w:tcPr>
          <w:p w14:paraId="73FB2209" w14:textId="77777777" w:rsidR="005E785F" w:rsidRDefault="005E785F">
            <w:pPr>
              <w:pStyle w:val="C-BodyText"/>
              <w:keepNext/>
              <w:spacing w:line="240" w:lineRule="auto"/>
              <w:rPr>
                <w:b/>
                <w:sz w:val="18"/>
                <w:szCs w:val="18"/>
                <w:lang w:val="en-GB"/>
              </w:rPr>
            </w:pPr>
          </w:p>
        </w:tc>
        <w:tc>
          <w:tcPr>
            <w:tcW w:w="1368" w:type="dxa"/>
          </w:tcPr>
          <w:p w14:paraId="73FB220A" w14:textId="10D2DD56" w:rsidR="005E785F" w:rsidRDefault="003621E8">
            <w:pPr>
              <w:pStyle w:val="C-BodyText"/>
              <w:keepNext/>
              <w:spacing w:line="240" w:lineRule="auto"/>
              <w:jc w:val="center"/>
              <w:rPr>
                <w:sz w:val="18"/>
                <w:szCs w:val="18"/>
                <w:lang w:val="en-GB"/>
              </w:rPr>
            </w:pPr>
            <w:r>
              <w:rPr>
                <w:sz w:val="18"/>
                <w:szCs w:val="18"/>
                <w:lang w:val="en-GB"/>
              </w:rPr>
              <w:t>Day -1/ Day 2/Day 4/Day 7</w:t>
            </w:r>
          </w:p>
        </w:tc>
        <w:tc>
          <w:tcPr>
            <w:tcW w:w="1381" w:type="dxa"/>
          </w:tcPr>
          <w:p w14:paraId="73FB220B" w14:textId="0481E6D7" w:rsidR="005E785F" w:rsidRDefault="003621E8">
            <w:pPr>
              <w:pStyle w:val="C-BodyText"/>
              <w:keepNext/>
              <w:spacing w:line="240" w:lineRule="auto"/>
              <w:jc w:val="center"/>
              <w:rPr>
                <w:sz w:val="18"/>
                <w:szCs w:val="18"/>
                <w:lang w:val="en-GB"/>
              </w:rPr>
            </w:pPr>
            <w:r>
              <w:rPr>
                <w:sz w:val="18"/>
                <w:szCs w:val="18"/>
                <w:lang w:val="en-GB"/>
              </w:rPr>
              <w:t>4</w:t>
            </w:r>
          </w:p>
        </w:tc>
        <w:tc>
          <w:tcPr>
            <w:tcW w:w="1496" w:type="dxa"/>
          </w:tcPr>
          <w:p w14:paraId="73FB220C" w14:textId="5B3A21F1" w:rsidR="005E785F" w:rsidRDefault="003621E8">
            <w:pPr>
              <w:pStyle w:val="C-BodyText"/>
              <w:keepNext/>
              <w:spacing w:line="240" w:lineRule="auto"/>
              <w:jc w:val="center"/>
              <w:rPr>
                <w:sz w:val="18"/>
                <w:szCs w:val="18"/>
                <w:lang w:val="en-GB"/>
              </w:rPr>
            </w:pPr>
            <w:r>
              <w:rPr>
                <w:sz w:val="18"/>
                <w:szCs w:val="18"/>
                <w:lang w:val="en-GB"/>
              </w:rPr>
              <w:t>3.0</w:t>
            </w:r>
          </w:p>
        </w:tc>
        <w:tc>
          <w:tcPr>
            <w:tcW w:w="1480" w:type="dxa"/>
          </w:tcPr>
          <w:p w14:paraId="73FB220D" w14:textId="3708FA74" w:rsidR="005E785F" w:rsidRDefault="003621E8">
            <w:pPr>
              <w:pStyle w:val="C-BodyText"/>
              <w:keepNext/>
              <w:spacing w:line="240" w:lineRule="auto"/>
              <w:jc w:val="center"/>
              <w:rPr>
                <w:sz w:val="18"/>
                <w:szCs w:val="18"/>
                <w:lang w:val="en-GB"/>
              </w:rPr>
            </w:pPr>
            <w:r>
              <w:rPr>
                <w:sz w:val="18"/>
                <w:szCs w:val="18"/>
                <w:lang w:val="en-GB"/>
              </w:rPr>
              <w:t>N/A</w:t>
            </w:r>
          </w:p>
        </w:tc>
        <w:tc>
          <w:tcPr>
            <w:tcW w:w="1454" w:type="dxa"/>
          </w:tcPr>
          <w:p w14:paraId="73FB220E" w14:textId="306157F5" w:rsidR="005E785F" w:rsidRDefault="003621E8">
            <w:pPr>
              <w:pStyle w:val="C-BodyText"/>
              <w:keepNext/>
              <w:spacing w:line="240" w:lineRule="auto"/>
              <w:jc w:val="center"/>
              <w:rPr>
                <w:sz w:val="18"/>
                <w:szCs w:val="18"/>
                <w:lang w:val="en-GB"/>
              </w:rPr>
            </w:pPr>
            <w:r>
              <w:rPr>
                <w:sz w:val="18"/>
                <w:szCs w:val="18"/>
                <w:lang w:val="en-GB"/>
              </w:rPr>
              <w:t>12</w:t>
            </w:r>
          </w:p>
        </w:tc>
      </w:tr>
      <w:tr w:rsidR="005E785F" w14:paraId="73FB221D" w14:textId="77777777">
        <w:tc>
          <w:tcPr>
            <w:tcW w:w="1838" w:type="dxa"/>
            <w:vMerge/>
          </w:tcPr>
          <w:p w14:paraId="73FB2217" w14:textId="77777777" w:rsidR="005E785F" w:rsidRDefault="005E785F">
            <w:pPr>
              <w:pStyle w:val="C-BodyText"/>
              <w:keepNext/>
              <w:spacing w:line="240" w:lineRule="auto"/>
              <w:rPr>
                <w:b/>
                <w:sz w:val="18"/>
                <w:szCs w:val="18"/>
                <w:lang w:val="en-GB"/>
              </w:rPr>
            </w:pPr>
          </w:p>
        </w:tc>
        <w:tc>
          <w:tcPr>
            <w:tcW w:w="1368" w:type="dxa"/>
          </w:tcPr>
          <w:p w14:paraId="73FB2218" w14:textId="21781D75" w:rsidR="005E785F" w:rsidRDefault="003621E8">
            <w:pPr>
              <w:pStyle w:val="C-BodyText"/>
              <w:keepNext/>
              <w:spacing w:line="240" w:lineRule="auto"/>
              <w:jc w:val="center"/>
              <w:rPr>
                <w:sz w:val="18"/>
                <w:szCs w:val="18"/>
                <w:lang w:val="en-GB"/>
              </w:rPr>
            </w:pPr>
            <w:r>
              <w:rPr>
                <w:sz w:val="18"/>
                <w:szCs w:val="18"/>
                <w:lang w:val="en-GB"/>
              </w:rPr>
              <w:t>Post study</w:t>
            </w:r>
          </w:p>
        </w:tc>
        <w:tc>
          <w:tcPr>
            <w:tcW w:w="1381" w:type="dxa"/>
          </w:tcPr>
          <w:p w14:paraId="73FB2219" w14:textId="76F67F80" w:rsidR="005E785F" w:rsidRDefault="003621E8">
            <w:pPr>
              <w:pStyle w:val="C-BodyText"/>
              <w:keepNext/>
              <w:spacing w:line="240" w:lineRule="auto"/>
              <w:jc w:val="center"/>
              <w:rPr>
                <w:sz w:val="18"/>
                <w:szCs w:val="18"/>
                <w:lang w:val="en-GB"/>
              </w:rPr>
            </w:pPr>
            <w:r>
              <w:rPr>
                <w:sz w:val="18"/>
                <w:szCs w:val="18"/>
                <w:lang w:val="en-GB"/>
              </w:rPr>
              <w:t>1</w:t>
            </w:r>
          </w:p>
        </w:tc>
        <w:tc>
          <w:tcPr>
            <w:tcW w:w="1496" w:type="dxa"/>
          </w:tcPr>
          <w:p w14:paraId="73FB221A" w14:textId="6A73B34A" w:rsidR="005E785F" w:rsidRDefault="003621E8">
            <w:pPr>
              <w:pStyle w:val="C-BodyText"/>
              <w:keepNext/>
              <w:spacing w:line="240" w:lineRule="auto"/>
              <w:jc w:val="center"/>
              <w:rPr>
                <w:sz w:val="18"/>
                <w:szCs w:val="18"/>
                <w:lang w:val="en-GB"/>
              </w:rPr>
            </w:pPr>
            <w:r>
              <w:rPr>
                <w:sz w:val="18"/>
                <w:szCs w:val="18"/>
                <w:lang w:val="en-GB"/>
              </w:rPr>
              <w:t>3.0</w:t>
            </w:r>
          </w:p>
        </w:tc>
        <w:tc>
          <w:tcPr>
            <w:tcW w:w="1480" w:type="dxa"/>
          </w:tcPr>
          <w:p w14:paraId="73FB221B" w14:textId="77777777" w:rsidR="005E785F" w:rsidRDefault="003621E8">
            <w:pPr>
              <w:pStyle w:val="C-BodyText"/>
              <w:keepNext/>
              <w:spacing w:line="240" w:lineRule="auto"/>
              <w:jc w:val="center"/>
              <w:rPr>
                <w:sz w:val="18"/>
                <w:szCs w:val="18"/>
                <w:lang w:val="en-GB"/>
              </w:rPr>
            </w:pPr>
            <w:r>
              <w:rPr>
                <w:sz w:val="18"/>
                <w:szCs w:val="18"/>
                <w:lang w:val="en-GB"/>
              </w:rPr>
              <w:t>N/A</w:t>
            </w:r>
          </w:p>
        </w:tc>
        <w:tc>
          <w:tcPr>
            <w:tcW w:w="1454" w:type="dxa"/>
          </w:tcPr>
          <w:p w14:paraId="73FB221C" w14:textId="73B2207B" w:rsidR="005E785F" w:rsidRDefault="003621E8">
            <w:pPr>
              <w:pStyle w:val="C-BodyText"/>
              <w:keepNext/>
              <w:spacing w:line="240" w:lineRule="auto"/>
              <w:jc w:val="center"/>
              <w:rPr>
                <w:sz w:val="18"/>
                <w:szCs w:val="18"/>
                <w:lang w:val="en-GB"/>
              </w:rPr>
            </w:pPr>
            <w:r>
              <w:rPr>
                <w:sz w:val="18"/>
                <w:szCs w:val="18"/>
                <w:lang w:val="en-GB"/>
              </w:rPr>
              <w:t>3.0</w:t>
            </w:r>
          </w:p>
        </w:tc>
      </w:tr>
      <w:tr w:rsidR="005E785F" w14:paraId="2BA900C8" w14:textId="77777777">
        <w:tc>
          <w:tcPr>
            <w:tcW w:w="1838" w:type="dxa"/>
          </w:tcPr>
          <w:p w14:paraId="6CDAF8A8" w14:textId="53D33510" w:rsidR="005E785F" w:rsidRDefault="003621E8">
            <w:pPr>
              <w:pStyle w:val="C-BodyText"/>
              <w:keepNext/>
              <w:spacing w:line="240" w:lineRule="auto"/>
              <w:rPr>
                <w:b/>
                <w:sz w:val="18"/>
                <w:szCs w:val="18"/>
                <w:lang w:val="en-GB"/>
              </w:rPr>
            </w:pPr>
            <w:r>
              <w:rPr>
                <w:b/>
                <w:sz w:val="18"/>
                <w:szCs w:val="18"/>
                <w:lang w:val="en-GB"/>
              </w:rPr>
              <w:t>ESR</w:t>
            </w:r>
          </w:p>
        </w:tc>
        <w:tc>
          <w:tcPr>
            <w:tcW w:w="1368" w:type="dxa"/>
          </w:tcPr>
          <w:p w14:paraId="27823EF1" w14:textId="7B727B31" w:rsidR="005E785F" w:rsidRDefault="003621E8">
            <w:pPr>
              <w:pStyle w:val="C-BodyText"/>
              <w:keepNext/>
              <w:spacing w:line="240" w:lineRule="auto"/>
              <w:jc w:val="center"/>
              <w:rPr>
                <w:sz w:val="18"/>
                <w:szCs w:val="18"/>
                <w:lang w:val="en-GB"/>
              </w:rPr>
            </w:pPr>
            <w:r>
              <w:rPr>
                <w:sz w:val="18"/>
                <w:szCs w:val="18"/>
                <w:lang w:val="en-GB"/>
              </w:rPr>
              <w:t>Screening/Day -1/Day 2/Day 4/Day 7/Post study</w:t>
            </w:r>
          </w:p>
        </w:tc>
        <w:tc>
          <w:tcPr>
            <w:tcW w:w="1381" w:type="dxa"/>
          </w:tcPr>
          <w:p w14:paraId="4AB56B68" w14:textId="1C8AB20A" w:rsidR="005E785F" w:rsidRDefault="003621E8">
            <w:pPr>
              <w:pStyle w:val="C-BodyText"/>
              <w:keepNext/>
              <w:spacing w:line="240" w:lineRule="auto"/>
              <w:jc w:val="center"/>
              <w:rPr>
                <w:sz w:val="18"/>
                <w:szCs w:val="18"/>
                <w:lang w:val="en-GB"/>
              </w:rPr>
            </w:pPr>
            <w:r>
              <w:rPr>
                <w:sz w:val="18"/>
                <w:szCs w:val="18"/>
                <w:lang w:val="en-GB"/>
              </w:rPr>
              <w:t>6</w:t>
            </w:r>
          </w:p>
        </w:tc>
        <w:tc>
          <w:tcPr>
            <w:tcW w:w="1496" w:type="dxa"/>
          </w:tcPr>
          <w:p w14:paraId="2CE6560A" w14:textId="0FDCFB15" w:rsidR="005E785F" w:rsidRDefault="003621E8">
            <w:pPr>
              <w:pStyle w:val="C-BodyText"/>
              <w:keepNext/>
              <w:spacing w:line="240" w:lineRule="auto"/>
              <w:jc w:val="center"/>
              <w:rPr>
                <w:sz w:val="18"/>
                <w:szCs w:val="18"/>
                <w:lang w:val="en-GB"/>
              </w:rPr>
            </w:pPr>
            <w:r>
              <w:rPr>
                <w:sz w:val="18"/>
                <w:szCs w:val="18"/>
                <w:lang w:val="en-GB"/>
              </w:rPr>
              <w:t>5</w:t>
            </w:r>
          </w:p>
        </w:tc>
        <w:tc>
          <w:tcPr>
            <w:tcW w:w="1480" w:type="dxa"/>
          </w:tcPr>
          <w:p w14:paraId="1B7F8EA2" w14:textId="678CBE40" w:rsidR="005E785F" w:rsidRDefault="003621E8">
            <w:pPr>
              <w:pStyle w:val="C-BodyText"/>
              <w:keepNext/>
              <w:spacing w:line="240" w:lineRule="auto"/>
              <w:jc w:val="center"/>
              <w:rPr>
                <w:sz w:val="18"/>
                <w:szCs w:val="18"/>
                <w:lang w:val="en-GB"/>
              </w:rPr>
            </w:pPr>
            <w:r>
              <w:rPr>
                <w:sz w:val="18"/>
                <w:szCs w:val="18"/>
                <w:lang w:val="en-GB"/>
              </w:rPr>
              <w:t>N/A</w:t>
            </w:r>
          </w:p>
        </w:tc>
        <w:tc>
          <w:tcPr>
            <w:tcW w:w="1454" w:type="dxa"/>
          </w:tcPr>
          <w:p w14:paraId="078F9DE5" w14:textId="4405C281" w:rsidR="005E785F" w:rsidRDefault="003621E8">
            <w:pPr>
              <w:pStyle w:val="C-BodyText"/>
              <w:keepNext/>
              <w:spacing w:line="240" w:lineRule="auto"/>
              <w:jc w:val="center"/>
              <w:rPr>
                <w:sz w:val="18"/>
                <w:szCs w:val="18"/>
                <w:lang w:val="en-GB"/>
              </w:rPr>
            </w:pPr>
            <w:r>
              <w:rPr>
                <w:sz w:val="18"/>
                <w:szCs w:val="18"/>
                <w:lang w:val="en-GB"/>
              </w:rPr>
              <w:t>30</w:t>
            </w:r>
          </w:p>
        </w:tc>
      </w:tr>
      <w:bookmarkEnd w:id="206"/>
      <w:tr w:rsidR="005E785F" w14:paraId="0C396775" w14:textId="77777777">
        <w:tc>
          <w:tcPr>
            <w:tcW w:w="1838" w:type="dxa"/>
            <w:vMerge w:val="restart"/>
          </w:tcPr>
          <w:p w14:paraId="5A091564" w14:textId="67606F52" w:rsidR="005E785F" w:rsidRDefault="003621E8">
            <w:pPr>
              <w:pStyle w:val="C-BodyText"/>
              <w:keepNext/>
              <w:spacing w:line="240" w:lineRule="auto"/>
              <w:rPr>
                <w:b/>
                <w:sz w:val="18"/>
                <w:szCs w:val="18"/>
                <w:lang w:val="en-GB"/>
              </w:rPr>
            </w:pPr>
            <w:r>
              <w:rPr>
                <w:b/>
                <w:sz w:val="18"/>
                <w:szCs w:val="18"/>
                <w:lang w:val="en-GB"/>
              </w:rPr>
              <w:t>Coagulation</w:t>
            </w:r>
          </w:p>
        </w:tc>
        <w:tc>
          <w:tcPr>
            <w:tcW w:w="1368" w:type="dxa"/>
          </w:tcPr>
          <w:p w14:paraId="29867359" w14:textId="60C49265" w:rsidR="005E785F" w:rsidRDefault="003621E8">
            <w:pPr>
              <w:pStyle w:val="C-BodyText"/>
              <w:keepNext/>
              <w:spacing w:line="240" w:lineRule="auto"/>
              <w:jc w:val="center"/>
              <w:rPr>
                <w:sz w:val="18"/>
                <w:szCs w:val="18"/>
                <w:lang w:val="en-GB"/>
              </w:rPr>
            </w:pPr>
            <w:r>
              <w:rPr>
                <w:sz w:val="18"/>
                <w:szCs w:val="18"/>
                <w:lang w:val="en-GB"/>
              </w:rPr>
              <w:t>Screening</w:t>
            </w:r>
          </w:p>
        </w:tc>
        <w:tc>
          <w:tcPr>
            <w:tcW w:w="1381" w:type="dxa"/>
          </w:tcPr>
          <w:p w14:paraId="2603E4E4" w14:textId="69863C92" w:rsidR="005E785F" w:rsidRDefault="003621E8">
            <w:pPr>
              <w:pStyle w:val="C-BodyText"/>
              <w:keepNext/>
              <w:spacing w:line="240" w:lineRule="auto"/>
              <w:jc w:val="center"/>
              <w:rPr>
                <w:sz w:val="18"/>
                <w:szCs w:val="18"/>
                <w:lang w:val="en-GB"/>
              </w:rPr>
            </w:pPr>
            <w:r>
              <w:rPr>
                <w:sz w:val="18"/>
                <w:szCs w:val="18"/>
                <w:lang w:val="en-GB"/>
              </w:rPr>
              <w:t>1</w:t>
            </w:r>
          </w:p>
        </w:tc>
        <w:tc>
          <w:tcPr>
            <w:tcW w:w="1496" w:type="dxa"/>
          </w:tcPr>
          <w:p w14:paraId="7E70C435" w14:textId="17DDC344" w:rsidR="005E785F" w:rsidRDefault="003621E8">
            <w:pPr>
              <w:pStyle w:val="C-BodyText"/>
              <w:keepNext/>
              <w:spacing w:line="240" w:lineRule="auto"/>
              <w:jc w:val="center"/>
              <w:rPr>
                <w:sz w:val="18"/>
                <w:szCs w:val="18"/>
                <w:lang w:val="en-GB"/>
              </w:rPr>
            </w:pPr>
            <w:r>
              <w:rPr>
                <w:sz w:val="18"/>
                <w:szCs w:val="18"/>
                <w:lang w:val="en-GB"/>
              </w:rPr>
              <w:t>2.7</w:t>
            </w:r>
          </w:p>
        </w:tc>
        <w:tc>
          <w:tcPr>
            <w:tcW w:w="1480" w:type="dxa"/>
          </w:tcPr>
          <w:p w14:paraId="47242D19" w14:textId="6E7D1193" w:rsidR="005E785F" w:rsidRDefault="003621E8">
            <w:pPr>
              <w:pStyle w:val="C-BodyText"/>
              <w:keepNext/>
              <w:spacing w:line="240" w:lineRule="auto"/>
              <w:jc w:val="center"/>
              <w:rPr>
                <w:sz w:val="18"/>
                <w:szCs w:val="18"/>
                <w:lang w:val="en-GB"/>
              </w:rPr>
            </w:pPr>
            <w:r>
              <w:rPr>
                <w:sz w:val="18"/>
                <w:szCs w:val="18"/>
                <w:lang w:val="en-GB"/>
              </w:rPr>
              <w:t>N/A</w:t>
            </w:r>
          </w:p>
        </w:tc>
        <w:tc>
          <w:tcPr>
            <w:tcW w:w="1454" w:type="dxa"/>
          </w:tcPr>
          <w:p w14:paraId="51E2FE0F" w14:textId="13DF2181" w:rsidR="005E785F" w:rsidRDefault="003621E8">
            <w:pPr>
              <w:pStyle w:val="C-BodyText"/>
              <w:keepNext/>
              <w:spacing w:line="240" w:lineRule="auto"/>
              <w:jc w:val="center"/>
              <w:rPr>
                <w:sz w:val="18"/>
                <w:szCs w:val="18"/>
                <w:lang w:val="en-GB"/>
              </w:rPr>
            </w:pPr>
            <w:r>
              <w:rPr>
                <w:sz w:val="18"/>
                <w:szCs w:val="18"/>
                <w:lang w:val="en-GB"/>
              </w:rPr>
              <w:t>2.7</w:t>
            </w:r>
          </w:p>
        </w:tc>
      </w:tr>
      <w:tr w:rsidR="005E785F" w14:paraId="7F80149E" w14:textId="77777777">
        <w:tc>
          <w:tcPr>
            <w:tcW w:w="1838" w:type="dxa"/>
            <w:vMerge/>
          </w:tcPr>
          <w:p w14:paraId="03B9809A" w14:textId="77777777" w:rsidR="005E785F" w:rsidRDefault="005E785F">
            <w:pPr>
              <w:pStyle w:val="C-BodyText"/>
              <w:keepNext/>
              <w:spacing w:line="240" w:lineRule="auto"/>
              <w:rPr>
                <w:b/>
                <w:sz w:val="18"/>
                <w:szCs w:val="18"/>
                <w:lang w:val="en-GB"/>
              </w:rPr>
            </w:pPr>
          </w:p>
        </w:tc>
        <w:tc>
          <w:tcPr>
            <w:tcW w:w="1368" w:type="dxa"/>
          </w:tcPr>
          <w:p w14:paraId="7E87361C" w14:textId="71ECFDEF" w:rsidR="005E785F" w:rsidRDefault="003621E8">
            <w:pPr>
              <w:pStyle w:val="C-BodyText"/>
              <w:keepNext/>
              <w:spacing w:line="240" w:lineRule="auto"/>
              <w:jc w:val="center"/>
              <w:rPr>
                <w:sz w:val="18"/>
                <w:szCs w:val="18"/>
                <w:lang w:val="en-GB"/>
              </w:rPr>
            </w:pPr>
            <w:r>
              <w:rPr>
                <w:sz w:val="18"/>
                <w:szCs w:val="18"/>
                <w:lang w:val="en-GB"/>
              </w:rPr>
              <w:t>Day -1/ Day 2/Day 4/Day 7</w:t>
            </w:r>
          </w:p>
        </w:tc>
        <w:tc>
          <w:tcPr>
            <w:tcW w:w="1381" w:type="dxa"/>
          </w:tcPr>
          <w:p w14:paraId="2433C9C8" w14:textId="2BD6B2D6" w:rsidR="005E785F" w:rsidRDefault="003621E8">
            <w:pPr>
              <w:pStyle w:val="C-BodyText"/>
              <w:keepNext/>
              <w:spacing w:line="240" w:lineRule="auto"/>
              <w:jc w:val="center"/>
              <w:rPr>
                <w:sz w:val="18"/>
                <w:szCs w:val="18"/>
                <w:lang w:val="en-GB"/>
              </w:rPr>
            </w:pPr>
            <w:r>
              <w:rPr>
                <w:sz w:val="18"/>
                <w:szCs w:val="18"/>
                <w:lang w:val="en-GB"/>
              </w:rPr>
              <w:t>4</w:t>
            </w:r>
          </w:p>
        </w:tc>
        <w:tc>
          <w:tcPr>
            <w:tcW w:w="1496" w:type="dxa"/>
          </w:tcPr>
          <w:p w14:paraId="71D0D000" w14:textId="31F591B6" w:rsidR="005E785F" w:rsidRDefault="003621E8">
            <w:pPr>
              <w:pStyle w:val="C-BodyText"/>
              <w:keepNext/>
              <w:spacing w:line="240" w:lineRule="auto"/>
              <w:jc w:val="center"/>
              <w:rPr>
                <w:sz w:val="18"/>
                <w:szCs w:val="18"/>
                <w:lang w:val="en-GB"/>
              </w:rPr>
            </w:pPr>
            <w:r>
              <w:rPr>
                <w:sz w:val="18"/>
                <w:szCs w:val="18"/>
                <w:lang w:val="en-GB"/>
              </w:rPr>
              <w:t>2.7</w:t>
            </w:r>
          </w:p>
        </w:tc>
        <w:tc>
          <w:tcPr>
            <w:tcW w:w="1480" w:type="dxa"/>
          </w:tcPr>
          <w:p w14:paraId="72C881BD" w14:textId="4F1821A6" w:rsidR="005E785F" w:rsidRDefault="003621E8">
            <w:pPr>
              <w:pStyle w:val="C-BodyText"/>
              <w:keepNext/>
              <w:spacing w:line="240" w:lineRule="auto"/>
              <w:jc w:val="center"/>
              <w:rPr>
                <w:sz w:val="18"/>
                <w:szCs w:val="18"/>
                <w:lang w:val="en-GB"/>
              </w:rPr>
            </w:pPr>
            <w:r>
              <w:rPr>
                <w:sz w:val="18"/>
                <w:szCs w:val="18"/>
                <w:lang w:val="en-GB"/>
              </w:rPr>
              <w:t>N/A</w:t>
            </w:r>
          </w:p>
        </w:tc>
        <w:tc>
          <w:tcPr>
            <w:tcW w:w="1454" w:type="dxa"/>
          </w:tcPr>
          <w:p w14:paraId="112625AD" w14:textId="5C97F1BC" w:rsidR="005E785F" w:rsidRDefault="003621E8">
            <w:pPr>
              <w:pStyle w:val="C-BodyText"/>
              <w:keepNext/>
              <w:spacing w:line="240" w:lineRule="auto"/>
              <w:jc w:val="center"/>
              <w:rPr>
                <w:sz w:val="18"/>
                <w:szCs w:val="18"/>
                <w:lang w:val="en-GB"/>
              </w:rPr>
            </w:pPr>
            <w:r>
              <w:rPr>
                <w:sz w:val="18"/>
                <w:szCs w:val="18"/>
                <w:lang w:val="en-GB"/>
              </w:rPr>
              <w:t>10.8</w:t>
            </w:r>
          </w:p>
        </w:tc>
      </w:tr>
      <w:tr w:rsidR="005E785F" w14:paraId="7114B2B4" w14:textId="77777777">
        <w:tc>
          <w:tcPr>
            <w:tcW w:w="1838" w:type="dxa"/>
            <w:vMerge/>
          </w:tcPr>
          <w:p w14:paraId="4BA230DA" w14:textId="77777777" w:rsidR="005E785F" w:rsidRDefault="005E785F">
            <w:pPr>
              <w:pStyle w:val="C-BodyText"/>
              <w:keepNext/>
              <w:spacing w:line="240" w:lineRule="auto"/>
              <w:rPr>
                <w:b/>
                <w:sz w:val="18"/>
                <w:szCs w:val="18"/>
                <w:lang w:val="en-GB"/>
              </w:rPr>
            </w:pPr>
          </w:p>
        </w:tc>
        <w:tc>
          <w:tcPr>
            <w:tcW w:w="1368" w:type="dxa"/>
          </w:tcPr>
          <w:p w14:paraId="2838FF27" w14:textId="4C21AC29" w:rsidR="005E785F" w:rsidRDefault="003621E8">
            <w:pPr>
              <w:pStyle w:val="C-BodyText"/>
              <w:keepNext/>
              <w:spacing w:line="240" w:lineRule="auto"/>
              <w:jc w:val="center"/>
              <w:rPr>
                <w:sz w:val="18"/>
                <w:szCs w:val="18"/>
                <w:lang w:val="en-GB"/>
              </w:rPr>
            </w:pPr>
            <w:r>
              <w:rPr>
                <w:sz w:val="18"/>
                <w:szCs w:val="18"/>
                <w:lang w:val="en-GB"/>
              </w:rPr>
              <w:t>Post study</w:t>
            </w:r>
          </w:p>
        </w:tc>
        <w:tc>
          <w:tcPr>
            <w:tcW w:w="1381" w:type="dxa"/>
          </w:tcPr>
          <w:p w14:paraId="2DA13A7C" w14:textId="5A5AD1E8" w:rsidR="005E785F" w:rsidRDefault="003621E8">
            <w:pPr>
              <w:pStyle w:val="C-BodyText"/>
              <w:keepNext/>
              <w:spacing w:line="240" w:lineRule="auto"/>
              <w:jc w:val="center"/>
              <w:rPr>
                <w:sz w:val="18"/>
                <w:szCs w:val="18"/>
                <w:lang w:val="en-GB"/>
              </w:rPr>
            </w:pPr>
            <w:r>
              <w:rPr>
                <w:sz w:val="18"/>
                <w:szCs w:val="18"/>
                <w:lang w:val="en-GB"/>
              </w:rPr>
              <w:t>1</w:t>
            </w:r>
          </w:p>
        </w:tc>
        <w:tc>
          <w:tcPr>
            <w:tcW w:w="1496" w:type="dxa"/>
          </w:tcPr>
          <w:p w14:paraId="1D4D6D2F" w14:textId="2BB23218" w:rsidR="005E785F" w:rsidRDefault="003621E8">
            <w:pPr>
              <w:pStyle w:val="C-BodyText"/>
              <w:keepNext/>
              <w:spacing w:line="240" w:lineRule="auto"/>
              <w:jc w:val="center"/>
              <w:rPr>
                <w:sz w:val="18"/>
                <w:szCs w:val="18"/>
                <w:lang w:val="en-GB"/>
              </w:rPr>
            </w:pPr>
            <w:r>
              <w:rPr>
                <w:sz w:val="18"/>
                <w:szCs w:val="18"/>
                <w:lang w:val="en-GB"/>
              </w:rPr>
              <w:t>2.7</w:t>
            </w:r>
          </w:p>
        </w:tc>
        <w:tc>
          <w:tcPr>
            <w:tcW w:w="1480" w:type="dxa"/>
          </w:tcPr>
          <w:p w14:paraId="3E625826" w14:textId="04A1EB43" w:rsidR="005E785F" w:rsidRDefault="003621E8">
            <w:pPr>
              <w:pStyle w:val="C-BodyText"/>
              <w:keepNext/>
              <w:spacing w:line="240" w:lineRule="auto"/>
              <w:jc w:val="center"/>
              <w:rPr>
                <w:sz w:val="18"/>
                <w:szCs w:val="18"/>
                <w:lang w:val="en-GB"/>
              </w:rPr>
            </w:pPr>
            <w:r>
              <w:rPr>
                <w:sz w:val="18"/>
                <w:szCs w:val="18"/>
                <w:lang w:val="en-GB"/>
              </w:rPr>
              <w:t>N/A</w:t>
            </w:r>
          </w:p>
        </w:tc>
        <w:tc>
          <w:tcPr>
            <w:tcW w:w="1454" w:type="dxa"/>
          </w:tcPr>
          <w:p w14:paraId="5DDC8CDC" w14:textId="5F7EC40D" w:rsidR="005E785F" w:rsidRDefault="003621E8">
            <w:pPr>
              <w:pStyle w:val="C-BodyText"/>
              <w:keepNext/>
              <w:spacing w:line="240" w:lineRule="auto"/>
              <w:jc w:val="center"/>
              <w:rPr>
                <w:sz w:val="18"/>
                <w:szCs w:val="18"/>
                <w:lang w:val="en-GB"/>
              </w:rPr>
            </w:pPr>
            <w:r>
              <w:rPr>
                <w:sz w:val="18"/>
                <w:szCs w:val="18"/>
                <w:lang w:val="en-GB"/>
              </w:rPr>
              <w:t>2.7</w:t>
            </w:r>
          </w:p>
        </w:tc>
      </w:tr>
      <w:tr w:rsidR="005E785F" w14:paraId="3D447B2E" w14:textId="2BD41432">
        <w:tc>
          <w:tcPr>
            <w:tcW w:w="1838" w:type="dxa"/>
          </w:tcPr>
          <w:p w14:paraId="3369FE8E" w14:textId="0777383E" w:rsidR="005E785F" w:rsidRDefault="003621E8">
            <w:pPr>
              <w:pStyle w:val="C-BodyText"/>
              <w:keepNext/>
              <w:spacing w:line="240" w:lineRule="auto"/>
              <w:rPr>
                <w:b/>
                <w:sz w:val="18"/>
                <w:szCs w:val="18"/>
                <w:lang w:val="en-GB"/>
              </w:rPr>
            </w:pPr>
            <w:r>
              <w:rPr>
                <w:b/>
                <w:bCs/>
                <w:sz w:val="18"/>
                <w:szCs w:val="18"/>
              </w:rPr>
              <w:t>PD Blood samples for cytokine and chemokine analysis</w:t>
            </w:r>
          </w:p>
        </w:tc>
        <w:tc>
          <w:tcPr>
            <w:tcW w:w="1368" w:type="dxa"/>
          </w:tcPr>
          <w:p w14:paraId="770CC114" w14:textId="489E92DD" w:rsidR="005E785F" w:rsidRDefault="003621E8">
            <w:pPr>
              <w:pStyle w:val="C-BodyText"/>
              <w:keepNext/>
              <w:spacing w:line="240" w:lineRule="auto"/>
              <w:jc w:val="center"/>
              <w:rPr>
                <w:sz w:val="18"/>
                <w:szCs w:val="18"/>
                <w:lang w:val="en-GB"/>
              </w:rPr>
            </w:pPr>
            <w:r>
              <w:rPr>
                <w:sz w:val="18"/>
                <w:szCs w:val="18"/>
                <w:lang w:val="en-GB"/>
              </w:rPr>
              <w:t>Treatment Period</w:t>
            </w:r>
          </w:p>
        </w:tc>
        <w:tc>
          <w:tcPr>
            <w:tcW w:w="1381" w:type="dxa"/>
          </w:tcPr>
          <w:p w14:paraId="3F581ABF" w14:textId="315DB222" w:rsidR="005E785F" w:rsidRDefault="003621E8">
            <w:pPr>
              <w:pStyle w:val="C-BodyText"/>
              <w:keepNext/>
              <w:spacing w:line="240" w:lineRule="auto"/>
              <w:jc w:val="center"/>
              <w:rPr>
                <w:sz w:val="18"/>
                <w:szCs w:val="18"/>
                <w:lang w:val="en-GB"/>
              </w:rPr>
            </w:pPr>
            <w:r>
              <w:rPr>
                <w:sz w:val="18"/>
                <w:szCs w:val="18"/>
                <w:lang w:val="en-GB"/>
              </w:rPr>
              <w:t>6</w:t>
            </w:r>
          </w:p>
        </w:tc>
        <w:tc>
          <w:tcPr>
            <w:tcW w:w="1496" w:type="dxa"/>
          </w:tcPr>
          <w:p w14:paraId="3206DC3E" w14:textId="03B55A80" w:rsidR="005E785F" w:rsidRDefault="003621E8">
            <w:pPr>
              <w:pStyle w:val="C-BodyText"/>
              <w:keepNext/>
              <w:spacing w:line="240" w:lineRule="auto"/>
              <w:jc w:val="center"/>
              <w:rPr>
                <w:sz w:val="18"/>
                <w:szCs w:val="18"/>
                <w:lang w:val="en-GB"/>
              </w:rPr>
            </w:pPr>
            <w:r>
              <w:rPr>
                <w:sz w:val="18"/>
                <w:szCs w:val="18"/>
                <w:lang w:val="en-GB"/>
              </w:rPr>
              <w:t>5</w:t>
            </w:r>
          </w:p>
        </w:tc>
        <w:tc>
          <w:tcPr>
            <w:tcW w:w="1480" w:type="dxa"/>
          </w:tcPr>
          <w:p w14:paraId="4C3BFB9B" w14:textId="44959C9F" w:rsidR="005E785F" w:rsidRDefault="003621E8">
            <w:pPr>
              <w:pStyle w:val="C-BodyText"/>
              <w:keepNext/>
              <w:spacing w:line="240" w:lineRule="auto"/>
              <w:jc w:val="center"/>
              <w:rPr>
                <w:sz w:val="18"/>
                <w:szCs w:val="18"/>
                <w:lang w:val="en-GB"/>
              </w:rPr>
            </w:pPr>
            <w:r>
              <w:rPr>
                <w:sz w:val="18"/>
                <w:szCs w:val="18"/>
                <w:lang w:val="en-GB"/>
              </w:rPr>
              <w:t>N/A</w:t>
            </w:r>
          </w:p>
        </w:tc>
        <w:tc>
          <w:tcPr>
            <w:tcW w:w="1454" w:type="dxa"/>
          </w:tcPr>
          <w:p w14:paraId="34305548" w14:textId="5F5D87E9" w:rsidR="005E785F" w:rsidRDefault="003621E8">
            <w:pPr>
              <w:pStyle w:val="C-BodyText"/>
              <w:keepNext/>
              <w:spacing w:line="240" w:lineRule="auto"/>
              <w:jc w:val="center"/>
              <w:rPr>
                <w:sz w:val="18"/>
                <w:szCs w:val="18"/>
                <w:lang w:val="en-GB"/>
              </w:rPr>
            </w:pPr>
            <w:r>
              <w:rPr>
                <w:sz w:val="18"/>
                <w:szCs w:val="18"/>
                <w:lang w:val="en-GB"/>
              </w:rPr>
              <w:t>30</w:t>
            </w:r>
          </w:p>
        </w:tc>
      </w:tr>
      <w:tr w:rsidR="005E785F" w14:paraId="655137A0" w14:textId="77777777">
        <w:tc>
          <w:tcPr>
            <w:tcW w:w="1838" w:type="dxa"/>
          </w:tcPr>
          <w:p w14:paraId="5C323828" w14:textId="4119C456" w:rsidR="005E785F" w:rsidRDefault="003621E8">
            <w:pPr>
              <w:pStyle w:val="C-BodyText"/>
              <w:keepNext/>
              <w:spacing w:line="240" w:lineRule="auto"/>
              <w:rPr>
                <w:b/>
                <w:bCs/>
                <w:sz w:val="18"/>
                <w:szCs w:val="18"/>
              </w:rPr>
            </w:pPr>
            <w:r>
              <w:rPr>
                <w:b/>
                <w:bCs/>
                <w:sz w:val="18"/>
                <w:szCs w:val="18"/>
              </w:rPr>
              <w:t>Blood for IL-6 analysis in case required for safety monitoring</w:t>
            </w:r>
          </w:p>
        </w:tc>
        <w:tc>
          <w:tcPr>
            <w:tcW w:w="1368" w:type="dxa"/>
          </w:tcPr>
          <w:p w14:paraId="0DA14CFF" w14:textId="706B59D3" w:rsidR="005E785F" w:rsidRDefault="003621E8">
            <w:pPr>
              <w:pStyle w:val="C-BodyText"/>
              <w:keepNext/>
              <w:spacing w:line="240" w:lineRule="auto"/>
              <w:jc w:val="center"/>
              <w:rPr>
                <w:sz w:val="18"/>
                <w:szCs w:val="18"/>
                <w:lang w:val="en-GB"/>
              </w:rPr>
            </w:pPr>
            <w:r>
              <w:rPr>
                <w:sz w:val="18"/>
                <w:szCs w:val="18"/>
                <w:lang w:val="en-GB"/>
              </w:rPr>
              <w:t>Treatment Period</w:t>
            </w:r>
          </w:p>
        </w:tc>
        <w:tc>
          <w:tcPr>
            <w:tcW w:w="1381" w:type="dxa"/>
          </w:tcPr>
          <w:p w14:paraId="00138CC9" w14:textId="6161E325" w:rsidR="005E785F" w:rsidRDefault="003621E8">
            <w:pPr>
              <w:pStyle w:val="C-BodyText"/>
              <w:keepNext/>
              <w:spacing w:line="240" w:lineRule="auto"/>
              <w:jc w:val="center"/>
              <w:rPr>
                <w:sz w:val="18"/>
                <w:szCs w:val="18"/>
                <w:lang w:val="en-GB"/>
              </w:rPr>
            </w:pPr>
            <w:r>
              <w:rPr>
                <w:sz w:val="18"/>
                <w:szCs w:val="18"/>
                <w:lang w:val="en-GB"/>
              </w:rPr>
              <w:t>6</w:t>
            </w:r>
          </w:p>
        </w:tc>
        <w:tc>
          <w:tcPr>
            <w:tcW w:w="1496" w:type="dxa"/>
          </w:tcPr>
          <w:p w14:paraId="090CACB3" w14:textId="25A139AA" w:rsidR="005E785F" w:rsidRDefault="003621E8">
            <w:pPr>
              <w:pStyle w:val="C-BodyText"/>
              <w:keepNext/>
              <w:spacing w:line="240" w:lineRule="auto"/>
              <w:jc w:val="center"/>
              <w:rPr>
                <w:sz w:val="18"/>
                <w:szCs w:val="18"/>
                <w:lang w:val="en-GB"/>
              </w:rPr>
            </w:pPr>
            <w:r>
              <w:rPr>
                <w:sz w:val="18"/>
                <w:szCs w:val="18"/>
                <w:lang w:val="en-GB"/>
              </w:rPr>
              <w:t>4.5</w:t>
            </w:r>
          </w:p>
        </w:tc>
        <w:tc>
          <w:tcPr>
            <w:tcW w:w="1480" w:type="dxa"/>
          </w:tcPr>
          <w:p w14:paraId="464A12EA" w14:textId="00AA62A0" w:rsidR="005E785F" w:rsidRDefault="003621E8">
            <w:pPr>
              <w:pStyle w:val="C-BodyText"/>
              <w:keepNext/>
              <w:spacing w:line="240" w:lineRule="auto"/>
              <w:jc w:val="center"/>
              <w:rPr>
                <w:sz w:val="18"/>
                <w:szCs w:val="18"/>
                <w:lang w:val="en-GB"/>
              </w:rPr>
            </w:pPr>
            <w:r>
              <w:rPr>
                <w:sz w:val="18"/>
                <w:szCs w:val="18"/>
                <w:lang w:val="en-GB"/>
              </w:rPr>
              <w:t>N/A</w:t>
            </w:r>
          </w:p>
        </w:tc>
        <w:tc>
          <w:tcPr>
            <w:tcW w:w="1454" w:type="dxa"/>
          </w:tcPr>
          <w:p w14:paraId="22C471DF" w14:textId="587F0285" w:rsidR="005E785F" w:rsidRDefault="003621E8">
            <w:pPr>
              <w:pStyle w:val="C-BodyText"/>
              <w:keepNext/>
              <w:spacing w:line="240" w:lineRule="auto"/>
              <w:jc w:val="center"/>
              <w:rPr>
                <w:sz w:val="18"/>
                <w:szCs w:val="18"/>
                <w:lang w:val="en-GB"/>
              </w:rPr>
            </w:pPr>
            <w:r>
              <w:rPr>
                <w:sz w:val="18"/>
                <w:szCs w:val="18"/>
                <w:lang w:val="en-GB"/>
              </w:rPr>
              <w:t>27</w:t>
            </w:r>
          </w:p>
        </w:tc>
      </w:tr>
      <w:tr w:rsidR="005E785F" w14:paraId="73FB2224" w14:textId="77777777">
        <w:tc>
          <w:tcPr>
            <w:tcW w:w="1838" w:type="dxa"/>
          </w:tcPr>
          <w:p w14:paraId="73FB221E" w14:textId="477EA94D" w:rsidR="005E785F" w:rsidRDefault="003621E8">
            <w:pPr>
              <w:pStyle w:val="C-BodyText"/>
              <w:keepNext/>
              <w:spacing w:line="240" w:lineRule="auto"/>
              <w:rPr>
                <w:b/>
                <w:sz w:val="18"/>
                <w:szCs w:val="18"/>
                <w:lang w:val="en-GB"/>
              </w:rPr>
            </w:pPr>
            <w:r>
              <w:rPr>
                <w:b/>
                <w:sz w:val="18"/>
                <w:szCs w:val="18"/>
                <w:lang w:val="en-GB"/>
              </w:rPr>
              <w:t>PK Drug Conc. Measurement</w:t>
            </w:r>
          </w:p>
        </w:tc>
        <w:tc>
          <w:tcPr>
            <w:tcW w:w="1368" w:type="dxa"/>
          </w:tcPr>
          <w:p w14:paraId="73FB221F" w14:textId="77777777" w:rsidR="005E785F" w:rsidRDefault="003621E8">
            <w:pPr>
              <w:pStyle w:val="C-BodyText"/>
              <w:keepNext/>
              <w:spacing w:line="240" w:lineRule="auto"/>
              <w:jc w:val="center"/>
              <w:rPr>
                <w:sz w:val="18"/>
                <w:szCs w:val="18"/>
                <w:lang w:val="en-GB"/>
              </w:rPr>
            </w:pPr>
            <w:r>
              <w:rPr>
                <w:sz w:val="18"/>
                <w:szCs w:val="18"/>
                <w:lang w:val="en-GB"/>
              </w:rPr>
              <w:t>Treatment Period</w:t>
            </w:r>
          </w:p>
        </w:tc>
        <w:tc>
          <w:tcPr>
            <w:tcW w:w="1381" w:type="dxa"/>
          </w:tcPr>
          <w:p w14:paraId="73FB2220" w14:textId="42D68C31" w:rsidR="005E785F" w:rsidRDefault="003621E8">
            <w:pPr>
              <w:pStyle w:val="C-BodyText"/>
              <w:keepNext/>
              <w:spacing w:line="240" w:lineRule="auto"/>
              <w:jc w:val="center"/>
              <w:rPr>
                <w:sz w:val="18"/>
                <w:szCs w:val="18"/>
                <w:lang w:val="en-GB"/>
              </w:rPr>
            </w:pPr>
            <w:r>
              <w:rPr>
                <w:sz w:val="18"/>
                <w:szCs w:val="18"/>
                <w:lang w:val="en-GB"/>
              </w:rPr>
              <w:t>8</w:t>
            </w:r>
          </w:p>
        </w:tc>
        <w:tc>
          <w:tcPr>
            <w:tcW w:w="1496" w:type="dxa"/>
          </w:tcPr>
          <w:p w14:paraId="73FB2221" w14:textId="37A16357" w:rsidR="005E785F" w:rsidRDefault="003621E8">
            <w:pPr>
              <w:pStyle w:val="C-BodyText"/>
              <w:keepNext/>
              <w:spacing w:line="240" w:lineRule="auto"/>
              <w:jc w:val="center"/>
              <w:rPr>
                <w:sz w:val="18"/>
                <w:szCs w:val="18"/>
                <w:lang w:val="en-GB"/>
              </w:rPr>
            </w:pPr>
            <w:r>
              <w:rPr>
                <w:sz w:val="18"/>
                <w:szCs w:val="18"/>
                <w:lang w:val="en-GB"/>
              </w:rPr>
              <w:t>3</w:t>
            </w:r>
          </w:p>
        </w:tc>
        <w:tc>
          <w:tcPr>
            <w:tcW w:w="1480" w:type="dxa"/>
          </w:tcPr>
          <w:p w14:paraId="73FB2222" w14:textId="5C585A86" w:rsidR="005E785F" w:rsidRDefault="003621E8">
            <w:pPr>
              <w:pStyle w:val="C-BodyText"/>
              <w:keepNext/>
              <w:spacing w:line="240" w:lineRule="auto"/>
              <w:jc w:val="center"/>
              <w:rPr>
                <w:sz w:val="18"/>
                <w:szCs w:val="18"/>
                <w:lang w:val="en-GB"/>
              </w:rPr>
            </w:pPr>
            <w:r>
              <w:rPr>
                <w:sz w:val="18"/>
                <w:szCs w:val="18"/>
                <w:lang w:val="en-GB"/>
              </w:rPr>
              <w:t>N/A</w:t>
            </w:r>
          </w:p>
        </w:tc>
        <w:tc>
          <w:tcPr>
            <w:tcW w:w="1454" w:type="dxa"/>
          </w:tcPr>
          <w:p w14:paraId="73FB2223" w14:textId="3BCD11D6" w:rsidR="005E785F" w:rsidRDefault="003621E8">
            <w:pPr>
              <w:pStyle w:val="C-BodyText"/>
              <w:keepNext/>
              <w:spacing w:line="240" w:lineRule="auto"/>
              <w:jc w:val="center"/>
              <w:rPr>
                <w:sz w:val="18"/>
                <w:szCs w:val="18"/>
                <w:lang w:val="en-GB"/>
              </w:rPr>
            </w:pPr>
            <w:r>
              <w:rPr>
                <w:sz w:val="18"/>
                <w:szCs w:val="18"/>
                <w:lang w:val="en-GB"/>
              </w:rPr>
              <w:t>24</w:t>
            </w:r>
          </w:p>
        </w:tc>
      </w:tr>
      <w:tr w:rsidR="005E785F" w14:paraId="78AB16EE" w14:textId="77777777">
        <w:tc>
          <w:tcPr>
            <w:tcW w:w="1838" w:type="dxa"/>
          </w:tcPr>
          <w:p w14:paraId="27CB9669" w14:textId="4635D33D" w:rsidR="005E785F" w:rsidRDefault="003621E8">
            <w:pPr>
              <w:pStyle w:val="C-BodyText"/>
              <w:keepNext/>
              <w:spacing w:line="240" w:lineRule="auto"/>
              <w:rPr>
                <w:b/>
                <w:sz w:val="18"/>
                <w:szCs w:val="18"/>
                <w:highlight w:val="yellow"/>
                <w:lang w:val="en-GB"/>
              </w:rPr>
            </w:pPr>
            <w:r>
              <w:rPr>
                <w:b/>
                <w:bCs/>
                <w:sz w:val="18"/>
                <w:szCs w:val="18"/>
              </w:rPr>
              <w:t>PD Blood for mRNA markers</w:t>
            </w:r>
          </w:p>
        </w:tc>
        <w:tc>
          <w:tcPr>
            <w:tcW w:w="1368" w:type="dxa"/>
          </w:tcPr>
          <w:p w14:paraId="1D666AEE" w14:textId="4F34C6CB" w:rsidR="005E785F" w:rsidRDefault="003621E8">
            <w:pPr>
              <w:pStyle w:val="C-BodyText"/>
              <w:keepNext/>
              <w:spacing w:line="240" w:lineRule="auto"/>
              <w:jc w:val="center"/>
              <w:rPr>
                <w:sz w:val="18"/>
                <w:szCs w:val="18"/>
                <w:lang w:val="en-GB"/>
              </w:rPr>
            </w:pPr>
            <w:r>
              <w:rPr>
                <w:sz w:val="18"/>
                <w:szCs w:val="18"/>
                <w:lang w:val="en-GB"/>
              </w:rPr>
              <w:t>Treatment Period</w:t>
            </w:r>
          </w:p>
        </w:tc>
        <w:tc>
          <w:tcPr>
            <w:tcW w:w="1381" w:type="dxa"/>
          </w:tcPr>
          <w:p w14:paraId="7D20FEA8" w14:textId="36BB4977" w:rsidR="005E785F" w:rsidRDefault="003621E8">
            <w:pPr>
              <w:pStyle w:val="C-BodyText"/>
              <w:keepNext/>
              <w:spacing w:line="240" w:lineRule="auto"/>
              <w:jc w:val="center"/>
              <w:rPr>
                <w:sz w:val="18"/>
                <w:szCs w:val="18"/>
                <w:lang w:val="en-GB"/>
              </w:rPr>
            </w:pPr>
            <w:r>
              <w:rPr>
                <w:sz w:val="18"/>
                <w:szCs w:val="18"/>
                <w:lang w:val="en-GB"/>
              </w:rPr>
              <w:t>6</w:t>
            </w:r>
          </w:p>
        </w:tc>
        <w:tc>
          <w:tcPr>
            <w:tcW w:w="1496" w:type="dxa"/>
          </w:tcPr>
          <w:p w14:paraId="75D66DD6" w14:textId="04A68235" w:rsidR="005E785F" w:rsidRDefault="003621E8">
            <w:pPr>
              <w:pStyle w:val="C-BodyText"/>
              <w:keepNext/>
              <w:spacing w:line="240" w:lineRule="auto"/>
              <w:jc w:val="center"/>
              <w:rPr>
                <w:sz w:val="18"/>
                <w:szCs w:val="18"/>
                <w:lang w:val="en-GB"/>
              </w:rPr>
            </w:pPr>
            <w:r>
              <w:rPr>
                <w:sz w:val="18"/>
                <w:szCs w:val="18"/>
                <w:lang w:val="en-GB"/>
              </w:rPr>
              <w:t>2 x 2.5</w:t>
            </w:r>
          </w:p>
        </w:tc>
        <w:tc>
          <w:tcPr>
            <w:tcW w:w="1480" w:type="dxa"/>
          </w:tcPr>
          <w:p w14:paraId="3E409FDB" w14:textId="56A0FEF1" w:rsidR="005E785F" w:rsidRDefault="003621E8">
            <w:pPr>
              <w:pStyle w:val="C-BodyText"/>
              <w:keepNext/>
              <w:spacing w:line="240" w:lineRule="auto"/>
              <w:jc w:val="center"/>
              <w:rPr>
                <w:sz w:val="18"/>
                <w:szCs w:val="18"/>
                <w:lang w:val="en-GB"/>
              </w:rPr>
            </w:pPr>
            <w:r>
              <w:rPr>
                <w:sz w:val="18"/>
                <w:szCs w:val="18"/>
                <w:lang w:val="en-GB"/>
              </w:rPr>
              <w:t>N/A</w:t>
            </w:r>
          </w:p>
        </w:tc>
        <w:tc>
          <w:tcPr>
            <w:tcW w:w="1454" w:type="dxa"/>
          </w:tcPr>
          <w:p w14:paraId="50416ACD" w14:textId="3229BA97" w:rsidR="005E785F" w:rsidRDefault="003621E8">
            <w:pPr>
              <w:pStyle w:val="C-BodyText"/>
              <w:keepNext/>
              <w:spacing w:line="240" w:lineRule="auto"/>
              <w:jc w:val="center"/>
              <w:rPr>
                <w:sz w:val="18"/>
                <w:szCs w:val="18"/>
                <w:lang w:val="en-GB"/>
              </w:rPr>
            </w:pPr>
            <w:r>
              <w:rPr>
                <w:sz w:val="18"/>
                <w:szCs w:val="18"/>
                <w:lang w:val="en-GB"/>
              </w:rPr>
              <w:t>30</w:t>
            </w:r>
          </w:p>
        </w:tc>
      </w:tr>
      <w:tr w:rsidR="005E785F" w14:paraId="26EBF6C3" w14:textId="77777777">
        <w:tc>
          <w:tcPr>
            <w:tcW w:w="1838" w:type="dxa"/>
          </w:tcPr>
          <w:p w14:paraId="0EC87AA7" w14:textId="7E484D0A" w:rsidR="005E785F" w:rsidRDefault="003621E8">
            <w:pPr>
              <w:pStyle w:val="C-BodyText"/>
              <w:keepNext/>
              <w:spacing w:line="240" w:lineRule="auto"/>
              <w:rPr>
                <w:b/>
                <w:sz w:val="18"/>
                <w:szCs w:val="18"/>
                <w:lang w:val="en-GB"/>
              </w:rPr>
            </w:pPr>
            <w:r>
              <w:rPr>
                <w:b/>
                <w:sz w:val="18"/>
                <w:szCs w:val="18"/>
                <w:lang w:val="en-GB"/>
              </w:rPr>
              <w:t>Blood for PBMC isolate</w:t>
            </w:r>
          </w:p>
        </w:tc>
        <w:tc>
          <w:tcPr>
            <w:tcW w:w="1368" w:type="dxa"/>
          </w:tcPr>
          <w:p w14:paraId="3C160207" w14:textId="7E498FB3" w:rsidR="005E785F" w:rsidRDefault="003621E8">
            <w:pPr>
              <w:pStyle w:val="C-BodyText"/>
              <w:keepNext/>
              <w:spacing w:line="240" w:lineRule="auto"/>
              <w:jc w:val="center"/>
              <w:rPr>
                <w:sz w:val="18"/>
                <w:szCs w:val="18"/>
                <w:lang w:val="en-GB"/>
              </w:rPr>
            </w:pPr>
            <w:r>
              <w:rPr>
                <w:sz w:val="18"/>
                <w:szCs w:val="18"/>
                <w:lang w:val="en-GB"/>
              </w:rPr>
              <w:t>Treatment Period</w:t>
            </w:r>
          </w:p>
        </w:tc>
        <w:tc>
          <w:tcPr>
            <w:tcW w:w="1381" w:type="dxa"/>
          </w:tcPr>
          <w:p w14:paraId="3358AA93" w14:textId="2AB0FACC" w:rsidR="005E785F" w:rsidRDefault="003621E8">
            <w:pPr>
              <w:pStyle w:val="C-BodyText"/>
              <w:keepNext/>
              <w:spacing w:line="240" w:lineRule="auto"/>
              <w:jc w:val="center"/>
              <w:rPr>
                <w:sz w:val="18"/>
                <w:szCs w:val="18"/>
                <w:lang w:val="en-GB"/>
              </w:rPr>
            </w:pPr>
            <w:r>
              <w:rPr>
                <w:sz w:val="18"/>
                <w:szCs w:val="18"/>
                <w:lang w:val="en-GB"/>
              </w:rPr>
              <w:t>3</w:t>
            </w:r>
          </w:p>
        </w:tc>
        <w:tc>
          <w:tcPr>
            <w:tcW w:w="1496" w:type="dxa"/>
          </w:tcPr>
          <w:p w14:paraId="6B948FAF" w14:textId="1C33E42F" w:rsidR="005E785F" w:rsidRDefault="003621E8">
            <w:pPr>
              <w:pStyle w:val="C-BodyText"/>
              <w:keepNext/>
              <w:spacing w:line="240" w:lineRule="auto"/>
              <w:jc w:val="center"/>
              <w:rPr>
                <w:sz w:val="18"/>
                <w:szCs w:val="18"/>
                <w:lang w:val="en-GB"/>
              </w:rPr>
            </w:pPr>
            <w:r>
              <w:rPr>
                <w:sz w:val="18"/>
                <w:szCs w:val="18"/>
                <w:lang w:val="en-GB"/>
              </w:rPr>
              <w:t>40</w:t>
            </w:r>
          </w:p>
        </w:tc>
        <w:tc>
          <w:tcPr>
            <w:tcW w:w="1480" w:type="dxa"/>
          </w:tcPr>
          <w:p w14:paraId="3D5914F3" w14:textId="79613A04" w:rsidR="005E785F" w:rsidRDefault="003621E8">
            <w:pPr>
              <w:pStyle w:val="C-BodyText"/>
              <w:keepNext/>
              <w:spacing w:line="240" w:lineRule="auto"/>
              <w:jc w:val="center"/>
              <w:rPr>
                <w:sz w:val="18"/>
                <w:szCs w:val="18"/>
                <w:lang w:val="en-GB"/>
              </w:rPr>
            </w:pPr>
            <w:r>
              <w:rPr>
                <w:sz w:val="18"/>
                <w:szCs w:val="18"/>
                <w:lang w:val="en-GB"/>
              </w:rPr>
              <w:t>N/A</w:t>
            </w:r>
          </w:p>
        </w:tc>
        <w:tc>
          <w:tcPr>
            <w:tcW w:w="1454" w:type="dxa"/>
          </w:tcPr>
          <w:p w14:paraId="1D85892B" w14:textId="61856060" w:rsidR="005E785F" w:rsidRDefault="003621E8">
            <w:pPr>
              <w:pStyle w:val="C-BodyText"/>
              <w:keepNext/>
              <w:spacing w:line="240" w:lineRule="auto"/>
              <w:jc w:val="center"/>
              <w:rPr>
                <w:sz w:val="18"/>
                <w:szCs w:val="18"/>
                <w:lang w:val="en-GB"/>
              </w:rPr>
            </w:pPr>
            <w:r>
              <w:rPr>
                <w:sz w:val="18"/>
                <w:szCs w:val="18"/>
                <w:lang w:val="en-GB"/>
              </w:rPr>
              <w:t>120</w:t>
            </w:r>
          </w:p>
        </w:tc>
      </w:tr>
      <w:tr w:rsidR="005E785F" w14:paraId="2CE60B15" w14:textId="77777777">
        <w:tc>
          <w:tcPr>
            <w:tcW w:w="1838" w:type="dxa"/>
          </w:tcPr>
          <w:p w14:paraId="10E77120" w14:textId="2233E451" w:rsidR="005E785F" w:rsidRDefault="003621E8">
            <w:pPr>
              <w:pStyle w:val="C-BodyText"/>
              <w:keepNext/>
              <w:spacing w:line="240" w:lineRule="auto"/>
              <w:rPr>
                <w:b/>
                <w:sz w:val="18"/>
                <w:szCs w:val="18"/>
                <w:lang w:val="en-GB"/>
              </w:rPr>
            </w:pPr>
            <w:r>
              <w:rPr>
                <w:b/>
                <w:sz w:val="18"/>
                <w:szCs w:val="18"/>
                <w:lang w:val="en-GB"/>
              </w:rPr>
              <w:t>Blood for titration of autoantibodies</w:t>
            </w:r>
          </w:p>
        </w:tc>
        <w:tc>
          <w:tcPr>
            <w:tcW w:w="1368" w:type="dxa"/>
          </w:tcPr>
          <w:p w14:paraId="19EBA415" w14:textId="26313862" w:rsidR="005E785F" w:rsidRDefault="003621E8">
            <w:pPr>
              <w:pStyle w:val="C-BodyText"/>
              <w:keepNext/>
              <w:spacing w:line="240" w:lineRule="auto"/>
              <w:jc w:val="center"/>
              <w:rPr>
                <w:sz w:val="18"/>
                <w:szCs w:val="18"/>
                <w:lang w:val="en-GB"/>
              </w:rPr>
            </w:pPr>
            <w:r>
              <w:rPr>
                <w:sz w:val="18"/>
                <w:szCs w:val="18"/>
                <w:lang w:val="en-GB"/>
              </w:rPr>
              <w:t>Treatment Period</w:t>
            </w:r>
          </w:p>
        </w:tc>
        <w:tc>
          <w:tcPr>
            <w:tcW w:w="1381" w:type="dxa"/>
          </w:tcPr>
          <w:p w14:paraId="000269BD" w14:textId="51098BE8" w:rsidR="005E785F" w:rsidRDefault="003621E8">
            <w:pPr>
              <w:pStyle w:val="C-BodyText"/>
              <w:keepNext/>
              <w:spacing w:line="240" w:lineRule="auto"/>
              <w:jc w:val="center"/>
              <w:rPr>
                <w:sz w:val="18"/>
                <w:szCs w:val="18"/>
                <w:lang w:val="en-GB"/>
              </w:rPr>
            </w:pPr>
            <w:r>
              <w:rPr>
                <w:sz w:val="18"/>
                <w:szCs w:val="18"/>
                <w:lang w:val="en-GB"/>
              </w:rPr>
              <w:t>1</w:t>
            </w:r>
          </w:p>
        </w:tc>
        <w:tc>
          <w:tcPr>
            <w:tcW w:w="1496" w:type="dxa"/>
          </w:tcPr>
          <w:p w14:paraId="779F1C4C" w14:textId="76491B65" w:rsidR="005E785F" w:rsidRDefault="003621E8">
            <w:pPr>
              <w:pStyle w:val="C-BodyText"/>
              <w:keepNext/>
              <w:spacing w:line="240" w:lineRule="auto"/>
              <w:jc w:val="center"/>
              <w:rPr>
                <w:sz w:val="18"/>
                <w:szCs w:val="18"/>
                <w:lang w:val="en-GB"/>
              </w:rPr>
            </w:pPr>
            <w:r>
              <w:rPr>
                <w:sz w:val="18"/>
                <w:szCs w:val="18"/>
                <w:lang w:val="en-GB"/>
              </w:rPr>
              <w:t>5</w:t>
            </w:r>
          </w:p>
        </w:tc>
        <w:tc>
          <w:tcPr>
            <w:tcW w:w="1480" w:type="dxa"/>
          </w:tcPr>
          <w:p w14:paraId="2E0D88FF" w14:textId="6D0FB07C" w:rsidR="005E785F" w:rsidRDefault="003621E8">
            <w:pPr>
              <w:pStyle w:val="C-BodyText"/>
              <w:keepNext/>
              <w:spacing w:line="240" w:lineRule="auto"/>
              <w:jc w:val="center"/>
              <w:rPr>
                <w:sz w:val="18"/>
                <w:szCs w:val="18"/>
                <w:lang w:val="en-GB"/>
              </w:rPr>
            </w:pPr>
            <w:r>
              <w:rPr>
                <w:sz w:val="18"/>
                <w:szCs w:val="18"/>
                <w:lang w:val="en-GB"/>
              </w:rPr>
              <w:t>N/A</w:t>
            </w:r>
          </w:p>
        </w:tc>
        <w:tc>
          <w:tcPr>
            <w:tcW w:w="1454" w:type="dxa"/>
          </w:tcPr>
          <w:p w14:paraId="584D69F0" w14:textId="0DF27E49" w:rsidR="005E785F" w:rsidRDefault="003621E8">
            <w:pPr>
              <w:pStyle w:val="C-BodyText"/>
              <w:keepNext/>
              <w:spacing w:line="240" w:lineRule="auto"/>
              <w:jc w:val="center"/>
              <w:rPr>
                <w:sz w:val="18"/>
                <w:szCs w:val="18"/>
                <w:lang w:val="en-GB"/>
              </w:rPr>
            </w:pPr>
            <w:r>
              <w:rPr>
                <w:sz w:val="18"/>
                <w:szCs w:val="18"/>
                <w:lang w:val="en-GB"/>
              </w:rPr>
              <w:t>5</w:t>
            </w:r>
          </w:p>
        </w:tc>
      </w:tr>
      <w:tr w:rsidR="005E785F" w14:paraId="73FB2227" w14:textId="77777777">
        <w:tc>
          <w:tcPr>
            <w:tcW w:w="7563" w:type="dxa"/>
            <w:gridSpan w:val="5"/>
          </w:tcPr>
          <w:p w14:paraId="73FB2225" w14:textId="56EC509D" w:rsidR="005E785F" w:rsidRDefault="003621E8">
            <w:pPr>
              <w:pStyle w:val="C-BodyText"/>
              <w:keepNext/>
              <w:spacing w:line="240" w:lineRule="auto"/>
              <w:jc w:val="right"/>
              <w:rPr>
                <w:sz w:val="18"/>
                <w:szCs w:val="18"/>
                <w:lang w:val="en-GB"/>
              </w:rPr>
            </w:pPr>
            <w:r>
              <w:rPr>
                <w:sz w:val="18"/>
                <w:szCs w:val="18"/>
                <w:lang w:val="en-GB"/>
              </w:rPr>
              <w:t>Total Blood Volume</w:t>
            </w:r>
            <w:r>
              <w:rPr>
                <w:color w:val="FF0000"/>
                <w:sz w:val="18"/>
                <w:szCs w:val="18"/>
                <w:vertAlign w:val="superscript"/>
                <w:lang w:val="en-GB"/>
              </w:rPr>
              <w:t>2</w:t>
            </w:r>
          </w:p>
        </w:tc>
        <w:tc>
          <w:tcPr>
            <w:tcW w:w="1454" w:type="dxa"/>
          </w:tcPr>
          <w:p w14:paraId="73FB2226" w14:textId="64E6DFAC" w:rsidR="005E785F" w:rsidRDefault="003621E8">
            <w:pPr>
              <w:pStyle w:val="C-BodyText"/>
              <w:keepNext/>
              <w:spacing w:line="240" w:lineRule="auto"/>
              <w:jc w:val="center"/>
              <w:rPr>
                <w:sz w:val="18"/>
                <w:szCs w:val="18"/>
                <w:lang w:val="en-GB"/>
              </w:rPr>
            </w:pPr>
            <w:r>
              <w:rPr>
                <w:sz w:val="18"/>
                <w:szCs w:val="18"/>
                <w:lang w:val="en-GB"/>
              </w:rPr>
              <w:t>327.2 Approximately 340 mL (+ 5%)</w:t>
            </w:r>
          </w:p>
        </w:tc>
      </w:tr>
    </w:tbl>
    <w:p w14:paraId="73FB2228" w14:textId="6E992D74" w:rsidR="005E785F" w:rsidRDefault="003621E8">
      <w:pPr>
        <w:keepNext/>
        <w:jc w:val="both"/>
        <w:rPr>
          <w:sz w:val="18"/>
          <w:szCs w:val="18"/>
          <w:lang w:val="en-GB"/>
        </w:rPr>
      </w:pPr>
      <w:r>
        <w:rPr>
          <w:sz w:val="18"/>
          <w:szCs w:val="18"/>
          <w:vertAlign w:val="superscript"/>
          <w:lang w:val="en-GB"/>
        </w:rPr>
        <w:lastRenderedPageBreak/>
        <w:t>1</w:t>
      </w:r>
      <w:r>
        <w:rPr>
          <w:sz w:val="18"/>
          <w:szCs w:val="18"/>
          <w:lang w:val="en-GB"/>
        </w:rPr>
        <w:t xml:space="preserve"> From the biochemistry blood sample collected at the Screening visit, virology screen will be analysed from the same serum sample.</w:t>
      </w:r>
    </w:p>
    <w:p w14:paraId="6BC5FA8B" w14:textId="4E781860" w:rsidR="005E785F" w:rsidRDefault="003621E8">
      <w:pPr>
        <w:keepNext/>
        <w:jc w:val="both"/>
        <w:rPr>
          <w:sz w:val="18"/>
          <w:szCs w:val="18"/>
          <w:lang w:val="en-GB"/>
        </w:rPr>
      </w:pPr>
      <w:r>
        <w:rPr>
          <w:sz w:val="18"/>
          <w:szCs w:val="18"/>
          <w:vertAlign w:val="superscript"/>
          <w:lang w:val="en-GB"/>
        </w:rPr>
        <w:t>2</w:t>
      </w:r>
      <w:r>
        <w:rPr>
          <w:sz w:val="18"/>
          <w:szCs w:val="18"/>
          <w:lang w:val="en-GB"/>
        </w:rPr>
        <w:t xml:space="preserve"> Please note: This total blood volume does not include any additional blood sample collection(s) for retest, unscheduled testing or additional tests required at the discretion of the Investigator/designee. The exact volumes of each sample may change but the total volume of blood drawn for any participant will not exceed 500 mL.</w:t>
      </w:r>
    </w:p>
    <w:p w14:paraId="73FB222A" w14:textId="590E165A" w:rsidR="005E785F" w:rsidRDefault="003621E8">
      <w:pPr>
        <w:jc w:val="both"/>
        <w:rPr>
          <w:lang w:val="en-GB"/>
        </w:rPr>
      </w:pPr>
      <w:r>
        <w:rPr>
          <w:sz w:val="18"/>
          <w:szCs w:val="18"/>
          <w:lang w:val="en-GB"/>
        </w:rPr>
        <w:t xml:space="preserve">PD = pharmacodynamic </w:t>
      </w:r>
      <w:r>
        <w:rPr>
          <w:sz w:val="18"/>
          <w:szCs w:val="18"/>
          <w:lang w:val="en-GB"/>
        </w:rPr>
        <w:tab/>
        <w:t>PK = pharmacokinetic</w:t>
      </w:r>
      <w:r>
        <w:rPr>
          <w:sz w:val="18"/>
          <w:szCs w:val="18"/>
          <w:lang w:val="en-GB"/>
        </w:rPr>
        <w:tab/>
        <w:t xml:space="preserve">PBMC = peripheral blood mononuclear cells </w:t>
      </w:r>
      <w:r>
        <w:rPr>
          <w:sz w:val="18"/>
          <w:szCs w:val="18"/>
          <w:lang w:val="en-GB"/>
        </w:rPr>
        <w:tab/>
        <w:t xml:space="preserve">mRNA = messenger Ribonucleic Acid </w:t>
      </w:r>
    </w:p>
    <w:p w14:paraId="73FB222B" w14:textId="7301476F" w:rsidR="005E785F" w:rsidRDefault="003621E8">
      <w:pPr>
        <w:pStyle w:val="Heading3"/>
      </w:pPr>
      <w:bookmarkStart w:id="207" w:name="_Toc74904433"/>
      <w:r>
        <w:t>Primary Efficacy Variable(s)</w:t>
      </w:r>
      <w:bookmarkEnd w:id="207"/>
    </w:p>
    <w:p w14:paraId="73FB222C" w14:textId="24D11852" w:rsidR="005E785F" w:rsidRDefault="003621E8">
      <w:pPr>
        <w:pStyle w:val="C-BodyText"/>
        <w:spacing w:line="240" w:lineRule="auto"/>
        <w:jc w:val="both"/>
        <w:rPr>
          <w:iCs/>
          <w:lang w:val="en-GB"/>
        </w:rPr>
      </w:pPr>
      <w:r>
        <w:rPr>
          <w:iCs/>
          <w:lang w:val="en-GB"/>
        </w:rPr>
        <w:t>N/A.</w:t>
      </w:r>
    </w:p>
    <w:p w14:paraId="73FB222D" w14:textId="25A82CA2" w:rsidR="005E785F" w:rsidRDefault="003621E8">
      <w:pPr>
        <w:pStyle w:val="Heading3"/>
      </w:pPr>
      <w:bookmarkStart w:id="208" w:name="_Toc74904434"/>
      <w:r>
        <w:t>Pharmacokinetic Drug Concentration Measurements</w:t>
      </w:r>
      <w:bookmarkEnd w:id="208"/>
    </w:p>
    <w:p w14:paraId="73FB222E" w14:textId="2854E04B" w:rsidR="005E785F" w:rsidRDefault="003621E8">
      <w:pPr>
        <w:pStyle w:val="TitlePageText"/>
        <w:spacing w:before="240" w:after="0"/>
        <w:rPr>
          <w:rFonts w:ascii="Times New Roman" w:hAnsi="Times New Roman"/>
          <w:sz w:val="24"/>
          <w:szCs w:val="24"/>
        </w:rPr>
      </w:pPr>
      <w:r>
        <w:rPr>
          <w:rFonts w:ascii="Times New Roman" w:hAnsi="Times New Roman"/>
          <w:sz w:val="24"/>
          <w:szCs w:val="24"/>
        </w:rPr>
        <w:t xml:space="preserve">PK plasma samples for CpG ODN D35 concentration measurements will be analysed at Oncodesign, using a validated liquid chromatography tandem mass spectrometry (LC MS/MS) method, according to applicable local SOPs. </w:t>
      </w:r>
    </w:p>
    <w:p w14:paraId="73FB2233" w14:textId="6E577A43" w:rsidR="005E785F" w:rsidRDefault="003621E8">
      <w:pPr>
        <w:pStyle w:val="C-BodyText"/>
        <w:spacing w:line="240" w:lineRule="auto"/>
        <w:jc w:val="both"/>
        <w:rPr>
          <w:lang w:val="en-GB"/>
        </w:rPr>
      </w:pPr>
      <w:bookmarkStart w:id="209" w:name="_Toc351382645"/>
      <w:bookmarkEnd w:id="209"/>
      <w:r>
        <w:rPr>
          <w:lang w:val="en-GB"/>
        </w:rPr>
        <w:t xml:space="preserve">Blood sample (3 mL) for the determination of plasma CpG ODN D35 levels will be collected into K3-EDTA tube(s) per time-point as specified in </w:t>
      </w:r>
      <w:r>
        <w:rPr>
          <w:color w:val="0000FF"/>
          <w:lang w:val="en-GB"/>
        </w:rPr>
        <w:fldChar w:fldCharType="begin"/>
      </w:r>
      <w:r>
        <w:rPr>
          <w:color w:val="0000FF"/>
          <w:lang w:val="en-GB"/>
        </w:rPr>
        <w:instrText xml:space="preserve"> REF _Ref66109390 \h </w:instrText>
      </w:r>
      <w:r>
        <w:rPr>
          <w:color w:val="0000FF"/>
          <w:lang w:val="en-GB"/>
        </w:rPr>
      </w:r>
      <w:r>
        <w:rPr>
          <w:color w:val="0000FF"/>
          <w:lang w:val="en-GB"/>
        </w:rPr>
        <w:fldChar w:fldCharType="separate"/>
      </w:r>
      <w:r>
        <w:rPr>
          <w:color w:val="0000FF"/>
        </w:rPr>
        <w:t>Table 5</w:t>
      </w:r>
      <w:r>
        <w:rPr>
          <w:color w:val="0000FF"/>
          <w:lang w:val="en-GB"/>
        </w:rPr>
        <w:fldChar w:fldCharType="end"/>
      </w:r>
      <w:r>
        <w:rPr>
          <w:color w:val="0000FF"/>
          <w:lang w:val="en-GB"/>
        </w:rPr>
        <w:t>.</w:t>
      </w:r>
    </w:p>
    <w:p w14:paraId="73FB2235" w14:textId="79B96697" w:rsidR="005E785F" w:rsidRDefault="003621E8">
      <w:pPr>
        <w:pStyle w:val="C-BodyText"/>
        <w:spacing w:line="240" w:lineRule="auto"/>
        <w:jc w:val="both"/>
        <w:rPr>
          <w:lang w:val="en-GB"/>
        </w:rPr>
      </w:pPr>
      <w:r>
        <w:rPr>
          <w:szCs w:val="24"/>
          <w:lang w:val="en-GB"/>
        </w:rPr>
        <w:t>Full details of sample handling and processing can be found in the sample handling manual (SHM).</w:t>
      </w:r>
    </w:p>
    <w:p w14:paraId="272AE875" w14:textId="50180728" w:rsidR="005E785F" w:rsidRDefault="003621E8">
      <w:pPr>
        <w:pStyle w:val="Bodytextleft"/>
        <w:jc w:val="both"/>
      </w:pPr>
      <w:r>
        <w:t xml:space="preserve">A repeat of an already collected PK sample is not permitted during the study.  </w:t>
      </w:r>
      <w:bookmarkStart w:id="210" w:name="_Toc442875343"/>
      <w:bookmarkStart w:id="211" w:name="_Toc7521779"/>
      <w:bookmarkEnd w:id="210"/>
    </w:p>
    <w:p w14:paraId="73FB223D" w14:textId="7F5A62CE" w:rsidR="005E785F" w:rsidRDefault="003621E8">
      <w:pPr>
        <w:pStyle w:val="Heading3"/>
      </w:pPr>
      <w:bookmarkStart w:id="212" w:name="_Toc74904435"/>
      <w:bookmarkEnd w:id="211"/>
      <w:r>
        <w:t>Pharmacodynamic Assessments</w:t>
      </w:r>
      <w:bookmarkEnd w:id="212"/>
    </w:p>
    <w:p w14:paraId="25FC623E" w14:textId="704C0798" w:rsidR="005E785F" w:rsidRDefault="003621E8">
      <w:pPr>
        <w:spacing w:before="120" w:after="120"/>
        <w:jc w:val="both"/>
        <w:rPr>
          <w:rFonts w:cs="Times New Roman"/>
          <w:lang w:val="en-GB"/>
        </w:rPr>
      </w:pPr>
      <w:r>
        <w:rPr>
          <w:rFonts w:cs="Times New Roman"/>
          <w:szCs w:val="24"/>
        </w:rPr>
        <w:t xml:space="preserve">Blood sample (5 mL) for the determination of </w:t>
      </w:r>
      <w:bookmarkStart w:id="213" w:name="_Hlk65095282"/>
      <w:r>
        <w:rPr>
          <w:rFonts w:cs="Times New Roman"/>
          <w:szCs w:val="24"/>
        </w:rPr>
        <w:t xml:space="preserve">serum cytokine and chemokine levels </w:t>
      </w:r>
      <w:bookmarkEnd w:id="213"/>
      <w:r>
        <w:rPr>
          <w:rFonts w:cs="Times New Roman"/>
          <w:szCs w:val="24"/>
        </w:rPr>
        <w:t>(CXCL10, IFN-γ, IL-6, optional: IFN-α, MIP1</w:t>
      </w:r>
      <w:r>
        <w:rPr>
          <w:rFonts w:cs="Times New Roman"/>
          <w:sz w:val="20"/>
        </w:rPr>
        <w:t>α</w:t>
      </w:r>
      <w:r>
        <w:rPr>
          <w:rFonts w:cs="Times New Roman"/>
          <w:szCs w:val="24"/>
        </w:rPr>
        <w:t xml:space="preserve">, IL-10, TNFα and/or other biomarkers) will be collected per time-point as specified in </w:t>
      </w:r>
      <w:r>
        <w:rPr>
          <w:rFonts w:cs="Times New Roman"/>
          <w:color w:val="0000FF"/>
          <w:lang w:val="en-GB"/>
        </w:rPr>
        <w:fldChar w:fldCharType="begin"/>
      </w:r>
      <w:r>
        <w:rPr>
          <w:rFonts w:cs="Times New Roman"/>
          <w:color w:val="0000FF"/>
          <w:lang w:val="en-GB"/>
        </w:rPr>
        <w:instrText xml:space="preserve"> REF _Ref66109390 \h </w:instrText>
      </w:r>
      <w:r>
        <w:rPr>
          <w:rFonts w:cs="Times New Roman"/>
          <w:color w:val="0000FF"/>
          <w:lang w:val="en-GB"/>
        </w:rPr>
      </w:r>
      <w:r>
        <w:rPr>
          <w:rFonts w:cs="Times New Roman"/>
          <w:color w:val="0000FF"/>
          <w:lang w:val="en-GB"/>
        </w:rPr>
        <w:fldChar w:fldCharType="separate"/>
      </w:r>
      <w:r>
        <w:rPr>
          <w:color w:val="0000FF"/>
        </w:rPr>
        <w:t>Table 5</w:t>
      </w:r>
      <w:r>
        <w:rPr>
          <w:rFonts w:cs="Times New Roman"/>
          <w:color w:val="0000FF"/>
          <w:lang w:val="en-GB"/>
        </w:rPr>
        <w:fldChar w:fldCharType="end"/>
      </w:r>
      <w:r>
        <w:rPr>
          <w:rFonts w:cs="Times New Roman"/>
          <w:color w:val="0000FF"/>
          <w:szCs w:val="24"/>
        </w:rPr>
        <w:t>.</w:t>
      </w:r>
    </w:p>
    <w:p w14:paraId="09AA1BFB" w14:textId="232ED83E" w:rsidR="005E785F" w:rsidRDefault="003621E8">
      <w:pPr>
        <w:spacing w:before="120" w:after="120"/>
        <w:jc w:val="both"/>
        <w:rPr>
          <w:rFonts w:cs="Times New Roman"/>
          <w:lang w:val="en-GB"/>
        </w:rPr>
      </w:pPr>
      <w:r>
        <w:rPr>
          <w:rFonts w:cs="Times New Roman"/>
          <w:lang w:val="en-GB"/>
        </w:rPr>
        <w:t>4.5 mL blood will be collected at the same timepoint for IL-6 analysis during the study in case it is required for safety monitoring.</w:t>
      </w:r>
    </w:p>
    <w:p w14:paraId="18809E0C" w14:textId="262F8FBD" w:rsidR="005E785F" w:rsidRDefault="003621E8">
      <w:pPr>
        <w:spacing w:before="120" w:after="120"/>
        <w:jc w:val="both"/>
        <w:rPr>
          <w:rFonts w:cs="Times New Roman"/>
          <w:lang w:val="en-GB"/>
        </w:rPr>
      </w:pPr>
      <w:r>
        <w:rPr>
          <w:rFonts w:cs="Times New Roman"/>
          <w:lang w:val="en-GB"/>
        </w:rPr>
        <w:t>Full details of sample handling and processing can be found in the SHM.</w:t>
      </w:r>
    </w:p>
    <w:p w14:paraId="7E8863E8" w14:textId="3DFB17A1" w:rsidR="005E785F" w:rsidRDefault="003621E8">
      <w:pPr>
        <w:spacing w:before="120" w:after="120"/>
        <w:jc w:val="both"/>
        <w:rPr>
          <w:rFonts w:cs="Times New Roman"/>
          <w:lang w:val="en-GB"/>
        </w:rPr>
      </w:pPr>
      <w:r>
        <w:rPr>
          <w:rFonts w:cs="Times New Roman"/>
          <w:szCs w:val="24"/>
        </w:rPr>
        <w:t>Cytokine and chemokine levels will be analysed and reported within the study final report.</w:t>
      </w:r>
    </w:p>
    <w:p w14:paraId="4AD6C038" w14:textId="08181EDD" w:rsidR="005E785F" w:rsidRDefault="003621E8">
      <w:pPr>
        <w:pStyle w:val="Heading3"/>
      </w:pPr>
      <w:bookmarkStart w:id="214" w:name="_Toc74904436"/>
      <w:bookmarkStart w:id="215" w:name="_Toc7521781"/>
      <w:r>
        <w:t>Blood for mRNA markers</w:t>
      </w:r>
      <w:bookmarkEnd w:id="214"/>
    </w:p>
    <w:p w14:paraId="2B98FEB5" w14:textId="70C59465" w:rsidR="005E785F" w:rsidRDefault="003621E8">
      <w:pPr>
        <w:spacing w:before="120" w:after="120"/>
        <w:jc w:val="both"/>
        <w:rPr>
          <w:color w:val="0000FF"/>
          <w:lang w:val="en-GB"/>
        </w:rPr>
      </w:pPr>
      <w:r>
        <w:rPr>
          <w:lang w:val="en-GB"/>
        </w:rPr>
        <w:t xml:space="preserve">2 x 2.5 mL whole blood will be collected from the forearm vein using the vacutainer PAXgene® blood RNA tubes at the time-points in </w:t>
      </w:r>
      <w:r>
        <w:rPr>
          <w:color w:val="0000FF"/>
          <w:lang w:val="en-GB"/>
        </w:rPr>
        <w:fldChar w:fldCharType="begin"/>
      </w:r>
      <w:r>
        <w:rPr>
          <w:color w:val="0000FF"/>
          <w:lang w:val="en-GB"/>
        </w:rPr>
        <w:instrText xml:space="preserve"> REF _Ref66109390 \h </w:instrText>
      </w:r>
      <w:r>
        <w:rPr>
          <w:color w:val="0000FF"/>
          <w:lang w:val="en-GB"/>
        </w:rPr>
      </w:r>
      <w:r>
        <w:rPr>
          <w:color w:val="0000FF"/>
          <w:lang w:val="en-GB"/>
        </w:rPr>
        <w:fldChar w:fldCharType="separate"/>
      </w:r>
      <w:r>
        <w:rPr>
          <w:color w:val="0000FF"/>
        </w:rPr>
        <w:t>Table 5</w:t>
      </w:r>
      <w:r>
        <w:rPr>
          <w:color w:val="0000FF"/>
          <w:lang w:val="en-GB"/>
        </w:rPr>
        <w:fldChar w:fldCharType="end"/>
      </w:r>
      <w:r>
        <w:rPr>
          <w:color w:val="0000FF"/>
          <w:lang w:val="en-GB"/>
        </w:rPr>
        <w:t>.</w:t>
      </w:r>
    </w:p>
    <w:p w14:paraId="277041D8" w14:textId="77777777" w:rsidR="005E785F" w:rsidRDefault="003621E8">
      <w:pPr>
        <w:numPr>
          <w:ilvl w:val="0"/>
          <w:numId w:val="70"/>
        </w:numPr>
        <w:spacing w:before="120" w:after="120"/>
        <w:jc w:val="both"/>
        <w:rPr>
          <w:lang w:val="en-GB"/>
        </w:rPr>
      </w:pPr>
      <w:r>
        <w:rPr>
          <w:lang w:val="en-GB"/>
        </w:rPr>
        <w:t>Tubes will be inverted 8-10 times after collection. After a minimum of 2 hours at room temperature, and without further processing, the full blood samples will be stored at -80°C prior to shipment for analysis.</w:t>
      </w:r>
    </w:p>
    <w:p w14:paraId="655D641E" w14:textId="4E9A3A65" w:rsidR="005E785F" w:rsidRDefault="003621E8">
      <w:pPr>
        <w:spacing w:before="120" w:after="120"/>
        <w:rPr>
          <w:lang w:val="en-GB"/>
        </w:rPr>
      </w:pPr>
      <w:bookmarkStart w:id="216" w:name="_Hlk65094522"/>
      <w:r>
        <w:rPr>
          <w:lang w:val="en-GB"/>
        </w:rPr>
        <w:t>Full details of sample handling and processing can be found in the SHM.</w:t>
      </w:r>
      <w:bookmarkEnd w:id="216"/>
    </w:p>
    <w:p w14:paraId="0DBF089D" w14:textId="4B64303C" w:rsidR="005E785F" w:rsidRDefault="003621E8">
      <w:pPr>
        <w:spacing w:before="120" w:after="120"/>
        <w:rPr>
          <w:lang w:val="en-GB"/>
        </w:rPr>
      </w:pPr>
      <w:r>
        <w:rPr>
          <w:lang w:val="en-GB"/>
        </w:rPr>
        <w:t>mRNA markers will be analysed and reported separately.</w:t>
      </w:r>
    </w:p>
    <w:p w14:paraId="73FB2242" w14:textId="5A26DC31" w:rsidR="005E785F" w:rsidRDefault="003621E8">
      <w:pPr>
        <w:pStyle w:val="Heading3"/>
      </w:pPr>
      <w:bookmarkStart w:id="217" w:name="_Toc74904437"/>
      <w:bookmarkEnd w:id="215"/>
      <w:r>
        <w:lastRenderedPageBreak/>
        <w:t>Blood for PBMC isolate</w:t>
      </w:r>
      <w:bookmarkEnd w:id="217"/>
    </w:p>
    <w:p w14:paraId="0BBD2056" w14:textId="376FDDCD" w:rsidR="005E785F" w:rsidRDefault="003621E8">
      <w:pPr>
        <w:spacing w:before="120" w:after="120"/>
        <w:jc w:val="both"/>
        <w:rPr>
          <w:rFonts w:eastAsia="MS Mincho"/>
          <w:color w:val="0000FF"/>
          <w:lang w:val="en-GB"/>
        </w:rPr>
      </w:pPr>
      <w:bookmarkStart w:id="218" w:name="_Hlk67130109"/>
      <w:r>
        <w:rPr>
          <w:rFonts w:eastAsia="MS Mincho"/>
          <w:lang w:val="en-GB"/>
        </w:rPr>
        <w:t xml:space="preserve">Blood samples for PBMC isolate will be collected during the study at the timepoints specified in </w:t>
      </w:r>
      <w:r>
        <w:rPr>
          <w:rFonts w:eastAsia="MS Mincho"/>
          <w:color w:val="0000FF"/>
          <w:lang w:val="en-GB"/>
        </w:rPr>
        <w:fldChar w:fldCharType="begin"/>
      </w:r>
      <w:r>
        <w:rPr>
          <w:rFonts w:eastAsia="MS Mincho"/>
          <w:color w:val="0000FF"/>
          <w:lang w:val="en-GB"/>
        </w:rPr>
        <w:instrText xml:space="preserve"> REF _Ref66109390 \h </w:instrText>
      </w:r>
      <w:r>
        <w:rPr>
          <w:rFonts w:eastAsia="MS Mincho"/>
          <w:color w:val="0000FF"/>
          <w:lang w:val="en-GB"/>
        </w:rPr>
      </w:r>
      <w:r>
        <w:rPr>
          <w:rFonts w:eastAsia="MS Mincho"/>
          <w:color w:val="0000FF"/>
          <w:lang w:val="en-GB"/>
        </w:rPr>
        <w:fldChar w:fldCharType="separate"/>
      </w:r>
      <w:r>
        <w:rPr>
          <w:color w:val="0000FF"/>
        </w:rPr>
        <w:t>Table 5</w:t>
      </w:r>
      <w:r>
        <w:rPr>
          <w:rFonts w:eastAsia="MS Mincho"/>
          <w:color w:val="0000FF"/>
          <w:lang w:val="en-GB"/>
        </w:rPr>
        <w:fldChar w:fldCharType="end"/>
      </w:r>
      <w:bookmarkEnd w:id="218"/>
      <w:r>
        <w:rPr>
          <w:rFonts w:eastAsia="MS Mincho"/>
          <w:color w:val="0000FF"/>
          <w:lang w:val="en-GB"/>
        </w:rPr>
        <w:t>.</w:t>
      </w:r>
    </w:p>
    <w:p w14:paraId="7790AEE1" w14:textId="4C722CB1" w:rsidR="005E785F" w:rsidRDefault="003621E8">
      <w:pPr>
        <w:spacing w:before="120" w:after="120"/>
        <w:jc w:val="both"/>
        <w:rPr>
          <w:rFonts w:eastAsia="MS Mincho"/>
          <w:lang w:val="en-GB"/>
        </w:rPr>
      </w:pPr>
      <w:r>
        <w:rPr>
          <w:rFonts w:cs="Times New Roman"/>
          <w:szCs w:val="24"/>
        </w:rPr>
        <w:t>Blood samples (40 mL [4x10 mL samples]) for PBMC activity assessment will be taken into sodium heparin plasma tubes at each time point, processed as described in the Laboratory Service Plan (LSP). Purified, frozen PBMCs will be shipped to a laboratory contracted by DNDi for exploratory analysis according to applicable local SOPs.</w:t>
      </w:r>
    </w:p>
    <w:p w14:paraId="73FB2243" w14:textId="3C05A29C" w:rsidR="005E785F" w:rsidRDefault="003621E8">
      <w:pPr>
        <w:spacing w:before="120" w:after="120"/>
        <w:jc w:val="both"/>
        <w:rPr>
          <w:rFonts w:eastAsia="MS Mincho"/>
          <w:lang w:val="en-GB"/>
        </w:rPr>
      </w:pPr>
      <w:r>
        <w:rPr>
          <w:rFonts w:eastAsia="MS Mincho"/>
          <w:lang w:val="en-GB"/>
        </w:rPr>
        <w:t>PBMC samples will be analysed and reported separately.</w:t>
      </w:r>
    </w:p>
    <w:p w14:paraId="1C6D5540" w14:textId="01E8F437" w:rsidR="005E785F" w:rsidRDefault="003621E8">
      <w:pPr>
        <w:pStyle w:val="Heading3"/>
        <w:rPr>
          <w:rFonts w:eastAsia="MS Mincho"/>
        </w:rPr>
      </w:pPr>
      <w:bookmarkStart w:id="219" w:name="_Toc74904438"/>
      <w:r>
        <w:rPr>
          <w:rFonts w:eastAsia="MS Mincho"/>
        </w:rPr>
        <w:t>Blood for Titration of Autoantibodies</w:t>
      </w:r>
      <w:bookmarkEnd w:id="219"/>
    </w:p>
    <w:p w14:paraId="3F3C1C61" w14:textId="437384C1" w:rsidR="005E785F" w:rsidRDefault="003621E8">
      <w:pPr>
        <w:spacing w:before="120" w:after="120"/>
        <w:jc w:val="both"/>
        <w:rPr>
          <w:rFonts w:eastAsia="MS Mincho"/>
          <w:lang w:val="en-GB"/>
        </w:rPr>
      </w:pPr>
      <w:r>
        <w:rPr>
          <w:rFonts w:eastAsia="MS Mincho"/>
          <w:lang w:val="en-GB"/>
        </w:rPr>
        <w:t xml:space="preserve">Blood samples for titration of autoantibodies (5 mL) will be collected during the study, at the timepoints specified in Table 5, </w:t>
      </w:r>
      <w:bookmarkStart w:id="220" w:name="_Hlk67130196"/>
      <w:r>
        <w:rPr>
          <w:rFonts w:eastAsia="MS Mincho"/>
          <w:lang w:val="en-GB"/>
        </w:rPr>
        <w:t>and</w:t>
      </w:r>
      <w:bookmarkEnd w:id="220"/>
      <w:r>
        <w:rPr>
          <w:rFonts w:eastAsia="MS Mincho"/>
          <w:lang w:val="en-GB"/>
        </w:rPr>
        <w:t xml:space="preserve"> will be stored for future analysis, if required.</w:t>
      </w:r>
    </w:p>
    <w:p w14:paraId="41B8BC5A" w14:textId="37AF9008" w:rsidR="005E785F" w:rsidRDefault="003621E8">
      <w:pPr>
        <w:spacing w:before="120" w:after="120"/>
        <w:jc w:val="both"/>
        <w:rPr>
          <w:rFonts w:eastAsia="MS Mincho"/>
          <w:highlight w:val="yellow"/>
          <w:lang w:val="en-GB"/>
        </w:rPr>
      </w:pPr>
      <w:r>
        <w:rPr>
          <w:rFonts w:eastAsia="MS Mincho"/>
          <w:lang w:val="en-GB"/>
        </w:rPr>
        <w:t>Full details of sample handling and processing can be found in the SHM.</w:t>
      </w:r>
    </w:p>
    <w:p w14:paraId="73FB2247" w14:textId="77777777" w:rsidR="005E785F" w:rsidRDefault="003621E8">
      <w:pPr>
        <w:pStyle w:val="Heading2"/>
      </w:pPr>
      <w:bookmarkStart w:id="221" w:name="_Toc74904439"/>
      <w:bookmarkStart w:id="222" w:name="_Toc200273949"/>
      <w:r>
        <w:t>Data Quality Assurance</w:t>
      </w:r>
      <w:bookmarkEnd w:id="221"/>
    </w:p>
    <w:p w14:paraId="73FB2248" w14:textId="7ED2FCFC" w:rsidR="005E785F" w:rsidRDefault="003621E8">
      <w:pPr>
        <w:pStyle w:val="C-BodyText"/>
        <w:spacing w:line="240" w:lineRule="auto"/>
        <w:jc w:val="both"/>
        <w:rPr>
          <w:lang w:val="en-GB"/>
        </w:rPr>
      </w:pPr>
      <w:bookmarkStart w:id="223" w:name="_Toc389020860"/>
      <w:bookmarkEnd w:id="222"/>
      <w:r>
        <w:rPr>
          <w:lang w:val="en-GB"/>
        </w:rPr>
        <w:t>At the time the study is initiated, a representative of the Sponsor will thoroughly review the final protocol and eCRFs with the PI and site staff. During the course of the study, the Monitor will visit the Clinical Unit regularly to check the completeness of the participants’ records (including the volunteer (participant) master files, laboratory and 12-lead ECG print-outs), the accuracy of entries into the eCRFs, the adherence to the final protocol and to ICH GCP E6 (R2) guidelines</w:t>
      </w:r>
      <w:r>
        <w:rPr>
          <w:color w:val="0000FF"/>
          <w:vertAlign w:val="superscript"/>
          <w:lang w:val="en-GB"/>
        </w:rPr>
        <w:t>[0</w:t>
      </w:r>
      <w:r>
        <w:rPr>
          <w:color w:val="0000FF"/>
          <w:vertAlign w:val="superscript"/>
          <w:lang w:val="en-GB"/>
        </w:rPr>
        <w:fldChar w:fldCharType="begin"/>
      </w:r>
      <w:r>
        <w:rPr>
          <w:color w:val="0000FF"/>
          <w:vertAlign w:val="superscript"/>
          <w:lang w:val="en-GB"/>
        </w:rPr>
        <w:instrText xml:space="preserve"> REF _Ref65270188 \r \h </w:instrText>
      </w:r>
      <w:r>
        <w:rPr>
          <w:color w:val="0000FF"/>
          <w:vertAlign w:val="superscript"/>
          <w:lang w:val="en-GB"/>
        </w:rPr>
      </w:r>
      <w:r>
        <w:rPr>
          <w:color w:val="0000FF"/>
          <w:vertAlign w:val="superscript"/>
          <w:lang w:val="en-GB"/>
        </w:rPr>
        <w:fldChar w:fldCharType="separate"/>
      </w:r>
      <w:r>
        <w:rPr>
          <w:color w:val="0000FF"/>
          <w:vertAlign w:val="superscript"/>
          <w:lang w:val="en-GB"/>
        </w:rPr>
        <w:t>3</w:t>
      </w:r>
      <w:r>
        <w:rPr>
          <w:color w:val="0000FF"/>
          <w:vertAlign w:val="superscript"/>
          <w:lang w:val="en-GB"/>
        </w:rPr>
        <w:fldChar w:fldCharType="end"/>
      </w:r>
      <w:r>
        <w:rPr>
          <w:color w:val="0000FF"/>
          <w:vertAlign w:val="superscript"/>
          <w:lang w:val="en-GB"/>
        </w:rPr>
        <w:t>]</w:t>
      </w:r>
      <w:r>
        <w:rPr>
          <w:lang w:val="en-GB"/>
        </w:rPr>
        <w:t>, the progress of enrolment and also to ensure the storage, handling and accountability of the IMP. The PI and key study personnel will be available to assist the Monitor during these visits.</w:t>
      </w:r>
    </w:p>
    <w:p w14:paraId="73FB2249" w14:textId="5F352208" w:rsidR="005E785F" w:rsidRDefault="003621E8">
      <w:pPr>
        <w:pStyle w:val="C-BodyText"/>
        <w:spacing w:line="240" w:lineRule="auto"/>
        <w:jc w:val="both"/>
        <w:rPr>
          <w:lang w:val="en-GB"/>
        </w:rPr>
      </w:pPr>
      <w:r>
        <w:rPr>
          <w:lang w:val="en-GB"/>
        </w:rPr>
        <w:t>The PI will give the Monitor, Auditor(s), the REC, and the MHRA direct access to relevant clinical records to confirm their consistency with the eCRF entries. No information in these records about the identity of the participants will leave Simbec-Orion. The Sponsor will maintain the confidentiality of all participant records, in line with ICH GCP E6 (R2) guidelines</w:t>
      </w:r>
      <w:r>
        <w:rPr>
          <w:color w:val="0000FF"/>
          <w:vertAlign w:val="superscript"/>
          <w:lang w:val="en-GB"/>
        </w:rPr>
        <w:t>[0</w:t>
      </w:r>
      <w:r>
        <w:rPr>
          <w:color w:val="0000FF"/>
          <w:vertAlign w:val="superscript"/>
          <w:lang w:val="en-GB"/>
        </w:rPr>
        <w:fldChar w:fldCharType="begin"/>
      </w:r>
      <w:r>
        <w:rPr>
          <w:color w:val="0000FF"/>
          <w:vertAlign w:val="superscript"/>
          <w:lang w:val="en-GB"/>
        </w:rPr>
        <w:instrText xml:space="preserve"> REF _Ref65270188 \r \h </w:instrText>
      </w:r>
      <w:r>
        <w:rPr>
          <w:color w:val="0000FF"/>
          <w:vertAlign w:val="superscript"/>
          <w:lang w:val="en-GB"/>
        </w:rPr>
      </w:r>
      <w:r>
        <w:rPr>
          <w:color w:val="0000FF"/>
          <w:vertAlign w:val="superscript"/>
          <w:lang w:val="en-GB"/>
        </w:rPr>
        <w:fldChar w:fldCharType="separate"/>
      </w:r>
      <w:r>
        <w:rPr>
          <w:color w:val="0000FF"/>
          <w:vertAlign w:val="superscript"/>
          <w:lang w:val="en-GB"/>
        </w:rPr>
        <w:t>3</w:t>
      </w:r>
      <w:r>
        <w:rPr>
          <w:color w:val="0000FF"/>
          <w:vertAlign w:val="superscript"/>
          <w:lang w:val="en-GB"/>
        </w:rPr>
        <w:fldChar w:fldCharType="end"/>
      </w:r>
      <w:r>
        <w:rPr>
          <w:color w:val="0000FF"/>
          <w:vertAlign w:val="superscript"/>
          <w:lang w:val="en-GB"/>
        </w:rPr>
        <w:t>]</w:t>
      </w:r>
      <w:r>
        <w:rPr>
          <w:lang w:val="en-GB"/>
        </w:rPr>
        <w:t>.</w:t>
      </w:r>
    </w:p>
    <w:p w14:paraId="73FB224A" w14:textId="714B7ACB" w:rsidR="005E785F" w:rsidRDefault="003621E8">
      <w:pPr>
        <w:pStyle w:val="C-BodyText"/>
        <w:spacing w:line="240" w:lineRule="auto"/>
        <w:jc w:val="both"/>
        <w:rPr>
          <w:lang w:val="en-GB"/>
        </w:rPr>
      </w:pPr>
      <w:r>
        <w:rPr>
          <w:lang w:val="en-GB"/>
        </w:rPr>
        <w:t>Study data will be fully documented in the eCRFs and study logbooks. Dated signatures will be given to account for all interventions in the study by research staff.</w:t>
      </w:r>
    </w:p>
    <w:p w14:paraId="73FB224B" w14:textId="1D83C237" w:rsidR="005E785F" w:rsidRDefault="003621E8">
      <w:pPr>
        <w:pStyle w:val="C-BodyText"/>
        <w:spacing w:line="240" w:lineRule="auto"/>
        <w:jc w:val="both"/>
        <w:rPr>
          <w:lang w:val="en-GB"/>
        </w:rPr>
      </w:pPr>
      <w:r>
        <w:rPr>
          <w:lang w:val="en-GB"/>
        </w:rPr>
        <w:t>Source data is all information in original records and certified copies of original records of clinical findings, observations, or other activities in a clinical study necessary for the reconstruction and evaluation of the study. Source data are contained in source documents (original records or certified copies).</w:t>
      </w:r>
    </w:p>
    <w:p w14:paraId="73FB224C" w14:textId="16ED5050" w:rsidR="005E785F" w:rsidRDefault="003621E8">
      <w:pPr>
        <w:pStyle w:val="C-BodyText"/>
        <w:spacing w:line="240" w:lineRule="auto"/>
        <w:jc w:val="both"/>
        <w:rPr>
          <w:lang w:val="en-GB"/>
        </w:rPr>
      </w:pPr>
      <w:r>
        <w:rPr>
          <w:lang w:val="en-GB"/>
        </w:rPr>
        <w:t xml:space="preserve">For the purposes of this study the source data will be recorded as detailed in </w:t>
      </w:r>
      <w:r>
        <w:rPr>
          <w:color w:val="0000FF"/>
          <w:lang w:val="en-GB"/>
        </w:rPr>
        <w:fldChar w:fldCharType="begin"/>
      </w:r>
      <w:r>
        <w:rPr>
          <w:color w:val="0000FF"/>
          <w:lang w:val="en-GB"/>
        </w:rPr>
        <w:instrText xml:space="preserve"> REF _Ref66119387 \h </w:instrText>
      </w:r>
      <w:r>
        <w:rPr>
          <w:color w:val="0000FF"/>
          <w:lang w:val="en-GB"/>
        </w:rPr>
      </w:r>
      <w:r>
        <w:rPr>
          <w:color w:val="0000FF"/>
          <w:lang w:val="en-GB"/>
        </w:rPr>
        <w:fldChar w:fldCharType="separate"/>
      </w:r>
      <w:r>
        <w:rPr>
          <w:color w:val="0000FF"/>
        </w:rPr>
        <w:t>Table 7</w:t>
      </w:r>
      <w:r>
        <w:rPr>
          <w:color w:val="0000FF"/>
          <w:lang w:val="en-GB"/>
        </w:rPr>
        <w:fldChar w:fldCharType="end"/>
      </w:r>
      <w:r>
        <w:rPr>
          <w:color w:val="0000FF"/>
          <w:lang w:val="en-GB"/>
        </w:rPr>
        <w:t>.</w:t>
      </w:r>
    </w:p>
    <w:p w14:paraId="73FB224D" w14:textId="284B3820" w:rsidR="005E785F" w:rsidRDefault="003621E8">
      <w:pPr>
        <w:pStyle w:val="Caption"/>
        <w:rPr>
          <w:lang w:val="en-GB"/>
        </w:rPr>
      </w:pPr>
      <w:bookmarkStart w:id="224" w:name="_Ref66119387"/>
      <w:bookmarkStart w:id="225" w:name="_Toc66992768"/>
      <w:r>
        <w:lastRenderedPageBreak/>
        <w:t xml:space="preserve">Table </w:t>
      </w:r>
      <w:r w:rsidR="00747B9C">
        <w:fldChar w:fldCharType="begin"/>
      </w:r>
      <w:r w:rsidR="00747B9C">
        <w:instrText xml:space="preserve"> SEQ Table \* ARABIC </w:instrText>
      </w:r>
      <w:r w:rsidR="00747B9C">
        <w:fldChar w:fldCharType="separate"/>
      </w:r>
      <w:r>
        <w:t>7</w:t>
      </w:r>
      <w:r w:rsidR="00747B9C">
        <w:fldChar w:fldCharType="end"/>
      </w:r>
      <w:bookmarkEnd w:id="224"/>
      <w:r>
        <w:rPr>
          <w:lang w:val="en-GB"/>
        </w:rPr>
        <w:tab/>
        <w:t>Summary of Source Documentation Location</w:t>
      </w:r>
      <w:bookmarkEnd w:id="225"/>
    </w:p>
    <w:tbl>
      <w:tblPr>
        <w:tblStyle w:val="TableGrid"/>
        <w:tblW w:w="9351" w:type="dxa"/>
        <w:tblLook w:val="00A0" w:firstRow="1" w:lastRow="0" w:firstColumn="1" w:lastColumn="0" w:noHBand="0" w:noVBand="0"/>
      </w:tblPr>
      <w:tblGrid>
        <w:gridCol w:w="3843"/>
        <w:gridCol w:w="1255"/>
        <w:gridCol w:w="1276"/>
        <w:gridCol w:w="1276"/>
        <w:gridCol w:w="1701"/>
      </w:tblGrid>
      <w:tr w:rsidR="003E44F4" w14:paraId="73FB2250" w14:textId="77777777" w:rsidTr="00A529B5">
        <w:tc>
          <w:tcPr>
            <w:tcW w:w="3843" w:type="dxa"/>
            <w:vMerge w:val="restart"/>
          </w:tcPr>
          <w:p w14:paraId="73FB224E" w14:textId="77777777" w:rsidR="003E44F4" w:rsidRDefault="003E44F4">
            <w:pPr>
              <w:keepNext/>
              <w:rPr>
                <w:rFonts w:cs="Times New Roman"/>
                <w:b/>
                <w:sz w:val="20"/>
                <w:lang w:val="en-GB"/>
              </w:rPr>
            </w:pPr>
            <w:r>
              <w:rPr>
                <w:rFonts w:cs="Times New Roman"/>
                <w:b/>
                <w:sz w:val="20"/>
                <w:lang w:val="en-GB"/>
              </w:rPr>
              <w:t>Data</w:t>
            </w:r>
          </w:p>
        </w:tc>
        <w:tc>
          <w:tcPr>
            <w:tcW w:w="1255" w:type="dxa"/>
          </w:tcPr>
          <w:p w14:paraId="0369E29E" w14:textId="4C157FBE" w:rsidR="003E44F4" w:rsidRDefault="002E37E4">
            <w:pPr>
              <w:keepNext/>
              <w:jc w:val="center"/>
              <w:rPr>
                <w:rFonts w:cs="Times New Roman"/>
                <w:b/>
                <w:sz w:val="20"/>
                <w:lang w:val="en-GB"/>
              </w:rPr>
            </w:pPr>
            <w:r>
              <w:rPr>
                <w:rFonts w:cs="Times New Roman"/>
                <w:b/>
                <w:bCs/>
                <w:sz w:val="20"/>
              </w:rPr>
              <w:t>eCRF</w:t>
            </w:r>
            <w:r>
              <w:rPr>
                <w:rFonts w:cs="Times New Roman"/>
                <w:b/>
                <w:bCs/>
                <w:vertAlign w:val="superscript"/>
              </w:rPr>
              <w:t>1</w:t>
            </w:r>
          </w:p>
        </w:tc>
        <w:tc>
          <w:tcPr>
            <w:tcW w:w="4253" w:type="dxa"/>
            <w:gridSpan w:val="3"/>
          </w:tcPr>
          <w:p w14:paraId="73FB224F" w14:textId="5920AF21" w:rsidR="003E44F4" w:rsidRDefault="002E37E4">
            <w:pPr>
              <w:keepNext/>
              <w:jc w:val="center"/>
              <w:rPr>
                <w:rFonts w:cs="Times New Roman"/>
                <w:b/>
                <w:sz w:val="20"/>
                <w:lang w:val="en-GB"/>
              </w:rPr>
            </w:pPr>
            <w:r>
              <w:rPr>
                <w:rFonts w:cs="Times New Roman"/>
                <w:b/>
                <w:sz w:val="20"/>
                <w:lang w:val="en-GB"/>
              </w:rPr>
              <w:t xml:space="preserve">Paper </w:t>
            </w:r>
            <w:r w:rsidR="003E44F4">
              <w:rPr>
                <w:rFonts w:cs="Times New Roman"/>
                <w:b/>
                <w:sz w:val="20"/>
                <w:lang w:val="en-GB"/>
              </w:rPr>
              <w:t>Source Document</w:t>
            </w:r>
          </w:p>
        </w:tc>
      </w:tr>
      <w:tr w:rsidR="005E785F" w14:paraId="73FB2255" w14:textId="77777777">
        <w:tc>
          <w:tcPr>
            <w:tcW w:w="3843" w:type="dxa"/>
            <w:vMerge/>
          </w:tcPr>
          <w:p w14:paraId="73FB2251" w14:textId="77777777" w:rsidR="005E785F" w:rsidRDefault="005E785F">
            <w:pPr>
              <w:keepNext/>
              <w:jc w:val="both"/>
              <w:rPr>
                <w:rFonts w:cs="Times New Roman"/>
                <w:b/>
                <w:sz w:val="20"/>
                <w:lang w:val="en-GB"/>
              </w:rPr>
            </w:pPr>
          </w:p>
        </w:tc>
        <w:tc>
          <w:tcPr>
            <w:tcW w:w="1255" w:type="dxa"/>
          </w:tcPr>
          <w:p w14:paraId="73FB2252" w14:textId="0CE32B6C" w:rsidR="005E785F" w:rsidRDefault="005E785F">
            <w:pPr>
              <w:keepNext/>
              <w:tabs>
                <w:tab w:val="center" w:pos="4320"/>
                <w:tab w:val="right" w:pos="8640"/>
              </w:tabs>
              <w:jc w:val="center"/>
              <w:rPr>
                <w:rFonts w:cs="Times New Roman"/>
                <w:b/>
                <w:sz w:val="20"/>
                <w:lang w:val="en-GB"/>
              </w:rPr>
            </w:pPr>
          </w:p>
        </w:tc>
        <w:tc>
          <w:tcPr>
            <w:tcW w:w="1276" w:type="dxa"/>
          </w:tcPr>
          <w:p w14:paraId="6D706793" w14:textId="2A871B2F" w:rsidR="005E785F" w:rsidRDefault="002E37E4">
            <w:pPr>
              <w:keepNext/>
              <w:tabs>
                <w:tab w:val="center" w:pos="4320"/>
                <w:tab w:val="right" w:pos="8640"/>
              </w:tabs>
              <w:jc w:val="center"/>
              <w:rPr>
                <w:rFonts w:cs="Times New Roman"/>
                <w:b/>
                <w:sz w:val="20"/>
                <w:lang w:val="en-GB"/>
              </w:rPr>
            </w:pPr>
            <w:r w:rsidRPr="002E37E4">
              <w:rPr>
                <w:rFonts w:cs="Times New Roman"/>
                <w:b/>
                <w:bCs/>
                <w:sz w:val="20"/>
              </w:rPr>
              <w:t>Volunteer Master File</w:t>
            </w:r>
            <w:r w:rsidRPr="002E37E4" w:rsidDel="002E37E4">
              <w:rPr>
                <w:rFonts w:cs="Times New Roman"/>
                <w:b/>
                <w:bCs/>
                <w:sz w:val="20"/>
              </w:rPr>
              <w:t xml:space="preserve"> </w:t>
            </w:r>
          </w:p>
        </w:tc>
        <w:tc>
          <w:tcPr>
            <w:tcW w:w="1276" w:type="dxa"/>
          </w:tcPr>
          <w:p w14:paraId="2FE34421" w14:textId="3AE797A5" w:rsidR="005E785F" w:rsidRDefault="003621E8">
            <w:pPr>
              <w:keepNext/>
              <w:tabs>
                <w:tab w:val="center" w:pos="4320"/>
                <w:tab w:val="right" w:pos="8640"/>
              </w:tabs>
              <w:jc w:val="center"/>
              <w:rPr>
                <w:rFonts w:cs="Times New Roman"/>
                <w:b/>
                <w:sz w:val="20"/>
                <w:lang w:val="en-GB"/>
              </w:rPr>
            </w:pPr>
            <w:r>
              <w:rPr>
                <w:rFonts w:cs="Times New Roman"/>
                <w:b/>
                <w:sz w:val="20"/>
                <w:lang w:val="en-GB"/>
              </w:rPr>
              <w:t>Paper Source File</w:t>
            </w:r>
          </w:p>
        </w:tc>
        <w:tc>
          <w:tcPr>
            <w:tcW w:w="1701" w:type="dxa"/>
          </w:tcPr>
          <w:p w14:paraId="73FB2254" w14:textId="1E36C710" w:rsidR="005E785F" w:rsidRDefault="003621E8">
            <w:pPr>
              <w:keepNext/>
              <w:tabs>
                <w:tab w:val="center" w:pos="4320"/>
                <w:tab w:val="right" w:pos="8640"/>
              </w:tabs>
              <w:jc w:val="center"/>
              <w:rPr>
                <w:rFonts w:cs="Times New Roman"/>
                <w:b/>
                <w:sz w:val="20"/>
                <w:lang w:val="en-GB"/>
              </w:rPr>
            </w:pPr>
            <w:r>
              <w:rPr>
                <w:rFonts w:cs="Times New Roman"/>
                <w:b/>
                <w:sz w:val="20"/>
                <w:lang w:val="en-GB"/>
              </w:rPr>
              <w:t>Other</w:t>
            </w:r>
            <w:r w:rsidR="003E44F4">
              <w:t xml:space="preserve"> </w:t>
            </w:r>
            <w:r w:rsidR="003E44F4" w:rsidRPr="003E44F4">
              <w:rPr>
                <w:rFonts w:cs="Times New Roman"/>
                <w:b/>
                <w:sz w:val="20"/>
                <w:lang w:val="en-GB"/>
              </w:rPr>
              <w:t>Study Documentation</w:t>
            </w:r>
          </w:p>
        </w:tc>
      </w:tr>
      <w:tr w:rsidR="005E785F" w14:paraId="73FB225A" w14:textId="77777777">
        <w:tc>
          <w:tcPr>
            <w:tcW w:w="3843" w:type="dxa"/>
          </w:tcPr>
          <w:p w14:paraId="73FB2256" w14:textId="30E000DD" w:rsidR="005E785F" w:rsidRDefault="003621E8">
            <w:pPr>
              <w:keepNext/>
              <w:rPr>
                <w:rFonts w:cs="Times New Roman"/>
                <w:sz w:val="20"/>
                <w:lang w:val="en-GB"/>
              </w:rPr>
            </w:pPr>
            <w:r>
              <w:rPr>
                <w:rFonts w:cs="Times New Roman"/>
                <w:sz w:val="20"/>
                <w:lang w:val="en-GB"/>
              </w:rPr>
              <w:t>Evidence of healthy participant status/primary disease condition for entry into clinical study</w:t>
            </w:r>
          </w:p>
        </w:tc>
        <w:tc>
          <w:tcPr>
            <w:tcW w:w="1255" w:type="dxa"/>
          </w:tcPr>
          <w:p w14:paraId="73FB2257" w14:textId="1C2AA921" w:rsidR="005E785F" w:rsidRDefault="005E785F">
            <w:pPr>
              <w:keepNext/>
              <w:tabs>
                <w:tab w:val="center" w:pos="4320"/>
                <w:tab w:val="right" w:pos="8640"/>
              </w:tabs>
              <w:jc w:val="center"/>
              <w:rPr>
                <w:rFonts w:cs="Times New Roman"/>
                <w:sz w:val="20"/>
                <w:lang w:val="en-GB"/>
              </w:rPr>
            </w:pPr>
          </w:p>
        </w:tc>
        <w:tc>
          <w:tcPr>
            <w:tcW w:w="1276" w:type="dxa"/>
          </w:tcPr>
          <w:p w14:paraId="73FB2258" w14:textId="3AD3EBAA" w:rsidR="005E785F" w:rsidRDefault="002E37E4">
            <w:pPr>
              <w:keepNext/>
              <w:jc w:val="center"/>
              <w:rPr>
                <w:rFonts w:cs="Times New Roman"/>
                <w:sz w:val="20"/>
                <w:lang w:val="en-GB"/>
              </w:rPr>
            </w:pPr>
            <w:r>
              <w:rPr>
                <w:rFonts w:cs="Times New Roman"/>
                <w:sz w:val="20"/>
                <w:lang w:val="en-GB"/>
              </w:rPr>
              <w:t>X</w:t>
            </w:r>
          </w:p>
        </w:tc>
        <w:tc>
          <w:tcPr>
            <w:tcW w:w="1276" w:type="dxa"/>
          </w:tcPr>
          <w:p w14:paraId="32614596" w14:textId="77777777" w:rsidR="005E785F" w:rsidRDefault="005E785F">
            <w:pPr>
              <w:keepNext/>
              <w:jc w:val="center"/>
              <w:rPr>
                <w:rFonts w:cs="Times New Roman"/>
                <w:sz w:val="20"/>
                <w:lang w:val="en-GB"/>
              </w:rPr>
            </w:pPr>
          </w:p>
        </w:tc>
        <w:tc>
          <w:tcPr>
            <w:tcW w:w="1701" w:type="dxa"/>
          </w:tcPr>
          <w:p w14:paraId="73FB2259" w14:textId="3CB978EF" w:rsidR="005E785F" w:rsidRDefault="005E785F">
            <w:pPr>
              <w:keepNext/>
              <w:jc w:val="center"/>
              <w:rPr>
                <w:rFonts w:cs="Times New Roman"/>
                <w:sz w:val="20"/>
                <w:lang w:val="en-GB"/>
              </w:rPr>
            </w:pPr>
          </w:p>
        </w:tc>
      </w:tr>
      <w:tr w:rsidR="005E785F" w14:paraId="73FB225F" w14:textId="77777777">
        <w:tc>
          <w:tcPr>
            <w:tcW w:w="3843" w:type="dxa"/>
          </w:tcPr>
          <w:p w14:paraId="73FB225B" w14:textId="77777777" w:rsidR="005E785F" w:rsidRDefault="003621E8">
            <w:pPr>
              <w:keepNext/>
              <w:tabs>
                <w:tab w:val="center" w:pos="4320"/>
                <w:tab w:val="right" w:pos="8640"/>
              </w:tabs>
              <w:jc w:val="both"/>
              <w:rPr>
                <w:rFonts w:cs="Times New Roman"/>
                <w:sz w:val="20"/>
                <w:lang w:val="en-GB"/>
              </w:rPr>
            </w:pPr>
            <w:r>
              <w:rPr>
                <w:rFonts w:cs="Times New Roman"/>
                <w:sz w:val="20"/>
                <w:lang w:val="en-GB"/>
              </w:rPr>
              <w:t>Demographic data</w:t>
            </w:r>
          </w:p>
        </w:tc>
        <w:tc>
          <w:tcPr>
            <w:tcW w:w="1255" w:type="dxa"/>
          </w:tcPr>
          <w:p w14:paraId="73FB225C" w14:textId="1F7009D9" w:rsidR="005E785F" w:rsidRDefault="002E37E4">
            <w:pPr>
              <w:keepNext/>
              <w:jc w:val="center"/>
              <w:rPr>
                <w:rFonts w:cs="Times New Roman"/>
                <w:sz w:val="20"/>
                <w:lang w:val="en-GB"/>
              </w:rPr>
            </w:pPr>
            <w:r>
              <w:rPr>
                <w:rFonts w:cs="Times New Roman"/>
                <w:sz w:val="20"/>
                <w:lang w:val="en-GB"/>
              </w:rPr>
              <w:t>X</w:t>
            </w:r>
          </w:p>
        </w:tc>
        <w:tc>
          <w:tcPr>
            <w:tcW w:w="1276" w:type="dxa"/>
          </w:tcPr>
          <w:p w14:paraId="73FB225D" w14:textId="2BA7134F" w:rsidR="005E785F" w:rsidRDefault="005E785F">
            <w:pPr>
              <w:keepNext/>
              <w:tabs>
                <w:tab w:val="center" w:pos="4320"/>
                <w:tab w:val="right" w:pos="8640"/>
              </w:tabs>
              <w:jc w:val="center"/>
              <w:rPr>
                <w:rFonts w:cs="Times New Roman"/>
                <w:sz w:val="20"/>
                <w:lang w:val="en-GB"/>
              </w:rPr>
            </w:pPr>
          </w:p>
        </w:tc>
        <w:tc>
          <w:tcPr>
            <w:tcW w:w="1276" w:type="dxa"/>
          </w:tcPr>
          <w:p w14:paraId="0DF98817" w14:textId="77777777" w:rsidR="005E785F" w:rsidRDefault="005E785F">
            <w:pPr>
              <w:keepNext/>
              <w:jc w:val="center"/>
              <w:rPr>
                <w:rFonts w:cs="Times New Roman"/>
                <w:sz w:val="20"/>
                <w:lang w:val="en-GB"/>
              </w:rPr>
            </w:pPr>
          </w:p>
        </w:tc>
        <w:tc>
          <w:tcPr>
            <w:tcW w:w="1701" w:type="dxa"/>
          </w:tcPr>
          <w:p w14:paraId="73FB225E" w14:textId="58B76062" w:rsidR="005E785F" w:rsidRDefault="005E785F">
            <w:pPr>
              <w:keepNext/>
              <w:jc w:val="center"/>
              <w:rPr>
                <w:rFonts w:cs="Times New Roman"/>
                <w:sz w:val="20"/>
                <w:lang w:val="en-GB"/>
              </w:rPr>
            </w:pPr>
          </w:p>
        </w:tc>
      </w:tr>
      <w:tr w:rsidR="005E785F" w14:paraId="73FB2264" w14:textId="77777777">
        <w:tc>
          <w:tcPr>
            <w:tcW w:w="3843" w:type="dxa"/>
          </w:tcPr>
          <w:p w14:paraId="73FB2260" w14:textId="1B9D6B5E" w:rsidR="005E785F" w:rsidRDefault="003621E8">
            <w:pPr>
              <w:keepNext/>
              <w:tabs>
                <w:tab w:val="center" w:pos="4320"/>
                <w:tab w:val="right" w:pos="8640"/>
              </w:tabs>
              <w:jc w:val="both"/>
              <w:rPr>
                <w:rFonts w:cs="Times New Roman"/>
                <w:sz w:val="20"/>
                <w:lang w:val="en-GB"/>
              </w:rPr>
            </w:pPr>
            <w:r>
              <w:rPr>
                <w:rFonts w:cs="Times New Roman"/>
                <w:sz w:val="20"/>
                <w:lang w:val="en-GB"/>
              </w:rPr>
              <w:t>Medical history and age</w:t>
            </w:r>
          </w:p>
        </w:tc>
        <w:tc>
          <w:tcPr>
            <w:tcW w:w="1255" w:type="dxa"/>
          </w:tcPr>
          <w:p w14:paraId="73FB2261" w14:textId="77777777" w:rsidR="005E785F" w:rsidRDefault="003621E8">
            <w:pPr>
              <w:keepNext/>
              <w:tabs>
                <w:tab w:val="center" w:pos="4320"/>
                <w:tab w:val="right" w:pos="8640"/>
              </w:tabs>
              <w:jc w:val="center"/>
              <w:rPr>
                <w:rFonts w:cs="Times New Roman"/>
                <w:sz w:val="20"/>
                <w:lang w:val="en-GB"/>
              </w:rPr>
            </w:pPr>
            <w:r>
              <w:rPr>
                <w:rFonts w:cs="Times New Roman"/>
                <w:sz w:val="20"/>
                <w:lang w:val="en-GB"/>
              </w:rPr>
              <w:t>X</w:t>
            </w:r>
          </w:p>
        </w:tc>
        <w:tc>
          <w:tcPr>
            <w:tcW w:w="1276" w:type="dxa"/>
          </w:tcPr>
          <w:p w14:paraId="73FB2262" w14:textId="7ED0C2CC" w:rsidR="005E785F" w:rsidRDefault="003621E8">
            <w:pPr>
              <w:keepNext/>
              <w:jc w:val="center"/>
              <w:rPr>
                <w:rFonts w:cs="Times New Roman"/>
                <w:sz w:val="20"/>
                <w:lang w:val="en-GB"/>
              </w:rPr>
            </w:pPr>
            <w:r>
              <w:rPr>
                <w:rFonts w:cs="Times New Roman"/>
                <w:sz w:val="20"/>
                <w:lang w:val="en-GB"/>
              </w:rPr>
              <w:t>X</w:t>
            </w:r>
          </w:p>
        </w:tc>
        <w:tc>
          <w:tcPr>
            <w:tcW w:w="1276" w:type="dxa"/>
          </w:tcPr>
          <w:p w14:paraId="004EF0E2" w14:textId="77777777" w:rsidR="005E785F" w:rsidRDefault="005E785F">
            <w:pPr>
              <w:keepNext/>
              <w:jc w:val="center"/>
              <w:rPr>
                <w:rFonts w:cs="Times New Roman"/>
                <w:sz w:val="20"/>
                <w:lang w:val="en-GB"/>
              </w:rPr>
            </w:pPr>
          </w:p>
        </w:tc>
        <w:tc>
          <w:tcPr>
            <w:tcW w:w="1701" w:type="dxa"/>
          </w:tcPr>
          <w:p w14:paraId="73FB2263" w14:textId="38E690D4" w:rsidR="005E785F" w:rsidRDefault="005E785F">
            <w:pPr>
              <w:keepNext/>
              <w:jc w:val="center"/>
              <w:rPr>
                <w:rFonts w:cs="Times New Roman"/>
                <w:sz w:val="20"/>
                <w:lang w:val="en-GB"/>
              </w:rPr>
            </w:pPr>
          </w:p>
        </w:tc>
      </w:tr>
      <w:tr w:rsidR="005E785F" w14:paraId="73FB2269" w14:textId="77777777">
        <w:tc>
          <w:tcPr>
            <w:tcW w:w="3843" w:type="dxa"/>
          </w:tcPr>
          <w:p w14:paraId="73FB2265" w14:textId="77777777" w:rsidR="005E785F" w:rsidRDefault="003621E8">
            <w:pPr>
              <w:keepNext/>
              <w:tabs>
                <w:tab w:val="center" w:pos="4320"/>
                <w:tab w:val="right" w:pos="8640"/>
              </w:tabs>
              <w:jc w:val="both"/>
              <w:rPr>
                <w:rFonts w:cs="Times New Roman"/>
                <w:sz w:val="20"/>
                <w:lang w:val="en-GB"/>
              </w:rPr>
            </w:pPr>
            <w:r>
              <w:rPr>
                <w:rFonts w:cs="Times New Roman"/>
                <w:sz w:val="20"/>
                <w:lang w:val="en-GB"/>
              </w:rPr>
              <w:t>Inclusion and exclusion criteria</w:t>
            </w:r>
          </w:p>
        </w:tc>
        <w:tc>
          <w:tcPr>
            <w:tcW w:w="1255" w:type="dxa"/>
          </w:tcPr>
          <w:p w14:paraId="73FB2266" w14:textId="77777777" w:rsidR="005E785F" w:rsidRDefault="005E785F">
            <w:pPr>
              <w:keepNext/>
              <w:jc w:val="center"/>
              <w:rPr>
                <w:rFonts w:cs="Times New Roman"/>
                <w:sz w:val="20"/>
                <w:lang w:val="en-GB"/>
              </w:rPr>
            </w:pPr>
          </w:p>
        </w:tc>
        <w:tc>
          <w:tcPr>
            <w:tcW w:w="1276" w:type="dxa"/>
          </w:tcPr>
          <w:p w14:paraId="690BBA78" w14:textId="77777777" w:rsidR="005E785F" w:rsidRDefault="005E785F">
            <w:pPr>
              <w:keepNext/>
              <w:tabs>
                <w:tab w:val="center" w:pos="4320"/>
                <w:tab w:val="right" w:pos="8640"/>
              </w:tabs>
              <w:jc w:val="center"/>
              <w:rPr>
                <w:rFonts w:cs="Times New Roman"/>
                <w:sz w:val="20"/>
                <w:lang w:val="en-GB"/>
              </w:rPr>
            </w:pPr>
          </w:p>
        </w:tc>
        <w:tc>
          <w:tcPr>
            <w:tcW w:w="1276" w:type="dxa"/>
          </w:tcPr>
          <w:p w14:paraId="01FD7C0B" w14:textId="77777777" w:rsidR="005E785F" w:rsidRDefault="003621E8">
            <w:pPr>
              <w:keepNext/>
              <w:jc w:val="center"/>
              <w:rPr>
                <w:rFonts w:cs="Times New Roman"/>
                <w:sz w:val="20"/>
                <w:lang w:val="en-GB"/>
              </w:rPr>
            </w:pPr>
            <w:r>
              <w:rPr>
                <w:rFonts w:cs="Times New Roman"/>
                <w:sz w:val="20"/>
              </w:rPr>
              <w:t>X</w:t>
            </w:r>
          </w:p>
        </w:tc>
        <w:tc>
          <w:tcPr>
            <w:tcW w:w="1701" w:type="dxa"/>
          </w:tcPr>
          <w:p w14:paraId="73FB2268" w14:textId="6F7BB5BC" w:rsidR="005E785F" w:rsidRDefault="005E785F">
            <w:pPr>
              <w:keepNext/>
              <w:jc w:val="center"/>
              <w:rPr>
                <w:rFonts w:cs="Times New Roman"/>
                <w:sz w:val="20"/>
                <w:lang w:val="en-GB"/>
              </w:rPr>
            </w:pPr>
          </w:p>
        </w:tc>
      </w:tr>
      <w:tr w:rsidR="005E785F" w14:paraId="73FB226E" w14:textId="77777777">
        <w:tc>
          <w:tcPr>
            <w:tcW w:w="3843" w:type="dxa"/>
          </w:tcPr>
          <w:p w14:paraId="73FB226A" w14:textId="162810FA" w:rsidR="005E785F" w:rsidRDefault="003621E8">
            <w:pPr>
              <w:keepNext/>
              <w:tabs>
                <w:tab w:val="center" w:pos="4320"/>
                <w:tab w:val="right" w:pos="8640"/>
              </w:tabs>
              <w:jc w:val="both"/>
              <w:rPr>
                <w:rFonts w:cs="Times New Roman"/>
                <w:sz w:val="20"/>
                <w:vertAlign w:val="superscript"/>
                <w:lang w:val="en-GB"/>
              </w:rPr>
            </w:pPr>
            <w:r>
              <w:rPr>
                <w:rFonts w:cs="Times New Roman"/>
                <w:sz w:val="20"/>
                <w:lang w:val="en-GB"/>
              </w:rPr>
              <w:t>Informed consents</w:t>
            </w:r>
            <w:r>
              <w:rPr>
                <w:rFonts w:cs="Times New Roman"/>
                <w:sz w:val="20"/>
                <w:vertAlign w:val="superscript"/>
                <w:lang w:val="en-GB"/>
              </w:rPr>
              <w:t>2</w:t>
            </w:r>
          </w:p>
        </w:tc>
        <w:tc>
          <w:tcPr>
            <w:tcW w:w="1255" w:type="dxa"/>
          </w:tcPr>
          <w:p w14:paraId="73FB226B" w14:textId="62014B41" w:rsidR="005E785F" w:rsidRDefault="005E785F">
            <w:pPr>
              <w:keepNext/>
              <w:tabs>
                <w:tab w:val="center" w:pos="4320"/>
                <w:tab w:val="right" w:pos="8640"/>
              </w:tabs>
              <w:jc w:val="center"/>
              <w:rPr>
                <w:rFonts w:cs="Times New Roman"/>
                <w:sz w:val="20"/>
                <w:lang w:val="en-GB"/>
              </w:rPr>
            </w:pPr>
          </w:p>
        </w:tc>
        <w:tc>
          <w:tcPr>
            <w:tcW w:w="1276" w:type="dxa"/>
          </w:tcPr>
          <w:p w14:paraId="73FB226C" w14:textId="292ECB08" w:rsidR="005E785F" w:rsidRDefault="005E785F">
            <w:pPr>
              <w:keepNext/>
              <w:tabs>
                <w:tab w:val="center" w:pos="4320"/>
                <w:tab w:val="right" w:pos="8640"/>
              </w:tabs>
              <w:jc w:val="center"/>
              <w:rPr>
                <w:rFonts w:cs="Times New Roman"/>
                <w:sz w:val="20"/>
                <w:lang w:val="en-GB"/>
              </w:rPr>
            </w:pPr>
          </w:p>
        </w:tc>
        <w:tc>
          <w:tcPr>
            <w:tcW w:w="1276" w:type="dxa"/>
          </w:tcPr>
          <w:p w14:paraId="28DE0AB3" w14:textId="78FD3059" w:rsidR="005E785F" w:rsidRDefault="003621E8">
            <w:pPr>
              <w:keepNext/>
              <w:jc w:val="center"/>
              <w:rPr>
                <w:rFonts w:cs="Times New Roman"/>
                <w:sz w:val="20"/>
                <w:lang w:val="en-GB"/>
              </w:rPr>
            </w:pPr>
            <w:r>
              <w:rPr>
                <w:rFonts w:cs="Times New Roman"/>
                <w:sz w:val="20"/>
                <w:lang w:val="en-GB"/>
              </w:rPr>
              <w:t>X</w:t>
            </w:r>
          </w:p>
        </w:tc>
        <w:tc>
          <w:tcPr>
            <w:tcW w:w="1701" w:type="dxa"/>
          </w:tcPr>
          <w:p w14:paraId="73FB226D" w14:textId="7DE081BC" w:rsidR="005E785F" w:rsidRDefault="005E785F">
            <w:pPr>
              <w:keepNext/>
              <w:jc w:val="center"/>
              <w:rPr>
                <w:rFonts w:cs="Times New Roman"/>
                <w:sz w:val="20"/>
                <w:lang w:val="en-GB"/>
              </w:rPr>
            </w:pPr>
          </w:p>
        </w:tc>
      </w:tr>
      <w:tr w:rsidR="005E785F" w14:paraId="73FB2273" w14:textId="77777777">
        <w:tc>
          <w:tcPr>
            <w:tcW w:w="3843" w:type="dxa"/>
          </w:tcPr>
          <w:p w14:paraId="73FB226F" w14:textId="3ECAF03F" w:rsidR="005E785F" w:rsidRDefault="003621E8">
            <w:pPr>
              <w:keepNext/>
              <w:tabs>
                <w:tab w:val="center" w:pos="4320"/>
                <w:tab w:val="right" w:pos="8640"/>
              </w:tabs>
              <w:jc w:val="both"/>
              <w:rPr>
                <w:rFonts w:cs="Times New Roman"/>
                <w:sz w:val="20"/>
                <w:lang w:val="en-GB"/>
              </w:rPr>
            </w:pPr>
            <w:r>
              <w:rPr>
                <w:rFonts w:cs="Times New Roman"/>
                <w:sz w:val="20"/>
                <w:lang w:val="en-GB"/>
              </w:rPr>
              <w:t>Participant involvement in the clinical study</w:t>
            </w:r>
          </w:p>
        </w:tc>
        <w:tc>
          <w:tcPr>
            <w:tcW w:w="1255" w:type="dxa"/>
          </w:tcPr>
          <w:p w14:paraId="73FB2270" w14:textId="4DCE0D3B" w:rsidR="005E785F" w:rsidRDefault="002E37E4">
            <w:pPr>
              <w:keepNext/>
              <w:jc w:val="center"/>
              <w:rPr>
                <w:rFonts w:cs="Times New Roman"/>
                <w:sz w:val="20"/>
                <w:lang w:val="en-GB"/>
              </w:rPr>
            </w:pPr>
            <w:r>
              <w:rPr>
                <w:rFonts w:cs="Times New Roman"/>
                <w:sz w:val="20"/>
                <w:lang w:val="en-GB"/>
              </w:rPr>
              <w:t>X</w:t>
            </w:r>
          </w:p>
        </w:tc>
        <w:tc>
          <w:tcPr>
            <w:tcW w:w="1276" w:type="dxa"/>
          </w:tcPr>
          <w:p w14:paraId="73FB2271" w14:textId="439C79A4" w:rsidR="005E785F" w:rsidRDefault="005E785F">
            <w:pPr>
              <w:keepNext/>
              <w:tabs>
                <w:tab w:val="center" w:pos="4320"/>
                <w:tab w:val="right" w:pos="8640"/>
              </w:tabs>
              <w:jc w:val="center"/>
              <w:rPr>
                <w:rFonts w:cs="Times New Roman"/>
                <w:sz w:val="20"/>
                <w:lang w:val="en-GB"/>
              </w:rPr>
            </w:pPr>
          </w:p>
        </w:tc>
        <w:tc>
          <w:tcPr>
            <w:tcW w:w="1276" w:type="dxa"/>
          </w:tcPr>
          <w:p w14:paraId="5417007F" w14:textId="77777777" w:rsidR="005E785F" w:rsidRDefault="005E785F">
            <w:pPr>
              <w:keepNext/>
              <w:jc w:val="center"/>
              <w:rPr>
                <w:rFonts w:cs="Times New Roman"/>
                <w:sz w:val="20"/>
                <w:lang w:val="en-GB"/>
              </w:rPr>
            </w:pPr>
          </w:p>
        </w:tc>
        <w:tc>
          <w:tcPr>
            <w:tcW w:w="1701" w:type="dxa"/>
          </w:tcPr>
          <w:p w14:paraId="73FB2272" w14:textId="694D432D" w:rsidR="005E785F" w:rsidRDefault="005E785F">
            <w:pPr>
              <w:keepNext/>
              <w:jc w:val="center"/>
              <w:rPr>
                <w:rFonts w:cs="Times New Roman"/>
                <w:sz w:val="20"/>
                <w:lang w:val="en-GB"/>
              </w:rPr>
            </w:pPr>
          </w:p>
        </w:tc>
      </w:tr>
      <w:tr w:rsidR="005E785F" w14:paraId="0D7C3C54" w14:textId="77777777">
        <w:tc>
          <w:tcPr>
            <w:tcW w:w="3843" w:type="dxa"/>
          </w:tcPr>
          <w:p w14:paraId="557C1442" w14:textId="0E60E831" w:rsidR="005E785F" w:rsidRDefault="003621E8">
            <w:pPr>
              <w:keepNext/>
              <w:tabs>
                <w:tab w:val="center" w:pos="4320"/>
                <w:tab w:val="right" w:pos="8640"/>
              </w:tabs>
              <w:jc w:val="both"/>
              <w:rPr>
                <w:rFonts w:cs="Times New Roman"/>
                <w:sz w:val="20"/>
                <w:lang w:val="en-GB"/>
              </w:rPr>
            </w:pPr>
            <w:r>
              <w:rPr>
                <w:rFonts w:cs="Times New Roman"/>
                <w:sz w:val="20"/>
                <w:lang w:val="en-GB"/>
              </w:rPr>
              <w:t>Screening number</w:t>
            </w:r>
          </w:p>
        </w:tc>
        <w:tc>
          <w:tcPr>
            <w:tcW w:w="1255" w:type="dxa"/>
          </w:tcPr>
          <w:p w14:paraId="14221932" w14:textId="77777777" w:rsidR="005E785F" w:rsidRDefault="005E785F">
            <w:pPr>
              <w:keepNext/>
              <w:jc w:val="center"/>
              <w:rPr>
                <w:rFonts w:cs="Times New Roman"/>
                <w:sz w:val="20"/>
                <w:lang w:val="en-GB"/>
              </w:rPr>
            </w:pPr>
          </w:p>
        </w:tc>
        <w:tc>
          <w:tcPr>
            <w:tcW w:w="1276" w:type="dxa"/>
          </w:tcPr>
          <w:p w14:paraId="7B2D583F" w14:textId="77777777" w:rsidR="005E785F" w:rsidRDefault="005E785F">
            <w:pPr>
              <w:keepNext/>
              <w:tabs>
                <w:tab w:val="center" w:pos="4320"/>
                <w:tab w:val="right" w:pos="8640"/>
              </w:tabs>
              <w:jc w:val="center"/>
              <w:rPr>
                <w:rFonts w:cs="Times New Roman"/>
                <w:sz w:val="20"/>
                <w:lang w:val="en-GB"/>
              </w:rPr>
            </w:pPr>
          </w:p>
        </w:tc>
        <w:tc>
          <w:tcPr>
            <w:tcW w:w="1276" w:type="dxa"/>
          </w:tcPr>
          <w:p w14:paraId="159F54DC" w14:textId="77777777" w:rsidR="005E785F" w:rsidRDefault="005E785F">
            <w:pPr>
              <w:keepNext/>
              <w:jc w:val="center"/>
              <w:rPr>
                <w:rFonts w:cs="Times New Roman"/>
                <w:sz w:val="20"/>
                <w:lang w:val="en-GB"/>
              </w:rPr>
            </w:pPr>
          </w:p>
        </w:tc>
        <w:tc>
          <w:tcPr>
            <w:tcW w:w="1701" w:type="dxa"/>
          </w:tcPr>
          <w:p w14:paraId="1C874C06" w14:textId="6B23E55B" w:rsidR="005E785F" w:rsidRDefault="003621E8">
            <w:pPr>
              <w:keepNext/>
              <w:jc w:val="center"/>
              <w:rPr>
                <w:rFonts w:cs="Times New Roman"/>
                <w:sz w:val="20"/>
                <w:lang w:val="en-GB"/>
              </w:rPr>
            </w:pPr>
            <w:r>
              <w:rPr>
                <w:rFonts w:cs="Times New Roman"/>
                <w:sz w:val="20"/>
                <w:lang w:val="en-GB"/>
              </w:rPr>
              <w:t>X (screening log)</w:t>
            </w:r>
          </w:p>
        </w:tc>
      </w:tr>
      <w:tr w:rsidR="005E785F" w14:paraId="73FB2278" w14:textId="77777777">
        <w:tc>
          <w:tcPr>
            <w:tcW w:w="3843" w:type="dxa"/>
          </w:tcPr>
          <w:p w14:paraId="73FB2274" w14:textId="1467D384" w:rsidR="005E785F" w:rsidRDefault="003621E8">
            <w:pPr>
              <w:keepNext/>
              <w:tabs>
                <w:tab w:val="center" w:pos="4320"/>
                <w:tab w:val="right" w:pos="8640"/>
              </w:tabs>
              <w:jc w:val="both"/>
              <w:rPr>
                <w:rFonts w:cs="Times New Roman"/>
                <w:sz w:val="20"/>
                <w:lang w:val="en-GB"/>
              </w:rPr>
            </w:pPr>
            <w:r>
              <w:rPr>
                <w:rFonts w:cs="Times New Roman"/>
                <w:sz w:val="20"/>
                <w:lang w:val="en-GB"/>
              </w:rPr>
              <w:t xml:space="preserve">Participant number </w:t>
            </w:r>
          </w:p>
        </w:tc>
        <w:tc>
          <w:tcPr>
            <w:tcW w:w="1255" w:type="dxa"/>
          </w:tcPr>
          <w:p w14:paraId="73FB2275" w14:textId="77777777" w:rsidR="005E785F" w:rsidRDefault="005E785F">
            <w:pPr>
              <w:keepNext/>
              <w:jc w:val="center"/>
              <w:rPr>
                <w:rFonts w:cs="Times New Roman"/>
                <w:sz w:val="20"/>
                <w:lang w:val="en-GB"/>
              </w:rPr>
            </w:pPr>
          </w:p>
        </w:tc>
        <w:tc>
          <w:tcPr>
            <w:tcW w:w="1276" w:type="dxa"/>
          </w:tcPr>
          <w:p w14:paraId="73FB2276" w14:textId="5AF40333" w:rsidR="005E785F" w:rsidRDefault="005E785F">
            <w:pPr>
              <w:keepNext/>
              <w:tabs>
                <w:tab w:val="center" w:pos="4320"/>
                <w:tab w:val="right" w:pos="8640"/>
              </w:tabs>
              <w:jc w:val="center"/>
              <w:rPr>
                <w:rFonts w:cs="Times New Roman"/>
                <w:sz w:val="20"/>
                <w:lang w:val="en-GB"/>
              </w:rPr>
            </w:pPr>
          </w:p>
        </w:tc>
        <w:tc>
          <w:tcPr>
            <w:tcW w:w="1276" w:type="dxa"/>
          </w:tcPr>
          <w:p w14:paraId="30C6564E" w14:textId="5E2B960A" w:rsidR="005E785F" w:rsidRDefault="005E785F">
            <w:pPr>
              <w:keepNext/>
              <w:jc w:val="center"/>
              <w:rPr>
                <w:rFonts w:cs="Times New Roman"/>
                <w:sz w:val="20"/>
                <w:lang w:val="en-GB"/>
              </w:rPr>
            </w:pPr>
          </w:p>
        </w:tc>
        <w:tc>
          <w:tcPr>
            <w:tcW w:w="1701" w:type="dxa"/>
          </w:tcPr>
          <w:p w14:paraId="73FB2277" w14:textId="0C82AF1B" w:rsidR="005E785F" w:rsidRDefault="003621E8">
            <w:pPr>
              <w:keepNext/>
              <w:jc w:val="center"/>
              <w:rPr>
                <w:rFonts w:cs="Times New Roman"/>
                <w:sz w:val="20"/>
                <w:lang w:val="en-GB"/>
              </w:rPr>
            </w:pPr>
            <w:r>
              <w:rPr>
                <w:rFonts w:cs="Times New Roman"/>
                <w:sz w:val="20"/>
                <w:lang w:val="en-GB"/>
              </w:rPr>
              <w:t>X (enrolment log)</w:t>
            </w:r>
          </w:p>
        </w:tc>
      </w:tr>
      <w:tr w:rsidR="005E785F" w14:paraId="73FB227D" w14:textId="77777777">
        <w:tc>
          <w:tcPr>
            <w:tcW w:w="3843" w:type="dxa"/>
          </w:tcPr>
          <w:p w14:paraId="73FB2279" w14:textId="4927E7A8" w:rsidR="005E785F" w:rsidRDefault="003621E8">
            <w:pPr>
              <w:keepNext/>
              <w:tabs>
                <w:tab w:val="center" w:pos="4320"/>
                <w:tab w:val="right" w:pos="8640"/>
              </w:tabs>
              <w:jc w:val="both"/>
              <w:rPr>
                <w:rFonts w:cs="Times New Roman"/>
                <w:sz w:val="20"/>
                <w:lang w:val="en-GB"/>
              </w:rPr>
            </w:pPr>
            <w:r>
              <w:rPr>
                <w:rFonts w:cs="Times New Roman"/>
                <w:sz w:val="20"/>
                <w:lang w:val="en-GB"/>
              </w:rPr>
              <w:t>AEs</w:t>
            </w:r>
          </w:p>
        </w:tc>
        <w:tc>
          <w:tcPr>
            <w:tcW w:w="1255" w:type="dxa"/>
          </w:tcPr>
          <w:p w14:paraId="73FB227A" w14:textId="16CA6CA2" w:rsidR="005E785F" w:rsidRDefault="002E37E4">
            <w:pPr>
              <w:keepNext/>
              <w:jc w:val="center"/>
              <w:rPr>
                <w:rFonts w:cs="Times New Roman"/>
                <w:sz w:val="20"/>
                <w:lang w:val="en-GB"/>
              </w:rPr>
            </w:pPr>
            <w:r>
              <w:rPr>
                <w:rFonts w:cs="Times New Roman"/>
                <w:sz w:val="20"/>
                <w:lang w:val="en-GB"/>
              </w:rPr>
              <w:t>X</w:t>
            </w:r>
          </w:p>
        </w:tc>
        <w:tc>
          <w:tcPr>
            <w:tcW w:w="1276" w:type="dxa"/>
          </w:tcPr>
          <w:p w14:paraId="73FB227B" w14:textId="64F36E67" w:rsidR="005E785F" w:rsidRDefault="005E785F">
            <w:pPr>
              <w:keepNext/>
              <w:tabs>
                <w:tab w:val="center" w:pos="4320"/>
                <w:tab w:val="right" w:pos="8640"/>
              </w:tabs>
              <w:jc w:val="center"/>
              <w:rPr>
                <w:rFonts w:cs="Times New Roman"/>
                <w:sz w:val="20"/>
                <w:lang w:val="en-GB"/>
              </w:rPr>
            </w:pPr>
          </w:p>
        </w:tc>
        <w:tc>
          <w:tcPr>
            <w:tcW w:w="1276" w:type="dxa"/>
          </w:tcPr>
          <w:p w14:paraId="7A6C3B1F" w14:textId="77777777" w:rsidR="005E785F" w:rsidRDefault="005E785F">
            <w:pPr>
              <w:keepNext/>
              <w:jc w:val="center"/>
              <w:rPr>
                <w:rFonts w:cs="Times New Roman"/>
                <w:sz w:val="20"/>
                <w:lang w:val="en-GB"/>
              </w:rPr>
            </w:pPr>
          </w:p>
        </w:tc>
        <w:tc>
          <w:tcPr>
            <w:tcW w:w="1701" w:type="dxa"/>
          </w:tcPr>
          <w:p w14:paraId="73FB227C" w14:textId="43E9C660" w:rsidR="005E785F" w:rsidRDefault="005E785F">
            <w:pPr>
              <w:keepNext/>
              <w:jc w:val="center"/>
              <w:rPr>
                <w:rFonts w:cs="Times New Roman"/>
                <w:sz w:val="20"/>
                <w:lang w:val="en-GB"/>
              </w:rPr>
            </w:pPr>
          </w:p>
        </w:tc>
      </w:tr>
      <w:tr w:rsidR="005E785F" w14:paraId="14AC35AC" w14:textId="77777777">
        <w:tc>
          <w:tcPr>
            <w:tcW w:w="3843" w:type="dxa"/>
          </w:tcPr>
          <w:p w14:paraId="2BA4FD79" w14:textId="05E3E329" w:rsidR="005E785F" w:rsidRDefault="003621E8">
            <w:pPr>
              <w:keepNext/>
              <w:tabs>
                <w:tab w:val="center" w:pos="4320"/>
                <w:tab w:val="right" w:pos="8640"/>
              </w:tabs>
              <w:jc w:val="both"/>
              <w:rPr>
                <w:rFonts w:cs="Times New Roman"/>
                <w:sz w:val="20"/>
                <w:lang w:val="en-GB"/>
              </w:rPr>
            </w:pPr>
            <w:r>
              <w:rPr>
                <w:rFonts w:cs="Times New Roman"/>
                <w:sz w:val="20"/>
                <w:lang w:val="en-GB"/>
              </w:rPr>
              <w:t>SAEs</w:t>
            </w:r>
          </w:p>
        </w:tc>
        <w:tc>
          <w:tcPr>
            <w:tcW w:w="1255" w:type="dxa"/>
          </w:tcPr>
          <w:p w14:paraId="739CE5EB" w14:textId="77777777" w:rsidR="005E785F" w:rsidRDefault="005E785F">
            <w:pPr>
              <w:keepNext/>
              <w:jc w:val="center"/>
              <w:rPr>
                <w:rFonts w:cs="Times New Roman"/>
                <w:sz w:val="20"/>
                <w:lang w:val="en-GB"/>
              </w:rPr>
            </w:pPr>
          </w:p>
        </w:tc>
        <w:tc>
          <w:tcPr>
            <w:tcW w:w="1276" w:type="dxa"/>
          </w:tcPr>
          <w:p w14:paraId="652D55D7" w14:textId="77777777" w:rsidR="005E785F" w:rsidRDefault="005E785F">
            <w:pPr>
              <w:keepNext/>
              <w:tabs>
                <w:tab w:val="center" w:pos="4320"/>
                <w:tab w:val="right" w:pos="8640"/>
              </w:tabs>
              <w:jc w:val="center"/>
              <w:rPr>
                <w:rFonts w:cs="Times New Roman"/>
                <w:sz w:val="20"/>
                <w:lang w:val="en-GB"/>
              </w:rPr>
            </w:pPr>
          </w:p>
        </w:tc>
        <w:tc>
          <w:tcPr>
            <w:tcW w:w="1276" w:type="dxa"/>
          </w:tcPr>
          <w:p w14:paraId="1743017C" w14:textId="77777777" w:rsidR="005E785F" w:rsidRDefault="005E785F">
            <w:pPr>
              <w:keepNext/>
              <w:jc w:val="center"/>
              <w:rPr>
                <w:rFonts w:cs="Times New Roman"/>
                <w:sz w:val="20"/>
                <w:lang w:val="en-GB"/>
              </w:rPr>
            </w:pPr>
          </w:p>
        </w:tc>
        <w:tc>
          <w:tcPr>
            <w:tcW w:w="1701" w:type="dxa"/>
          </w:tcPr>
          <w:p w14:paraId="009CA680" w14:textId="7B1401C1" w:rsidR="005E785F" w:rsidRDefault="003621E8">
            <w:pPr>
              <w:keepNext/>
              <w:jc w:val="center"/>
              <w:rPr>
                <w:rFonts w:cs="Times New Roman"/>
                <w:sz w:val="20"/>
                <w:lang w:val="en-GB"/>
              </w:rPr>
            </w:pPr>
            <w:r>
              <w:rPr>
                <w:rFonts w:cs="Times New Roman"/>
                <w:sz w:val="20"/>
                <w:lang w:val="en-GB"/>
              </w:rPr>
              <w:t>X (SAE form)</w:t>
            </w:r>
          </w:p>
        </w:tc>
      </w:tr>
      <w:tr w:rsidR="005E785F" w14:paraId="07582FA3" w14:textId="77777777">
        <w:tc>
          <w:tcPr>
            <w:tcW w:w="3843" w:type="dxa"/>
            <w:vAlign w:val="center"/>
          </w:tcPr>
          <w:p w14:paraId="7E9AC29D" w14:textId="6CC1718F" w:rsidR="005E785F" w:rsidRDefault="003621E8">
            <w:pPr>
              <w:keepNext/>
              <w:tabs>
                <w:tab w:val="center" w:pos="4320"/>
                <w:tab w:val="right" w:pos="8640"/>
              </w:tabs>
              <w:jc w:val="both"/>
              <w:rPr>
                <w:rFonts w:cs="Times New Roman"/>
                <w:sz w:val="20"/>
                <w:lang w:val="en-GB"/>
              </w:rPr>
            </w:pPr>
            <w:r>
              <w:rPr>
                <w:sz w:val="20"/>
                <w:lang w:val="en-GB"/>
              </w:rPr>
              <w:t>Pregnancies</w:t>
            </w:r>
          </w:p>
        </w:tc>
        <w:tc>
          <w:tcPr>
            <w:tcW w:w="1255" w:type="dxa"/>
            <w:vAlign w:val="center"/>
          </w:tcPr>
          <w:p w14:paraId="1228FFF8" w14:textId="77777777" w:rsidR="005E785F" w:rsidRDefault="005E785F">
            <w:pPr>
              <w:keepNext/>
              <w:jc w:val="center"/>
              <w:rPr>
                <w:rFonts w:cs="Times New Roman"/>
                <w:sz w:val="20"/>
                <w:lang w:val="en-GB"/>
              </w:rPr>
            </w:pPr>
          </w:p>
        </w:tc>
        <w:tc>
          <w:tcPr>
            <w:tcW w:w="1276" w:type="dxa"/>
            <w:vAlign w:val="center"/>
          </w:tcPr>
          <w:p w14:paraId="49F0752E" w14:textId="77777777" w:rsidR="005E785F" w:rsidRDefault="005E785F">
            <w:pPr>
              <w:keepNext/>
              <w:tabs>
                <w:tab w:val="center" w:pos="4320"/>
                <w:tab w:val="right" w:pos="8640"/>
              </w:tabs>
              <w:jc w:val="center"/>
              <w:rPr>
                <w:rFonts w:cs="Times New Roman"/>
                <w:sz w:val="20"/>
                <w:lang w:val="en-GB"/>
              </w:rPr>
            </w:pPr>
          </w:p>
        </w:tc>
        <w:tc>
          <w:tcPr>
            <w:tcW w:w="1276" w:type="dxa"/>
          </w:tcPr>
          <w:p w14:paraId="28CC465F" w14:textId="77777777" w:rsidR="005E785F" w:rsidRDefault="005E785F">
            <w:pPr>
              <w:keepNext/>
              <w:jc w:val="center"/>
              <w:rPr>
                <w:rFonts w:cs="Times New Roman"/>
                <w:sz w:val="20"/>
                <w:lang w:val="en-GB"/>
              </w:rPr>
            </w:pPr>
          </w:p>
        </w:tc>
        <w:tc>
          <w:tcPr>
            <w:tcW w:w="1701" w:type="dxa"/>
            <w:vAlign w:val="center"/>
          </w:tcPr>
          <w:p w14:paraId="3FB46A20" w14:textId="542E7B00" w:rsidR="005E785F" w:rsidRDefault="003621E8">
            <w:pPr>
              <w:keepNext/>
              <w:jc w:val="center"/>
              <w:rPr>
                <w:rFonts w:cs="Times New Roman"/>
                <w:sz w:val="20"/>
                <w:lang w:val="en-GB"/>
              </w:rPr>
            </w:pPr>
            <w:r>
              <w:rPr>
                <w:sz w:val="20"/>
                <w:lang w:val="en-GB"/>
              </w:rPr>
              <w:t>X (Pregnancy notification and outcome form)</w:t>
            </w:r>
          </w:p>
        </w:tc>
      </w:tr>
      <w:tr w:rsidR="005E785F" w14:paraId="73FB2282" w14:textId="77777777">
        <w:tc>
          <w:tcPr>
            <w:tcW w:w="3843" w:type="dxa"/>
          </w:tcPr>
          <w:p w14:paraId="73FB227E" w14:textId="77777777" w:rsidR="005E785F" w:rsidRDefault="003621E8">
            <w:pPr>
              <w:keepNext/>
              <w:tabs>
                <w:tab w:val="center" w:pos="4320"/>
                <w:tab w:val="right" w:pos="8640"/>
              </w:tabs>
              <w:jc w:val="both"/>
              <w:rPr>
                <w:rFonts w:cs="Times New Roman"/>
                <w:sz w:val="20"/>
                <w:lang w:val="en-GB"/>
              </w:rPr>
            </w:pPr>
            <w:r>
              <w:rPr>
                <w:rFonts w:cs="Times New Roman"/>
                <w:sz w:val="20"/>
                <w:lang w:val="en-GB"/>
              </w:rPr>
              <w:t>Previous and on-going therapy</w:t>
            </w:r>
          </w:p>
        </w:tc>
        <w:tc>
          <w:tcPr>
            <w:tcW w:w="1255" w:type="dxa"/>
          </w:tcPr>
          <w:p w14:paraId="73FB227F" w14:textId="69DF5FD9" w:rsidR="005E785F" w:rsidRDefault="005E785F">
            <w:pPr>
              <w:keepNext/>
              <w:tabs>
                <w:tab w:val="center" w:pos="4320"/>
                <w:tab w:val="right" w:pos="8640"/>
              </w:tabs>
              <w:jc w:val="center"/>
              <w:rPr>
                <w:rFonts w:cs="Times New Roman"/>
                <w:sz w:val="20"/>
                <w:lang w:val="en-GB"/>
              </w:rPr>
            </w:pPr>
          </w:p>
        </w:tc>
        <w:tc>
          <w:tcPr>
            <w:tcW w:w="1276" w:type="dxa"/>
          </w:tcPr>
          <w:p w14:paraId="73FB2280" w14:textId="634E5825" w:rsidR="005E785F" w:rsidRDefault="002E37E4">
            <w:pPr>
              <w:keepNext/>
              <w:jc w:val="center"/>
              <w:rPr>
                <w:rFonts w:cs="Times New Roman"/>
                <w:sz w:val="20"/>
                <w:lang w:val="en-GB"/>
              </w:rPr>
            </w:pPr>
            <w:r>
              <w:rPr>
                <w:rFonts w:cs="Times New Roman"/>
                <w:sz w:val="20"/>
                <w:lang w:val="en-GB"/>
              </w:rPr>
              <w:t>X</w:t>
            </w:r>
          </w:p>
        </w:tc>
        <w:tc>
          <w:tcPr>
            <w:tcW w:w="1276" w:type="dxa"/>
          </w:tcPr>
          <w:p w14:paraId="1810C7B1" w14:textId="77777777" w:rsidR="005E785F" w:rsidRDefault="005E785F">
            <w:pPr>
              <w:keepNext/>
              <w:jc w:val="center"/>
              <w:rPr>
                <w:rFonts w:cs="Times New Roman"/>
                <w:sz w:val="20"/>
                <w:lang w:val="en-GB"/>
              </w:rPr>
            </w:pPr>
          </w:p>
        </w:tc>
        <w:tc>
          <w:tcPr>
            <w:tcW w:w="1701" w:type="dxa"/>
          </w:tcPr>
          <w:p w14:paraId="73FB2281" w14:textId="252503D5" w:rsidR="005E785F" w:rsidRDefault="005E785F">
            <w:pPr>
              <w:keepNext/>
              <w:jc w:val="center"/>
              <w:rPr>
                <w:rFonts w:cs="Times New Roman"/>
                <w:sz w:val="20"/>
                <w:lang w:val="en-GB"/>
              </w:rPr>
            </w:pPr>
          </w:p>
        </w:tc>
      </w:tr>
      <w:tr w:rsidR="002E37E4" w14:paraId="73FB2287" w14:textId="77777777">
        <w:tc>
          <w:tcPr>
            <w:tcW w:w="3843" w:type="dxa"/>
          </w:tcPr>
          <w:p w14:paraId="73FB2283" w14:textId="1AEEF2B2" w:rsidR="002E37E4" w:rsidRDefault="002E37E4" w:rsidP="002E37E4">
            <w:pPr>
              <w:keepNext/>
              <w:tabs>
                <w:tab w:val="center" w:pos="4320"/>
                <w:tab w:val="right" w:pos="8640"/>
              </w:tabs>
              <w:jc w:val="both"/>
              <w:rPr>
                <w:rFonts w:cs="Times New Roman"/>
                <w:sz w:val="20"/>
                <w:lang w:val="en-GB"/>
              </w:rPr>
            </w:pPr>
            <w:r>
              <w:rPr>
                <w:rFonts w:cs="Times New Roman"/>
                <w:sz w:val="20"/>
                <w:lang w:val="en-GB"/>
              </w:rPr>
              <w:t>Concomitant medication</w:t>
            </w:r>
          </w:p>
        </w:tc>
        <w:tc>
          <w:tcPr>
            <w:tcW w:w="1255" w:type="dxa"/>
          </w:tcPr>
          <w:p w14:paraId="73FB2284" w14:textId="17155E59" w:rsidR="002E37E4" w:rsidRDefault="002E37E4" w:rsidP="002E37E4">
            <w:pPr>
              <w:keepNext/>
              <w:jc w:val="center"/>
              <w:rPr>
                <w:rFonts w:cs="Times New Roman"/>
                <w:sz w:val="20"/>
                <w:lang w:val="en-GB"/>
              </w:rPr>
            </w:pPr>
            <w:r>
              <w:rPr>
                <w:rFonts w:cs="Times New Roman"/>
                <w:sz w:val="20"/>
                <w:lang w:val="en-GB"/>
              </w:rPr>
              <w:t>X</w:t>
            </w:r>
          </w:p>
        </w:tc>
        <w:tc>
          <w:tcPr>
            <w:tcW w:w="1276" w:type="dxa"/>
          </w:tcPr>
          <w:p w14:paraId="73FB2285" w14:textId="396D0064" w:rsidR="002E37E4" w:rsidRDefault="002E37E4" w:rsidP="002E37E4">
            <w:pPr>
              <w:keepNext/>
              <w:tabs>
                <w:tab w:val="center" w:pos="4320"/>
                <w:tab w:val="right" w:pos="8640"/>
              </w:tabs>
              <w:jc w:val="center"/>
              <w:rPr>
                <w:rFonts w:cs="Times New Roman"/>
                <w:sz w:val="20"/>
                <w:lang w:val="en-GB"/>
              </w:rPr>
            </w:pPr>
          </w:p>
        </w:tc>
        <w:tc>
          <w:tcPr>
            <w:tcW w:w="1276" w:type="dxa"/>
          </w:tcPr>
          <w:p w14:paraId="0C1176CE" w14:textId="77777777" w:rsidR="002E37E4" w:rsidRDefault="002E37E4" w:rsidP="002E37E4">
            <w:pPr>
              <w:keepNext/>
              <w:jc w:val="center"/>
              <w:rPr>
                <w:rFonts w:cs="Times New Roman"/>
                <w:sz w:val="20"/>
                <w:lang w:val="en-GB"/>
              </w:rPr>
            </w:pPr>
          </w:p>
        </w:tc>
        <w:tc>
          <w:tcPr>
            <w:tcW w:w="1701" w:type="dxa"/>
          </w:tcPr>
          <w:p w14:paraId="73FB2286" w14:textId="56C98573" w:rsidR="002E37E4" w:rsidRDefault="002E37E4" w:rsidP="002E37E4">
            <w:pPr>
              <w:keepNext/>
              <w:jc w:val="center"/>
              <w:rPr>
                <w:rFonts w:cs="Times New Roman"/>
                <w:sz w:val="20"/>
                <w:lang w:val="en-GB"/>
              </w:rPr>
            </w:pPr>
          </w:p>
        </w:tc>
      </w:tr>
      <w:tr w:rsidR="002E37E4" w14:paraId="73FB228C" w14:textId="77777777">
        <w:tc>
          <w:tcPr>
            <w:tcW w:w="3843" w:type="dxa"/>
          </w:tcPr>
          <w:p w14:paraId="73FB2288" w14:textId="25B4E022" w:rsidR="002E37E4" w:rsidRDefault="002E37E4" w:rsidP="002E37E4">
            <w:pPr>
              <w:keepNext/>
              <w:tabs>
                <w:tab w:val="center" w:pos="4320"/>
                <w:tab w:val="right" w:pos="8640"/>
              </w:tabs>
              <w:jc w:val="both"/>
              <w:rPr>
                <w:rFonts w:cs="Times New Roman"/>
                <w:sz w:val="20"/>
                <w:vertAlign w:val="superscript"/>
                <w:lang w:val="en-GB"/>
              </w:rPr>
            </w:pPr>
            <w:r>
              <w:rPr>
                <w:rFonts w:cs="Times New Roman"/>
                <w:sz w:val="20"/>
                <w:lang w:val="en-GB"/>
              </w:rPr>
              <w:t>Results of study examinations (e.g., 12-lead ECGs and laboratory safety tests)</w:t>
            </w:r>
            <w:r>
              <w:rPr>
                <w:rFonts w:cs="Times New Roman"/>
                <w:sz w:val="20"/>
                <w:vertAlign w:val="superscript"/>
                <w:lang w:val="en-GB"/>
              </w:rPr>
              <w:t>3</w:t>
            </w:r>
          </w:p>
        </w:tc>
        <w:tc>
          <w:tcPr>
            <w:tcW w:w="1255" w:type="dxa"/>
          </w:tcPr>
          <w:p w14:paraId="73FB2289" w14:textId="0ADC99CD" w:rsidR="002E37E4" w:rsidRDefault="002E37E4" w:rsidP="002E37E4">
            <w:pPr>
              <w:keepNext/>
              <w:jc w:val="center"/>
              <w:rPr>
                <w:rFonts w:cs="Times New Roman"/>
                <w:sz w:val="20"/>
                <w:lang w:val="en-GB"/>
              </w:rPr>
            </w:pPr>
          </w:p>
        </w:tc>
        <w:tc>
          <w:tcPr>
            <w:tcW w:w="1276" w:type="dxa"/>
          </w:tcPr>
          <w:p w14:paraId="73FB228A" w14:textId="27075018" w:rsidR="002E37E4" w:rsidRDefault="002E37E4" w:rsidP="002E37E4">
            <w:pPr>
              <w:keepNext/>
              <w:tabs>
                <w:tab w:val="center" w:pos="4320"/>
                <w:tab w:val="right" w:pos="8640"/>
              </w:tabs>
              <w:jc w:val="center"/>
              <w:rPr>
                <w:rFonts w:cs="Times New Roman"/>
                <w:sz w:val="20"/>
                <w:lang w:val="en-GB"/>
              </w:rPr>
            </w:pPr>
          </w:p>
        </w:tc>
        <w:tc>
          <w:tcPr>
            <w:tcW w:w="1276" w:type="dxa"/>
          </w:tcPr>
          <w:p w14:paraId="598C1D4F" w14:textId="35D0A1EB" w:rsidR="002E37E4" w:rsidRDefault="002E37E4" w:rsidP="002E37E4">
            <w:pPr>
              <w:keepNext/>
              <w:jc w:val="center"/>
              <w:rPr>
                <w:rFonts w:cs="Times New Roman"/>
                <w:sz w:val="20"/>
                <w:lang w:val="en-GB"/>
              </w:rPr>
            </w:pPr>
            <w:r>
              <w:rPr>
                <w:rFonts w:cs="Times New Roman"/>
                <w:sz w:val="20"/>
                <w:lang w:val="en-GB"/>
              </w:rPr>
              <w:t>X</w:t>
            </w:r>
          </w:p>
        </w:tc>
        <w:tc>
          <w:tcPr>
            <w:tcW w:w="1701" w:type="dxa"/>
          </w:tcPr>
          <w:p w14:paraId="73FB228B" w14:textId="15077124" w:rsidR="002E37E4" w:rsidRDefault="002E37E4" w:rsidP="002E37E4">
            <w:pPr>
              <w:keepNext/>
              <w:jc w:val="center"/>
              <w:rPr>
                <w:rFonts w:cs="Times New Roman"/>
                <w:sz w:val="20"/>
                <w:lang w:val="en-GB"/>
              </w:rPr>
            </w:pPr>
          </w:p>
        </w:tc>
      </w:tr>
      <w:tr w:rsidR="002E37E4" w14:paraId="30DEE3FD" w14:textId="77777777">
        <w:tc>
          <w:tcPr>
            <w:tcW w:w="3843" w:type="dxa"/>
          </w:tcPr>
          <w:p w14:paraId="48FFFFC7" w14:textId="223DE165" w:rsidR="002E37E4" w:rsidRDefault="002E37E4" w:rsidP="002E37E4">
            <w:pPr>
              <w:keepNext/>
              <w:tabs>
                <w:tab w:val="center" w:pos="4320"/>
                <w:tab w:val="right" w:pos="8640"/>
              </w:tabs>
              <w:jc w:val="both"/>
              <w:rPr>
                <w:rFonts w:cs="Times New Roman"/>
                <w:sz w:val="20"/>
                <w:lang w:val="en-GB"/>
              </w:rPr>
            </w:pPr>
            <w:r>
              <w:rPr>
                <w:rFonts w:cs="Times New Roman"/>
                <w:sz w:val="20"/>
                <w:lang w:val="en-GB"/>
              </w:rPr>
              <w:t>Vital Signs</w:t>
            </w:r>
          </w:p>
        </w:tc>
        <w:tc>
          <w:tcPr>
            <w:tcW w:w="1255" w:type="dxa"/>
          </w:tcPr>
          <w:p w14:paraId="2004423F" w14:textId="3AFCAF44" w:rsidR="002E37E4" w:rsidRDefault="002E37E4" w:rsidP="002E37E4">
            <w:pPr>
              <w:keepNext/>
              <w:jc w:val="center"/>
              <w:rPr>
                <w:rFonts w:cs="Times New Roman"/>
                <w:sz w:val="20"/>
                <w:lang w:val="en-GB"/>
              </w:rPr>
            </w:pPr>
            <w:r>
              <w:rPr>
                <w:rFonts w:cs="Times New Roman"/>
                <w:sz w:val="20"/>
                <w:lang w:val="en-GB"/>
              </w:rPr>
              <w:t>X</w:t>
            </w:r>
          </w:p>
        </w:tc>
        <w:tc>
          <w:tcPr>
            <w:tcW w:w="1276" w:type="dxa"/>
          </w:tcPr>
          <w:p w14:paraId="5E6E3344" w14:textId="77777777" w:rsidR="002E37E4" w:rsidDel="002E37E4" w:rsidRDefault="002E37E4" w:rsidP="002E37E4">
            <w:pPr>
              <w:keepNext/>
              <w:tabs>
                <w:tab w:val="center" w:pos="4320"/>
                <w:tab w:val="right" w:pos="8640"/>
              </w:tabs>
              <w:jc w:val="center"/>
              <w:rPr>
                <w:rFonts w:cs="Times New Roman"/>
                <w:sz w:val="20"/>
                <w:lang w:val="en-GB"/>
              </w:rPr>
            </w:pPr>
          </w:p>
        </w:tc>
        <w:tc>
          <w:tcPr>
            <w:tcW w:w="1276" w:type="dxa"/>
          </w:tcPr>
          <w:p w14:paraId="44B1A360" w14:textId="77777777" w:rsidR="002E37E4" w:rsidRDefault="002E37E4" w:rsidP="002E37E4">
            <w:pPr>
              <w:keepNext/>
              <w:jc w:val="center"/>
              <w:rPr>
                <w:rFonts w:cs="Times New Roman"/>
                <w:sz w:val="20"/>
                <w:lang w:val="en-GB"/>
              </w:rPr>
            </w:pPr>
          </w:p>
        </w:tc>
        <w:tc>
          <w:tcPr>
            <w:tcW w:w="1701" w:type="dxa"/>
          </w:tcPr>
          <w:p w14:paraId="6DD57463" w14:textId="77777777" w:rsidR="002E37E4" w:rsidRDefault="002E37E4" w:rsidP="002E37E4">
            <w:pPr>
              <w:keepNext/>
              <w:jc w:val="center"/>
              <w:rPr>
                <w:rFonts w:cs="Times New Roman"/>
                <w:sz w:val="20"/>
                <w:lang w:val="en-GB"/>
              </w:rPr>
            </w:pPr>
          </w:p>
        </w:tc>
      </w:tr>
      <w:tr w:rsidR="002E37E4" w14:paraId="3ABA09FA" w14:textId="77777777">
        <w:tc>
          <w:tcPr>
            <w:tcW w:w="3843" w:type="dxa"/>
          </w:tcPr>
          <w:p w14:paraId="316B7B97" w14:textId="2AD722B1" w:rsidR="002E37E4" w:rsidRDefault="002E37E4" w:rsidP="002E37E4">
            <w:pPr>
              <w:keepNext/>
              <w:tabs>
                <w:tab w:val="center" w:pos="4320"/>
                <w:tab w:val="right" w:pos="8640"/>
              </w:tabs>
              <w:jc w:val="both"/>
              <w:rPr>
                <w:rFonts w:cs="Times New Roman"/>
                <w:sz w:val="20"/>
                <w:lang w:val="en-GB"/>
              </w:rPr>
            </w:pPr>
            <w:r>
              <w:rPr>
                <w:rFonts w:cs="Times New Roman"/>
                <w:sz w:val="20"/>
                <w:lang w:val="en-GB"/>
              </w:rPr>
              <w:t>Physical Examination</w:t>
            </w:r>
            <w:r>
              <w:rPr>
                <w:rFonts w:cs="Times New Roman"/>
                <w:sz w:val="20"/>
                <w:vertAlign w:val="superscript"/>
                <w:lang w:val="en-GB"/>
              </w:rPr>
              <w:t>4</w:t>
            </w:r>
          </w:p>
        </w:tc>
        <w:tc>
          <w:tcPr>
            <w:tcW w:w="1255" w:type="dxa"/>
          </w:tcPr>
          <w:p w14:paraId="03710FB3" w14:textId="5C1DA799" w:rsidR="002E37E4" w:rsidRDefault="002E37E4" w:rsidP="002E37E4">
            <w:pPr>
              <w:keepNext/>
              <w:jc w:val="center"/>
              <w:rPr>
                <w:rFonts w:cs="Times New Roman"/>
                <w:sz w:val="20"/>
                <w:lang w:val="en-GB"/>
              </w:rPr>
            </w:pPr>
            <w:r>
              <w:rPr>
                <w:rFonts w:cs="Times New Roman"/>
                <w:sz w:val="20"/>
                <w:lang w:val="en-GB"/>
              </w:rPr>
              <w:t>X</w:t>
            </w:r>
          </w:p>
        </w:tc>
        <w:tc>
          <w:tcPr>
            <w:tcW w:w="1276" w:type="dxa"/>
          </w:tcPr>
          <w:p w14:paraId="2373F037" w14:textId="5E987718" w:rsidR="002E37E4" w:rsidRDefault="002E37E4" w:rsidP="002E37E4">
            <w:pPr>
              <w:keepNext/>
              <w:tabs>
                <w:tab w:val="center" w:pos="4320"/>
                <w:tab w:val="right" w:pos="8640"/>
              </w:tabs>
              <w:jc w:val="center"/>
              <w:rPr>
                <w:rFonts w:cs="Times New Roman"/>
                <w:sz w:val="20"/>
                <w:lang w:val="en-GB"/>
              </w:rPr>
            </w:pPr>
          </w:p>
        </w:tc>
        <w:tc>
          <w:tcPr>
            <w:tcW w:w="1276" w:type="dxa"/>
          </w:tcPr>
          <w:p w14:paraId="31D32B93" w14:textId="77777777" w:rsidR="002E37E4" w:rsidRDefault="002E37E4" w:rsidP="002E37E4">
            <w:pPr>
              <w:keepNext/>
              <w:jc w:val="center"/>
              <w:rPr>
                <w:rFonts w:cs="Times New Roman"/>
                <w:sz w:val="20"/>
                <w:lang w:val="en-GB"/>
              </w:rPr>
            </w:pPr>
          </w:p>
        </w:tc>
        <w:tc>
          <w:tcPr>
            <w:tcW w:w="1701" w:type="dxa"/>
          </w:tcPr>
          <w:p w14:paraId="0D3B65B8" w14:textId="77777777" w:rsidR="002E37E4" w:rsidRDefault="002E37E4" w:rsidP="002E37E4">
            <w:pPr>
              <w:keepNext/>
              <w:jc w:val="center"/>
              <w:rPr>
                <w:rFonts w:cs="Times New Roman"/>
                <w:sz w:val="20"/>
                <w:lang w:val="en-GB"/>
              </w:rPr>
            </w:pPr>
          </w:p>
        </w:tc>
      </w:tr>
      <w:tr w:rsidR="002E37E4" w14:paraId="73FB2291" w14:textId="77777777">
        <w:tc>
          <w:tcPr>
            <w:tcW w:w="3843" w:type="dxa"/>
          </w:tcPr>
          <w:p w14:paraId="73FB228D" w14:textId="77777777" w:rsidR="002E37E4" w:rsidRDefault="002E37E4" w:rsidP="002E37E4">
            <w:pPr>
              <w:keepNext/>
              <w:tabs>
                <w:tab w:val="center" w:pos="4320"/>
                <w:tab w:val="right" w:pos="8640"/>
              </w:tabs>
              <w:jc w:val="both"/>
              <w:rPr>
                <w:rFonts w:cs="Times New Roman"/>
                <w:sz w:val="20"/>
                <w:lang w:val="en-GB"/>
              </w:rPr>
            </w:pPr>
            <w:r>
              <w:rPr>
                <w:rFonts w:cs="Times New Roman"/>
                <w:sz w:val="20"/>
                <w:lang w:val="en-GB"/>
              </w:rPr>
              <w:t>Study visit dates</w:t>
            </w:r>
          </w:p>
        </w:tc>
        <w:tc>
          <w:tcPr>
            <w:tcW w:w="1255" w:type="dxa"/>
          </w:tcPr>
          <w:p w14:paraId="73FB228E" w14:textId="78B3866C" w:rsidR="002E37E4" w:rsidRDefault="002E37E4" w:rsidP="002E37E4">
            <w:pPr>
              <w:keepNext/>
              <w:jc w:val="center"/>
              <w:rPr>
                <w:rFonts w:cs="Times New Roman"/>
                <w:sz w:val="20"/>
                <w:lang w:val="en-GB"/>
              </w:rPr>
            </w:pPr>
            <w:r>
              <w:rPr>
                <w:rFonts w:cs="Times New Roman"/>
                <w:sz w:val="20"/>
                <w:lang w:val="en-GB"/>
              </w:rPr>
              <w:t>X</w:t>
            </w:r>
          </w:p>
        </w:tc>
        <w:tc>
          <w:tcPr>
            <w:tcW w:w="1276" w:type="dxa"/>
          </w:tcPr>
          <w:p w14:paraId="73FB228F" w14:textId="1A1DAD69" w:rsidR="002E37E4" w:rsidRDefault="002E37E4" w:rsidP="002E37E4">
            <w:pPr>
              <w:keepNext/>
              <w:tabs>
                <w:tab w:val="center" w:pos="4320"/>
                <w:tab w:val="right" w:pos="8640"/>
              </w:tabs>
              <w:jc w:val="center"/>
              <w:rPr>
                <w:rFonts w:cs="Times New Roman"/>
                <w:sz w:val="20"/>
                <w:lang w:val="en-GB"/>
              </w:rPr>
            </w:pPr>
          </w:p>
        </w:tc>
        <w:tc>
          <w:tcPr>
            <w:tcW w:w="1276" w:type="dxa"/>
          </w:tcPr>
          <w:p w14:paraId="05485F66" w14:textId="77777777" w:rsidR="002E37E4" w:rsidRDefault="002E37E4" w:rsidP="002E37E4">
            <w:pPr>
              <w:keepNext/>
              <w:jc w:val="center"/>
              <w:rPr>
                <w:rFonts w:cs="Times New Roman"/>
                <w:sz w:val="20"/>
                <w:lang w:val="en-GB"/>
              </w:rPr>
            </w:pPr>
          </w:p>
        </w:tc>
        <w:tc>
          <w:tcPr>
            <w:tcW w:w="1701" w:type="dxa"/>
          </w:tcPr>
          <w:p w14:paraId="73FB2290" w14:textId="6F4D587B" w:rsidR="002E37E4" w:rsidRDefault="002E37E4" w:rsidP="002E37E4">
            <w:pPr>
              <w:keepNext/>
              <w:jc w:val="center"/>
              <w:rPr>
                <w:rFonts w:cs="Times New Roman"/>
                <w:sz w:val="20"/>
                <w:lang w:val="en-GB"/>
              </w:rPr>
            </w:pPr>
          </w:p>
        </w:tc>
      </w:tr>
      <w:tr w:rsidR="002E37E4" w14:paraId="04D36E36" w14:textId="77777777">
        <w:tc>
          <w:tcPr>
            <w:tcW w:w="3843" w:type="dxa"/>
          </w:tcPr>
          <w:p w14:paraId="6AB7B478" w14:textId="456C8601" w:rsidR="002E37E4" w:rsidRDefault="002E37E4" w:rsidP="002E37E4">
            <w:pPr>
              <w:keepNext/>
              <w:tabs>
                <w:tab w:val="center" w:pos="4320"/>
                <w:tab w:val="right" w:pos="8640"/>
              </w:tabs>
              <w:jc w:val="both"/>
              <w:rPr>
                <w:rFonts w:cs="Times New Roman"/>
                <w:sz w:val="20"/>
                <w:lang w:val="en-GB"/>
              </w:rPr>
            </w:pPr>
            <w:r>
              <w:rPr>
                <w:rFonts w:cs="Times New Roman"/>
                <w:sz w:val="20"/>
                <w:lang w:val="en-GB"/>
              </w:rPr>
              <w:t>COVID-19 PCR test collection time</w:t>
            </w:r>
          </w:p>
        </w:tc>
        <w:tc>
          <w:tcPr>
            <w:tcW w:w="1255" w:type="dxa"/>
          </w:tcPr>
          <w:p w14:paraId="2493438D" w14:textId="77777777" w:rsidR="002E37E4" w:rsidRDefault="002E37E4" w:rsidP="002E37E4">
            <w:pPr>
              <w:keepNext/>
              <w:jc w:val="center"/>
              <w:rPr>
                <w:rFonts w:cs="Times New Roman"/>
                <w:sz w:val="20"/>
                <w:lang w:val="en-GB"/>
              </w:rPr>
            </w:pPr>
          </w:p>
        </w:tc>
        <w:tc>
          <w:tcPr>
            <w:tcW w:w="1276" w:type="dxa"/>
          </w:tcPr>
          <w:p w14:paraId="4093378A" w14:textId="77777777" w:rsidR="002E37E4" w:rsidRDefault="002E37E4" w:rsidP="002E37E4">
            <w:pPr>
              <w:keepNext/>
              <w:tabs>
                <w:tab w:val="center" w:pos="4320"/>
                <w:tab w:val="right" w:pos="8640"/>
              </w:tabs>
              <w:jc w:val="center"/>
              <w:rPr>
                <w:rFonts w:cs="Times New Roman"/>
                <w:sz w:val="20"/>
                <w:lang w:val="en-GB"/>
              </w:rPr>
            </w:pPr>
          </w:p>
        </w:tc>
        <w:tc>
          <w:tcPr>
            <w:tcW w:w="1276" w:type="dxa"/>
          </w:tcPr>
          <w:p w14:paraId="6AC66F43" w14:textId="77777777" w:rsidR="002E37E4" w:rsidRDefault="002E37E4" w:rsidP="002E37E4">
            <w:pPr>
              <w:keepNext/>
              <w:jc w:val="center"/>
              <w:rPr>
                <w:rFonts w:cs="Times New Roman"/>
                <w:sz w:val="20"/>
                <w:lang w:val="en-GB"/>
              </w:rPr>
            </w:pPr>
          </w:p>
        </w:tc>
        <w:tc>
          <w:tcPr>
            <w:tcW w:w="1701" w:type="dxa"/>
          </w:tcPr>
          <w:p w14:paraId="59A75E24" w14:textId="7B49AB18" w:rsidR="002E37E4" w:rsidRDefault="002E37E4" w:rsidP="002E37E4">
            <w:pPr>
              <w:keepNext/>
              <w:jc w:val="center"/>
              <w:rPr>
                <w:rFonts w:cs="Times New Roman"/>
                <w:sz w:val="20"/>
                <w:lang w:val="en-GB"/>
              </w:rPr>
            </w:pPr>
            <w:r>
              <w:rPr>
                <w:rFonts w:cs="Times New Roman"/>
                <w:sz w:val="20"/>
                <w:lang w:val="en-GB"/>
              </w:rPr>
              <w:t>X (Test Request Forms)</w:t>
            </w:r>
          </w:p>
        </w:tc>
      </w:tr>
      <w:tr w:rsidR="002E37E4" w14:paraId="73FB2296" w14:textId="77777777">
        <w:tc>
          <w:tcPr>
            <w:tcW w:w="3843" w:type="dxa"/>
          </w:tcPr>
          <w:p w14:paraId="73FB2292" w14:textId="77777777" w:rsidR="002E37E4" w:rsidRDefault="002E37E4" w:rsidP="002E37E4">
            <w:pPr>
              <w:keepNext/>
              <w:tabs>
                <w:tab w:val="center" w:pos="4320"/>
                <w:tab w:val="right" w:pos="8640"/>
              </w:tabs>
              <w:jc w:val="both"/>
              <w:rPr>
                <w:rFonts w:cs="Times New Roman"/>
                <w:sz w:val="20"/>
                <w:lang w:val="en-GB"/>
              </w:rPr>
            </w:pPr>
            <w:r>
              <w:rPr>
                <w:rFonts w:cs="Times New Roman"/>
                <w:sz w:val="20"/>
                <w:lang w:val="en-GB"/>
              </w:rPr>
              <w:t>Administration of IMP</w:t>
            </w:r>
          </w:p>
        </w:tc>
        <w:tc>
          <w:tcPr>
            <w:tcW w:w="1255" w:type="dxa"/>
          </w:tcPr>
          <w:p w14:paraId="73FB2293" w14:textId="2BB61900" w:rsidR="002E37E4" w:rsidRDefault="002E37E4" w:rsidP="002E37E4">
            <w:pPr>
              <w:keepNext/>
              <w:jc w:val="center"/>
              <w:rPr>
                <w:rFonts w:cs="Times New Roman"/>
                <w:sz w:val="20"/>
                <w:lang w:val="en-GB"/>
              </w:rPr>
            </w:pPr>
            <w:r>
              <w:rPr>
                <w:rFonts w:cs="Times New Roman"/>
                <w:sz w:val="20"/>
                <w:lang w:val="en-GB"/>
              </w:rPr>
              <w:t>X</w:t>
            </w:r>
          </w:p>
        </w:tc>
        <w:tc>
          <w:tcPr>
            <w:tcW w:w="1276" w:type="dxa"/>
          </w:tcPr>
          <w:p w14:paraId="73FB2294" w14:textId="7F9258E0" w:rsidR="002E37E4" w:rsidRDefault="002E37E4" w:rsidP="002E37E4">
            <w:pPr>
              <w:keepNext/>
              <w:tabs>
                <w:tab w:val="center" w:pos="4320"/>
                <w:tab w:val="right" w:pos="8640"/>
              </w:tabs>
              <w:jc w:val="center"/>
              <w:rPr>
                <w:rFonts w:cs="Times New Roman"/>
                <w:sz w:val="20"/>
                <w:lang w:val="en-GB"/>
              </w:rPr>
            </w:pPr>
          </w:p>
        </w:tc>
        <w:tc>
          <w:tcPr>
            <w:tcW w:w="1276" w:type="dxa"/>
          </w:tcPr>
          <w:p w14:paraId="0E816EE9" w14:textId="77777777" w:rsidR="002E37E4" w:rsidRDefault="002E37E4" w:rsidP="002E37E4">
            <w:pPr>
              <w:keepNext/>
              <w:jc w:val="center"/>
              <w:rPr>
                <w:rFonts w:cs="Times New Roman"/>
                <w:sz w:val="20"/>
                <w:lang w:val="en-GB"/>
              </w:rPr>
            </w:pPr>
          </w:p>
        </w:tc>
        <w:tc>
          <w:tcPr>
            <w:tcW w:w="1701" w:type="dxa"/>
          </w:tcPr>
          <w:p w14:paraId="73FB2295" w14:textId="44807125" w:rsidR="002E37E4" w:rsidRDefault="002E37E4" w:rsidP="002E37E4">
            <w:pPr>
              <w:keepNext/>
              <w:jc w:val="center"/>
              <w:rPr>
                <w:rFonts w:cs="Times New Roman"/>
                <w:sz w:val="20"/>
                <w:lang w:val="en-GB"/>
              </w:rPr>
            </w:pPr>
          </w:p>
        </w:tc>
      </w:tr>
      <w:tr w:rsidR="002E37E4" w14:paraId="73FB229B" w14:textId="77777777">
        <w:tc>
          <w:tcPr>
            <w:tcW w:w="3843" w:type="dxa"/>
          </w:tcPr>
          <w:p w14:paraId="73FB2297" w14:textId="0FDC9185" w:rsidR="002E37E4" w:rsidRDefault="002E37E4" w:rsidP="002E37E4">
            <w:pPr>
              <w:keepNext/>
              <w:tabs>
                <w:tab w:val="center" w:pos="4320"/>
                <w:tab w:val="right" w:pos="8640"/>
              </w:tabs>
              <w:jc w:val="both"/>
              <w:rPr>
                <w:rFonts w:cs="Times New Roman"/>
                <w:sz w:val="20"/>
                <w:lang w:val="en-GB"/>
              </w:rPr>
            </w:pPr>
            <w:r>
              <w:rPr>
                <w:rFonts w:cs="Times New Roman"/>
                <w:sz w:val="20"/>
                <w:lang w:val="en-GB"/>
              </w:rPr>
              <w:t>Blood PK sample collection times</w:t>
            </w:r>
          </w:p>
        </w:tc>
        <w:tc>
          <w:tcPr>
            <w:tcW w:w="1255" w:type="dxa"/>
          </w:tcPr>
          <w:p w14:paraId="73FB2298" w14:textId="03E9EA59" w:rsidR="002E37E4" w:rsidRDefault="002E37E4" w:rsidP="002E37E4">
            <w:pPr>
              <w:keepNext/>
              <w:jc w:val="center"/>
              <w:rPr>
                <w:rFonts w:cs="Times New Roman"/>
                <w:sz w:val="20"/>
                <w:lang w:val="en-GB"/>
              </w:rPr>
            </w:pPr>
            <w:r>
              <w:rPr>
                <w:rFonts w:cs="Times New Roman"/>
                <w:sz w:val="20"/>
                <w:lang w:val="en-GB"/>
              </w:rPr>
              <w:t>X</w:t>
            </w:r>
          </w:p>
        </w:tc>
        <w:tc>
          <w:tcPr>
            <w:tcW w:w="1276" w:type="dxa"/>
          </w:tcPr>
          <w:p w14:paraId="73FB2299" w14:textId="2C68915F" w:rsidR="002E37E4" w:rsidRDefault="002E37E4" w:rsidP="002E37E4">
            <w:pPr>
              <w:keepNext/>
              <w:tabs>
                <w:tab w:val="center" w:pos="4320"/>
                <w:tab w:val="right" w:pos="8640"/>
              </w:tabs>
              <w:jc w:val="center"/>
              <w:rPr>
                <w:rFonts w:cs="Times New Roman"/>
                <w:sz w:val="20"/>
                <w:lang w:val="en-GB"/>
              </w:rPr>
            </w:pPr>
          </w:p>
        </w:tc>
        <w:tc>
          <w:tcPr>
            <w:tcW w:w="1276" w:type="dxa"/>
          </w:tcPr>
          <w:p w14:paraId="142DD254" w14:textId="77777777" w:rsidR="002E37E4" w:rsidRDefault="002E37E4" w:rsidP="002E37E4">
            <w:pPr>
              <w:keepNext/>
              <w:jc w:val="center"/>
              <w:rPr>
                <w:rFonts w:cs="Times New Roman"/>
                <w:sz w:val="20"/>
                <w:lang w:val="en-GB"/>
              </w:rPr>
            </w:pPr>
          </w:p>
        </w:tc>
        <w:tc>
          <w:tcPr>
            <w:tcW w:w="1701" w:type="dxa"/>
          </w:tcPr>
          <w:p w14:paraId="73FB229A" w14:textId="62B6F004" w:rsidR="002E37E4" w:rsidRDefault="002E37E4" w:rsidP="002E37E4">
            <w:pPr>
              <w:keepNext/>
              <w:jc w:val="center"/>
              <w:rPr>
                <w:rFonts w:cs="Times New Roman"/>
                <w:sz w:val="20"/>
                <w:lang w:val="en-GB"/>
              </w:rPr>
            </w:pPr>
          </w:p>
        </w:tc>
      </w:tr>
      <w:tr w:rsidR="002E37E4" w14:paraId="07E00CB6" w14:textId="77777777">
        <w:tc>
          <w:tcPr>
            <w:tcW w:w="3843" w:type="dxa"/>
          </w:tcPr>
          <w:p w14:paraId="660BD0AF" w14:textId="3CC22EAB" w:rsidR="002E37E4" w:rsidRDefault="002E37E4" w:rsidP="002E37E4">
            <w:pPr>
              <w:keepNext/>
              <w:tabs>
                <w:tab w:val="center" w:pos="4320"/>
                <w:tab w:val="right" w:pos="8640"/>
              </w:tabs>
              <w:jc w:val="both"/>
              <w:rPr>
                <w:rFonts w:cs="Times New Roman"/>
                <w:sz w:val="20"/>
                <w:lang w:val="en-GB"/>
              </w:rPr>
            </w:pPr>
            <w:r>
              <w:rPr>
                <w:rFonts w:cs="Times New Roman"/>
                <w:sz w:val="20"/>
                <w:lang w:val="en-GB"/>
              </w:rPr>
              <w:t>Blood PD/exploratory sample collection times</w:t>
            </w:r>
          </w:p>
        </w:tc>
        <w:tc>
          <w:tcPr>
            <w:tcW w:w="1255" w:type="dxa"/>
          </w:tcPr>
          <w:p w14:paraId="6E51C115" w14:textId="3FD0078A" w:rsidR="002E37E4" w:rsidRDefault="002E37E4" w:rsidP="002E37E4">
            <w:pPr>
              <w:keepNext/>
              <w:jc w:val="center"/>
              <w:rPr>
                <w:rFonts w:cs="Times New Roman"/>
                <w:sz w:val="20"/>
                <w:lang w:val="en-GB"/>
              </w:rPr>
            </w:pPr>
            <w:r>
              <w:rPr>
                <w:rFonts w:cs="Times New Roman"/>
                <w:sz w:val="20"/>
                <w:lang w:val="en-GB"/>
              </w:rPr>
              <w:t>X</w:t>
            </w:r>
          </w:p>
        </w:tc>
        <w:tc>
          <w:tcPr>
            <w:tcW w:w="1276" w:type="dxa"/>
          </w:tcPr>
          <w:p w14:paraId="516937F7" w14:textId="429DB710" w:rsidR="002E37E4" w:rsidRDefault="002E37E4" w:rsidP="002E37E4">
            <w:pPr>
              <w:keepNext/>
              <w:jc w:val="center"/>
              <w:rPr>
                <w:rFonts w:cs="Times New Roman"/>
                <w:sz w:val="20"/>
                <w:lang w:val="en-GB"/>
              </w:rPr>
            </w:pPr>
          </w:p>
        </w:tc>
        <w:tc>
          <w:tcPr>
            <w:tcW w:w="1276" w:type="dxa"/>
          </w:tcPr>
          <w:p w14:paraId="6013EA53" w14:textId="77777777" w:rsidR="002E37E4" w:rsidRDefault="002E37E4" w:rsidP="002E37E4">
            <w:pPr>
              <w:keepNext/>
              <w:tabs>
                <w:tab w:val="center" w:pos="4320"/>
                <w:tab w:val="right" w:pos="8640"/>
              </w:tabs>
              <w:jc w:val="center"/>
              <w:rPr>
                <w:rFonts w:cs="Times New Roman"/>
                <w:sz w:val="20"/>
                <w:lang w:val="en-GB"/>
              </w:rPr>
            </w:pPr>
          </w:p>
        </w:tc>
        <w:tc>
          <w:tcPr>
            <w:tcW w:w="1701" w:type="dxa"/>
          </w:tcPr>
          <w:p w14:paraId="4C94E9F4" w14:textId="25C47BA8" w:rsidR="002E37E4" w:rsidRDefault="002E37E4" w:rsidP="002E37E4">
            <w:pPr>
              <w:keepNext/>
              <w:tabs>
                <w:tab w:val="center" w:pos="4320"/>
                <w:tab w:val="right" w:pos="8640"/>
              </w:tabs>
              <w:jc w:val="center"/>
              <w:rPr>
                <w:rFonts w:cs="Times New Roman"/>
                <w:sz w:val="20"/>
                <w:lang w:val="en-GB"/>
              </w:rPr>
            </w:pPr>
          </w:p>
        </w:tc>
      </w:tr>
      <w:tr w:rsidR="002E37E4" w14:paraId="18CDDE71" w14:textId="77777777">
        <w:tc>
          <w:tcPr>
            <w:tcW w:w="3843" w:type="dxa"/>
          </w:tcPr>
          <w:p w14:paraId="32792E28" w14:textId="2F801306" w:rsidR="002E37E4" w:rsidRDefault="002E37E4" w:rsidP="002E37E4">
            <w:pPr>
              <w:keepNext/>
              <w:tabs>
                <w:tab w:val="center" w:pos="4320"/>
                <w:tab w:val="right" w:pos="8640"/>
              </w:tabs>
              <w:jc w:val="both"/>
              <w:rPr>
                <w:rFonts w:cs="Times New Roman"/>
                <w:sz w:val="20"/>
                <w:lang w:val="en-GB"/>
              </w:rPr>
            </w:pPr>
            <w:r>
              <w:rPr>
                <w:rFonts w:cs="Times New Roman"/>
                <w:sz w:val="20"/>
                <w:lang w:val="en-GB"/>
              </w:rPr>
              <w:t>Blood safety sample collection times</w:t>
            </w:r>
          </w:p>
        </w:tc>
        <w:tc>
          <w:tcPr>
            <w:tcW w:w="1255" w:type="dxa"/>
          </w:tcPr>
          <w:p w14:paraId="6DEC763E" w14:textId="77777777" w:rsidR="002E37E4" w:rsidRDefault="002E37E4" w:rsidP="002E37E4">
            <w:pPr>
              <w:keepNext/>
              <w:jc w:val="center"/>
              <w:rPr>
                <w:rFonts w:cs="Times New Roman"/>
                <w:sz w:val="20"/>
                <w:lang w:val="en-GB"/>
              </w:rPr>
            </w:pPr>
          </w:p>
        </w:tc>
        <w:tc>
          <w:tcPr>
            <w:tcW w:w="1276" w:type="dxa"/>
          </w:tcPr>
          <w:p w14:paraId="23810DD4" w14:textId="2FCC4190" w:rsidR="002E37E4" w:rsidRDefault="002E37E4" w:rsidP="002E37E4">
            <w:pPr>
              <w:keepNext/>
              <w:jc w:val="center"/>
              <w:rPr>
                <w:rFonts w:cs="Times New Roman"/>
                <w:sz w:val="20"/>
                <w:lang w:val="en-GB"/>
              </w:rPr>
            </w:pPr>
          </w:p>
        </w:tc>
        <w:tc>
          <w:tcPr>
            <w:tcW w:w="1276" w:type="dxa"/>
          </w:tcPr>
          <w:p w14:paraId="28FC47AC" w14:textId="77777777" w:rsidR="002E37E4" w:rsidRDefault="002E37E4" w:rsidP="002E37E4">
            <w:pPr>
              <w:keepNext/>
              <w:tabs>
                <w:tab w:val="center" w:pos="4320"/>
                <w:tab w:val="right" w:pos="8640"/>
              </w:tabs>
              <w:jc w:val="center"/>
              <w:rPr>
                <w:rFonts w:cs="Times New Roman"/>
                <w:sz w:val="20"/>
                <w:lang w:val="en-GB"/>
              </w:rPr>
            </w:pPr>
          </w:p>
        </w:tc>
        <w:tc>
          <w:tcPr>
            <w:tcW w:w="1701" w:type="dxa"/>
          </w:tcPr>
          <w:p w14:paraId="71565A2A" w14:textId="6C8E2268" w:rsidR="002E37E4" w:rsidRDefault="002E37E4" w:rsidP="002E37E4">
            <w:pPr>
              <w:keepNext/>
              <w:tabs>
                <w:tab w:val="center" w:pos="4320"/>
                <w:tab w:val="right" w:pos="8640"/>
              </w:tabs>
              <w:jc w:val="center"/>
              <w:rPr>
                <w:rFonts w:cs="Times New Roman"/>
                <w:sz w:val="20"/>
                <w:lang w:val="en-GB"/>
              </w:rPr>
            </w:pPr>
            <w:r>
              <w:rPr>
                <w:rFonts w:cs="Times New Roman"/>
                <w:sz w:val="20"/>
                <w:lang w:val="en-GB"/>
              </w:rPr>
              <w:t>X (Test Request Forms)</w:t>
            </w:r>
          </w:p>
        </w:tc>
      </w:tr>
      <w:tr w:rsidR="002E37E4" w14:paraId="06FF08E4" w14:textId="77777777">
        <w:tc>
          <w:tcPr>
            <w:tcW w:w="3843" w:type="dxa"/>
          </w:tcPr>
          <w:p w14:paraId="32194E54" w14:textId="49FC0827" w:rsidR="002E37E4" w:rsidRDefault="002E37E4" w:rsidP="002E37E4">
            <w:pPr>
              <w:keepNext/>
              <w:tabs>
                <w:tab w:val="center" w:pos="4320"/>
                <w:tab w:val="right" w:pos="8640"/>
              </w:tabs>
              <w:jc w:val="both"/>
              <w:rPr>
                <w:rFonts w:cs="Times New Roman"/>
                <w:sz w:val="20"/>
                <w:lang w:val="en-GB"/>
              </w:rPr>
            </w:pPr>
            <w:r>
              <w:rPr>
                <w:rFonts w:cs="Times New Roman"/>
                <w:sz w:val="20"/>
                <w:lang w:val="en-GB"/>
              </w:rPr>
              <w:t xml:space="preserve">Urine safety sample collection times </w:t>
            </w:r>
          </w:p>
        </w:tc>
        <w:tc>
          <w:tcPr>
            <w:tcW w:w="1255" w:type="dxa"/>
          </w:tcPr>
          <w:p w14:paraId="0FDEC2E9" w14:textId="77777777" w:rsidR="002E37E4" w:rsidRDefault="002E37E4" w:rsidP="002E37E4">
            <w:pPr>
              <w:keepNext/>
              <w:jc w:val="center"/>
              <w:rPr>
                <w:rFonts w:cs="Times New Roman"/>
                <w:sz w:val="20"/>
                <w:lang w:val="en-GB"/>
              </w:rPr>
            </w:pPr>
          </w:p>
        </w:tc>
        <w:tc>
          <w:tcPr>
            <w:tcW w:w="1276" w:type="dxa"/>
          </w:tcPr>
          <w:p w14:paraId="6FE828AD" w14:textId="7169A4C2" w:rsidR="002E37E4" w:rsidRDefault="002E37E4" w:rsidP="002E37E4">
            <w:pPr>
              <w:keepNext/>
              <w:jc w:val="center"/>
              <w:rPr>
                <w:rFonts w:cs="Times New Roman"/>
                <w:sz w:val="20"/>
                <w:lang w:val="en-GB"/>
              </w:rPr>
            </w:pPr>
          </w:p>
        </w:tc>
        <w:tc>
          <w:tcPr>
            <w:tcW w:w="1276" w:type="dxa"/>
          </w:tcPr>
          <w:p w14:paraId="386D725A" w14:textId="77777777" w:rsidR="002E37E4" w:rsidRDefault="002E37E4" w:rsidP="002E37E4">
            <w:pPr>
              <w:keepNext/>
              <w:tabs>
                <w:tab w:val="center" w:pos="4320"/>
                <w:tab w:val="right" w:pos="8640"/>
              </w:tabs>
              <w:jc w:val="center"/>
              <w:rPr>
                <w:rFonts w:cs="Times New Roman"/>
                <w:sz w:val="20"/>
                <w:lang w:val="en-GB"/>
              </w:rPr>
            </w:pPr>
          </w:p>
        </w:tc>
        <w:tc>
          <w:tcPr>
            <w:tcW w:w="1701" w:type="dxa"/>
          </w:tcPr>
          <w:p w14:paraId="59C8CA20" w14:textId="64D1AE03" w:rsidR="002E37E4" w:rsidRDefault="002E37E4" w:rsidP="002E37E4">
            <w:pPr>
              <w:keepNext/>
              <w:tabs>
                <w:tab w:val="center" w:pos="4320"/>
                <w:tab w:val="right" w:pos="8640"/>
              </w:tabs>
              <w:jc w:val="center"/>
              <w:rPr>
                <w:rFonts w:cs="Times New Roman"/>
                <w:sz w:val="20"/>
                <w:lang w:val="en-GB"/>
              </w:rPr>
            </w:pPr>
            <w:r>
              <w:rPr>
                <w:rFonts w:cs="Times New Roman"/>
                <w:sz w:val="20"/>
                <w:lang w:val="en-GB"/>
              </w:rPr>
              <w:t>X (Test Request Forms)</w:t>
            </w:r>
          </w:p>
        </w:tc>
      </w:tr>
      <w:tr w:rsidR="002E37E4" w14:paraId="162CEEEF" w14:textId="77777777">
        <w:tc>
          <w:tcPr>
            <w:tcW w:w="3843" w:type="dxa"/>
          </w:tcPr>
          <w:p w14:paraId="748C5B6E" w14:textId="77777777" w:rsidR="002E37E4" w:rsidRDefault="002E37E4" w:rsidP="002E37E4">
            <w:pPr>
              <w:keepNext/>
              <w:tabs>
                <w:tab w:val="center" w:pos="4320"/>
                <w:tab w:val="right" w:pos="8640"/>
              </w:tabs>
              <w:jc w:val="both"/>
              <w:rPr>
                <w:rFonts w:cs="Times New Roman"/>
                <w:sz w:val="20"/>
                <w:lang w:val="en-GB"/>
              </w:rPr>
            </w:pPr>
            <w:r>
              <w:rPr>
                <w:rFonts w:cs="Times New Roman"/>
                <w:sz w:val="20"/>
              </w:rPr>
              <w:t>Injection site assessment</w:t>
            </w:r>
          </w:p>
        </w:tc>
        <w:tc>
          <w:tcPr>
            <w:tcW w:w="1255" w:type="dxa"/>
          </w:tcPr>
          <w:p w14:paraId="43CE521B" w14:textId="2ABDFD3F" w:rsidR="002E37E4" w:rsidRDefault="002E37E4" w:rsidP="002E37E4">
            <w:pPr>
              <w:keepNext/>
              <w:jc w:val="center"/>
              <w:rPr>
                <w:rFonts w:cs="Times New Roman"/>
                <w:sz w:val="20"/>
                <w:lang w:val="en-GB"/>
              </w:rPr>
            </w:pPr>
            <w:r>
              <w:rPr>
                <w:rFonts w:cs="Times New Roman"/>
                <w:sz w:val="20"/>
                <w:lang w:val="en-GB"/>
              </w:rPr>
              <w:t>X</w:t>
            </w:r>
          </w:p>
        </w:tc>
        <w:tc>
          <w:tcPr>
            <w:tcW w:w="1276" w:type="dxa"/>
          </w:tcPr>
          <w:p w14:paraId="479C75F6" w14:textId="3784BA94" w:rsidR="002E37E4" w:rsidRDefault="002E37E4" w:rsidP="002E37E4">
            <w:pPr>
              <w:keepNext/>
              <w:jc w:val="center"/>
              <w:rPr>
                <w:rFonts w:cs="Times New Roman"/>
                <w:sz w:val="20"/>
                <w:lang w:val="en-GB"/>
              </w:rPr>
            </w:pPr>
          </w:p>
        </w:tc>
        <w:tc>
          <w:tcPr>
            <w:tcW w:w="1276" w:type="dxa"/>
          </w:tcPr>
          <w:p w14:paraId="30FA3787" w14:textId="77777777" w:rsidR="002E37E4" w:rsidRDefault="002E37E4" w:rsidP="002E37E4">
            <w:pPr>
              <w:keepNext/>
              <w:tabs>
                <w:tab w:val="center" w:pos="4320"/>
                <w:tab w:val="right" w:pos="8640"/>
              </w:tabs>
              <w:jc w:val="center"/>
              <w:rPr>
                <w:rFonts w:cs="Times New Roman"/>
                <w:sz w:val="20"/>
                <w:lang w:val="en-GB"/>
              </w:rPr>
            </w:pPr>
          </w:p>
        </w:tc>
        <w:tc>
          <w:tcPr>
            <w:tcW w:w="1701" w:type="dxa"/>
          </w:tcPr>
          <w:p w14:paraId="0A3108D8" w14:textId="77777777" w:rsidR="002E37E4" w:rsidRDefault="002E37E4" w:rsidP="002E37E4">
            <w:pPr>
              <w:keepNext/>
              <w:tabs>
                <w:tab w:val="center" w:pos="4320"/>
                <w:tab w:val="right" w:pos="8640"/>
              </w:tabs>
              <w:jc w:val="center"/>
              <w:rPr>
                <w:rFonts w:cs="Times New Roman"/>
                <w:sz w:val="20"/>
                <w:lang w:val="en-GB"/>
              </w:rPr>
            </w:pPr>
          </w:p>
        </w:tc>
      </w:tr>
      <w:tr w:rsidR="002E37E4" w14:paraId="4820D2FD" w14:textId="77777777">
        <w:tc>
          <w:tcPr>
            <w:tcW w:w="3843" w:type="dxa"/>
          </w:tcPr>
          <w:p w14:paraId="5866379B" w14:textId="77777777" w:rsidR="002E37E4" w:rsidRDefault="002E37E4" w:rsidP="002E37E4">
            <w:pPr>
              <w:keepNext/>
              <w:tabs>
                <w:tab w:val="center" w:pos="4320"/>
                <w:tab w:val="right" w:pos="8640"/>
              </w:tabs>
              <w:jc w:val="both"/>
              <w:rPr>
                <w:rFonts w:cs="Times New Roman"/>
                <w:sz w:val="20"/>
                <w:lang w:val="en-GB"/>
              </w:rPr>
            </w:pPr>
            <w:r>
              <w:rPr>
                <w:rFonts w:cs="Times New Roman"/>
                <w:sz w:val="20"/>
              </w:rPr>
              <w:t>Photographs of injection site reactions</w:t>
            </w:r>
          </w:p>
        </w:tc>
        <w:tc>
          <w:tcPr>
            <w:tcW w:w="1255" w:type="dxa"/>
          </w:tcPr>
          <w:p w14:paraId="11B7820A" w14:textId="77777777" w:rsidR="002E37E4" w:rsidRDefault="002E37E4" w:rsidP="002E37E4">
            <w:pPr>
              <w:keepNext/>
              <w:jc w:val="center"/>
              <w:rPr>
                <w:rFonts w:cs="Times New Roman"/>
                <w:sz w:val="20"/>
                <w:lang w:val="en-GB"/>
              </w:rPr>
            </w:pPr>
          </w:p>
        </w:tc>
        <w:tc>
          <w:tcPr>
            <w:tcW w:w="1276" w:type="dxa"/>
          </w:tcPr>
          <w:p w14:paraId="48046371" w14:textId="77777777" w:rsidR="002E37E4" w:rsidRDefault="002E37E4" w:rsidP="002E37E4">
            <w:pPr>
              <w:keepNext/>
              <w:jc w:val="center"/>
              <w:rPr>
                <w:rFonts w:cs="Times New Roman"/>
                <w:sz w:val="20"/>
                <w:lang w:val="en-GB"/>
              </w:rPr>
            </w:pPr>
          </w:p>
        </w:tc>
        <w:tc>
          <w:tcPr>
            <w:tcW w:w="1276" w:type="dxa"/>
          </w:tcPr>
          <w:p w14:paraId="64701BF5" w14:textId="77777777" w:rsidR="002E37E4" w:rsidRDefault="002E37E4" w:rsidP="002E37E4">
            <w:pPr>
              <w:keepNext/>
              <w:tabs>
                <w:tab w:val="center" w:pos="4320"/>
                <w:tab w:val="right" w:pos="8640"/>
              </w:tabs>
              <w:jc w:val="center"/>
              <w:rPr>
                <w:rFonts w:cs="Times New Roman"/>
                <w:sz w:val="20"/>
                <w:lang w:val="en-GB"/>
              </w:rPr>
            </w:pPr>
            <w:r>
              <w:rPr>
                <w:rFonts w:cs="Times New Roman"/>
                <w:sz w:val="20"/>
              </w:rPr>
              <w:t>X</w:t>
            </w:r>
          </w:p>
        </w:tc>
        <w:tc>
          <w:tcPr>
            <w:tcW w:w="1701" w:type="dxa"/>
          </w:tcPr>
          <w:p w14:paraId="084487F7" w14:textId="77777777" w:rsidR="002E37E4" w:rsidRDefault="002E37E4" w:rsidP="002E37E4">
            <w:pPr>
              <w:keepNext/>
              <w:tabs>
                <w:tab w:val="center" w:pos="4320"/>
                <w:tab w:val="right" w:pos="8640"/>
              </w:tabs>
              <w:jc w:val="center"/>
              <w:rPr>
                <w:rFonts w:cs="Times New Roman"/>
                <w:sz w:val="20"/>
                <w:lang w:val="en-GB"/>
              </w:rPr>
            </w:pPr>
          </w:p>
        </w:tc>
      </w:tr>
      <w:tr w:rsidR="002E37E4" w14:paraId="685B983D" w14:textId="77777777">
        <w:tc>
          <w:tcPr>
            <w:tcW w:w="3843" w:type="dxa"/>
          </w:tcPr>
          <w:p w14:paraId="38E506F2" w14:textId="0A4C7F90" w:rsidR="002E37E4" w:rsidRDefault="002E37E4" w:rsidP="002E37E4">
            <w:pPr>
              <w:keepNext/>
              <w:tabs>
                <w:tab w:val="center" w:pos="4320"/>
                <w:tab w:val="right" w:pos="8640"/>
              </w:tabs>
              <w:jc w:val="both"/>
              <w:rPr>
                <w:rFonts w:cs="Times New Roman"/>
                <w:sz w:val="20"/>
              </w:rPr>
            </w:pPr>
            <w:r>
              <w:rPr>
                <w:rFonts w:cs="Times New Roman"/>
                <w:sz w:val="20"/>
              </w:rPr>
              <w:t>Oral Temperature (Day 4 to Day 6 and Day 7 to post study)</w:t>
            </w:r>
          </w:p>
        </w:tc>
        <w:tc>
          <w:tcPr>
            <w:tcW w:w="1255" w:type="dxa"/>
          </w:tcPr>
          <w:p w14:paraId="45484F33" w14:textId="77777777" w:rsidR="002E37E4" w:rsidRDefault="002E37E4" w:rsidP="002E37E4">
            <w:pPr>
              <w:keepNext/>
              <w:jc w:val="center"/>
              <w:rPr>
                <w:rFonts w:cs="Times New Roman"/>
                <w:sz w:val="20"/>
                <w:lang w:val="en-GB"/>
              </w:rPr>
            </w:pPr>
          </w:p>
        </w:tc>
        <w:tc>
          <w:tcPr>
            <w:tcW w:w="1276" w:type="dxa"/>
          </w:tcPr>
          <w:p w14:paraId="021336D7" w14:textId="77777777" w:rsidR="002E37E4" w:rsidRDefault="002E37E4" w:rsidP="002E37E4">
            <w:pPr>
              <w:keepNext/>
              <w:jc w:val="center"/>
              <w:rPr>
                <w:rFonts w:cs="Times New Roman"/>
                <w:sz w:val="20"/>
                <w:lang w:val="en-GB"/>
              </w:rPr>
            </w:pPr>
          </w:p>
        </w:tc>
        <w:tc>
          <w:tcPr>
            <w:tcW w:w="1276" w:type="dxa"/>
          </w:tcPr>
          <w:p w14:paraId="362B8B61" w14:textId="77777777" w:rsidR="002E37E4" w:rsidRDefault="002E37E4" w:rsidP="002E37E4">
            <w:pPr>
              <w:keepNext/>
              <w:tabs>
                <w:tab w:val="center" w:pos="4320"/>
                <w:tab w:val="right" w:pos="8640"/>
              </w:tabs>
              <w:jc w:val="center"/>
              <w:rPr>
                <w:rFonts w:cs="Times New Roman"/>
                <w:sz w:val="20"/>
              </w:rPr>
            </w:pPr>
          </w:p>
        </w:tc>
        <w:tc>
          <w:tcPr>
            <w:tcW w:w="1701" w:type="dxa"/>
          </w:tcPr>
          <w:p w14:paraId="3F8EE7B3" w14:textId="1AA51DD0" w:rsidR="002E37E4" w:rsidRDefault="002E37E4" w:rsidP="002E37E4">
            <w:pPr>
              <w:keepNext/>
              <w:tabs>
                <w:tab w:val="center" w:pos="4320"/>
                <w:tab w:val="right" w:pos="8640"/>
              </w:tabs>
              <w:jc w:val="center"/>
              <w:rPr>
                <w:rFonts w:cs="Times New Roman"/>
                <w:sz w:val="20"/>
                <w:lang w:val="en-GB"/>
              </w:rPr>
            </w:pPr>
            <w:r>
              <w:rPr>
                <w:rFonts w:cs="Times New Roman"/>
                <w:sz w:val="20"/>
                <w:lang w:val="en-GB"/>
              </w:rPr>
              <w:t>X (subject temperature diaries)</w:t>
            </w:r>
          </w:p>
        </w:tc>
      </w:tr>
    </w:tbl>
    <w:p w14:paraId="775EF868" w14:textId="29CDFEAD" w:rsidR="005E785F" w:rsidRDefault="003621E8">
      <w:pPr>
        <w:pStyle w:val="C-NumberedList"/>
        <w:keepNext/>
        <w:numPr>
          <w:ilvl w:val="0"/>
          <w:numId w:val="13"/>
        </w:numPr>
        <w:spacing w:before="0" w:after="0" w:line="240" w:lineRule="auto"/>
        <w:ind w:left="357" w:right="-244" w:hanging="357"/>
        <w:jc w:val="both"/>
        <w:rPr>
          <w:sz w:val="18"/>
          <w:szCs w:val="18"/>
          <w:lang w:val="en-GB"/>
        </w:rPr>
      </w:pPr>
      <w:r>
        <w:rPr>
          <w:sz w:val="18"/>
          <w:szCs w:val="18"/>
          <w:lang w:val="en-GB"/>
        </w:rPr>
        <w:t xml:space="preserve">In the event staff are unable to enter data directly into the eCRF (e.g., technical/internet issues), data will be entered directly into a back-up paper source workbook at the time of assessment, then transcribed and subsequently QC’d. </w:t>
      </w:r>
    </w:p>
    <w:p w14:paraId="73FB22A1" w14:textId="21510965" w:rsidR="005E785F" w:rsidRDefault="003621E8">
      <w:pPr>
        <w:pStyle w:val="C-NumberedList"/>
        <w:keepNext/>
        <w:numPr>
          <w:ilvl w:val="0"/>
          <w:numId w:val="13"/>
        </w:numPr>
        <w:spacing w:before="0" w:after="0" w:line="240" w:lineRule="auto"/>
        <w:ind w:left="360" w:right="-245"/>
        <w:jc w:val="both"/>
        <w:rPr>
          <w:sz w:val="18"/>
          <w:szCs w:val="18"/>
          <w:lang w:val="en-GB"/>
        </w:rPr>
      </w:pPr>
      <w:r>
        <w:rPr>
          <w:sz w:val="18"/>
          <w:szCs w:val="18"/>
          <w:lang w:val="en-GB"/>
        </w:rPr>
        <w:t>The original informed consent forms will be maintained in the study officer file during the clinical phase and will then be transferred to the Project Manager for archiving with the Investigator Site File at the end of the study.</w:t>
      </w:r>
    </w:p>
    <w:p w14:paraId="36611559" w14:textId="60C9C6E4" w:rsidR="005E785F" w:rsidRDefault="003621E8">
      <w:pPr>
        <w:pStyle w:val="C-NumberedList"/>
        <w:keepNext/>
        <w:numPr>
          <w:ilvl w:val="0"/>
          <w:numId w:val="13"/>
        </w:numPr>
        <w:spacing w:before="0" w:after="0" w:line="240" w:lineRule="auto"/>
        <w:ind w:left="360" w:right="-245"/>
        <w:jc w:val="both"/>
        <w:rPr>
          <w:sz w:val="18"/>
          <w:szCs w:val="18"/>
          <w:lang w:val="en-GB"/>
        </w:rPr>
      </w:pPr>
      <w:r>
        <w:rPr>
          <w:sz w:val="18"/>
          <w:szCs w:val="18"/>
          <w:lang w:val="en-GB"/>
        </w:rPr>
        <w:t>The 12-lead ECG trace and laboratory safety test print-out including medical review will be stored in the paper source document file.</w:t>
      </w:r>
    </w:p>
    <w:p w14:paraId="1B6E8073" w14:textId="51587A1C" w:rsidR="005E785F" w:rsidRDefault="003621E8">
      <w:pPr>
        <w:pStyle w:val="C-NumberedList"/>
        <w:keepNext/>
        <w:numPr>
          <w:ilvl w:val="0"/>
          <w:numId w:val="13"/>
        </w:numPr>
        <w:spacing w:before="0" w:after="0" w:line="240" w:lineRule="auto"/>
        <w:ind w:left="360" w:right="-245"/>
        <w:jc w:val="both"/>
        <w:rPr>
          <w:sz w:val="18"/>
          <w:szCs w:val="18"/>
          <w:lang w:val="en-GB"/>
        </w:rPr>
      </w:pPr>
      <w:r>
        <w:rPr>
          <w:sz w:val="18"/>
          <w:szCs w:val="18"/>
          <w:lang w:val="en-GB"/>
        </w:rPr>
        <w:t>In the eCRF, the date and time of each physical examination will be recorded. Any abnormal findings will be captured on the Medical History form at Screening and as an Adverse Event during clinical conduct.</w:t>
      </w:r>
    </w:p>
    <w:p w14:paraId="2B18D2D2" w14:textId="360DB9C3" w:rsidR="005E785F" w:rsidRDefault="003621E8">
      <w:pPr>
        <w:pStyle w:val="C-NumberedList"/>
        <w:keepNext/>
        <w:spacing w:before="0" w:after="0" w:line="240" w:lineRule="auto"/>
        <w:ind w:right="-245"/>
        <w:jc w:val="both"/>
        <w:rPr>
          <w:sz w:val="18"/>
          <w:szCs w:val="18"/>
          <w:lang w:val="en-GB"/>
        </w:rPr>
      </w:pPr>
      <w:r>
        <w:rPr>
          <w:sz w:val="18"/>
          <w:szCs w:val="18"/>
        </w:rPr>
        <w:t>AE =adverse event, eCRF = electronic case report form, ECG = electrocardiogram, IMP = investigator medicinal product, PK = pharmacokinetic, PD = pharmacodynamic, SAE = serious adverse event</w:t>
      </w:r>
    </w:p>
    <w:p w14:paraId="73FB22A4" w14:textId="208FB10C" w:rsidR="005E785F" w:rsidRDefault="003621E8">
      <w:pPr>
        <w:pStyle w:val="C-BodyText"/>
        <w:spacing w:line="240" w:lineRule="auto"/>
        <w:jc w:val="both"/>
        <w:rPr>
          <w:lang w:val="en-GB"/>
        </w:rPr>
      </w:pPr>
      <w:r>
        <w:rPr>
          <w:lang w:val="en-GB"/>
        </w:rPr>
        <w:t>The above table indicates where source data will be recorded but for completeness, the following information will also be recorded in the volunteer master file:</w:t>
      </w:r>
    </w:p>
    <w:p w14:paraId="73FB22A5" w14:textId="77777777" w:rsidR="005E785F" w:rsidRDefault="003621E8">
      <w:pPr>
        <w:pStyle w:val="C-Bullet"/>
        <w:spacing w:before="0" w:after="0" w:line="240" w:lineRule="auto"/>
        <w:jc w:val="both"/>
        <w:rPr>
          <w:lang w:val="en-GB"/>
        </w:rPr>
      </w:pPr>
      <w:r>
        <w:rPr>
          <w:lang w:val="en-GB"/>
        </w:rPr>
        <w:lastRenderedPageBreak/>
        <w:t>Clinical study code.</w:t>
      </w:r>
    </w:p>
    <w:p w14:paraId="73FB22A6" w14:textId="77777777" w:rsidR="005E785F" w:rsidRDefault="003621E8">
      <w:pPr>
        <w:pStyle w:val="C-Bullet"/>
        <w:spacing w:before="0" w:after="0" w:line="240" w:lineRule="auto"/>
        <w:jc w:val="both"/>
        <w:rPr>
          <w:lang w:val="en-GB"/>
        </w:rPr>
      </w:pPr>
      <w:r>
        <w:rPr>
          <w:lang w:val="en-GB"/>
        </w:rPr>
        <w:t>Study visit dates (pre-dose; post-dose).</w:t>
      </w:r>
    </w:p>
    <w:p w14:paraId="73FB22A7" w14:textId="77777777" w:rsidR="005E785F" w:rsidRDefault="003621E8">
      <w:pPr>
        <w:pStyle w:val="C-Bullet"/>
        <w:spacing w:before="0" w:after="0" w:line="240" w:lineRule="auto"/>
        <w:jc w:val="both"/>
        <w:rPr>
          <w:lang w:val="en-GB"/>
        </w:rPr>
      </w:pPr>
      <w:r>
        <w:rPr>
          <w:lang w:val="en-GB"/>
        </w:rPr>
        <w:t>IMP administration (date of last dose).</w:t>
      </w:r>
    </w:p>
    <w:p w14:paraId="73FB22A8" w14:textId="77777777" w:rsidR="005E785F" w:rsidRDefault="003621E8">
      <w:pPr>
        <w:pStyle w:val="C-Bullet"/>
        <w:spacing w:before="0" w:after="0" w:line="240" w:lineRule="auto"/>
        <w:jc w:val="both"/>
        <w:rPr>
          <w:lang w:val="en-GB"/>
        </w:rPr>
      </w:pPr>
      <w:r>
        <w:rPr>
          <w:lang w:val="en-GB"/>
        </w:rPr>
        <w:t>Results of any key safety and efficacy measures from the clinical study that, in the opinion of an Investigator, should be noted.</w:t>
      </w:r>
    </w:p>
    <w:p w14:paraId="73FB22A9" w14:textId="14292DBB" w:rsidR="005E785F" w:rsidRDefault="003621E8">
      <w:pPr>
        <w:pStyle w:val="C-Bullet"/>
        <w:spacing w:before="0" w:after="0" w:line="240" w:lineRule="auto"/>
        <w:jc w:val="both"/>
        <w:rPr>
          <w:lang w:val="en-GB"/>
        </w:rPr>
      </w:pPr>
      <w:r>
        <w:rPr>
          <w:lang w:val="en-GB"/>
        </w:rPr>
        <w:t>Any concomitant medications used to treat the participant during the study.</w:t>
      </w:r>
    </w:p>
    <w:p w14:paraId="73FB22AA" w14:textId="1E22A1E4" w:rsidR="005E785F" w:rsidRDefault="003621E8">
      <w:pPr>
        <w:pStyle w:val="C-BodyText"/>
        <w:spacing w:line="240" w:lineRule="auto"/>
        <w:jc w:val="both"/>
        <w:rPr>
          <w:lang w:val="en-GB"/>
        </w:rPr>
      </w:pPr>
      <w:r>
        <w:rPr>
          <w:lang w:val="en-GB"/>
        </w:rPr>
        <w:t>The data collected in the eCRFs during the study will be subject to quality control checking by clinical staff prior to sign off.</w:t>
      </w:r>
    </w:p>
    <w:p w14:paraId="73FB22AC" w14:textId="6411D10D" w:rsidR="005E785F" w:rsidRDefault="003621E8">
      <w:pPr>
        <w:autoSpaceDE w:val="0"/>
        <w:autoSpaceDN w:val="0"/>
        <w:adjustRightInd w:val="0"/>
        <w:jc w:val="both"/>
        <w:rPr>
          <w:rFonts w:cs="Times New Roman"/>
          <w:szCs w:val="24"/>
          <w:lang w:val="en-GB"/>
        </w:rPr>
      </w:pPr>
      <w:r>
        <w:rPr>
          <w:rFonts w:cs="Times New Roman"/>
          <w:szCs w:val="24"/>
          <w:lang w:val="en-GB"/>
        </w:rPr>
        <w:t xml:space="preserve">Designated investigator site staff will enter the data required by the protocol into the eCRF using fully validated software that conforms to 21 CFR Part 11 requirements. Staff will not be given access to the eCRF until they have been trained. Automatic validation programs check for data discrepancies and, by generating appropriate error messages, allow the data to be confirmed or corrected before transfer of the data to the Biometrics group. The Investigator must certify that the data entered into the eCRF are complete and accurate. </w:t>
      </w:r>
    </w:p>
    <w:p w14:paraId="73FB22AD" w14:textId="43CB0127" w:rsidR="005E785F" w:rsidRDefault="003621E8">
      <w:pPr>
        <w:pStyle w:val="C-BodyText"/>
        <w:spacing w:line="240" w:lineRule="auto"/>
        <w:jc w:val="both"/>
        <w:rPr>
          <w:lang w:val="en-GB"/>
        </w:rPr>
      </w:pPr>
      <w:r>
        <w:rPr>
          <w:lang w:val="en-GB"/>
        </w:rPr>
        <w:t>The study will be subject to an independent audit by the Simbec-Orion Quality Assurance Unit as outlined in Simbec-Orion SOP GRP-QA 002.</w:t>
      </w:r>
    </w:p>
    <w:p w14:paraId="73FB22AE" w14:textId="1A8DDBBB" w:rsidR="005E785F" w:rsidRDefault="003621E8">
      <w:pPr>
        <w:pStyle w:val="C-BodyText"/>
        <w:spacing w:line="240" w:lineRule="auto"/>
        <w:jc w:val="both"/>
        <w:rPr>
          <w:lang w:val="en-GB"/>
        </w:rPr>
      </w:pPr>
      <w:r>
        <w:rPr>
          <w:lang w:val="en-GB"/>
        </w:rPr>
        <w:t>Independent clinical QA audits may be performed at any time during or following completion of the study by the Sponsor, or its authorised agents, and Regulatory Authorities and/or the REC.</w:t>
      </w:r>
    </w:p>
    <w:p w14:paraId="73FB22AF" w14:textId="500777BC" w:rsidR="005E785F" w:rsidRDefault="003621E8">
      <w:pPr>
        <w:pStyle w:val="Heading2"/>
      </w:pPr>
      <w:bookmarkStart w:id="226" w:name="_Toc74904440"/>
      <w:r>
        <w:t xml:space="preserve">Statistical </w:t>
      </w:r>
      <w:bookmarkEnd w:id="223"/>
      <w:r>
        <w:t>Methods and Determination of Sample Size</w:t>
      </w:r>
      <w:bookmarkEnd w:id="226"/>
    </w:p>
    <w:p w14:paraId="73FB22B1" w14:textId="70010870" w:rsidR="005E785F" w:rsidRDefault="003621E8">
      <w:pPr>
        <w:pStyle w:val="Heading3"/>
      </w:pPr>
      <w:bookmarkStart w:id="227" w:name="_Toc74904441"/>
      <w:r>
        <w:t>Statistical and Analytical Plan</w:t>
      </w:r>
      <w:bookmarkEnd w:id="227"/>
    </w:p>
    <w:p w14:paraId="73FB22B2" w14:textId="6EF8595E" w:rsidR="005E785F" w:rsidRDefault="003621E8">
      <w:pPr>
        <w:pStyle w:val="C-BodyText"/>
        <w:spacing w:line="240" w:lineRule="auto"/>
        <w:jc w:val="both"/>
        <w:rPr>
          <w:lang w:val="en-GB"/>
        </w:rPr>
      </w:pPr>
      <w:r>
        <w:rPr>
          <w:lang w:val="en-GB"/>
        </w:rPr>
        <w:t>A SAP will be written by Simbec-Orion and agreed by DNDi prior to the locking of the database and subsequent reporting of the study data.</w:t>
      </w:r>
    </w:p>
    <w:p w14:paraId="73FB22B3" w14:textId="221C6FD9" w:rsidR="005E785F" w:rsidRDefault="003621E8">
      <w:pPr>
        <w:pStyle w:val="Heading3"/>
      </w:pPr>
      <w:bookmarkStart w:id="228" w:name="_Toc74904442"/>
      <w:bookmarkStart w:id="229" w:name="_Toc442704870"/>
      <w:r>
        <w:t>Study Endpoints</w:t>
      </w:r>
      <w:bookmarkEnd w:id="228"/>
    </w:p>
    <w:p w14:paraId="54FCCFD7" w14:textId="77777777" w:rsidR="005E785F" w:rsidRDefault="003621E8">
      <w:pPr>
        <w:pStyle w:val="Heading4"/>
      </w:pPr>
      <w:bookmarkStart w:id="230" w:name="_Toc74904443"/>
      <w:r>
        <w:t>Primary Endpoints</w:t>
      </w:r>
      <w:bookmarkEnd w:id="230"/>
    </w:p>
    <w:p w14:paraId="01BE573B" w14:textId="488962E2" w:rsidR="005E785F" w:rsidRDefault="003621E8">
      <w:pPr>
        <w:autoSpaceDE w:val="0"/>
        <w:autoSpaceDN w:val="0"/>
        <w:adjustRightInd w:val="0"/>
        <w:spacing w:before="120"/>
        <w:rPr>
          <w:rFonts w:cs="Times New Roman"/>
          <w:szCs w:val="24"/>
        </w:rPr>
      </w:pPr>
      <w:r>
        <w:rPr>
          <w:rFonts w:cs="Times New Roman"/>
          <w:szCs w:val="24"/>
        </w:rPr>
        <w:t>Number and severity of treatment related AE, safety laboratory parameters, vital signs, physical examination including injection site examination, ECG parameters and injection site reactions.</w:t>
      </w:r>
    </w:p>
    <w:p w14:paraId="7E252A07" w14:textId="59A35C21" w:rsidR="005E785F" w:rsidRDefault="003621E8">
      <w:pPr>
        <w:pStyle w:val="ListParagraph"/>
        <w:numPr>
          <w:ilvl w:val="0"/>
          <w:numId w:val="35"/>
        </w:numPr>
        <w:autoSpaceDE w:val="0"/>
        <w:autoSpaceDN w:val="0"/>
        <w:adjustRightInd w:val="0"/>
        <w:spacing w:before="120"/>
        <w:rPr>
          <w:rFonts w:cs="Times New Roman"/>
          <w:szCs w:val="24"/>
        </w:rPr>
      </w:pPr>
      <w:r>
        <w:rPr>
          <w:rFonts w:cs="Times New Roman"/>
          <w:szCs w:val="24"/>
        </w:rPr>
        <w:t>Systemic AEs (including, but not limited to: fever, chills, headache, muscle aches, fatigue, nausea, vomiting, diarrhea, and joint pain).</w:t>
      </w:r>
    </w:p>
    <w:p w14:paraId="72CA4634" w14:textId="6B124AA2" w:rsidR="005E785F" w:rsidRDefault="003621E8">
      <w:pPr>
        <w:pStyle w:val="ListParagraph"/>
        <w:numPr>
          <w:ilvl w:val="0"/>
          <w:numId w:val="35"/>
        </w:numPr>
        <w:autoSpaceDE w:val="0"/>
        <w:autoSpaceDN w:val="0"/>
        <w:adjustRightInd w:val="0"/>
        <w:rPr>
          <w:rFonts w:cs="Times New Roman"/>
          <w:szCs w:val="24"/>
        </w:rPr>
      </w:pPr>
      <w:r>
        <w:rPr>
          <w:rFonts w:cs="Times New Roman"/>
          <w:szCs w:val="24"/>
        </w:rPr>
        <w:t>Safety laboratory parameters (biochemical and haematological parameters, CRP, erythrocyte sedimentation rate, urinalysis and coagulation).</w:t>
      </w:r>
    </w:p>
    <w:p w14:paraId="54F42CCE" w14:textId="4F28E6F8" w:rsidR="005E785F" w:rsidRDefault="003621E8">
      <w:pPr>
        <w:pStyle w:val="ListParagraph"/>
        <w:numPr>
          <w:ilvl w:val="0"/>
          <w:numId w:val="35"/>
        </w:numPr>
        <w:autoSpaceDE w:val="0"/>
        <w:autoSpaceDN w:val="0"/>
        <w:adjustRightInd w:val="0"/>
        <w:rPr>
          <w:rFonts w:cs="Times New Roman"/>
          <w:szCs w:val="24"/>
        </w:rPr>
      </w:pPr>
      <w:r>
        <w:rPr>
          <w:rFonts w:cs="Times New Roman"/>
          <w:szCs w:val="24"/>
        </w:rPr>
        <w:t>Vital signs (supine heart rate, systolic and diastolic blood pressure), oral temperature, respiration rate).</w:t>
      </w:r>
    </w:p>
    <w:p w14:paraId="3667B4AD" w14:textId="77777777" w:rsidR="005E785F" w:rsidRDefault="003621E8">
      <w:pPr>
        <w:pStyle w:val="ListParagraph"/>
        <w:numPr>
          <w:ilvl w:val="0"/>
          <w:numId w:val="35"/>
        </w:numPr>
        <w:rPr>
          <w:rFonts w:cs="Times New Roman"/>
          <w:szCs w:val="24"/>
        </w:rPr>
      </w:pPr>
      <w:r>
        <w:rPr>
          <w:rFonts w:cs="Times New Roman"/>
          <w:szCs w:val="24"/>
        </w:rPr>
        <w:t>Physical examination and injection site examination.</w:t>
      </w:r>
    </w:p>
    <w:p w14:paraId="438B2285" w14:textId="77777777" w:rsidR="005E785F" w:rsidRDefault="003621E8">
      <w:pPr>
        <w:pStyle w:val="ListParagraph"/>
        <w:numPr>
          <w:ilvl w:val="0"/>
          <w:numId w:val="35"/>
        </w:numPr>
        <w:autoSpaceDE w:val="0"/>
        <w:autoSpaceDN w:val="0"/>
        <w:adjustRightInd w:val="0"/>
        <w:rPr>
          <w:rFonts w:cs="Times New Roman"/>
          <w:szCs w:val="24"/>
        </w:rPr>
      </w:pPr>
      <w:r>
        <w:rPr>
          <w:rFonts w:cs="Times New Roman"/>
          <w:szCs w:val="24"/>
        </w:rPr>
        <w:t>12-lead ECG (HR, RR, PR, QRS, QT, QTcF).</w:t>
      </w:r>
    </w:p>
    <w:p w14:paraId="4BB821B5" w14:textId="77777777" w:rsidR="005E785F" w:rsidRDefault="003621E8">
      <w:pPr>
        <w:pStyle w:val="ListParagraph"/>
        <w:numPr>
          <w:ilvl w:val="0"/>
          <w:numId w:val="35"/>
        </w:numPr>
        <w:autoSpaceDE w:val="0"/>
        <w:autoSpaceDN w:val="0"/>
        <w:adjustRightInd w:val="0"/>
        <w:rPr>
          <w:rFonts w:cs="Times New Roman"/>
          <w:szCs w:val="24"/>
        </w:rPr>
      </w:pPr>
      <w:bookmarkStart w:id="231" w:name="_Hlk65170172"/>
      <w:r>
        <w:rPr>
          <w:rFonts w:cs="Times New Roman"/>
          <w:szCs w:val="24"/>
        </w:rPr>
        <w:t>Injection site reactions (redness, swelling, warmth, tenderness, pain with arm movement</w:t>
      </w:r>
      <w:bookmarkEnd w:id="231"/>
      <w:r>
        <w:rPr>
          <w:rFonts w:cs="Times New Roman"/>
          <w:szCs w:val="24"/>
        </w:rPr>
        <w:t xml:space="preserve">). </w:t>
      </w:r>
    </w:p>
    <w:p w14:paraId="71F1EAFA" w14:textId="77777777" w:rsidR="005E785F" w:rsidRDefault="003621E8">
      <w:pPr>
        <w:pStyle w:val="Heading4"/>
      </w:pPr>
      <w:bookmarkStart w:id="232" w:name="_Toc74904444"/>
      <w:r>
        <w:lastRenderedPageBreak/>
        <w:t>Secondary Endpoints</w:t>
      </w:r>
      <w:bookmarkEnd w:id="232"/>
      <w:r>
        <w:t xml:space="preserve"> </w:t>
      </w:r>
    </w:p>
    <w:p w14:paraId="7846A75F" w14:textId="58B77581" w:rsidR="005E785F" w:rsidRDefault="003621E8">
      <w:pPr>
        <w:autoSpaceDE w:val="0"/>
        <w:autoSpaceDN w:val="0"/>
        <w:adjustRightInd w:val="0"/>
        <w:spacing w:before="120"/>
        <w:rPr>
          <w:rFonts w:cs="Times New Roman"/>
          <w:b/>
          <w:bCs/>
          <w:szCs w:val="24"/>
        </w:rPr>
      </w:pPr>
      <w:r>
        <w:rPr>
          <w:rFonts w:cs="Times New Roman"/>
          <w:szCs w:val="24"/>
        </w:rPr>
        <w:t>PK blood samples will be taken on Day 1 pre-dose and 10, 20, 30, 45, 60 minutes, 2 h and 4 h post-dosing. Plasma CpG ODN D35 concentrations will be measured using a LC-MS/MS assay method</w:t>
      </w:r>
      <w:r>
        <w:rPr>
          <w:rFonts w:cs="Times New Roman"/>
          <w:b/>
          <w:bCs/>
          <w:szCs w:val="24"/>
        </w:rPr>
        <w:t>.</w:t>
      </w:r>
    </w:p>
    <w:p w14:paraId="44DCC737" w14:textId="77777777" w:rsidR="005E785F" w:rsidRDefault="003621E8">
      <w:pPr>
        <w:autoSpaceDE w:val="0"/>
        <w:autoSpaceDN w:val="0"/>
        <w:adjustRightInd w:val="0"/>
        <w:spacing w:before="120"/>
        <w:rPr>
          <w:rFonts w:cs="Times New Roman"/>
          <w:b/>
          <w:bCs/>
          <w:szCs w:val="24"/>
        </w:rPr>
      </w:pPr>
      <w:r>
        <w:rPr>
          <w:rFonts w:cs="Times New Roman"/>
          <w:szCs w:val="24"/>
        </w:rPr>
        <w:t>The following PK parameters will be derived from plasma CpG ODN D35 concentrations (additional parameters may be derived, if applicable)</w:t>
      </w:r>
      <w:r>
        <w:rPr>
          <w:rFonts w:cs="Times New Roman"/>
          <w:b/>
          <w:bCs/>
          <w:szCs w:val="24"/>
        </w:rPr>
        <w:t xml:space="preserve">: </w:t>
      </w:r>
    </w:p>
    <w:p w14:paraId="78A41D02" w14:textId="1BC8BCA9" w:rsidR="005E785F" w:rsidRDefault="003621E8">
      <w:pPr>
        <w:pStyle w:val="ListParagraph"/>
        <w:numPr>
          <w:ilvl w:val="0"/>
          <w:numId w:val="35"/>
        </w:numPr>
        <w:autoSpaceDE w:val="0"/>
        <w:autoSpaceDN w:val="0"/>
        <w:adjustRightInd w:val="0"/>
        <w:rPr>
          <w:rFonts w:cs="Times New Roman"/>
          <w:szCs w:val="24"/>
        </w:rPr>
      </w:pPr>
      <w:r>
        <w:rPr>
          <w:rFonts w:cs="Times New Roman"/>
          <w:szCs w:val="24"/>
        </w:rPr>
        <w:t>C</w:t>
      </w:r>
      <w:r>
        <w:rPr>
          <w:rFonts w:cs="Times New Roman"/>
          <w:szCs w:val="24"/>
          <w:vertAlign w:val="subscript"/>
        </w:rPr>
        <w:t>max</w:t>
      </w:r>
      <w:r>
        <w:rPr>
          <w:rFonts w:cs="Times New Roman"/>
          <w:szCs w:val="24"/>
        </w:rPr>
        <w:t xml:space="preserve"> (ng/mL): observed maximum plasma concentration.</w:t>
      </w:r>
    </w:p>
    <w:p w14:paraId="4AF9CC7D" w14:textId="06E8C59A" w:rsidR="005E785F" w:rsidRDefault="003621E8">
      <w:pPr>
        <w:pStyle w:val="ListParagraph"/>
        <w:numPr>
          <w:ilvl w:val="0"/>
          <w:numId w:val="35"/>
        </w:numPr>
        <w:autoSpaceDE w:val="0"/>
        <w:autoSpaceDN w:val="0"/>
        <w:adjustRightInd w:val="0"/>
        <w:rPr>
          <w:rFonts w:cs="Times New Roman"/>
          <w:szCs w:val="24"/>
        </w:rPr>
      </w:pPr>
      <w:r>
        <w:rPr>
          <w:rFonts w:cs="Times New Roman"/>
          <w:szCs w:val="24"/>
        </w:rPr>
        <w:t>T</w:t>
      </w:r>
      <w:r>
        <w:rPr>
          <w:rFonts w:cs="Times New Roman"/>
          <w:szCs w:val="24"/>
          <w:vertAlign w:val="subscript"/>
        </w:rPr>
        <w:t>max</w:t>
      </w:r>
      <w:r>
        <w:rPr>
          <w:rFonts w:cs="Times New Roman"/>
          <w:szCs w:val="24"/>
        </w:rPr>
        <w:t xml:space="preserve"> (h): first time to reach C</w:t>
      </w:r>
      <w:r>
        <w:rPr>
          <w:rFonts w:cs="Times New Roman"/>
          <w:szCs w:val="24"/>
          <w:vertAlign w:val="subscript"/>
        </w:rPr>
        <w:t>max</w:t>
      </w:r>
      <w:r>
        <w:rPr>
          <w:rFonts w:cs="Times New Roman"/>
          <w:szCs w:val="24"/>
        </w:rPr>
        <w:t>.</w:t>
      </w:r>
    </w:p>
    <w:p w14:paraId="64D35AE0" w14:textId="77777777" w:rsidR="005E785F" w:rsidRDefault="003621E8">
      <w:pPr>
        <w:pStyle w:val="ListParagraph"/>
        <w:numPr>
          <w:ilvl w:val="0"/>
          <w:numId w:val="35"/>
        </w:numPr>
        <w:autoSpaceDE w:val="0"/>
        <w:autoSpaceDN w:val="0"/>
        <w:adjustRightInd w:val="0"/>
        <w:rPr>
          <w:rFonts w:cs="Times New Roman"/>
          <w:szCs w:val="24"/>
        </w:rPr>
      </w:pPr>
      <w:r>
        <w:rPr>
          <w:rFonts w:cs="Times New Roman"/>
          <w:szCs w:val="24"/>
        </w:rPr>
        <w:t>λz (1/h): apparent first order terminal elimination rate constant.</w:t>
      </w:r>
    </w:p>
    <w:p w14:paraId="6C26AD80" w14:textId="77777777" w:rsidR="005E785F" w:rsidRDefault="003621E8">
      <w:pPr>
        <w:pStyle w:val="ListParagraph"/>
        <w:numPr>
          <w:ilvl w:val="0"/>
          <w:numId w:val="35"/>
        </w:numPr>
        <w:autoSpaceDE w:val="0"/>
        <w:autoSpaceDN w:val="0"/>
        <w:adjustRightInd w:val="0"/>
        <w:rPr>
          <w:rFonts w:cs="Times New Roman"/>
          <w:szCs w:val="24"/>
        </w:rPr>
      </w:pPr>
      <w:r>
        <w:rPr>
          <w:rFonts w:cs="Times New Roman"/>
          <w:szCs w:val="24"/>
        </w:rPr>
        <w:t>t</w:t>
      </w:r>
      <w:r>
        <w:rPr>
          <w:rFonts w:cs="Times New Roman"/>
          <w:szCs w:val="24"/>
          <w:vertAlign w:val="subscript"/>
        </w:rPr>
        <w:t>1/2</w:t>
      </w:r>
      <w:r>
        <w:rPr>
          <w:rFonts w:cs="Times New Roman"/>
          <w:szCs w:val="24"/>
        </w:rPr>
        <w:t xml:space="preserve"> (h): plasma elimination half-life.</w:t>
      </w:r>
    </w:p>
    <w:p w14:paraId="22DAFC64" w14:textId="77777777" w:rsidR="005E785F" w:rsidRDefault="003621E8">
      <w:pPr>
        <w:pStyle w:val="ListParagraph"/>
        <w:numPr>
          <w:ilvl w:val="0"/>
          <w:numId w:val="35"/>
        </w:numPr>
        <w:autoSpaceDE w:val="0"/>
        <w:autoSpaceDN w:val="0"/>
        <w:adjustRightInd w:val="0"/>
        <w:rPr>
          <w:rFonts w:cs="Times New Roman"/>
          <w:szCs w:val="24"/>
        </w:rPr>
      </w:pPr>
      <w:r>
        <w:rPr>
          <w:rFonts w:cs="Times New Roman"/>
          <w:szCs w:val="24"/>
        </w:rPr>
        <w:t>AUC</w:t>
      </w:r>
      <w:r>
        <w:rPr>
          <w:rFonts w:cs="Times New Roman"/>
          <w:szCs w:val="24"/>
          <w:vertAlign w:val="subscript"/>
        </w:rPr>
        <w:t xml:space="preserve">last </w:t>
      </w:r>
      <w:r>
        <w:rPr>
          <w:rFonts w:cs="Times New Roman"/>
          <w:szCs w:val="24"/>
        </w:rPr>
        <w:t>(ng.h/mL): AUC from 0 to the time of the last quantifiable concentration.</w:t>
      </w:r>
    </w:p>
    <w:p w14:paraId="46114997" w14:textId="77777777" w:rsidR="005E785F" w:rsidRDefault="003621E8">
      <w:pPr>
        <w:pStyle w:val="ListParagraph"/>
        <w:numPr>
          <w:ilvl w:val="0"/>
          <w:numId w:val="35"/>
        </w:numPr>
        <w:autoSpaceDE w:val="0"/>
        <w:autoSpaceDN w:val="0"/>
        <w:adjustRightInd w:val="0"/>
        <w:jc w:val="both"/>
        <w:rPr>
          <w:rFonts w:cs="Times New Roman"/>
          <w:szCs w:val="24"/>
        </w:rPr>
      </w:pPr>
      <w:r>
        <w:rPr>
          <w:rFonts w:cs="Times New Roman"/>
          <w:szCs w:val="24"/>
        </w:rPr>
        <w:t>AUC</w:t>
      </w:r>
      <w:r>
        <w:rPr>
          <w:rFonts w:cs="Times New Roman"/>
          <w:szCs w:val="24"/>
          <w:vertAlign w:val="subscript"/>
        </w:rPr>
        <w:t>all</w:t>
      </w:r>
      <w:r>
        <w:rPr>
          <w:rFonts w:cs="Times New Roman"/>
          <w:szCs w:val="24"/>
        </w:rPr>
        <w:t xml:space="preserve"> (ng.h/mL): AUC from 0 to the time of the last observation, regardless of whether the last concentration is measurable or not.</w:t>
      </w:r>
    </w:p>
    <w:p w14:paraId="3A69D1F0" w14:textId="77777777" w:rsidR="005E785F" w:rsidRDefault="003621E8">
      <w:pPr>
        <w:pStyle w:val="ListParagraph"/>
        <w:numPr>
          <w:ilvl w:val="0"/>
          <w:numId w:val="35"/>
        </w:numPr>
        <w:autoSpaceDE w:val="0"/>
        <w:autoSpaceDN w:val="0"/>
        <w:adjustRightInd w:val="0"/>
        <w:rPr>
          <w:rFonts w:cs="Times New Roman"/>
          <w:szCs w:val="24"/>
        </w:rPr>
      </w:pPr>
      <w:r>
        <w:rPr>
          <w:rFonts w:cs="Times New Roman"/>
          <w:szCs w:val="24"/>
        </w:rPr>
        <w:t>AUC</w:t>
      </w:r>
      <w:r>
        <w:rPr>
          <w:rFonts w:cs="Times New Roman"/>
          <w:szCs w:val="24"/>
          <w:vertAlign w:val="subscript"/>
        </w:rPr>
        <w:t>0-inf</w:t>
      </w:r>
      <w:r>
        <w:rPr>
          <w:rFonts w:cs="Times New Roman"/>
          <w:szCs w:val="24"/>
        </w:rPr>
        <w:t xml:space="preserve"> (ng.h/mL): AUC extrapolated to infinity. </w:t>
      </w:r>
    </w:p>
    <w:p w14:paraId="3B485559" w14:textId="7EFA5F74" w:rsidR="005E785F" w:rsidRDefault="003621E8">
      <w:pPr>
        <w:pStyle w:val="ListParagraph"/>
        <w:numPr>
          <w:ilvl w:val="0"/>
          <w:numId w:val="35"/>
        </w:numPr>
        <w:autoSpaceDE w:val="0"/>
        <w:autoSpaceDN w:val="0"/>
        <w:adjustRightInd w:val="0"/>
        <w:rPr>
          <w:rFonts w:cs="Times New Roman"/>
          <w:sz w:val="20"/>
        </w:rPr>
      </w:pPr>
      <w:r>
        <w:rPr>
          <w:rFonts w:cs="Times New Roman"/>
          <w:szCs w:val="24"/>
        </w:rPr>
        <w:t>AUC</w:t>
      </w:r>
      <w:r>
        <w:rPr>
          <w:rFonts w:cs="Times New Roman"/>
          <w:vertAlign w:val="subscript"/>
        </w:rPr>
        <w:t>% extrapolated</w:t>
      </w:r>
      <w:r>
        <w:rPr>
          <w:rFonts w:cs="Times New Roman"/>
          <w:szCs w:val="24"/>
        </w:rPr>
        <w:t xml:space="preserve"> (%): residual area.</w:t>
      </w:r>
    </w:p>
    <w:p w14:paraId="79D1B37F" w14:textId="40619294" w:rsidR="005E785F" w:rsidRDefault="003621E8">
      <w:pPr>
        <w:pStyle w:val="Heading4"/>
      </w:pPr>
      <w:bookmarkStart w:id="233" w:name="_Toc74904445"/>
      <w:r>
        <w:t>PD and Exploratory Endpoints</w:t>
      </w:r>
      <w:bookmarkEnd w:id="233"/>
    </w:p>
    <w:p w14:paraId="7CDFFBEE" w14:textId="211F72D0" w:rsidR="005E785F" w:rsidRDefault="003621E8">
      <w:pPr>
        <w:pStyle w:val="ListParagraph"/>
        <w:numPr>
          <w:ilvl w:val="0"/>
          <w:numId w:val="36"/>
        </w:numPr>
        <w:autoSpaceDE w:val="0"/>
        <w:autoSpaceDN w:val="0"/>
        <w:adjustRightInd w:val="0"/>
        <w:spacing w:before="120"/>
        <w:rPr>
          <w:rFonts w:cs="Times New Roman"/>
          <w:szCs w:val="24"/>
          <w:u w:val="single"/>
        </w:rPr>
      </w:pPr>
      <w:r>
        <w:rPr>
          <w:rFonts w:cs="Times New Roman"/>
          <w:szCs w:val="24"/>
        </w:rPr>
        <w:t xml:space="preserve">PD endpoints: </w:t>
      </w:r>
    </w:p>
    <w:p w14:paraId="7E5DEC96" w14:textId="25EC2BFA" w:rsidR="005E785F" w:rsidRDefault="003621E8">
      <w:pPr>
        <w:pStyle w:val="ListParagraph"/>
        <w:numPr>
          <w:ilvl w:val="1"/>
          <w:numId w:val="36"/>
        </w:numPr>
        <w:autoSpaceDE w:val="0"/>
        <w:autoSpaceDN w:val="0"/>
        <w:adjustRightInd w:val="0"/>
        <w:jc w:val="both"/>
        <w:rPr>
          <w:rFonts w:cs="Times New Roman"/>
          <w:szCs w:val="24"/>
        </w:rPr>
      </w:pPr>
      <w:r>
        <w:rPr>
          <w:rFonts w:cs="Times New Roman"/>
          <w:szCs w:val="24"/>
        </w:rPr>
        <w:t xml:space="preserve">Explore changes from baseline levels of serum cytokine and chemokine parameters (CXCL10, IFN-γ, IL-6) in serum at pre-dose and 8 h, 12 h, 24 h, 48 h post-dose and on Day 7. </w:t>
      </w:r>
    </w:p>
    <w:p w14:paraId="3A76A83A" w14:textId="5B0D8DDE" w:rsidR="005E785F" w:rsidRDefault="003621E8">
      <w:pPr>
        <w:pStyle w:val="ListParagraph"/>
        <w:numPr>
          <w:ilvl w:val="1"/>
          <w:numId w:val="36"/>
        </w:numPr>
        <w:autoSpaceDE w:val="0"/>
        <w:autoSpaceDN w:val="0"/>
        <w:adjustRightInd w:val="0"/>
        <w:jc w:val="both"/>
        <w:rPr>
          <w:rFonts w:cs="Times New Roman"/>
          <w:szCs w:val="24"/>
        </w:rPr>
      </w:pPr>
      <w:r>
        <w:rPr>
          <w:rFonts w:cs="Times New Roman"/>
          <w:szCs w:val="24"/>
        </w:rPr>
        <w:t>Other relevant cytokines/chemokines may be assessed if a multiplex assay can be implemented (IFN-α, MIP1α, IL-10, TNFα and/or other parameters) at pre-dose and 8 h, 12h, 24 h, 48 h post-dose and on Day 7.</w:t>
      </w:r>
    </w:p>
    <w:p w14:paraId="350C3BA8" w14:textId="77777777" w:rsidR="005E785F" w:rsidRDefault="003621E8">
      <w:pPr>
        <w:pStyle w:val="ListParagraph"/>
        <w:numPr>
          <w:ilvl w:val="0"/>
          <w:numId w:val="36"/>
        </w:numPr>
        <w:autoSpaceDE w:val="0"/>
        <w:autoSpaceDN w:val="0"/>
        <w:adjustRightInd w:val="0"/>
        <w:spacing w:before="120"/>
        <w:jc w:val="both"/>
        <w:rPr>
          <w:rFonts w:cs="Times New Roman"/>
          <w:szCs w:val="24"/>
          <w:u w:val="single"/>
        </w:rPr>
      </w:pPr>
      <w:r>
        <w:rPr>
          <w:rFonts w:cs="Times New Roman"/>
          <w:szCs w:val="24"/>
        </w:rPr>
        <w:t>PBMC samples:</w:t>
      </w:r>
    </w:p>
    <w:p w14:paraId="31595B0C" w14:textId="4DB673C3" w:rsidR="005E785F" w:rsidRDefault="003621E8">
      <w:pPr>
        <w:pStyle w:val="ListParagraph"/>
        <w:numPr>
          <w:ilvl w:val="1"/>
          <w:numId w:val="36"/>
        </w:numPr>
        <w:autoSpaceDE w:val="0"/>
        <w:autoSpaceDN w:val="0"/>
        <w:adjustRightInd w:val="0"/>
        <w:jc w:val="both"/>
        <w:rPr>
          <w:rFonts w:cs="Times New Roman"/>
          <w:szCs w:val="24"/>
          <w:u w:val="single"/>
        </w:rPr>
      </w:pPr>
      <w:r>
        <w:rPr>
          <w:rFonts w:cs="Times New Roman"/>
          <w:szCs w:val="24"/>
        </w:rPr>
        <w:t>Blood samples at pre-dose, Day 2 and Day 7 will be used to isolate PBMCs that will further be sent to the University of Tokyo for exploratory PD investigations.</w:t>
      </w:r>
    </w:p>
    <w:p w14:paraId="4C06ABFB" w14:textId="77777777" w:rsidR="005E785F" w:rsidRDefault="003621E8">
      <w:pPr>
        <w:pStyle w:val="ListParagraph"/>
        <w:numPr>
          <w:ilvl w:val="0"/>
          <w:numId w:val="36"/>
        </w:numPr>
        <w:autoSpaceDE w:val="0"/>
        <w:autoSpaceDN w:val="0"/>
        <w:adjustRightInd w:val="0"/>
        <w:spacing w:before="120"/>
        <w:jc w:val="both"/>
        <w:rPr>
          <w:rFonts w:cs="Times New Roman"/>
          <w:szCs w:val="24"/>
          <w:u w:val="single"/>
        </w:rPr>
      </w:pPr>
      <w:r>
        <w:rPr>
          <w:rFonts w:cs="Times New Roman"/>
          <w:szCs w:val="24"/>
        </w:rPr>
        <w:t>mRNA markers:</w:t>
      </w:r>
    </w:p>
    <w:p w14:paraId="7404F555" w14:textId="5C961A0B" w:rsidR="005E785F" w:rsidRDefault="003621E8">
      <w:pPr>
        <w:pStyle w:val="ListParagraph"/>
        <w:numPr>
          <w:ilvl w:val="1"/>
          <w:numId w:val="36"/>
        </w:numPr>
        <w:autoSpaceDE w:val="0"/>
        <w:autoSpaceDN w:val="0"/>
        <w:adjustRightInd w:val="0"/>
        <w:jc w:val="both"/>
        <w:rPr>
          <w:rFonts w:cs="Times New Roman"/>
          <w:szCs w:val="24"/>
          <w:u w:val="single"/>
        </w:rPr>
      </w:pPr>
      <w:r>
        <w:rPr>
          <w:rFonts w:cs="Times New Roman"/>
          <w:szCs w:val="24"/>
        </w:rPr>
        <w:t>Blood sample for mRNA markers will be collected on Day 1 at pre-dose, and 4 h, 8 h, 12 h, 24 h and 48 h post-dose and will be stored for subsequent exploratory analysis on cytokine and chemokine gene expression</w:t>
      </w:r>
      <w:r>
        <w:rPr>
          <w:rFonts w:cs="Times New Roman"/>
          <w:b/>
          <w:bCs/>
          <w:szCs w:val="24"/>
        </w:rPr>
        <w:t>.</w:t>
      </w:r>
    </w:p>
    <w:p w14:paraId="73FB22C5" w14:textId="71A5A599" w:rsidR="005E785F" w:rsidRDefault="003621E8">
      <w:pPr>
        <w:pStyle w:val="Heading3"/>
      </w:pPr>
      <w:bookmarkStart w:id="234" w:name="_Toc517682920"/>
      <w:bookmarkStart w:id="235" w:name="_Toc74904446"/>
      <w:bookmarkEnd w:id="229"/>
      <w:bookmarkEnd w:id="234"/>
      <w:r>
        <w:t>Analysis Sets</w:t>
      </w:r>
      <w:bookmarkEnd w:id="235"/>
    </w:p>
    <w:p w14:paraId="73FB22C6" w14:textId="2C4043A4" w:rsidR="005E785F" w:rsidRDefault="003621E8">
      <w:pPr>
        <w:spacing w:before="120" w:after="120"/>
        <w:jc w:val="both"/>
        <w:rPr>
          <w:color w:val="000000"/>
          <w:szCs w:val="24"/>
          <w:lang w:val="en-GB"/>
        </w:rPr>
      </w:pPr>
      <w:r>
        <w:rPr>
          <w:b/>
          <w:lang w:val="en-GB"/>
        </w:rPr>
        <w:t>Safety Set:</w:t>
      </w:r>
      <w:r>
        <w:rPr>
          <w:lang w:val="en-GB"/>
        </w:rPr>
        <w:t xml:space="preserve"> </w:t>
      </w:r>
      <w:r>
        <w:rPr>
          <w:bCs/>
          <w:color w:val="000000"/>
          <w:szCs w:val="24"/>
          <w:lang w:val="en-GB"/>
        </w:rPr>
        <w:t xml:space="preserve">All randomised participants who receive </w:t>
      </w:r>
      <w:r>
        <w:rPr>
          <w:color w:val="000000"/>
          <w:szCs w:val="24"/>
          <w:lang w:val="en-GB"/>
        </w:rPr>
        <w:t>IMP will be included in the safety analysis.</w:t>
      </w:r>
    </w:p>
    <w:p w14:paraId="0DF8E908" w14:textId="1523BBAE" w:rsidR="005E785F" w:rsidRDefault="003621E8">
      <w:pPr>
        <w:spacing w:before="120" w:after="120"/>
        <w:jc w:val="both"/>
        <w:rPr>
          <w:lang w:val="en-GB"/>
        </w:rPr>
      </w:pPr>
      <w:r>
        <w:rPr>
          <w:b/>
          <w:lang w:val="en-GB"/>
        </w:rPr>
        <w:t>PK Set:</w:t>
      </w:r>
      <w:r>
        <w:rPr>
          <w:lang w:val="en-GB"/>
        </w:rPr>
        <w:t xml:space="preserve"> </w:t>
      </w:r>
      <w:r>
        <w:rPr>
          <w:szCs w:val="24"/>
          <w:lang w:val="en-GB"/>
        </w:rPr>
        <w:t>Participants will be assigned to the PK Set on a per treatment basis.</w:t>
      </w:r>
      <w:r>
        <w:rPr>
          <w:lang w:val="en-GB"/>
        </w:rPr>
        <w:t xml:space="preserve"> Randomised participants will be assigned to the PK Set for a particular treatment where they have received the specific treatment and comply with the following criteria:</w:t>
      </w:r>
    </w:p>
    <w:p w14:paraId="15E7BBF0" w14:textId="77777777" w:rsidR="005E785F" w:rsidRDefault="003621E8">
      <w:pPr>
        <w:pStyle w:val="ListParagraph"/>
        <w:numPr>
          <w:ilvl w:val="0"/>
          <w:numId w:val="30"/>
        </w:numPr>
        <w:contextualSpacing/>
        <w:jc w:val="both"/>
        <w:rPr>
          <w:lang w:val="en-GB"/>
        </w:rPr>
      </w:pPr>
      <w:r>
        <w:rPr>
          <w:lang w:val="en-GB"/>
        </w:rPr>
        <w:t>Do not have a pre-dose concentration that is greater than 5% of the corresponding C</w:t>
      </w:r>
      <w:r>
        <w:rPr>
          <w:vertAlign w:val="subscript"/>
          <w:lang w:val="en-GB"/>
        </w:rPr>
        <w:t>max</w:t>
      </w:r>
      <w:r>
        <w:rPr>
          <w:lang w:val="en-GB"/>
        </w:rPr>
        <w:t>;</w:t>
      </w:r>
    </w:p>
    <w:p w14:paraId="5F240869" w14:textId="4BBFBD5A" w:rsidR="005E785F" w:rsidRDefault="003621E8">
      <w:pPr>
        <w:pStyle w:val="ListParagraph"/>
        <w:numPr>
          <w:ilvl w:val="0"/>
          <w:numId w:val="30"/>
        </w:numPr>
        <w:contextualSpacing/>
        <w:jc w:val="both"/>
        <w:rPr>
          <w:lang w:val="en-GB"/>
        </w:rPr>
      </w:pPr>
      <w:r>
        <w:rPr>
          <w:rFonts w:cs="Times New Roman"/>
          <w:szCs w:val="24"/>
        </w:rPr>
        <w:t>Have at least one post-dose PK sample with concentration above the lower limit of quantitation (LLOQ);</w:t>
      </w:r>
    </w:p>
    <w:p w14:paraId="00EE8D7F" w14:textId="55E0E7A7" w:rsidR="005E785F" w:rsidRDefault="003621E8">
      <w:pPr>
        <w:pStyle w:val="ListParagraph"/>
        <w:numPr>
          <w:ilvl w:val="0"/>
          <w:numId w:val="30"/>
        </w:numPr>
        <w:contextualSpacing/>
        <w:jc w:val="both"/>
        <w:rPr>
          <w:lang w:val="en-GB"/>
        </w:rPr>
      </w:pPr>
      <w:r>
        <w:rPr>
          <w:szCs w:val="24"/>
          <w:lang w:val="en-GB"/>
        </w:rPr>
        <w:lastRenderedPageBreak/>
        <w:t>Do not violate the protocol in such a way that may invalidate or bias the results (major protocol violators)</w:t>
      </w:r>
      <w:r>
        <w:rPr>
          <w:lang w:val="en-GB"/>
        </w:rPr>
        <w:t>.</w:t>
      </w:r>
    </w:p>
    <w:p w14:paraId="73FB22CA" w14:textId="7A379912" w:rsidR="005E785F" w:rsidRDefault="003621E8">
      <w:pPr>
        <w:pStyle w:val="Heading3"/>
      </w:pPr>
      <w:bookmarkStart w:id="236" w:name="_Toc517682923"/>
      <w:bookmarkStart w:id="237" w:name="_Toc74904447"/>
      <w:bookmarkEnd w:id="236"/>
      <w:r>
        <w:t>Description of Statistical Methods</w:t>
      </w:r>
      <w:bookmarkEnd w:id="237"/>
    </w:p>
    <w:p w14:paraId="73FB22CB" w14:textId="225D5E91" w:rsidR="005E785F" w:rsidRDefault="003621E8">
      <w:pPr>
        <w:spacing w:before="120" w:after="120"/>
        <w:jc w:val="both"/>
        <w:rPr>
          <w:lang w:val="en-GB"/>
        </w:rPr>
      </w:pPr>
      <w:r>
        <w:rPr>
          <w:rFonts w:cs="Times New Roman"/>
          <w:szCs w:val="24"/>
          <w:lang w:val="en-GB"/>
        </w:rPr>
        <w:t>All statistical analysis will be performed using SAS</w:t>
      </w:r>
      <w:r>
        <w:rPr>
          <w:rFonts w:cs="Times New Roman"/>
          <w:szCs w:val="24"/>
          <w:vertAlign w:val="superscript"/>
          <w:lang w:val="en-GB"/>
        </w:rPr>
        <w:t>®</w:t>
      </w:r>
      <w:r>
        <w:rPr>
          <w:rFonts w:cs="Times New Roman"/>
          <w:szCs w:val="24"/>
          <w:lang w:val="en-GB"/>
        </w:rPr>
        <w:t xml:space="preserve"> </w:t>
      </w:r>
      <w:r>
        <w:rPr>
          <w:lang w:val="en-GB"/>
        </w:rPr>
        <w:t>(the most up to date version will be used and this will be documented in the SAP)</w:t>
      </w:r>
      <w:r>
        <w:rPr>
          <w:rFonts w:cs="Times New Roman"/>
          <w:szCs w:val="24"/>
          <w:lang w:val="en-GB"/>
        </w:rPr>
        <w:t>.</w:t>
      </w:r>
    </w:p>
    <w:p w14:paraId="73FB22CC" w14:textId="25D115FA" w:rsidR="005E785F" w:rsidRDefault="003621E8">
      <w:pPr>
        <w:pStyle w:val="Heading4"/>
      </w:pPr>
      <w:bookmarkStart w:id="238" w:name="_Toc74904448"/>
      <w:r>
        <w:t>Demographic and Background Data</w:t>
      </w:r>
      <w:bookmarkEnd w:id="238"/>
    </w:p>
    <w:p w14:paraId="73FB22CD" w14:textId="77777777" w:rsidR="005E785F" w:rsidRDefault="003621E8">
      <w:pPr>
        <w:spacing w:before="120" w:after="120"/>
        <w:jc w:val="both"/>
        <w:rPr>
          <w:szCs w:val="24"/>
          <w:lang w:val="en-GB"/>
        </w:rPr>
      </w:pPr>
      <w:r>
        <w:rPr>
          <w:szCs w:val="24"/>
          <w:lang w:val="en-GB"/>
        </w:rPr>
        <w:t>All demographic and background data will be listed, in addition:</w:t>
      </w:r>
    </w:p>
    <w:p w14:paraId="73FB22CE" w14:textId="4D66E6C0" w:rsidR="005E785F" w:rsidRDefault="003621E8">
      <w:pPr>
        <w:spacing w:before="120" w:after="120"/>
        <w:jc w:val="both"/>
        <w:rPr>
          <w:szCs w:val="24"/>
          <w:lang w:val="en-GB"/>
        </w:rPr>
      </w:pPr>
      <w:r>
        <w:rPr>
          <w:b/>
          <w:szCs w:val="24"/>
          <w:lang w:val="en-GB"/>
        </w:rPr>
        <w:t>Disposition:</w:t>
      </w:r>
      <w:r>
        <w:rPr>
          <w:szCs w:val="24"/>
          <w:lang w:val="en-GB"/>
        </w:rPr>
        <w:t xml:space="preserve"> Participant disposition will be listed with any withdrawals flagged.  Frequencies (number and %) of the total number of participants dosed, completed and prematurely discontinued (including reason for discontinuation) from the study will be summarised. Additionally, the frequency of participants within each analysis set will be summarised.</w:t>
      </w:r>
    </w:p>
    <w:p w14:paraId="73FB22CF" w14:textId="5EB7E122" w:rsidR="005E785F" w:rsidRDefault="003621E8">
      <w:pPr>
        <w:spacing w:before="120" w:after="120"/>
        <w:jc w:val="both"/>
        <w:rPr>
          <w:color w:val="000000"/>
          <w:lang w:val="en-GB"/>
        </w:rPr>
      </w:pPr>
      <w:r>
        <w:rPr>
          <w:b/>
          <w:lang w:val="en-GB"/>
        </w:rPr>
        <w:t>Demographics:</w:t>
      </w:r>
      <w:r>
        <w:rPr>
          <w:lang w:val="en-GB"/>
        </w:rPr>
        <w:t xml:space="preserve"> </w:t>
      </w:r>
      <w:r>
        <w:rPr>
          <w:color w:val="000000"/>
          <w:lang w:val="en-GB"/>
        </w:rPr>
        <w:t>Demographic data will be listed. D</w:t>
      </w:r>
      <w:r>
        <w:rPr>
          <w:lang w:val="en-GB"/>
        </w:rPr>
        <w:t>escriptive statistics (number of participants in the analysis set (N), number of participants with non</w:t>
      </w:r>
      <w:r>
        <w:rPr>
          <w:lang w:val="en-GB"/>
        </w:rPr>
        <w:noBreakHyphen/>
        <w:t>missing observations (n), mean, standard deviation (SD), minimum, median and maximum) will be tabulated</w:t>
      </w:r>
      <w:r>
        <w:rPr>
          <w:color w:val="000000"/>
          <w:lang w:val="en-GB"/>
        </w:rPr>
        <w:t xml:space="preserve"> for the continuous variables </w:t>
      </w:r>
      <w:r>
        <w:rPr>
          <w:lang w:val="en-GB"/>
        </w:rPr>
        <w:t>age, height, weight and BMI</w:t>
      </w:r>
      <w:r>
        <w:rPr>
          <w:color w:val="000000"/>
          <w:lang w:val="en-GB"/>
        </w:rPr>
        <w:t xml:space="preserve"> and frequencies (number and %) for the categorical variable race by treatment group.</w:t>
      </w:r>
    </w:p>
    <w:p w14:paraId="73FB22D1" w14:textId="77777777" w:rsidR="005E785F" w:rsidRDefault="003621E8">
      <w:pPr>
        <w:pStyle w:val="Heading4"/>
      </w:pPr>
      <w:bookmarkStart w:id="239" w:name="_Toc74904449"/>
      <w:bookmarkStart w:id="240" w:name="_Toc442704873"/>
      <w:r>
        <w:t>Efficacy Data</w:t>
      </w:r>
      <w:bookmarkEnd w:id="239"/>
    </w:p>
    <w:p w14:paraId="73FB22D2" w14:textId="1C3FCCC7" w:rsidR="005E785F" w:rsidRDefault="003621E8">
      <w:pPr>
        <w:spacing w:before="120" w:after="120"/>
        <w:jc w:val="both"/>
        <w:rPr>
          <w:iCs/>
          <w:lang w:val="en-GB"/>
        </w:rPr>
      </w:pPr>
      <w:r>
        <w:rPr>
          <w:iCs/>
          <w:lang w:val="en-GB"/>
        </w:rPr>
        <w:t>N/A</w:t>
      </w:r>
    </w:p>
    <w:p w14:paraId="73FB22D3" w14:textId="77777777" w:rsidR="005E785F" w:rsidRDefault="003621E8">
      <w:pPr>
        <w:pStyle w:val="Heading4"/>
      </w:pPr>
      <w:bookmarkStart w:id="241" w:name="_Toc74904450"/>
      <w:r>
        <w:t>Safety Data</w:t>
      </w:r>
      <w:bookmarkEnd w:id="241"/>
    </w:p>
    <w:p w14:paraId="73FB22DD" w14:textId="77777777" w:rsidR="005E785F" w:rsidRDefault="003621E8">
      <w:pPr>
        <w:spacing w:before="120" w:after="120"/>
        <w:ind w:left="360" w:hanging="360"/>
        <w:jc w:val="both"/>
        <w:rPr>
          <w:lang w:val="en-GB"/>
        </w:rPr>
      </w:pPr>
      <w:r>
        <w:rPr>
          <w:szCs w:val="24"/>
          <w:lang w:val="en-GB"/>
        </w:rPr>
        <w:t>All safety data will be listed, in addition:</w:t>
      </w:r>
    </w:p>
    <w:p w14:paraId="73FB22DE" w14:textId="1F6A77DB" w:rsidR="005E785F" w:rsidRDefault="003621E8">
      <w:pPr>
        <w:autoSpaceDE w:val="0"/>
        <w:autoSpaceDN w:val="0"/>
        <w:adjustRightInd w:val="0"/>
        <w:spacing w:before="120" w:after="120"/>
        <w:jc w:val="both"/>
        <w:rPr>
          <w:rFonts w:cs="Times New Roman"/>
          <w:szCs w:val="24"/>
          <w:lang w:val="en-GB"/>
        </w:rPr>
      </w:pPr>
      <w:r>
        <w:rPr>
          <w:rFonts w:cs="Times New Roman"/>
          <w:b/>
          <w:szCs w:val="24"/>
          <w:lang w:val="en-GB"/>
        </w:rPr>
        <w:t>AEs:</w:t>
      </w:r>
      <w:r>
        <w:rPr>
          <w:rFonts w:cs="Times New Roman"/>
          <w:szCs w:val="24"/>
          <w:lang w:val="en-GB"/>
        </w:rPr>
        <w:t xml:space="preserve"> All AEs will be coded using the </w:t>
      </w:r>
      <w:r>
        <w:rPr>
          <w:rStyle w:val="st"/>
          <w:rFonts w:cs="Times New Roman"/>
          <w:color w:val="222222"/>
          <w:szCs w:val="24"/>
          <w:lang w:val="en-GB"/>
        </w:rPr>
        <w:t>Medical Dictionary for Regulatory Activities (</w:t>
      </w:r>
      <w:r>
        <w:rPr>
          <w:rFonts w:cs="Times New Roman"/>
          <w:szCs w:val="24"/>
          <w:lang w:val="en-GB"/>
        </w:rPr>
        <w:t>MedDRA) dictionary</w:t>
      </w:r>
      <w:r>
        <w:rPr>
          <w:lang w:val="en-GB"/>
        </w:rPr>
        <w:t xml:space="preserve">. The most up to date version that is available at the time of database build will be used and will be listed in the data management plan (DMP). The MedDRA dictionary will not be updated during the course of the study. </w:t>
      </w:r>
    </w:p>
    <w:p w14:paraId="7A3DC330" w14:textId="5DB1FF76" w:rsidR="005E785F" w:rsidRDefault="003621E8">
      <w:pPr>
        <w:spacing w:before="120" w:after="120"/>
        <w:jc w:val="both"/>
        <w:rPr>
          <w:rFonts w:cs="Times New Roman"/>
          <w:szCs w:val="24"/>
          <w:lang w:val="en-GB"/>
        </w:rPr>
      </w:pPr>
      <w:r>
        <w:rPr>
          <w:rFonts w:cs="Times New Roman"/>
          <w:szCs w:val="24"/>
        </w:rPr>
        <w:t>All AEs, including those which occurred prior to the first dose of IMP, will be listed. TEAEs i.e., existing conditions that worsen or events that occur during the course of the study after administration of IMP, will be included within the summary tables and summarised by treatment group. Treatment related TEAEs and systemic TEAEs will be summarised by treatment group.</w:t>
      </w:r>
    </w:p>
    <w:p w14:paraId="73FB22E0" w14:textId="7A1F865E" w:rsidR="005E785F" w:rsidRDefault="003621E8">
      <w:pPr>
        <w:spacing w:before="120" w:after="120"/>
        <w:jc w:val="both"/>
        <w:rPr>
          <w:rFonts w:cs="Times New Roman"/>
          <w:szCs w:val="24"/>
          <w:lang w:val="en-GB"/>
        </w:rPr>
      </w:pPr>
      <w:r>
        <w:rPr>
          <w:rFonts w:cs="Times New Roman"/>
          <w:szCs w:val="24"/>
          <w:lang w:val="en-GB"/>
        </w:rPr>
        <w:t xml:space="preserve">An overall summary of AEs will be produced including the number of TEAEs; the number and % of participants reporting at least 1 TEAE, serious TEAE, TEAE leading to withdrawal from the study; the number and % of participants reporting TEAEs by severity and relationship to IMP.  </w:t>
      </w:r>
    </w:p>
    <w:p w14:paraId="73FB22E1" w14:textId="25B74FCB" w:rsidR="005E785F" w:rsidRDefault="003621E8">
      <w:pPr>
        <w:spacing w:before="120" w:after="120"/>
        <w:jc w:val="both"/>
        <w:rPr>
          <w:rFonts w:cs="Times New Roman"/>
          <w:szCs w:val="24"/>
          <w:lang w:val="en-GB"/>
        </w:rPr>
      </w:pPr>
      <w:r>
        <w:rPr>
          <w:rFonts w:cs="Times New Roman"/>
          <w:szCs w:val="24"/>
          <w:lang w:val="en-GB"/>
        </w:rPr>
        <w:t>The number of TEAEs and the number and % of participants reporting at least 1 TEAE will be tabulated by system organ class (SOC) and preferred term. A participant reporting multiple episodes of a particular AE within a treatment period will only contribute 1 count towards the corresponding SOC and preferred term.</w:t>
      </w:r>
    </w:p>
    <w:p w14:paraId="50D1B67F" w14:textId="4E8C828F" w:rsidR="005E785F" w:rsidRDefault="003621E8">
      <w:pPr>
        <w:spacing w:before="120" w:after="120"/>
        <w:jc w:val="both"/>
        <w:rPr>
          <w:rFonts w:cs="Times New Roman"/>
          <w:szCs w:val="24"/>
          <w:lang w:val="en-GB"/>
        </w:rPr>
      </w:pPr>
      <w:r>
        <w:rPr>
          <w:rFonts w:cs="Times New Roman"/>
          <w:szCs w:val="24"/>
          <w:lang w:val="en-GB"/>
        </w:rPr>
        <w:lastRenderedPageBreak/>
        <w:t>The number of TEAEs and the number and % of participants reporting at least 1 TEAE will be tabulated by preferred term and sorted by descending frequency on the total number of participants with that AE. A participant reporting multiple episodes of a particular AE within a treatment period will only contribute 1 count towards the corresponding preferred term.</w:t>
      </w:r>
    </w:p>
    <w:p w14:paraId="73FB22E2" w14:textId="38A74E19" w:rsidR="005E785F" w:rsidRDefault="003621E8">
      <w:pPr>
        <w:spacing w:before="120" w:after="120"/>
        <w:jc w:val="both"/>
        <w:rPr>
          <w:rFonts w:cs="Times New Roman"/>
          <w:szCs w:val="24"/>
          <w:lang w:val="en-GB"/>
        </w:rPr>
      </w:pPr>
      <w:r>
        <w:rPr>
          <w:rFonts w:cs="Times New Roman"/>
          <w:szCs w:val="24"/>
          <w:lang w:val="en-GB"/>
        </w:rPr>
        <w:t>In addition, the number and % of participants reporting TEAEs will be tabulated by maximum severity and strongest relationship to IMP. For the summary of TEAEs by severity, if a participant has multiple events occurring within the same SOC or preferred term the event with the highest severity will be counted. Similarly, for TEAEs by relationship to IMP, if a participant has multiple events occurring within the same SOC or preferred term, the event with the highest association to IMP will be counted.</w:t>
      </w:r>
    </w:p>
    <w:p w14:paraId="7E8D0C0C" w14:textId="5284C8E0" w:rsidR="005E785F" w:rsidRDefault="003621E8">
      <w:pPr>
        <w:spacing w:before="120" w:after="120"/>
        <w:jc w:val="both"/>
        <w:rPr>
          <w:szCs w:val="24"/>
          <w:lang w:val="en-GB"/>
        </w:rPr>
      </w:pPr>
      <w:r>
        <w:rPr>
          <w:rFonts w:cs="Times New Roman"/>
          <w:b/>
          <w:bCs/>
          <w:szCs w:val="24"/>
        </w:rPr>
        <w:t>Laboratory Safety:</w:t>
      </w:r>
      <w:r>
        <w:rPr>
          <w:rFonts w:cs="Times New Roman"/>
          <w:szCs w:val="24"/>
        </w:rPr>
        <w:t xml:space="preserve"> </w:t>
      </w:r>
      <w:r>
        <w:rPr>
          <w:rFonts w:cs="Times New Roman"/>
          <w:color w:val="000000"/>
          <w:szCs w:val="24"/>
        </w:rPr>
        <w:t xml:space="preserve">Biochemistry, haematology, coagulation, and urinalysis parameters will be listed with any out of normal range values flagged.  </w:t>
      </w:r>
      <w:r>
        <w:rPr>
          <w:rFonts w:cs="Times New Roman"/>
          <w:szCs w:val="24"/>
        </w:rPr>
        <w:t>Laboratory test results which are out of normal range will also be presented separately along with normal reference ranges. Descriptive statistics (N, n, mean, SD, minimum, median and maximum) of absolute and change from baseline (Day -1) biochemistry, haematology and coagulation values at each protocol-defined time</w:t>
      </w:r>
      <w:r>
        <w:rPr>
          <w:rFonts w:cs="Times New Roman"/>
          <w:szCs w:val="24"/>
        </w:rPr>
        <w:noBreakHyphen/>
        <w:t>point will be tabulated.</w:t>
      </w:r>
    </w:p>
    <w:p w14:paraId="0414214C" w14:textId="56DC7B38" w:rsidR="005E785F" w:rsidRDefault="003621E8">
      <w:pPr>
        <w:spacing w:before="120" w:after="120"/>
        <w:jc w:val="both"/>
        <w:rPr>
          <w:szCs w:val="24"/>
          <w:lang w:val="en-GB"/>
        </w:rPr>
      </w:pPr>
      <w:r>
        <w:rPr>
          <w:rFonts w:cs="Times New Roman"/>
          <w:b/>
          <w:bCs/>
          <w:szCs w:val="24"/>
        </w:rPr>
        <w:t>Vital Signs:</w:t>
      </w:r>
      <w:r>
        <w:rPr>
          <w:rFonts w:cs="Times New Roman"/>
          <w:szCs w:val="24"/>
        </w:rPr>
        <w:t xml:space="preserve"> </w:t>
      </w:r>
      <w:r>
        <w:rPr>
          <w:rFonts w:cs="Times New Roman"/>
          <w:color w:val="000000"/>
          <w:szCs w:val="24"/>
        </w:rPr>
        <w:t xml:space="preserve">Vital signs parameters will be listed with any out of normal range values and clinical significance flagged. </w:t>
      </w:r>
      <w:r>
        <w:rPr>
          <w:rFonts w:cs="Times New Roman"/>
          <w:szCs w:val="24"/>
        </w:rPr>
        <w:t>Descriptive statistics (N, n, mean, SD, minimum, median and maximum) of absolute and change from baseline (Day 1 pre</w:t>
      </w:r>
      <w:r>
        <w:rPr>
          <w:rFonts w:cs="Times New Roman"/>
          <w:szCs w:val="24"/>
        </w:rPr>
        <w:noBreakHyphen/>
        <w:t>dose) values at each protocol-defined time</w:t>
      </w:r>
      <w:r>
        <w:rPr>
          <w:rFonts w:cs="Times New Roman"/>
          <w:szCs w:val="24"/>
        </w:rPr>
        <w:noBreakHyphen/>
        <w:t xml:space="preserve">point will be tabulated.  </w:t>
      </w:r>
    </w:p>
    <w:p w14:paraId="134E1AAF" w14:textId="637009CE" w:rsidR="005E785F" w:rsidRDefault="003621E8">
      <w:pPr>
        <w:spacing w:before="120" w:after="120"/>
        <w:jc w:val="both"/>
        <w:rPr>
          <w:lang w:val="en-GB"/>
        </w:rPr>
      </w:pPr>
      <w:r>
        <w:rPr>
          <w:rFonts w:cs="Times New Roman"/>
          <w:b/>
          <w:bCs/>
          <w:szCs w:val="24"/>
        </w:rPr>
        <w:t>12</w:t>
      </w:r>
      <w:r>
        <w:rPr>
          <w:rFonts w:cs="Times New Roman"/>
          <w:b/>
          <w:bCs/>
          <w:szCs w:val="24"/>
        </w:rPr>
        <w:noBreakHyphen/>
        <w:t>Lead ECG:</w:t>
      </w:r>
      <w:r>
        <w:rPr>
          <w:rFonts w:cs="Times New Roman"/>
          <w:szCs w:val="24"/>
        </w:rPr>
        <w:t xml:space="preserve"> </w:t>
      </w:r>
      <w:r>
        <w:rPr>
          <w:rFonts w:cs="Times New Roman"/>
          <w:color w:val="000000"/>
          <w:szCs w:val="24"/>
        </w:rPr>
        <w:t>12</w:t>
      </w:r>
      <w:r>
        <w:rPr>
          <w:rFonts w:cs="Times New Roman"/>
          <w:color w:val="000000"/>
          <w:szCs w:val="24"/>
        </w:rPr>
        <w:noBreakHyphen/>
        <w:t xml:space="preserve">Lead ECG parameters will be listed with any out of normal range values flagged. </w:t>
      </w:r>
      <w:r>
        <w:rPr>
          <w:rFonts w:cs="Times New Roman"/>
          <w:szCs w:val="24"/>
        </w:rPr>
        <w:t>Descriptive statistics (N, n, mean, SD, minimum, median and maximum) of absolute and change from baseline (Day 1 pre</w:t>
      </w:r>
      <w:r>
        <w:rPr>
          <w:rFonts w:cs="Times New Roman"/>
          <w:szCs w:val="24"/>
        </w:rPr>
        <w:noBreakHyphen/>
        <w:t>dose) values and clinical significance at each protocol-defined time</w:t>
      </w:r>
      <w:r>
        <w:rPr>
          <w:rFonts w:cs="Times New Roman"/>
          <w:szCs w:val="24"/>
        </w:rPr>
        <w:noBreakHyphen/>
        <w:t xml:space="preserve">point will be tabulated.  </w:t>
      </w:r>
    </w:p>
    <w:p w14:paraId="36625649" w14:textId="77777777" w:rsidR="005E785F" w:rsidRDefault="003621E8">
      <w:pPr>
        <w:spacing w:before="120" w:after="120"/>
        <w:jc w:val="both"/>
        <w:rPr>
          <w:lang w:val="en-GB"/>
        </w:rPr>
      </w:pPr>
      <w:r>
        <w:rPr>
          <w:rFonts w:cs="Times New Roman"/>
          <w:szCs w:val="24"/>
        </w:rPr>
        <w:t>Additionally, the frequency (number and % of participants) for absolute and change from baseline QTcF values will be summarised according to the below categories:</w:t>
      </w:r>
    </w:p>
    <w:p w14:paraId="73FB22E7" w14:textId="77777777" w:rsidR="005E785F" w:rsidRDefault="003621E8">
      <w:pPr>
        <w:spacing w:before="120" w:after="120"/>
        <w:jc w:val="both"/>
        <w:rPr>
          <w:lang w:val="en-GB"/>
        </w:rPr>
      </w:pPr>
      <w:r>
        <w:rPr>
          <w:lang w:val="en-GB"/>
        </w:rPr>
        <w:t>For absolute values</w:t>
      </w:r>
    </w:p>
    <w:p w14:paraId="7594F686" w14:textId="77777777" w:rsidR="005E785F" w:rsidRDefault="003621E8">
      <w:pPr>
        <w:numPr>
          <w:ilvl w:val="0"/>
          <w:numId w:val="27"/>
        </w:numPr>
        <w:spacing w:before="120" w:after="120"/>
        <w:ind w:left="714" w:hanging="357"/>
        <w:jc w:val="both"/>
        <w:rPr>
          <w:lang w:val="en-GB"/>
        </w:rPr>
      </w:pPr>
      <w:r>
        <w:rPr>
          <w:rFonts w:cs="Times New Roman"/>
          <w:szCs w:val="24"/>
        </w:rPr>
        <w:t xml:space="preserve">QTcF ≤ 450 msec. </w:t>
      </w:r>
    </w:p>
    <w:p w14:paraId="6EC261DF" w14:textId="77777777" w:rsidR="005E785F" w:rsidRDefault="003621E8">
      <w:pPr>
        <w:numPr>
          <w:ilvl w:val="0"/>
          <w:numId w:val="27"/>
        </w:numPr>
        <w:spacing w:before="120" w:after="120"/>
        <w:ind w:left="714" w:hanging="357"/>
        <w:jc w:val="both"/>
        <w:rPr>
          <w:lang w:val="en-GB"/>
        </w:rPr>
      </w:pPr>
      <w:r>
        <w:rPr>
          <w:rFonts w:cs="Times New Roman"/>
          <w:szCs w:val="24"/>
        </w:rPr>
        <w:t xml:space="preserve">QTcF &gt; 450 msec and QTcF ≤ 480 msec. </w:t>
      </w:r>
    </w:p>
    <w:p w14:paraId="32319722" w14:textId="77777777" w:rsidR="005E785F" w:rsidRDefault="003621E8">
      <w:pPr>
        <w:numPr>
          <w:ilvl w:val="0"/>
          <w:numId w:val="27"/>
        </w:numPr>
        <w:spacing w:before="120" w:after="120"/>
        <w:ind w:left="714" w:hanging="357"/>
        <w:jc w:val="both"/>
        <w:rPr>
          <w:lang w:val="en-GB"/>
        </w:rPr>
      </w:pPr>
      <w:r>
        <w:rPr>
          <w:rFonts w:cs="Times New Roman"/>
          <w:szCs w:val="24"/>
        </w:rPr>
        <w:t xml:space="preserve">QTcF &gt; 480 msec and QTcF ≤ 500 msec. </w:t>
      </w:r>
    </w:p>
    <w:p w14:paraId="337FB537" w14:textId="77777777" w:rsidR="005E785F" w:rsidRDefault="003621E8">
      <w:pPr>
        <w:numPr>
          <w:ilvl w:val="0"/>
          <w:numId w:val="27"/>
        </w:numPr>
        <w:spacing w:before="120" w:after="120"/>
        <w:ind w:left="714" w:hanging="357"/>
        <w:jc w:val="both"/>
        <w:rPr>
          <w:lang w:val="en-GB"/>
        </w:rPr>
      </w:pPr>
      <w:r>
        <w:rPr>
          <w:rFonts w:cs="Times New Roman"/>
          <w:szCs w:val="24"/>
        </w:rPr>
        <w:t>QTcF &gt; 500 msec.</w:t>
      </w:r>
    </w:p>
    <w:p w14:paraId="73FB22EC" w14:textId="77777777" w:rsidR="005E785F" w:rsidRDefault="003621E8">
      <w:pPr>
        <w:spacing w:before="120" w:after="120"/>
        <w:jc w:val="both"/>
        <w:rPr>
          <w:lang w:val="en-GB"/>
        </w:rPr>
      </w:pPr>
      <w:r>
        <w:rPr>
          <w:lang w:val="en-GB"/>
        </w:rPr>
        <w:t>For change from baseline</w:t>
      </w:r>
    </w:p>
    <w:p w14:paraId="4557CBDB" w14:textId="77777777" w:rsidR="005E785F" w:rsidRDefault="003621E8">
      <w:pPr>
        <w:numPr>
          <w:ilvl w:val="0"/>
          <w:numId w:val="27"/>
        </w:numPr>
        <w:spacing w:before="120" w:after="120"/>
        <w:ind w:left="714" w:hanging="357"/>
        <w:jc w:val="both"/>
        <w:rPr>
          <w:lang w:val="en-GB"/>
        </w:rPr>
      </w:pPr>
      <w:r>
        <w:rPr>
          <w:rFonts w:cs="Times New Roman"/>
          <w:szCs w:val="24"/>
        </w:rPr>
        <w:t xml:space="preserve">QTcF ≤ 30 msec. </w:t>
      </w:r>
    </w:p>
    <w:p w14:paraId="54347855" w14:textId="77777777" w:rsidR="005E785F" w:rsidRDefault="003621E8">
      <w:pPr>
        <w:numPr>
          <w:ilvl w:val="0"/>
          <w:numId w:val="27"/>
        </w:numPr>
        <w:spacing w:before="120" w:after="120"/>
        <w:ind w:left="714" w:hanging="357"/>
        <w:jc w:val="both"/>
        <w:rPr>
          <w:lang w:val="en-GB"/>
        </w:rPr>
      </w:pPr>
      <w:r>
        <w:rPr>
          <w:rFonts w:cs="Times New Roman"/>
          <w:szCs w:val="24"/>
        </w:rPr>
        <w:t xml:space="preserve">QTcF &gt; 30 msec and QTcF ≤ 60 msec. </w:t>
      </w:r>
    </w:p>
    <w:p w14:paraId="7BF944AB" w14:textId="77777777" w:rsidR="005E785F" w:rsidRDefault="003621E8">
      <w:pPr>
        <w:numPr>
          <w:ilvl w:val="0"/>
          <w:numId w:val="27"/>
        </w:numPr>
        <w:spacing w:before="120" w:after="120"/>
        <w:jc w:val="both"/>
        <w:rPr>
          <w:lang w:val="en-GB"/>
        </w:rPr>
      </w:pPr>
      <w:r>
        <w:rPr>
          <w:rFonts w:cs="Times New Roman"/>
          <w:szCs w:val="24"/>
        </w:rPr>
        <w:t>QTcF &gt; 60 msec.</w:t>
      </w:r>
    </w:p>
    <w:p w14:paraId="24CC54A0" w14:textId="3C31CA53" w:rsidR="005E785F" w:rsidRDefault="003621E8">
      <w:pPr>
        <w:spacing w:before="120" w:after="120"/>
        <w:jc w:val="both"/>
        <w:rPr>
          <w:lang w:val="en-GB"/>
        </w:rPr>
      </w:pPr>
      <w:r>
        <w:rPr>
          <w:rFonts w:cs="Times New Roman"/>
          <w:b/>
          <w:bCs/>
          <w:szCs w:val="24"/>
        </w:rPr>
        <w:t>Physical examination</w:t>
      </w:r>
      <w:r>
        <w:rPr>
          <w:rFonts w:cs="Times New Roman"/>
          <w:szCs w:val="24"/>
        </w:rPr>
        <w:t>: Physical examination results will be listed.</w:t>
      </w:r>
    </w:p>
    <w:p w14:paraId="4DD74562" w14:textId="052E16FC" w:rsidR="005E785F" w:rsidRDefault="003621E8">
      <w:pPr>
        <w:spacing w:before="120" w:after="120"/>
        <w:jc w:val="both"/>
        <w:rPr>
          <w:lang w:val="en-GB"/>
        </w:rPr>
      </w:pPr>
      <w:r>
        <w:rPr>
          <w:rFonts w:cs="Times New Roman"/>
          <w:b/>
          <w:bCs/>
          <w:szCs w:val="24"/>
        </w:rPr>
        <w:t>Injection site assessment</w:t>
      </w:r>
      <w:r>
        <w:rPr>
          <w:rFonts w:cs="Times New Roman"/>
          <w:szCs w:val="24"/>
        </w:rPr>
        <w:t xml:space="preserve">: Injection site reactions (redness, swelling, warmth, tenderness, pain) will be assessed during the study, according to the assessment scaled in </w:t>
      </w:r>
      <w:r>
        <w:rPr>
          <w:rFonts w:cs="Times New Roman"/>
          <w:color w:val="0000FF"/>
          <w:szCs w:val="24"/>
        </w:rPr>
        <w:fldChar w:fldCharType="begin"/>
      </w:r>
      <w:r>
        <w:rPr>
          <w:rFonts w:cs="Times New Roman"/>
          <w:color w:val="0000FF"/>
          <w:szCs w:val="24"/>
        </w:rPr>
        <w:instrText xml:space="preserve"> REF _Ref67033060 \h </w:instrText>
      </w:r>
      <w:r>
        <w:rPr>
          <w:rFonts w:cs="Times New Roman"/>
          <w:color w:val="0000FF"/>
          <w:szCs w:val="24"/>
        </w:rPr>
      </w:r>
      <w:r>
        <w:rPr>
          <w:rFonts w:cs="Times New Roman"/>
          <w:color w:val="0000FF"/>
          <w:szCs w:val="24"/>
        </w:rPr>
        <w:fldChar w:fldCharType="separate"/>
      </w:r>
      <w:r>
        <w:rPr>
          <w:color w:val="0000FF"/>
        </w:rPr>
        <w:t>Appendix 3</w:t>
      </w:r>
      <w:r>
        <w:rPr>
          <w:rFonts w:cs="Times New Roman"/>
          <w:color w:val="0000FF"/>
          <w:szCs w:val="24"/>
        </w:rPr>
        <w:fldChar w:fldCharType="end"/>
      </w:r>
      <w:r>
        <w:rPr>
          <w:rFonts w:cs="Times New Roman"/>
          <w:szCs w:val="24"/>
        </w:rPr>
        <w:t>, listed and summarised using frequencies (number and % of participants).</w:t>
      </w:r>
    </w:p>
    <w:p w14:paraId="73FB22F1" w14:textId="2D66E64B" w:rsidR="005E785F" w:rsidRDefault="003621E8">
      <w:pPr>
        <w:pStyle w:val="Heading4"/>
      </w:pPr>
      <w:bookmarkStart w:id="242" w:name="_Toc74904451"/>
      <w:r>
        <w:lastRenderedPageBreak/>
        <w:t>PK</w:t>
      </w:r>
      <w:bookmarkEnd w:id="240"/>
      <w:r>
        <w:t xml:space="preserve"> Data</w:t>
      </w:r>
      <w:bookmarkEnd w:id="242"/>
    </w:p>
    <w:p w14:paraId="0FEC63ED" w14:textId="4BB8A385" w:rsidR="005E785F" w:rsidRDefault="003621E8">
      <w:pPr>
        <w:spacing w:before="120" w:after="120"/>
        <w:jc w:val="both"/>
        <w:rPr>
          <w:color w:val="000000"/>
          <w:szCs w:val="24"/>
          <w:lang w:val="en-GB"/>
        </w:rPr>
      </w:pPr>
      <w:r>
        <w:rPr>
          <w:rFonts w:cs="Times New Roman"/>
          <w:b/>
          <w:bCs/>
          <w:i/>
          <w:color w:val="000000"/>
          <w:szCs w:val="24"/>
        </w:rPr>
        <w:t>Concentration-Time Data:</w:t>
      </w:r>
      <w:r>
        <w:rPr>
          <w:rFonts w:cs="Times New Roman"/>
          <w:color w:val="000000"/>
          <w:szCs w:val="24"/>
        </w:rPr>
        <w:t xml:space="preserve"> Individual plasma </w:t>
      </w:r>
      <w:r>
        <w:rPr>
          <w:rFonts w:cs="Times New Roman"/>
          <w:szCs w:val="24"/>
        </w:rPr>
        <w:t>CpG ODN D35</w:t>
      </w:r>
      <w:r>
        <w:rPr>
          <w:rFonts w:ascii="Arial" w:hAnsi="Arial"/>
          <w:sz w:val="22"/>
          <w:szCs w:val="22"/>
        </w:rPr>
        <w:t xml:space="preserve"> </w:t>
      </w:r>
      <w:r>
        <w:rPr>
          <w:rFonts w:cs="Times New Roman"/>
          <w:szCs w:val="24"/>
        </w:rPr>
        <w:t>concentration</w:t>
      </w:r>
      <w:r>
        <w:rPr>
          <w:rFonts w:cs="Times New Roman"/>
          <w:szCs w:val="24"/>
        </w:rPr>
        <w:noBreakHyphen/>
        <w:t xml:space="preserve">time data </w:t>
      </w:r>
      <w:r>
        <w:rPr>
          <w:rFonts w:cs="Times New Roman"/>
          <w:color w:val="000000"/>
          <w:szCs w:val="24"/>
        </w:rPr>
        <w:t>will be listed. C</w:t>
      </w:r>
      <w:r>
        <w:rPr>
          <w:rFonts w:cs="Times New Roman"/>
          <w:szCs w:val="24"/>
        </w:rPr>
        <w:t>oncentration</w:t>
      </w:r>
      <w:r>
        <w:rPr>
          <w:rFonts w:cs="Times New Roman"/>
          <w:szCs w:val="24"/>
        </w:rPr>
        <w:noBreakHyphen/>
        <w:t>time data</w:t>
      </w:r>
      <w:r>
        <w:rPr>
          <w:rFonts w:cs="Times New Roman"/>
          <w:color w:val="000000"/>
          <w:szCs w:val="24"/>
        </w:rPr>
        <w:t xml:space="preserve"> will also be summarised. The descriptive statistics presented will be N, n, arithmetic mean, geometric mean, SD, coefficient of variation (CV%), minimum, median and maximum. Individual and mean concentration</w:t>
      </w:r>
      <w:r>
        <w:rPr>
          <w:rFonts w:cs="Times New Roman"/>
          <w:color w:val="000000"/>
          <w:szCs w:val="24"/>
        </w:rPr>
        <w:noBreakHyphen/>
        <w:t>time data will also be plotted on both linear and semi</w:t>
      </w:r>
      <w:r>
        <w:rPr>
          <w:rFonts w:cs="Times New Roman"/>
          <w:color w:val="000000"/>
          <w:szCs w:val="24"/>
        </w:rPr>
        <w:noBreakHyphen/>
        <w:t xml:space="preserve">logarithmic scales by treatment group. </w:t>
      </w:r>
    </w:p>
    <w:p w14:paraId="0816DCD8" w14:textId="23A64363" w:rsidR="005E785F" w:rsidRDefault="003621E8">
      <w:pPr>
        <w:spacing w:before="120" w:after="120"/>
        <w:jc w:val="both"/>
        <w:rPr>
          <w:rFonts w:cs="Times New Roman"/>
          <w:color w:val="000000"/>
          <w:szCs w:val="24"/>
          <w:lang w:val="en-GB"/>
        </w:rPr>
      </w:pPr>
      <w:r>
        <w:rPr>
          <w:rFonts w:cs="Times New Roman"/>
          <w:szCs w:val="24"/>
        </w:rPr>
        <w:t>For the purposes of summarising and plotting concentration</w:t>
      </w:r>
      <w:r>
        <w:rPr>
          <w:rFonts w:cs="Times New Roman"/>
          <w:szCs w:val="24"/>
        </w:rPr>
        <w:noBreakHyphen/>
        <w:t>time data, concentration value(s) below the LLOQ will be assigned a value of zero if the timepoint is prior to treatment and LLOQ/2 otherwise.</w:t>
      </w:r>
    </w:p>
    <w:p w14:paraId="13FB8827" w14:textId="77777777" w:rsidR="005E785F" w:rsidRDefault="003621E8">
      <w:pPr>
        <w:spacing w:before="120" w:after="120"/>
        <w:jc w:val="both"/>
        <w:rPr>
          <w:color w:val="000000"/>
          <w:szCs w:val="24"/>
          <w:lang w:val="en-GB"/>
        </w:rPr>
      </w:pPr>
      <w:r>
        <w:rPr>
          <w:rFonts w:cs="Times New Roman"/>
          <w:b/>
          <w:i/>
          <w:szCs w:val="24"/>
          <w:lang w:val="en-GB"/>
        </w:rPr>
        <w:t>Derived PK Data:</w:t>
      </w:r>
      <w:r>
        <w:rPr>
          <w:rFonts w:cs="Times New Roman"/>
          <w:szCs w:val="24"/>
          <w:lang w:val="en-GB"/>
        </w:rPr>
        <w:t xml:space="preserve"> The following PK parameters will be derived from plasma </w:t>
      </w:r>
      <w:r>
        <w:rPr>
          <w:rFonts w:cs="Times New Roman"/>
          <w:szCs w:val="24"/>
        </w:rPr>
        <w:t>CpG ODN D35</w:t>
      </w:r>
      <w:r>
        <w:rPr>
          <w:rFonts w:ascii="Arial" w:hAnsi="Arial"/>
          <w:sz w:val="22"/>
          <w:szCs w:val="22"/>
        </w:rPr>
        <w:t xml:space="preserve"> </w:t>
      </w:r>
      <w:r>
        <w:rPr>
          <w:szCs w:val="24"/>
          <w:lang w:val="en-GB"/>
        </w:rPr>
        <w:t>concentration</w:t>
      </w:r>
      <w:r>
        <w:rPr>
          <w:szCs w:val="24"/>
          <w:lang w:val="en-GB"/>
        </w:rPr>
        <w:noBreakHyphen/>
        <w:t xml:space="preserve">time data following SC administration of CpG ODN D35 using Phoenix WinNonlin </w:t>
      </w:r>
      <w:r>
        <w:rPr>
          <w:lang w:val="en-GB"/>
        </w:rPr>
        <w:t>(the most up to date version will be used and this will be documented in the SAP).</w:t>
      </w:r>
    </w:p>
    <w:p w14:paraId="5FC91B77" w14:textId="3A1AB274" w:rsidR="005E785F" w:rsidRDefault="003621E8">
      <w:pPr>
        <w:spacing w:before="120" w:after="120"/>
        <w:jc w:val="both"/>
        <w:rPr>
          <w:lang w:val="en-GB"/>
        </w:rPr>
      </w:pPr>
      <w:r>
        <w:rPr>
          <w:lang w:val="en-GB"/>
        </w:rPr>
        <w:t>For the purposes of calculating PK parameters</w:t>
      </w:r>
      <w:r>
        <w:rPr>
          <w:szCs w:val="24"/>
          <w:lang w:val="en-GB" w:eastAsia="en-GB"/>
        </w:rPr>
        <w:t>,</w:t>
      </w:r>
      <w:r>
        <w:rPr>
          <w:lang w:val="en-GB"/>
        </w:rPr>
        <w:t xml:space="preserve"> concentration value(s) below the LLOQ will be assigned a value of missing.</w:t>
      </w:r>
    </w:p>
    <w:p w14:paraId="2AE68C05" w14:textId="57A1CFEE" w:rsidR="005E785F" w:rsidRDefault="003621E8">
      <w:pPr>
        <w:pStyle w:val="ListParagraph"/>
        <w:numPr>
          <w:ilvl w:val="0"/>
          <w:numId w:val="71"/>
        </w:numPr>
        <w:spacing w:before="120" w:after="120"/>
        <w:jc w:val="both"/>
        <w:rPr>
          <w:color w:val="000000"/>
          <w:szCs w:val="24"/>
          <w:lang w:val="en-GB"/>
        </w:rPr>
      </w:pPr>
      <w:r>
        <w:rPr>
          <w:color w:val="000000"/>
          <w:szCs w:val="24"/>
          <w:lang w:val="en-GB"/>
        </w:rPr>
        <w:t>C</w:t>
      </w:r>
      <w:r>
        <w:rPr>
          <w:color w:val="000000"/>
          <w:szCs w:val="24"/>
          <w:vertAlign w:val="subscript"/>
          <w:lang w:val="en-GB"/>
        </w:rPr>
        <w:t>max</w:t>
      </w:r>
      <w:r>
        <w:rPr>
          <w:color w:val="000000"/>
          <w:szCs w:val="24"/>
          <w:lang w:val="en-GB"/>
        </w:rPr>
        <w:t xml:space="preserve"> (ng/mL): Observed maximum plasma concentration.</w:t>
      </w:r>
    </w:p>
    <w:p w14:paraId="6996653F" w14:textId="216BD408" w:rsidR="005E785F" w:rsidRDefault="003621E8">
      <w:pPr>
        <w:pStyle w:val="ListParagraph"/>
        <w:numPr>
          <w:ilvl w:val="0"/>
          <w:numId w:val="71"/>
        </w:numPr>
        <w:spacing w:before="120" w:after="120"/>
        <w:jc w:val="both"/>
        <w:rPr>
          <w:color w:val="000000"/>
          <w:szCs w:val="24"/>
          <w:lang w:val="en-GB"/>
        </w:rPr>
      </w:pPr>
      <w:r>
        <w:rPr>
          <w:color w:val="000000"/>
          <w:szCs w:val="24"/>
          <w:lang w:val="en-GB"/>
        </w:rPr>
        <w:t>T</w:t>
      </w:r>
      <w:r>
        <w:rPr>
          <w:color w:val="000000"/>
          <w:szCs w:val="24"/>
          <w:vertAlign w:val="subscript"/>
          <w:lang w:val="en-GB"/>
        </w:rPr>
        <w:t>max</w:t>
      </w:r>
      <w:r>
        <w:rPr>
          <w:color w:val="000000"/>
          <w:szCs w:val="24"/>
          <w:lang w:val="en-GB"/>
        </w:rPr>
        <w:t xml:space="preserve"> (h): first time to reach C</w:t>
      </w:r>
      <w:r>
        <w:rPr>
          <w:color w:val="000000"/>
          <w:szCs w:val="24"/>
          <w:vertAlign w:val="subscript"/>
          <w:lang w:val="en-GB"/>
        </w:rPr>
        <w:t>max</w:t>
      </w:r>
      <w:r>
        <w:rPr>
          <w:color w:val="000000"/>
          <w:szCs w:val="24"/>
          <w:lang w:val="en-GB"/>
        </w:rPr>
        <w:t>.</w:t>
      </w:r>
    </w:p>
    <w:p w14:paraId="725682C7" w14:textId="77777777" w:rsidR="005E785F" w:rsidRDefault="003621E8">
      <w:pPr>
        <w:pStyle w:val="ListParagraph"/>
        <w:numPr>
          <w:ilvl w:val="0"/>
          <w:numId w:val="71"/>
        </w:numPr>
        <w:spacing w:before="120" w:after="120"/>
        <w:jc w:val="both"/>
        <w:rPr>
          <w:color w:val="000000"/>
          <w:szCs w:val="24"/>
          <w:lang w:val="en-GB"/>
        </w:rPr>
      </w:pPr>
      <w:r>
        <w:rPr>
          <w:rFonts w:cs="Times New Roman"/>
          <w:color w:val="000000"/>
          <w:szCs w:val="24"/>
        </w:rPr>
        <w:t>λz (1/h): apparent first order terminal elimination rate constant.</w:t>
      </w:r>
    </w:p>
    <w:p w14:paraId="49B71307" w14:textId="498FE437" w:rsidR="005E785F" w:rsidRDefault="003621E8">
      <w:pPr>
        <w:pStyle w:val="ListParagraph"/>
        <w:numPr>
          <w:ilvl w:val="0"/>
          <w:numId w:val="71"/>
        </w:numPr>
        <w:spacing w:before="120" w:after="120"/>
        <w:jc w:val="both"/>
        <w:rPr>
          <w:color w:val="000000"/>
          <w:szCs w:val="24"/>
          <w:lang w:val="en-GB"/>
        </w:rPr>
      </w:pPr>
      <w:r>
        <w:rPr>
          <w:color w:val="000000"/>
          <w:szCs w:val="24"/>
          <w:lang w:val="en-GB"/>
        </w:rPr>
        <w:t>t</w:t>
      </w:r>
      <w:r>
        <w:rPr>
          <w:color w:val="000000"/>
          <w:szCs w:val="24"/>
          <w:vertAlign w:val="subscript"/>
          <w:lang w:val="en-GB"/>
        </w:rPr>
        <w:t>1/2</w:t>
      </w:r>
      <w:r>
        <w:rPr>
          <w:color w:val="000000"/>
          <w:szCs w:val="24"/>
          <w:lang w:val="en-GB"/>
        </w:rPr>
        <w:t xml:space="preserve"> (h): plasma elimination half-life.</w:t>
      </w:r>
    </w:p>
    <w:p w14:paraId="0F61D806" w14:textId="6C863921" w:rsidR="005E785F" w:rsidRDefault="003621E8">
      <w:pPr>
        <w:pStyle w:val="ListParagraph"/>
        <w:numPr>
          <w:ilvl w:val="0"/>
          <w:numId w:val="71"/>
        </w:numPr>
        <w:spacing w:before="120" w:after="120"/>
        <w:jc w:val="both"/>
        <w:rPr>
          <w:color w:val="000000"/>
          <w:szCs w:val="24"/>
          <w:lang w:val="en-GB"/>
        </w:rPr>
      </w:pPr>
      <w:r>
        <w:rPr>
          <w:color w:val="000000"/>
          <w:szCs w:val="24"/>
          <w:lang w:val="en-GB"/>
        </w:rPr>
        <w:t>AUC</w:t>
      </w:r>
      <w:r>
        <w:rPr>
          <w:color w:val="000000"/>
          <w:szCs w:val="24"/>
          <w:vertAlign w:val="subscript"/>
          <w:lang w:val="en-GB"/>
        </w:rPr>
        <w:t>last</w:t>
      </w:r>
      <w:r>
        <w:rPr>
          <w:color w:val="000000"/>
          <w:szCs w:val="24"/>
          <w:lang w:val="en-GB"/>
        </w:rPr>
        <w:t xml:space="preserve"> (ng.h/mL): AUC from 0 to the time of the last quantifiable concentration.</w:t>
      </w:r>
    </w:p>
    <w:p w14:paraId="37A927E9" w14:textId="1EB868B7" w:rsidR="005E785F" w:rsidRDefault="003621E8">
      <w:pPr>
        <w:pStyle w:val="ListParagraph"/>
        <w:numPr>
          <w:ilvl w:val="0"/>
          <w:numId w:val="71"/>
        </w:numPr>
        <w:spacing w:before="120" w:after="120"/>
        <w:jc w:val="both"/>
        <w:rPr>
          <w:color w:val="000000"/>
          <w:szCs w:val="24"/>
          <w:lang w:val="en-GB"/>
        </w:rPr>
      </w:pPr>
      <w:r>
        <w:rPr>
          <w:color w:val="000000"/>
          <w:szCs w:val="24"/>
          <w:lang w:val="en-GB"/>
        </w:rPr>
        <w:t>AUC</w:t>
      </w:r>
      <w:r>
        <w:rPr>
          <w:color w:val="000000"/>
          <w:szCs w:val="24"/>
          <w:vertAlign w:val="subscript"/>
          <w:lang w:val="en-GB"/>
        </w:rPr>
        <w:t>all</w:t>
      </w:r>
      <w:r>
        <w:rPr>
          <w:color w:val="000000"/>
          <w:szCs w:val="24"/>
          <w:lang w:val="en-GB"/>
        </w:rPr>
        <w:t xml:space="preserve"> (ng.h/mL): AUC from 0 to the time of the last observation, regardless of whether the last concentration is measurable or not.</w:t>
      </w:r>
    </w:p>
    <w:p w14:paraId="73FB22FC" w14:textId="601AF5D0" w:rsidR="005E785F" w:rsidRDefault="003621E8">
      <w:pPr>
        <w:numPr>
          <w:ilvl w:val="0"/>
          <w:numId w:val="29"/>
        </w:numPr>
        <w:tabs>
          <w:tab w:val="left" w:pos="720"/>
        </w:tabs>
        <w:spacing w:before="120" w:after="120"/>
        <w:ind w:left="2700" w:hanging="2340"/>
        <w:jc w:val="both"/>
        <w:rPr>
          <w:szCs w:val="24"/>
          <w:lang w:val="en-GB"/>
        </w:rPr>
      </w:pPr>
      <w:r>
        <w:rPr>
          <w:szCs w:val="24"/>
          <w:lang w:val="en-GB"/>
        </w:rPr>
        <w:t>AUC</w:t>
      </w:r>
      <w:r>
        <w:rPr>
          <w:szCs w:val="24"/>
          <w:vertAlign w:val="subscript"/>
          <w:lang w:val="en-GB"/>
        </w:rPr>
        <w:t xml:space="preserve">0-inf </w:t>
      </w:r>
      <w:r>
        <w:rPr>
          <w:szCs w:val="24"/>
          <w:lang w:val="en-GB"/>
        </w:rPr>
        <w:t>(ng.h/mL):</w:t>
      </w:r>
      <w:r>
        <w:rPr>
          <w:szCs w:val="24"/>
          <w:vertAlign w:val="subscript"/>
          <w:lang w:val="en-GB"/>
        </w:rPr>
        <w:t xml:space="preserve"> </w:t>
      </w:r>
      <w:r>
        <w:rPr>
          <w:szCs w:val="24"/>
          <w:lang w:val="en-GB"/>
        </w:rPr>
        <w:t xml:space="preserve">AUC extrapolated to infinity. </w:t>
      </w:r>
    </w:p>
    <w:p w14:paraId="73FB22FD" w14:textId="070BEFBD" w:rsidR="005E785F" w:rsidRDefault="003621E8">
      <w:pPr>
        <w:numPr>
          <w:ilvl w:val="0"/>
          <w:numId w:val="29"/>
        </w:numPr>
        <w:tabs>
          <w:tab w:val="left" w:pos="720"/>
        </w:tabs>
        <w:spacing w:before="120" w:after="120"/>
        <w:ind w:left="2700" w:hanging="2340"/>
        <w:jc w:val="both"/>
        <w:rPr>
          <w:szCs w:val="24"/>
          <w:lang w:val="en-GB"/>
        </w:rPr>
      </w:pPr>
      <w:r>
        <w:rPr>
          <w:szCs w:val="24"/>
          <w:lang w:val="en-GB"/>
        </w:rPr>
        <w:t>AUC</w:t>
      </w:r>
      <w:r>
        <w:rPr>
          <w:szCs w:val="24"/>
          <w:vertAlign w:val="subscript"/>
          <w:lang w:val="en-GB"/>
        </w:rPr>
        <w:t>% extrapolated</w:t>
      </w:r>
      <w:r>
        <w:rPr>
          <w:szCs w:val="24"/>
          <w:lang w:val="en-GB"/>
        </w:rPr>
        <w:t xml:space="preserve"> (%): Residual area.</w:t>
      </w:r>
    </w:p>
    <w:p w14:paraId="73FB2315" w14:textId="4B1B1BAE" w:rsidR="005E785F" w:rsidRDefault="003621E8">
      <w:pPr>
        <w:pStyle w:val="C-BodyText"/>
        <w:spacing w:line="240" w:lineRule="auto"/>
        <w:jc w:val="both"/>
        <w:rPr>
          <w:szCs w:val="24"/>
          <w:lang w:val="en-GB"/>
        </w:rPr>
      </w:pPr>
      <w:r>
        <w:rPr>
          <w:b/>
          <w:bCs/>
          <w:iCs/>
          <w:lang w:val="en-GB"/>
        </w:rPr>
        <w:t>Dose Proportionality</w:t>
      </w:r>
      <w:r>
        <w:rPr>
          <w:i/>
          <w:lang w:val="en-GB"/>
        </w:rPr>
        <w:t xml:space="preserve">: </w:t>
      </w:r>
      <w:r>
        <w:rPr>
          <w:lang w:val="en-GB"/>
        </w:rPr>
        <w:t>Dose proportionality will be assessed by performing a regression analysis of the log-transformed C</w:t>
      </w:r>
      <w:r>
        <w:rPr>
          <w:vertAlign w:val="subscript"/>
          <w:lang w:val="en-GB"/>
        </w:rPr>
        <w:t>max</w:t>
      </w:r>
      <w:r>
        <w:rPr>
          <w:lang w:val="en-GB"/>
        </w:rPr>
        <w:t>, AUC</w:t>
      </w:r>
      <w:r>
        <w:rPr>
          <w:vertAlign w:val="subscript"/>
          <w:lang w:val="en-GB"/>
        </w:rPr>
        <w:t>last</w:t>
      </w:r>
      <w:r>
        <w:rPr>
          <w:lang w:val="en-GB"/>
        </w:rPr>
        <w:t xml:space="preserve"> and </w:t>
      </w:r>
      <w:r>
        <w:rPr>
          <w:lang w:val="en-GB" w:eastAsia="en-GB"/>
        </w:rPr>
        <w:t>AUC</w:t>
      </w:r>
      <w:r>
        <w:rPr>
          <w:vertAlign w:val="subscript"/>
          <w:lang w:val="en-GB" w:eastAsia="en-GB"/>
        </w:rPr>
        <w:t>0-inf</w:t>
      </w:r>
      <w:r>
        <w:rPr>
          <w:lang w:val="en-GB" w:eastAsia="en-GB"/>
        </w:rPr>
        <w:t xml:space="preserve"> </w:t>
      </w:r>
      <w:r>
        <w:rPr>
          <w:lang w:val="en-GB"/>
        </w:rPr>
        <w:t>values versus the log-transformed dose using the power model with a fixed effect for log(dose). For each parameter, a point estimate and 95 % confidence interval (CI) will be calculated for the slope of the regression line.</w:t>
      </w:r>
      <w:r>
        <w:rPr>
          <w:szCs w:val="24"/>
          <w:lang w:val="en-GB"/>
        </w:rPr>
        <w:t xml:space="preserve"> The Cmax, AUClast and AUC0-inf values will also be presented graphically.</w:t>
      </w:r>
    </w:p>
    <w:p w14:paraId="73FB2328" w14:textId="69A01A35" w:rsidR="005E785F" w:rsidRDefault="003621E8">
      <w:pPr>
        <w:pStyle w:val="Heading4"/>
      </w:pPr>
      <w:bookmarkStart w:id="243" w:name="_Toc517682937"/>
      <w:bookmarkStart w:id="244" w:name="_Toc74904452"/>
      <w:bookmarkEnd w:id="243"/>
      <w:r>
        <w:t>PD and Exploratory Data</w:t>
      </w:r>
      <w:bookmarkEnd w:id="244"/>
    </w:p>
    <w:p w14:paraId="3D67F614" w14:textId="18B4A8F9" w:rsidR="005E785F" w:rsidRDefault="003621E8">
      <w:pPr>
        <w:spacing w:before="120" w:after="120"/>
        <w:rPr>
          <w:lang w:val="en-GB"/>
        </w:rPr>
      </w:pPr>
      <w:r>
        <w:rPr>
          <w:lang w:val="en-GB"/>
        </w:rPr>
        <w:t xml:space="preserve">PD and exploratory data analysis will be detailed in SAP and exploratory data will be analysed and reported separately. </w:t>
      </w:r>
    </w:p>
    <w:p w14:paraId="73FB232C" w14:textId="4B19BF0D" w:rsidR="005E785F" w:rsidRDefault="003621E8">
      <w:pPr>
        <w:pStyle w:val="Heading3"/>
      </w:pPr>
      <w:bookmarkStart w:id="245" w:name="_Toc442875367"/>
      <w:bookmarkStart w:id="246" w:name="_Toc74904453"/>
      <w:bookmarkEnd w:id="245"/>
      <w:r>
        <w:t>Sample Size Calculation</w:t>
      </w:r>
      <w:bookmarkEnd w:id="246"/>
    </w:p>
    <w:p w14:paraId="73FB232E" w14:textId="19F747BB" w:rsidR="005E785F" w:rsidRDefault="003621E8">
      <w:pPr>
        <w:pStyle w:val="C-BodyText"/>
        <w:jc w:val="both"/>
        <w:rPr>
          <w:lang w:val="en-GB"/>
        </w:rPr>
      </w:pPr>
      <w:r>
        <w:rPr>
          <w:lang w:val="en-GB"/>
        </w:rPr>
        <w:t xml:space="preserve">The sample size chosen for this study is not based on a formal statistical estimation but is considered to be adequate to meet the objectives of the study. A sufficient number of participants will be initially screened for enrolment to ensure that the planned sample size is achieved. </w:t>
      </w:r>
    </w:p>
    <w:p w14:paraId="73FB232F" w14:textId="733869B9" w:rsidR="005E785F" w:rsidRDefault="003621E8">
      <w:pPr>
        <w:pStyle w:val="Heading1"/>
      </w:pPr>
      <w:bookmarkStart w:id="247" w:name="_Toc200273956"/>
      <w:r>
        <w:br w:type="page"/>
      </w:r>
      <w:bookmarkStart w:id="248" w:name="_Toc74904454"/>
      <w:r>
        <w:lastRenderedPageBreak/>
        <w:t>PRACTICAL CONSIDERATIONS</w:t>
      </w:r>
      <w:bookmarkEnd w:id="247"/>
      <w:bookmarkEnd w:id="248"/>
    </w:p>
    <w:p w14:paraId="73FB2330" w14:textId="6659C43C" w:rsidR="005E785F" w:rsidRDefault="003621E8">
      <w:pPr>
        <w:pStyle w:val="Heading2"/>
      </w:pPr>
      <w:bookmarkStart w:id="249" w:name="_Toc74904455"/>
      <w:r>
        <w:t>Storage of Data</w:t>
      </w:r>
      <w:bookmarkEnd w:id="249"/>
    </w:p>
    <w:p w14:paraId="259354F6" w14:textId="0FDE3DF3" w:rsidR="005E785F" w:rsidRDefault="003621E8">
      <w:pPr>
        <w:pStyle w:val="C-BodyText"/>
        <w:jc w:val="both"/>
        <w:rPr>
          <w:szCs w:val="16"/>
          <w:lang w:val="en-GB"/>
        </w:rPr>
      </w:pPr>
      <w:r>
        <w:rPr>
          <w:szCs w:val="16"/>
          <w:lang w:val="en-GB"/>
        </w:rPr>
        <w:t>The ISF and associated study documentation will be archived for at least 25 years after the end of the study (last participant last visit) as per European Medicine Agency Guideline INS/GCP/856758/2018</w:t>
      </w:r>
      <w:r>
        <w:rPr>
          <w:color w:val="0000FF"/>
          <w:vertAlign w:val="superscript"/>
          <w:lang w:val="en-GB"/>
        </w:rPr>
        <w:t>[</w:t>
      </w:r>
      <w:r>
        <w:rPr>
          <w:color w:val="0000FF"/>
          <w:vertAlign w:val="superscript"/>
          <w:lang w:val="en-GB"/>
        </w:rPr>
        <w:fldChar w:fldCharType="begin"/>
      </w:r>
      <w:r>
        <w:rPr>
          <w:color w:val="0000FF"/>
          <w:vertAlign w:val="superscript"/>
          <w:lang w:val="en-GB"/>
        </w:rPr>
        <w:instrText xml:space="preserve"> REF _Ref65493415 \r \h </w:instrText>
      </w:r>
      <w:r>
        <w:rPr>
          <w:color w:val="0000FF"/>
          <w:vertAlign w:val="superscript"/>
          <w:lang w:val="en-GB"/>
        </w:rPr>
      </w:r>
      <w:r>
        <w:rPr>
          <w:color w:val="0000FF"/>
          <w:vertAlign w:val="superscript"/>
          <w:lang w:val="en-GB"/>
        </w:rPr>
        <w:fldChar w:fldCharType="separate"/>
      </w:r>
      <w:r>
        <w:rPr>
          <w:color w:val="0000FF"/>
          <w:vertAlign w:val="superscript"/>
          <w:lang w:val="en-GB"/>
        </w:rPr>
        <w:t>13</w:t>
      </w:r>
      <w:r>
        <w:rPr>
          <w:color w:val="0000FF"/>
          <w:vertAlign w:val="superscript"/>
          <w:lang w:val="en-GB"/>
        </w:rPr>
        <w:fldChar w:fldCharType="end"/>
      </w:r>
      <w:r>
        <w:rPr>
          <w:color w:val="0000FF"/>
          <w:vertAlign w:val="superscript"/>
          <w:lang w:val="en-GB"/>
        </w:rPr>
        <w:t>]</w:t>
      </w:r>
      <w:r>
        <w:rPr>
          <w:szCs w:val="16"/>
          <w:lang w:val="en-GB"/>
        </w:rPr>
        <w:t xml:space="preserve">. The study documentation may be transferred to an offsite storage facility during this period but will remain under the control of Simbec-Orion.  </w:t>
      </w:r>
    </w:p>
    <w:p w14:paraId="10B7A92E" w14:textId="769F88F3" w:rsidR="005E785F" w:rsidRDefault="003621E8">
      <w:pPr>
        <w:pStyle w:val="C-BodyText"/>
        <w:jc w:val="both"/>
        <w:rPr>
          <w:szCs w:val="16"/>
          <w:lang w:val="en-GB"/>
        </w:rPr>
      </w:pPr>
      <w:r>
        <w:t>The Sponsor has delegated the set up and maintenance of the Sponsor electronic trial master file (eTMF) to Simbec-Orion. The TMF will be returned to the Sponsor at the end of the study, who will archive it for at least 25 years after the end of the study.</w:t>
      </w:r>
    </w:p>
    <w:p w14:paraId="73FB2333" w14:textId="19DCC1D5" w:rsidR="005E785F" w:rsidRDefault="003621E8">
      <w:pPr>
        <w:pStyle w:val="Heading2"/>
      </w:pPr>
      <w:bookmarkStart w:id="250" w:name="_Toc214103198"/>
      <w:bookmarkStart w:id="251" w:name="_Toc74904456"/>
      <w:bookmarkEnd w:id="250"/>
      <w:r>
        <w:t>Protocol Amendments</w:t>
      </w:r>
      <w:bookmarkEnd w:id="251"/>
    </w:p>
    <w:p w14:paraId="73FB2334" w14:textId="568B3895" w:rsidR="005E785F" w:rsidRDefault="003621E8">
      <w:pPr>
        <w:pStyle w:val="C-BodyText"/>
        <w:spacing w:line="240" w:lineRule="auto"/>
        <w:jc w:val="both"/>
        <w:rPr>
          <w:szCs w:val="24"/>
          <w:lang w:val="en-GB"/>
        </w:rPr>
      </w:pPr>
      <w:r>
        <w:rPr>
          <w:szCs w:val="24"/>
          <w:lang w:val="en-GB"/>
        </w:rPr>
        <w:t xml:space="preserve">Changes in the study protocol must take the form of written protocol amendments and shall require the approval of all persons responsible for the study (see </w:t>
      </w:r>
      <w:r>
        <w:rPr>
          <w:color w:val="0000FF"/>
          <w:szCs w:val="24"/>
          <w:lang w:val="en-GB"/>
        </w:rPr>
        <w:t xml:space="preserve">Section </w:t>
      </w:r>
      <w:r>
        <w:rPr>
          <w:color w:val="0000FF"/>
          <w:szCs w:val="24"/>
          <w:lang w:val="en-GB"/>
        </w:rPr>
        <w:fldChar w:fldCharType="begin"/>
      </w:r>
      <w:r>
        <w:rPr>
          <w:color w:val="0000FF"/>
          <w:szCs w:val="24"/>
          <w:lang w:val="en-GB"/>
        </w:rPr>
        <w:instrText xml:space="preserve"> REF _Ref66988869 \r \h  \* MERGEFORMAT </w:instrText>
      </w:r>
      <w:r>
        <w:rPr>
          <w:color w:val="0000FF"/>
          <w:szCs w:val="24"/>
          <w:lang w:val="en-GB"/>
        </w:rPr>
      </w:r>
      <w:r>
        <w:rPr>
          <w:color w:val="0000FF"/>
          <w:szCs w:val="24"/>
          <w:lang w:val="en-GB"/>
        </w:rPr>
        <w:fldChar w:fldCharType="separate"/>
      </w:r>
      <w:r>
        <w:rPr>
          <w:color w:val="0000FF"/>
          <w:szCs w:val="24"/>
          <w:lang w:val="en-GB"/>
        </w:rPr>
        <w:t>1</w:t>
      </w:r>
      <w:r>
        <w:rPr>
          <w:color w:val="0000FF"/>
          <w:szCs w:val="24"/>
          <w:lang w:val="en-GB"/>
        </w:rPr>
        <w:fldChar w:fldCharType="end"/>
      </w:r>
      <w:r>
        <w:rPr>
          <w:szCs w:val="24"/>
          <w:lang w:val="en-GB"/>
        </w:rPr>
        <w:t xml:space="preserve">). </w:t>
      </w:r>
    </w:p>
    <w:p w14:paraId="73FB2335" w14:textId="77777777" w:rsidR="005E785F" w:rsidRDefault="003621E8">
      <w:pPr>
        <w:pStyle w:val="C-BodyText"/>
        <w:spacing w:line="240" w:lineRule="auto"/>
        <w:jc w:val="both"/>
        <w:rPr>
          <w:szCs w:val="24"/>
          <w:lang w:val="en-GB"/>
        </w:rPr>
      </w:pPr>
      <w:r>
        <w:rPr>
          <w:szCs w:val="24"/>
          <w:lang w:val="en-GB"/>
        </w:rPr>
        <w:t>A protocol amendment is deemed to constitute a substantial protocol amendment if it is considered to be likely to affect to a significant degree either:</w:t>
      </w:r>
    </w:p>
    <w:p w14:paraId="73FB2336" w14:textId="77A72383" w:rsidR="005E785F" w:rsidRDefault="003621E8">
      <w:pPr>
        <w:pStyle w:val="C-AlphabeticList"/>
        <w:numPr>
          <w:ilvl w:val="0"/>
          <w:numId w:val="12"/>
        </w:numPr>
        <w:jc w:val="both"/>
        <w:rPr>
          <w:szCs w:val="24"/>
          <w:lang w:val="en-GB"/>
        </w:rPr>
      </w:pPr>
      <w:r>
        <w:rPr>
          <w:szCs w:val="24"/>
          <w:lang w:val="en-GB"/>
        </w:rPr>
        <w:t>The safety or physical or mental integrity of the participants of the study.</w:t>
      </w:r>
    </w:p>
    <w:p w14:paraId="73FB2337" w14:textId="77777777" w:rsidR="005E785F" w:rsidRDefault="003621E8">
      <w:pPr>
        <w:pStyle w:val="C-AlphabeticList"/>
        <w:numPr>
          <w:ilvl w:val="0"/>
          <w:numId w:val="12"/>
        </w:numPr>
        <w:jc w:val="both"/>
        <w:rPr>
          <w:szCs w:val="24"/>
          <w:lang w:val="en-GB"/>
        </w:rPr>
      </w:pPr>
      <w:r>
        <w:rPr>
          <w:szCs w:val="24"/>
          <w:lang w:val="en-GB"/>
        </w:rPr>
        <w:t>The scientific value of the study.</w:t>
      </w:r>
    </w:p>
    <w:p w14:paraId="73FB2338" w14:textId="77777777" w:rsidR="005E785F" w:rsidRDefault="003621E8">
      <w:pPr>
        <w:pStyle w:val="C-AlphabeticList"/>
        <w:numPr>
          <w:ilvl w:val="0"/>
          <w:numId w:val="12"/>
        </w:numPr>
        <w:jc w:val="both"/>
        <w:rPr>
          <w:szCs w:val="24"/>
          <w:lang w:val="en-GB"/>
        </w:rPr>
      </w:pPr>
      <w:r>
        <w:rPr>
          <w:szCs w:val="24"/>
          <w:lang w:val="en-GB"/>
        </w:rPr>
        <w:t>The conduct or management of the study.</w:t>
      </w:r>
    </w:p>
    <w:p w14:paraId="3EB2C7E2" w14:textId="6450E1C8" w:rsidR="005E785F" w:rsidRDefault="003621E8">
      <w:pPr>
        <w:pStyle w:val="C-AlphabeticList"/>
        <w:numPr>
          <w:ilvl w:val="0"/>
          <w:numId w:val="12"/>
        </w:numPr>
        <w:jc w:val="both"/>
        <w:rPr>
          <w:szCs w:val="24"/>
          <w:lang w:val="en-GB"/>
        </w:rPr>
      </w:pPr>
      <w:r>
        <w:rPr>
          <w:szCs w:val="24"/>
          <w:lang w:val="en-GB"/>
        </w:rPr>
        <w:t>The quality or safety of any IMP used in the study.</w:t>
      </w:r>
    </w:p>
    <w:p w14:paraId="2F97145E" w14:textId="77777777" w:rsidR="005E785F" w:rsidRDefault="005E785F">
      <w:pPr>
        <w:pStyle w:val="C-AlphabeticList"/>
        <w:numPr>
          <w:ilvl w:val="0"/>
          <w:numId w:val="0"/>
        </w:numPr>
        <w:jc w:val="both"/>
        <w:rPr>
          <w:szCs w:val="24"/>
          <w:lang w:val="en-GB"/>
        </w:rPr>
      </w:pPr>
    </w:p>
    <w:p w14:paraId="06544DC1" w14:textId="063541C9" w:rsidR="005E785F" w:rsidRDefault="003621E8">
      <w:pPr>
        <w:pStyle w:val="C-AlphabeticList"/>
        <w:numPr>
          <w:ilvl w:val="0"/>
          <w:numId w:val="0"/>
        </w:numPr>
        <w:jc w:val="both"/>
        <w:rPr>
          <w:szCs w:val="24"/>
          <w:lang w:val="en-GB"/>
        </w:rPr>
      </w:pPr>
      <w:r>
        <w:rPr>
          <w:szCs w:val="24"/>
          <w:lang w:val="en-GB"/>
        </w:rPr>
        <w:t>Increase in dose above 180 mg would be considered substantial.</w:t>
      </w:r>
    </w:p>
    <w:p w14:paraId="73FB233A" w14:textId="77777777" w:rsidR="005E785F" w:rsidRDefault="003621E8">
      <w:pPr>
        <w:pStyle w:val="C-BodyText"/>
        <w:spacing w:line="240" w:lineRule="auto"/>
        <w:jc w:val="both"/>
        <w:rPr>
          <w:szCs w:val="24"/>
          <w:lang w:val="en-GB"/>
        </w:rPr>
      </w:pPr>
      <w:r>
        <w:rPr>
          <w:szCs w:val="24"/>
          <w:lang w:val="en-GB"/>
        </w:rPr>
        <w:t>Such amendments must be submitted to the REC responsible for the study and the MHRA for approval prior to implementation.</w:t>
      </w:r>
    </w:p>
    <w:p w14:paraId="73FB233B" w14:textId="05C65598" w:rsidR="005E785F" w:rsidRDefault="003621E8">
      <w:pPr>
        <w:pStyle w:val="C-BodyText"/>
        <w:spacing w:line="240" w:lineRule="auto"/>
        <w:jc w:val="both"/>
        <w:rPr>
          <w:szCs w:val="24"/>
          <w:lang w:val="en-GB"/>
        </w:rPr>
      </w:pPr>
      <w:r>
        <w:rPr>
          <w:szCs w:val="24"/>
          <w:lang w:val="en-GB"/>
        </w:rPr>
        <w:t>Protocol amendments required for urgent safety reasons may be implemented immediately. However, the REC and MHRA must be notified in writing within 3 days of the measures taken and the reasons for implementation.</w:t>
      </w:r>
    </w:p>
    <w:p w14:paraId="73FB233C" w14:textId="3B655811" w:rsidR="005E785F" w:rsidRDefault="003621E8">
      <w:pPr>
        <w:pStyle w:val="C-BodyText"/>
        <w:spacing w:line="240" w:lineRule="auto"/>
        <w:jc w:val="both"/>
        <w:rPr>
          <w:szCs w:val="24"/>
          <w:lang w:val="en-GB"/>
        </w:rPr>
      </w:pPr>
      <w:r>
        <w:rPr>
          <w:szCs w:val="24"/>
          <w:lang w:val="en-GB"/>
        </w:rPr>
        <w:t>All other amendments shall be deemed to be non-substantial and as such, do not need the prior approval of the REC and the MHRA.</w:t>
      </w:r>
    </w:p>
    <w:p w14:paraId="39F05207" w14:textId="4B2F6E1C" w:rsidR="005E785F" w:rsidRDefault="005E785F">
      <w:pPr>
        <w:pStyle w:val="C-BodyText"/>
        <w:spacing w:line="240" w:lineRule="auto"/>
        <w:jc w:val="both"/>
        <w:rPr>
          <w:szCs w:val="24"/>
          <w:lang w:val="en-GB"/>
        </w:rPr>
      </w:pPr>
    </w:p>
    <w:p w14:paraId="73FB233D" w14:textId="630E0FE5" w:rsidR="005E785F" w:rsidRDefault="003621E8">
      <w:pPr>
        <w:pStyle w:val="Heading2"/>
      </w:pPr>
      <w:bookmarkStart w:id="252" w:name="_Toc74904457"/>
      <w:r>
        <w:t>Confidentiality</w:t>
      </w:r>
      <w:bookmarkEnd w:id="252"/>
    </w:p>
    <w:p w14:paraId="73FB233E" w14:textId="123DB579" w:rsidR="005E785F" w:rsidRDefault="003621E8">
      <w:pPr>
        <w:pStyle w:val="C-BodyText"/>
        <w:jc w:val="both"/>
        <w:rPr>
          <w:lang w:val="en-GB"/>
        </w:rPr>
      </w:pPr>
      <w:r>
        <w:rPr>
          <w:lang w:val="en-GB"/>
        </w:rPr>
        <w:t>The confidentiality of the study must be maintained at all times and the PI must not reveal any information relating to the study without express permission from the study Sponsor.</w:t>
      </w:r>
    </w:p>
    <w:p w14:paraId="73FB233F" w14:textId="50B97955" w:rsidR="005E785F" w:rsidRDefault="003621E8">
      <w:pPr>
        <w:pStyle w:val="Heading2"/>
      </w:pPr>
      <w:bookmarkStart w:id="253" w:name="_Toc74904458"/>
      <w:r>
        <w:t>Study Report and Publication Policy</w:t>
      </w:r>
      <w:bookmarkEnd w:id="253"/>
    </w:p>
    <w:p w14:paraId="73FB2342" w14:textId="6467AC4F" w:rsidR="005E785F" w:rsidRDefault="003621E8">
      <w:pPr>
        <w:pStyle w:val="C-BodyText"/>
        <w:jc w:val="both"/>
        <w:rPr>
          <w:lang w:val="en-GB"/>
        </w:rPr>
      </w:pPr>
      <w:r>
        <w:rPr>
          <w:lang w:val="en-GB"/>
        </w:rPr>
        <w:t>The PI will obtain the Sponsor’s written permission before any information concerning this study is submitted for publication.</w:t>
      </w:r>
    </w:p>
    <w:p w14:paraId="1BA29D31" w14:textId="4B0D6E85" w:rsidR="005E785F" w:rsidRDefault="003621E8">
      <w:pPr>
        <w:pStyle w:val="Heading2"/>
      </w:pPr>
      <w:bookmarkStart w:id="254" w:name="_Toc74904459"/>
      <w:r>
        <w:lastRenderedPageBreak/>
        <w:t>General Data Protection Regulation (GDPR)</w:t>
      </w:r>
      <w:bookmarkEnd w:id="254"/>
    </w:p>
    <w:p w14:paraId="0BF0C1AF" w14:textId="0AF33256" w:rsidR="005E785F" w:rsidRDefault="003621E8">
      <w:pPr>
        <w:pStyle w:val="C-BodyText"/>
        <w:jc w:val="both"/>
        <w:rPr>
          <w:lang w:val="en-GB"/>
        </w:rPr>
      </w:pPr>
      <w:r>
        <w:rPr>
          <w:lang w:val="en-GB"/>
        </w:rPr>
        <w:t>Personal data of the participant shall be processed in a manner that ensures it has appropriate security. This includes protection against unauthorised or unlawful processing and against accidental loss, destruction or damage and by using appropriate technical or organisational measures. One such measure is by the Investigator ensuring that the participants’ personally identifiable information should be replaced through the use of pseudonymisation.</w:t>
      </w:r>
    </w:p>
    <w:p w14:paraId="5BC8D332" w14:textId="0B22C155" w:rsidR="005E785F" w:rsidRDefault="003621E8">
      <w:pPr>
        <w:pStyle w:val="C-BodyText"/>
        <w:jc w:val="both"/>
        <w:rPr>
          <w:lang w:val="en-GB"/>
        </w:rPr>
      </w:pPr>
      <w:r>
        <w:rPr>
          <w:lang w:val="en-GB"/>
        </w:rPr>
        <w:t>On the eCRFs or other documents submitted to DNDi/Simbec-Orion, participants will NOT be identified by their names but by the assigned participant number (panel/screening/participant number) to ensure confidentiality of the participants’ information and that data minimisation principles are maintained. If participant names are included in error on copies of documents submitted to DNDi/Simbec-Orion participants’, the names (including initials) will be erased or securely destroyed, and the assigned participant number added to the document.</w:t>
      </w:r>
    </w:p>
    <w:p w14:paraId="73FB2343" w14:textId="77777777" w:rsidR="005E785F" w:rsidRDefault="003621E8">
      <w:pPr>
        <w:pStyle w:val="Heading1"/>
      </w:pPr>
      <w:bookmarkStart w:id="255" w:name="_Toc200273961"/>
      <w:r>
        <w:br w:type="page"/>
      </w:r>
      <w:bookmarkStart w:id="256" w:name="_Toc74904460"/>
      <w:bookmarkEnd w:id="255"/>
      <w:r>
        <w:lastRenderedPageBreak/>
        <w:t>REFERENCES</w:t>
      </w:r>
      <w:bookmarkEnd w:id="256"/>
      <w:r>
        <w:t xml:space="preserve"> </w:t>
      </w:r>
    </w:p>
    <w:p w14:paraId="6B4B6795" w14:textId="0D2969C9" w:rsidR="005E785F" w:rsidRDefault="003621E8">
      <w:pPr>
        <w:pStyle w:val="ListNumber"/>
        <w:jc w:val="both"/>
        <w:rPr>
          <w:lang w:val="en-GB"/>
        </w:rPr>
      </w:pPr>
      <w:bookmarkStart w:id="257" w:name="_Ref65269319"/>
      <w:r>
        <w:rPr>
          <w:lang w:val="en-GB"/>
        </w:rPr>
        <w:t>Guidance for Industry. Toxicity Grading Scale for Healthy Adult and Adolescent Volunteers Enrolled in Preventive Vaccine Clinical Trials. U.S. Department of Health and Human Services Food and Drug Administration Centre for Biologics Evaluation and Research. September 2007.</w:t>
      </w:r>
      <w:bookmarkEnd w:id="257"/>
    </w:p>
    <w:p w14:paraId="393FEDA4" w14:textId="6A35FC9E" w:rsidR="005E785F" w:rsidRDefault="003621E8">
      <w:pPr>
        <w:pStyle w:val="ListNumber"/>
        <w:jc w:val="both"/>
        <w:rPr>
          <w:lang w:val="en-GB"/>
        </w:rPr>
      </w:pPr>
      <w:bookmarkStart w:id="258" w:name="_Ref65270170"/>
      <w:r>
        <w:rPr>
          <w:lang w:val="en-GB"/>
        </w:rPr>
        <w:t>World Health Association Declaration of Helsinki. Recommendations guiding physicians in biomedical research involving human subjects. Adopted by the 18th WMA General Assembly, Helsinki, Finland, June 1964, and amended by the 29th WMA General Assembly, Tokyo, Japan, October 1975, 35th WMA General Assembly, Venice, Italy, October 1983, 41st WMA General Assembly, Hong Kong, September 1989, and 48th WMA General Assembly, Somerset West, Republic of South Africa, October 1996, 52nd WMA General Assembly, Edinburgh, Scotland, October 2000, 53rd WMA General Assembly, Washington 2002 (Note of Clarification on Paragraph 29 added), 55th WMA General Assembly, Tokyo 2004 (Note for Clarification on Paragraph 30 added), 59th WMA General Assembly, Seoul, October 2008 and 64th WMA General Assembly, Fortaleza, Brazil, October 2013</w:t>
      </w:r>
      <w:bookmarkEnd w:id="258"/>
      <w:r>
        <w:rPr>
          <w:lang w:val="en-GB"/>
        </w:rPr>
        <w:t>.</w:t>
      </w:r>
    </w:p>
    <w:p w14:paraId="648C6C0A" w14:textId="726EA62E" w:rsidR="005E785F" w:rsidRDefault="003621E8">
      <w:pPr>
        <w:pStyle w:val="ListNumber"/>
        <w:jc w:val="both"/>
        <w:rPr>
          <w:lang w:val="en-GB"/>
        </w:rPr>
      </w:pPr>
      <w:bookmarkStart w:id="259" w:name="_Ref65270188"/>
      <w:r>
        <w:rPr>
          <w:lang w:val="en-GB"/>
        </w:rPr>
        <w:t>ICH (International Council on Harmonisation) Guideline for Good Clinical Practice (GCP) E6 (R2) (CPMP/ICH/135/95) 2016.</w:t>
      </w:r>
      <w:bookmarkEnd w:id="259"/>
    </w:p>
    <w:p w14:paraId="7A19B610" w14:textId="12615A76" w:rsidR="005E785F" w:rsidRDefault="003621E8">
      <w:pPr>
        <w:pStyle w:val="ListNumber"/>
        <w:jc w:val="both"/>
        <w:rPr>
          <w:lang w:val="en-GB"/>
        </w:rPr>
      </w:pPr>
      <w:bookmarkStart w:id="260" w:name="_Ref65270468"/>
      <w:r>
        <w:rPr>
          <w:lang w:val="en-GB"/>
        </w:rPr>
        <w:t>Insurance and compensation in the event of injury in Phase I clinical trials 2012. Guidance developed by the ABPI (The Association of the British Pharmaceutical Industry), the BioIndustry Association and the Clinical Contract Research Association in consultation with the Department of Health and the National Research Ethics Service.</w:t>
      </w:r>
      <w:bookmarkEnd w:id="260"/>
    </w:p>
    <w:p w14:paraId="71DA435F" w14:textId="3635C3B5" w:rsidR="005E785F" w:rsidRDefault="003621E8">
      <w:pPr>
        <w:pStyle w:val="ListNumber"/>
        <w:jc w:val="both"/>
        <w:rPr>
          <w:lang w:val="en-GB"/>
        </w:rPr>
      </w:pPr>
      <w:bookmarkStart w:id="261" w:name="_Ref65483217"/>
      <w:r>
        <w:rPr>
          <w:lang w:val="en-GB"/>
        </w:rPr>
        <w:t>Haile, L. A., Puig, M., Polumuri, S. K., Ascher, J., &amp; Verthelyi, D. (2017). In vivo effect of innate immune response modulating impurities on the skin milieu using a macaque model: impact on product immunogenicity. Journal of pharmaceutical sciences, 106(3), S. 751-760.</w:t>
      </w:r>
      <w:bookmarkEnd w:id="261"/>
    </w:p>
    <w:p w14:paraId="26E6A8DB" w14:textId="048669BA" w:rsidR="005E785F" w:rsidRDefault="003621E8">
      <w:pPr>
        <w:pStyle w:val="ListNumber"/>
        <w:jc w:val="both"/>
        <w:rPr>
          <w:lang w:val="en-GB"/>
        </w:rPr>
      </w:pPr>
      <w:r>
        <w:rPr>
          <w:lang w:val="en-GB"/>
        </w:rPr>
        <w:t>Flynn, B., Wang, V., Sacks, D., Seder, R., &amp; Verthelyi, D. (2005). Prevention and Treatment of Cutaneous Leishmaniasis in Primates by Using Synthetic Type D/A Oligodeoxynucleotides Expressing CpG Motifs. Infection and Immunity, 73(8).</w:t>
      </w:r>
    </w:p>
    <w:p w14:paraId="505C301C" w14:textId="02502C7C" w:rsidR="005E785F" w:rsidRDefault="003621E8">
      <w:pPr>
        <w:pStyle w:val="ListNumber"/>
        <w:jc w:val="both"/>
        <w:rPr>
          <w:lang w:val="en-GB"/>
        </w:rPr>
      </w:pPr>
      <w:r>
        <w:rPr>
          <w:lang w:val="en-GB"/>
        </w:rPr>
        <w:t>Verthelyi, D., &amp; Klinman, D. (2003). Immunoregulatory activity of CpG oligonucleotides in humans and nonhuman primates. Clinical Immunology, 109(1).</w:t>
      </w:r>
    </w:p>
    <w:p w14:paraId="2DB2B4EF" w14:textId="1FC84FBC" w:rsidR="005E785F" w:rsidRDefault="003621E8">
      <w:pPr>
        <w:pStyle w:val="ListNumber"/>
        <w:jc w:val="both"/>
        <w:rPr>
          <w:lang w:val="en-GB"/>
        </w:rPr>
      </w:pPr>
      <w:r>
        <w:rPr>
          <w:lang w:val="en-GB"/>
        </w:rPr>
        <w:t>Verthelyi, D., Gursel, M., Kenney, R. T., Lifson, J. D., Liu, S., Mican, J., &amp; Klinman, D. M. (2003). CpG oligodeoxynucleotides protect normal and SIV-infected.</w:t>
      </w:r>
    </w:p>
    <w:p w14:paraId="500212ED" w14:textId="666B4B64" w:rsidR="005E785F" w:rsidRDefault="003621E8">
      <w:pPr>
        <w:pStyle w:val="ListNumber"/>
        <w:jc w:val="both"/>
        <w:rPr>
          <w:lang w:val="en-GB"/>
        </w:rPr>
      </w:pPr>
      <w:bookmarkStart w:id="262" w:name="_Ref65483230"/>
      <w:r>
        <w:rPr>
          <w:lang w:val="en-GB"/>
        </w:rPr>
        <w:t>Verthelyi, D., Wang, V. W., Lifson, J. D., &amp; Klinman, D. M. (2004). CpG oligodeoxynucleotides improve the response to hepatitis B immunization in healthy and SIV-infected rhesus macaques. Aids, 18(7).</w:t>
      </w:r>
      <w:bookmarkEnd w:id="262"/>
    </w:p>
    <w:p w14:paraId="3144F4DB" w14:textId="22CE5D57" w:rsidR="005E785F" w:rsidRDefault="003621E8">
      <w:pPr>
        <w:pStyle w:val="ListNumber"/>
        <w:jc w:val="both"/>
        <w:rPr>
          <w:lang w:val="en-GB"/>
        </w:rPr>
      </w:pPr>
      <w:bookmarkStart w:id="263" w:name="_Ref65483535"/>
      <w:r>
        <w:rPr>
          <w:lang w:val="en-GB"/>
        </w:rPr>
        <w:t>Thacker, S. G., McWilliams, I., Bonnet, B., Halie, L., Beaucage, S., Rachuri, S., Verthelyi, D. (2020). CpG ODN D35 improves the response to abbreviated low-dose pentavalent antimonial treatment in non-human primate model of cutaneous leishmaniasis. PLOS Neglected Tropical Diseases, 14(2).</w:t>
      </w:r>
      <w:bookmarkEnd w:id="263"/>
    </w:p>
    <w:p w14:paraId="476A7C5F" w14:textId="2CE4D431" w:rsidR="005E785F" w:rsidRDefault="003621E8">
      <w:pPr>
        <w:pStyle w:val="ListNumber"/>
        <w:jc w:val="both"/>
        <w:rPr>
          <w:lang w:val="en-GB"/>
        </w:rPr>
      </w:pPr>
      <w:bookmarkStart w:id="264" w:name="_Ref65483649"/>
      <w:r>
        <w:rPr>
          <w:lang w:val="en-GB"/>
        </w:rPr>
        <w:t xml:space="preserve">Investigator’ Brochures (CPG ODN D35), Version 1.0, 19 March 2021. </w:t>
      </w:r>
      <w:bookmarkEnd w:id="264"/>
    </w:p>
    <w:p w14:paraId="5B322C64" w14:textId="1BBDB09C" w:rsidR="005E785F" w:rsidRDefault="003621E8">
      <w:pPr>
        <w:pStyle w:val="ListNumber"/>
        <w:jc w:val="both"/>
        <w:rPr>
          <w:lang w:val="en-GB"/>
        </w:rPr>
      </w:pPr>
      <w:bookmarkStart w:id="265" w:name="_Ref65483933"/>
      <w:r>
        <w:rPr>
          <w:lang w:val="en-GB"/>
        </w:rPr>
        <w:t>EU GMP Annex 13: Investigational Medicinal Products, https://www.gmp-compliance.org/guidemgr/files/2009_06_annex13.pdf</w:t>
      </w:r>
      <w:bookmarkEnd w:id="265"/>
    </w:p>
    <w:p w14:paraId="5B1EB2D8" w14:textId="675BB2B1" w:rsidR="005E785F" w:rsidRDefault="003621E8">
      <w:pPr>
        <w:pStyle w:val="ListNumber"/>
        <w:jc w:val="both"/>
        <w:rPr>
          <w:lang w:val="en-GB"/>
        </w:rPr>
      </w:pPr>
      <w:bookmarkStart w:id="266" w:name="_Ref65493415"/>
      <w:r>
        <w:rPr>
          <w:lang w:val="en-GB"/>
        </w:rPr>
        <w:t>European Medicine Agency Guideline on the content, management and archiving of the clinical trial master file (paper and/or electronic) EMA/INS/GCP/856758/2018</w:t>
      </w:r>
      <w:bookmarkEnd w:id="266"/>
      <w:r>
        <w:rPr>
          <w:lang w:val="en-GB"/>
        </w:rPr>
        <w:t>.</w:t>
      </w:r>
      <w:r>
        <w:rPr>
          <w:lang w:val="en-GB"/>
        </w:rPr>
        <w:br w:type="page"/>
      </w:r>
      <w:bookmarkStart w:id="267" w:name="_Toc7521802"/>
    </w:p>
    <w:p w14:paraId="6992152C" w14:textId="25DF21FE" w:rsidR="005E785F" w:rsidRDefault="003621E8">
      <w:pPr>
        <w:pStyle w:val="Heading2Unnumbered"/>
      </w:pPr>
      <w:bookmarkStart w:id="268" w:name="_Ref67033154"/>
      <w:bookmarkStart w:id="269" w:name="_Toc74904461"/>
      <w:bookmarkStart w:id="270" w:name="Appendix1"/>
      <w:r>
        <w:lastRenderedPageBreak/>
        <w:t xml:space="preserve">Appendix </w:t>
      </w:r>
      <w:r w:rsidR="00747B9C">
        <w:fldChar w:fldCharType="begin"/>
      </w:r>
      <w:r w:rsidR="00747B9C">
        <w:instrText xml:space="preserve"> SEQ Appendix \* ARABIC </w:instrText>
      </w:r>
      <w:r w:rsidR="00747B9C">
        <w:fldChar w:fldCharType="separate"/>
      </w:r>
      <w:r>
        <w:t>1</w:t>
      </w:r>
      <w:r w:rsidR="00747B9C">
        <w:fldChar w:fldCharType="end"/>
      </w:r>
      <w:bookmarkEnd w:id="268"/>
      <w:r>
        <w:t>: NORMAL RANGES FOR VITAL SIGNS AND ECG PARAMETERS</w:t>
      </w:r>
      <w:bookmarkEnd w:id="269"/>
    </w:p>
    <w:bookmarkEnd w:id="270"/>
    <w:p w14:paraId="24432ED9" w14:textId="6F22F16E" w:rsidR="005E785F" w:rsidRDefault="005E785F">
      <w:pPr>
        <w:jc w:val="both"/>
        <w:rPr>
          <w:lang w:val="en-GB"/>
        </w:rPr>
      </w:pPr>
    </w:p>
    <w:tbl>
      <w:tblPr>
        <w:tblStyle w:val="TableGrid"/>
        <w:tblW w:w="0" w:type="auto"/>
        <w:tblLook w:val="04A0" w:firstRow="1" w:lastRow="0" w:firstColumn="1" w:lastColumn="0" w:noHBand="0" w:noVBand="1"/>
      </w:tblPr>
      <w:tblGrid>
        <w:gridCol w:w="2676"/>
        <w:gridCol w:w="2848"/>
        <w:gridCol w:w="3493"/>
      </w:tblGrid>
      <w:tr w:rsidR="005E785F" w14:paraId="18AFCEA7" w14:textId="77777777">
        <w:trPr>
          <w:trHeight w:val="374"/>
        </w:trPr>
        <w:tc>
          <w:tcPr>
            <w:tcW w:w="9017" w:type="dxa"/>
            <w:gridSpan w:val="3"/>
            <w:shd w:val="clear" w:color="auto" w:fill="F2F2F2" w:themeFill="background1" w:themeFillShade="F2"/>
          </w:tcPr>
          <w:p w14:paraId="406909F5" w14:textId="77777777" w:rsidR="005E785F" w:rsidRDefault="003621E8">
            <w:pPr>
              <w:pStyle w:val="BodyText"/>
              <w:jc w:val="center"/>
              <w:rPr>
                <w:b/>
                <w:szCs w:val="24"/>
              </w:rPr>
            </w:pPr>
            <w:bookmarkStart w:id="271" w:name="_Hlk55234831"/>
            <w:bookmarkStart w:id="272" w:name="_Hlk55235386"/>
            <w:r>
              <w:rPr>
                <w:b/>
                <w:szCs w:val="24"/>
              </w:rPr>
              <w:t xml:space="preserve">Vital Sign Parameters </w:t>
            </w:r>
          </w:p>
        </w:tc>
      </w:tr>
      <w:tr w:rsidR="005E785F" w14:paraId="719B089E" w14:textId="77777777">
        <w:trPr>
          <w:trHeight w:val="374"/>
        </w:trPr>
        <w:tc>
          <w:tcPr>
            <w:tcW w:w="2676" w:type="dxa"/>
            <w:shd w:val="clear" w:color="auto" w:fill="F2F2F2" w:themeFill="background1" w:themeFillShade="F2"/>
            <w:vAlign w:val="center"/>
          </w:tcPr>
          <w:p w14:paraId="2B979D8F" w14:textId="77777777" w:rsidR="005E785F" w:rsidRDefault="003621E8">
            <w:pPr>
              <w:pStyle w:val="BodyText"/>
              <w:jc w:val="left"/>
              <w:rPr>
                <w:b/>
                <w:szCs w:val="24"/>
              </w:rPr>
            </w:pPr>
            <w:bookmarkStart w:id="273" w:name="_Hlk55234759"/>
            <w:r>
              <w:rPr>
                <w:b/>
                <w:szCs w:val="24"/>
              </w:rPr>
              <w:t>Parameter</w:t>
            </w:r>
          </w:p>
        </w:tc>
        <w:tc>
          <w:tcPr>
            <w:tcW w:w="2848" w:type="dxa"/>
            <w:shd w:val="clear" w:color="auto" w:fill="F2F2F2" w:themeFill="background1" w:themeFillShade="F2"/>
            <w:vAlign w:val="center"/>
          </w:tcPr>
          <w:p w14:paraId="728435F6" w14:textId="77777777" w:rsidR="005E785F" w:rsidRDefault="003621E8">
            <w:pPr>
              <w:pStyle w:val="BodyText"/>
              <w:jc w:val="left"/>
              <w:rPr>
                <w:b/>
                <w:szCs w:val="24"/>
              </w:rPr>
            </w:pPr>
            <w:r>
              <w:rPr>
                <w:b/>
                <w:szCs w:val="24"/>
              </w:rPr>
              <w:t>Normal Range</w:t>
            </w:r>
          </w:p>
        </w:tc>
        <w:tc>
          <w:tcPr>
            <w:tcW w:w="3493" w:type="dxa"/>
            <w:shd w:val="clear" w:color="auto" w:fill="F2F2F2" w:themeFill="background1" w:themeFillShade="F2"/>
            <w:vAlign w:val="center"/>
          </w:tcPr>
          <w:p w14:paraId="5517155A" w14:textId="77777777" w:rsidR="005E785F" w:rsidRDefault="003621E8">
            <w:pPr>
              <w:pStyle w:val="BodyText"/>
              <w:jc w:val="left"/>
              <w:rPr>
                <w:b/>
                <w:szCs w:val="24"/>
              </w:rPr>
            </w:pPr>
            <w:r>
              <w:rPr>
                <w:b/>
                <w:szCs w:val="24"/>
              </w:rPr>
              <w:t>Units</w:t>
            </w:r>
          </w:p>
        </w:tc>
      </w:tr>
      <w:bookmarkEnd w:id="273"/>
      <w:tr w:rsidR="005E785F" w14:paraId="0ADD2876" w14:textId="77777777">
        <w:trPr>
          <w:trHeight w:val="363"/>
        </w:trPr>
        <w:tc>
          <w:tcPr>
            <w:tcW w:w="2676" w:type="dxa"/>
          </w:tcPr>
          <w:p w14:paraId="63A676F4" w14:textId="0491AAB3" w:rsidR="005E785F" w:rsidRDefault="002E37E4">
            <w:pPr>
              <w:pStyle w:val="BodyText"/>
              <w:rPr>
                <w:bCs/>
              </w:rPr>
            </w:pPr>
            <w:r>
              <w:rPr>
                <w:bCs/>
              </w:rPr>
              <w:t>Heart</w:t>
            </w:r>
            <w:r w:rsidR="003621E8">
              <w:rPr>
                <w:bCs/>
              </w:rPr>
              <w:t xml:space="preserve"> Rate</w:t>
            </w:r>
          </w:p>
        </w:tc>
        <w:tc>
          <w:tcPr>
            <w:tcW w:w="2848" w:type="dxa"/>
          </w:tcPr>
          <w:p w14:paraId="53643DC0" w14:textId="71A386CE" w:rsidR="005E785F" w:rsidRDefault="003621E8">
            <w:pPr>
              <w:pStyle w:val="BodyText"/>
            </w:pPr>
            <w:r>
              <w:rPr>
                <w:szCs w:val="24"/>
              </w:rPr>
              <w:t>45-90</w:t>
            </w:r>
          </w:p>
        </w:tc>
        <w:tc>
          <w:tcPr>
            <w:tcW w:w="3493" w:type="dxa"/>
          </w:tcPr>
          <w:p w14:paraId="017F4741" w14:textId="77777777" w:rsidR="005E785F" w:rsidRDefault="003621E8">
            <w:pPr>
              <w:pStyle w:val="BodyText"/>
            </w:pPr>
            <w:r>
              <w:t>beat(s) per minute (bpm)</w:t>
            </w:r>
          </w:p>
        </w:tc>
      </w:tr>
      <w:tr w:rsidR="005E785F" w14:paraId="0F1D21F4" w14:textId="77777777">
        <w:trPr>
          <w:trHeight w:val="374"/>
        </w:trPr>
        <w:tc>
          <w:tcPr>
            <w:tcW w:w="2676" w:type="dxa"/>
          </w:tcPr>
          <w:p w14:paraId="6165F1E9" w14:textId="77777777" w:rsidR="005E785F" w:rsidRDefault="003621E8">
            <w:pPr>
              <w:pStyle w:val="BodyText"/>
              <w:rPr>
                <w:bCs/>
              </w:rPr>
            </w:pPr>
            <w:r>
              <w:rPr>
                <w:bCs/>
              </w:rPr>
              <w:t>Systolic Blood pressure</w:t>
            </w:r>
          </w:p>
        </w:tc>
        <w:tc>
          <w:tcPr>
            <w:tcW w:w="2848" w:type="dxa"/>
          </w:tcPr>
          <w:p w14:paraId="1EFE6215" w14:textId="6A01C809" w:rsidR="005E785F" w:rsidRDefault="003621E8">
            <w:pPr>
              <w:pStyle w:val="BodyText"/>
            </w:pPr>
            <w:r>
              <w:t xml:space="preserve">100-140 </w:t>
            </w:r>
          </w:p>
        </w:tc>
        <w:tc>
          <w:tcPr>
            <w:tcW w:w="3493" w:type="dxa"/>
          </w:tcPr>
          <w:p w14:paraId="2005871D" w14:textId="77777777" w:rsidR="005E785F" w:rsidRDefault="003621E8">
            <w:pPr>
              <w:pStyle w:val="BodyText"/>
            </w:pPr>
            <w:r>
              <w:t>millimetre(s) of mercury (mmHg)</w:t>
            </w:r>
          </w:p>
        </w:tc>
      </w:tr>
      <w:tr w:rsidR="005E785F" w14:paraId="1CF400E5" w14:textId="77777777">
        <w:trPr>
          <w:trHeight w:val="363"/>
        </w:trPr>
        <w:tc>
          <w:tcPr>
            <w:tcW w:w="2676" w:type="dxa"/>
          </w:tcPr>
          <w:p w14:paraId="6BAC4CE1" w14:textId="77777777" w:rsidR="005E785F" w:rsidRDefault="003621E8">
            <w:pPr>
              <w:pStyle w:val="BodyText"/>
              <w:rPr>
                <w:bCs/>
              </w:rPr>
            </w:pPr>
            <w:r>
              <w:rPr>
                <w:bCs/>
              </w:rPr>
              <w:t>Diastolic Blood pressure</w:t>
            </w:r>
          </w:p>
        </w:tc>
        <w:tc>
          <w:tcPr>
            <w:tcW w:w="2848" w:type="dxa"/>
          </w:tcPr>
          <w:p w14:paraId="47A1CAFD" w14:textId="6B4FFFCC" w:rsidR="005E785F" w:rsidRDefault="003621E8">
            <w:pPr>
              <w:pStyle w:val="BodyText"/>
            </w:pPr>
            <w:r>
              <w:rPr>
                <w:szCs w:val="24"/>
              </w:rPr>
              <w:t>50-90</w:t>
            </w:r>
          </w:p>
        </w:tc>
        <w:tc>
          <w:tcPr>
            <w:tcW w:w="3493" w:type="dxa"/>
          </w:tcPr>
          <w:p w14:paraId="58B7C456" w14:textId="77777777" w:rsidR="005E785F" w:rsidRDefault="003621E8">
            <w:pPr>
              <w:pStyle w:val="BodyText"/>
            </w:pPr>
            <w:r>
              <w:t>millimetre(s) of mercury (mmHg)</w:t>
            </w:r>
          </w:p>
        </w:tc>
      </w:tr>
      <w:tr w:rsidR="005E785F" w14:paraId="052D16B4" w14:textId="77777777">
        <w:trPr>
          <w:trHeight w:val="363"/>
        </w:trPr>
        <w:tc>
          <w:tcPr>
            <w:tcW w:w="2676" w:type="dxa"/>
          </w:tcPr>
          <w:p w14:paraId="57D30903" w14:textId="77777777" w:rsidR="005E785F" w:rsidRDefault="003621E8">
            <w:pPr>
              <w:pStyle w:val="BodyText"/>
              <w:rPr>
                <w:bCs/>
              </w:rPr>
            </w:pPr>
            <w:r>
              <w:rPr>
                <w:bCs/>
              </w:rPr>
              <w:t>Respiratory Rate</w:t>
            </w:r>
          </w:p>
        </w:tc>
        <w:tc>
          <w:tcPr>
            <w:tcW w:w="2848" w:type="dxa"/>
          </w:tcPr>
          <w:p w14:paraId="560D9E4A" w14:textId="77777777" w:rsidR="005E785F" w:rsidRDefault="003621E8">
            <w:pPr>
              <w:pStyle w:val="BodyText"/>
            </w:pPr>
            <w:r>
              <w:t>12-18</w:t>
            </w:r>
          </w:p>
        </w:tc>
        <w:tc>
          <w:tcPr>
            <w:tcW w:w="3493" w:type="dxa"/>
          </w:tcPr>
          <w:p w14:paraId="637E73CB" w14:textId="77777777" w:rsidR="005E785F" w:rsidRDefault="003621E8">
            <w:pPr>
              <w:pStyle w:val="BodyText"/>
            </w:pPr>
            <w:r>
              <w:t>breath(s) per minute</w:t>
            </w:r>
          </w:p>
        </w:tc>
      </w:tr>
      <w:tr w:rsidR="005E785F" w14:paraId="66BD81F9" w14:textId="77777777">
        <w:trPr>
          <w:trHeight w:val="363"/>
        </w:trPr>
        <w:tc>
          <w:tcPr>
            <w:tcW w:w="2676" w:type="dxa"/>
          </w:tcPr>
          <w:p w14:paraId="2DCCB6B5" w14:textId="77777777" w:rsidR="005E785F" w:rsidRDefault="003621E8">
            <w:pPr>
              <w:pStyle w:val="BodyText"/>
              <w:rPr>
                <w:bCs/>
              </w:rPr>
            </w:pPr>
            <w:r>
              <w:rPr>
                <w:bCs/>
              </w:rPr>
              <w:t>Oral Temperature</w:t>
            </w:r>
          </w:p>
        </w:tc>
        <w:tc>
          <w:tcPr>
            <w:tcW w:w="2848" w:type="dxa"/>
          </w:tcPr>
          <w:p w14:paraId="218A03E4" w14:textId="77777777" w:rsidR="005E785F" w:rsidRDefault="003621E8">
            <w:pPr>
              <w:pStyle w:val="BodyText"/>
            </w:pPr>
            <w:r>
              <w:t xml:space="preserve">35.0-37.5 </w:t>
            </w:r>
          </w:p>
        </w:tc>
        <w:tc>
          <w:tcPr>
            <w:tcW w:w="3493" w:type="dxa"/>
          </w:tcPr>
          <w:p w14:paraId="46C3F5E7" w14:textId="77777777" w:rsidR="005E785F" w:rsidRDefault="003621E8">
            <w:pPr>
              <w:pStyle w:val="BodyText"/>
            </w:pPr>
            <w:r>
              <w:t>degrees Celsius (ºC)</w:t>
            </w:r>
          </w:p>
        </w:tc>
      </w:tr>
      <w:tr w:rsidR="005E785F" w14:paraId="15216D78" w14:textId="77777777">
        <w:trPr>
          <w:trHeight w:val="363"/>
        </w:trPr>
        <w:tc>
          <w:tcPr>
            <w:tcW w:w="2676" w:type="dxa"/>
          </w:tcPr>
          <w:p w14:paraId="0F300C3F" w14:textId="77777777" w:rsidR="005E785F" w:rsidRDefault="003621E8">
            <w:pPr>
              <w:pStyle w:val="BodyText"/>
              <w:rPr>
                <w:bCs/>
              </w:rPr>
            </w:pPr>
            <w:r>
              <w:rPr>
                <w:bCs/>
              </w:rPr>
              <w:t>Pulse Oximetry</w:t>
            </w:r>
          </w:p>
        </w:tc>
        <w:tc>
          <w:tcPr>
            <w:tcW w:w="2848" w:type="dxa"/>
          </w:tcPr>
          <w:p w14:paraId="415277BF" w14:textId="77777777" w:rsidR="005E785F" w:rsidRDefault="003621E8">
            <w:pPr>
              <w:pStyle w:val="BodyText"/>
            </w:pPr>
            <w:r>
              <w:t>94-100</w:t>
            </w:r>
          </w:p>
        </w:tc>
        <w:tc>
          <w:tcPr>
            <w:tcW w:w="3493" w:type="dxa"/>
          </w:tcPr>
          <w:p w14:paraId="13C8B055" w14:textId="77777777" w:rsidR="005E785F" w:rsidRDefault="003621E8">
            <w:pPr>
              <w:pStyle w:val="BodyText"/>
            </w:pPr>
            <w:r>
              <w:t>percent (%)</w:t>
            </w:r>
          </w:p>
        </w:tc>
      </w:tr>
      <w:bookmarkEnd w:id="271"/>
    </w:tbl>
    <w:p w14:paraId="3E715E19" w14:textId="77777777" w:rsidR="005E785F" w:rsidRDefault="005E785F">
      <w:pPr>
        <w:jc w:val="both"/>
      </w:pPr>
    </w:p>
    <w:tbl>
      <w:tblPr>
        <w:tblStyle w:val="TableGrid"/>
        <w:tblW w:w="0" w:type="auto"/>
        <w:tblLook w:val="04A0" w:firstRow="1" w:lastRow="0" w:firstColumn="1" w:lastColumn="0" w:noHBand="0" w:noVBand="1"/>
      </w:tblPr>
      <w:tblGrid>
        <w:gridCol w:w="2676"/>
        <w:gridCol w:w="2989"/>
        <w:gridCol w:w="3352"/>
      </w:tblGrid>
      <w:tr w:rsidR="005E785F" w14:paraId="434708DD" w14:textId="77777777">
        <w:trPr>
          <w:trHeight w:val="374"/>
        </w:trPr>
        <w:tc>
          <w:tcPr>
            <w:tcW w:w="9017" w:type="dxa"/>
            <w:gridSpan w:val="3"/>
            <w:shd w:val="clear" w:color="auto" w:fill="F2F2F2" w:themeFill="background1" w:themeFillShade="F2"/>
          </w:tcPr>
          <w:p w14:paraId="1E33C631" w14:textId="77777777" w:rsidR="005E785F" w:rsidRDefault="003621E8">
            <w:pPr>
              <w:pStyle w:val="BodyText"/>
              <w:jc w:val="center"/>
              <w:rPr>
                <w:b/>
                <w:szCs w:val="24"/>
              </w:rPr>
            </w:pPr>
            <w:r>
              <w:rPr>
                <w:b/>
                <w:szCs w:val="24"/>
              </w:rPr>
              <w:t xml:space="preserve">ECG Parameters </w:t>
            </w:r>
          </w:p>
        </w:tc>
      </w:tr>
      <w:tr w:rsidR="005E785F" w14:paraId="72A05F69" w14:textId="77777777">
        <w:trPr>
          <w:trHeight w:val="374"/>
        </w:trPr>
        <w:tc>
          <w:tcPr>
            <w:tcW w:w="2676" w:type="dxa"/>
            <w:shd w:val="clear" w:color="auto" w:fill="F2F2F2" w:themeFill="background1" w:themeFillShade="F2"/>
            <w:vAlign w:val="center"/>
          </w:tcPr>
          <w:p w14:paraId="172BCF91" w14:textId="77777777" w:rsidR="005E785F" w:rsidRDefault="003621E8">
            <w:pPr>
              <w:pStyle w:val="BodyText"/>
              <w:jc w:val="left"/>
              <w:rPr>
                <w:b/>
                <w:szCs w:val="24"/>
              </w:rPr>
            </w:pPr>
            <w:r>
              <w:rPr>
                <w:b/>
                <w:szCs w:val="24"/>
              </w:rPr>
              <w:t>Parameter</w:t>
            </w:r>
          </w:p>
        </w:tc>
        <w:tc>
          <w:tcPr>
            <w:tcW w:w="2989" w:type="dxa"/>
            <w:shd w:val="clear" w:color="auto" w:fill="F2F2F2" w:themeFill="background1" w:themeFillShade="F2"/>
            <w:vAlign w:val="center"/>
          </w:tcPr>
          <w:p w14:paraId="06C6B9E2" w14:textId="77777777" w:rsidR="005E785F" w:rsidRDefault="003621E8">
            <w:pPr>
              <w:pStyle w:val="BodyText"/>
              <w:jc w:val="left"/>
              <w:rPr>
                <w:b/>
                <w:szCs w:val="24"/>
              </w:rPr>
            </w:pPr>
            <w:r>
              <w:rPr>
                <w:b/>
                <w:szCs w:val="24"/>
              </w:rPr>
              <w:t>Normal Range</w:t>
            </w:r>
          </w:p>
        </w:tc>
        <w:tc>
          <w:tcPr>
            <w:tcW w:w="3352" w:type="dxa"/>
            <w:shd w:val="clear" w:color="auto" w:fill="F2F2F2" w:themeFill="background1" w:themeFillShade="F2"/>
            <w:vAlign w:val="center"/>
          </w:tcPr>
          <w:p w14:paraId="10D5BC2A" w14:textId="77777777" w:rsidR="005E785F" w:rsidRDefault="003621E8">
            <w:pPr>
              <w:pStyle w:val="BodyText"/>
              <w:jc w:val="left"/>
              <w:rPr>
                <w:b/>
                <w:szCs w:val="24"/>
              </w:rPr>
            </w:pPr>
            <w:r>
              <w:rPr>
                <w:b/>
                <w:szCs w:val="24"/>
              </w:rPr>
              <w:t>Units</w:t>
            </w:r>
          </w:p>
        </w:tc>
      </w:tr>
      <w:tr w:rsidR="005E785F" w14:paraId="0AB7FBF6" w14:textId="77777777">
        <w:trPr>
          <w:trHeight w:val="363"/>
        </w:trPr>
        <w:tc>
          <w:tcPr>
            <w:tcW w:w="2676" w:type="dxa"/>
          </w:tcPr>
          <w:p w14:paraId="0D793C47" w14:textId="634E559D" w:rsidR="005E785F" w:rsidRDefault="003621E8">
            <w:pPr>
              <w:pStyle w:val="BodyText"/>
              <w:rPr>
                <w:bCs/>
              </w:rPr>
            </w:pPr>
            <w:r>
              <w:rPr>
                <w:bCs/>
              </w:rPr>
              <w:t xml:space="preserve">Heart Rate </w:t>
            </w:r>
          </w:p>
        </w:tc>
        <w:tc>
          <w:tcPr>
            <w:tcW w:w="2989" w:type="dxa"/>
          </w:tcPr>
          <w:p w14:paraId="6968C2EE" w14:textId="77152C2B" w:rsidR="005E785F" w:rsidRDefault="003621E8">
            <w:pPr>
              <w:pStyle w:val="BodyText"/>
            </w:pPr>
            <w:r>
              <w:rPr>
                <w:szCs w:val="24"/>
              </w:rPr>
              <w:t>45-90</w:t>
            </w:r>
          </w:p>
        </w:tc>
        <w:tc>
          <w:tcPr>
            <w:tcW w:w="3352" w:type="dxa"/>
          </w:tcPr>
          <w:p w14:paraId="44F1C8FA" w14:textId="77777777" w:rsidR="005E785F" w:rsidRDefault="003621E8">
            <w:pPr>
              <w:pStyle w:val="BodyText"/>
            </w:pPr>
            <w:r>
              <w:t>beat(s) per minute (bpm)</w:t>
            </w:r>
          </w:p>
        </w:tc>
      </w:tr>
      <w:tr w:rsidR="005E785F" w14:paraId="4AD753E8" w14:textId="77777777">
        <w:trPr>
          <w:trHeight w:val="374"/>
        </w:trPr>
        <w:tc>
          <w:tcPr>
            <w:tcW w:w="2676" w:type="dxa"/>
          </w:tcPr>
          <w:p w14:paraId="4F49B760" w14:textId="77777777" w:rsidR="005E785F" w:rsidRDefault="003621E8">
            <w:pPr>
              <w:pStyle w:val="BodyText"/>
              <w:rPr>
                <w:bCs/>
              </w:rPr>
            </w:pPr>
            <w:r>
              <w:rPr>
                <w:bCs/>
              </w:rPr>
              <w:t xml:space="preserve">PR Interval </w:t>
            </w:r>
          </w:p>
        </w:tc>
        <w:tc>
          <w:tcPr>
            <w:tcW w:w="2989" w:type="dxa"/>
          </w:tcPr>
          <w:p w14:paraId="5A0CC1C1" w14:textId="77777777" w:rsidR="005E785F" w:rsidRDefault="003621E8">
            <w:pPr>
              <w:pStyle w:val="BodyText"/>
            </w:pPr>
            <w:r>
              <w:t xml:space="preserve">120-220 </w:t>
            </w:r>
          </w:p>
        </w:tc>
        <w:tc>
          <w:tcPr>
            <w:tcW w:w="3352" w:type="dxa"/>
          </w:tcPr>
          <w:p w14:paraId="3671E7D3" w14:textId="77777777" w:rsidR="005E785F" w:rsidRDefault="003621E8">
            <w:pPr>
              <w:pStyle w:val="BodyText"/>
            </w:pPr>
            <w:r>
              <w:t>millisecond(s) (ms)</w:t>
            </w:r>
          </w:p>
        </w:tc>
      </w:tr>
      <w:tr w:rsidR="005E785F" w14:paraId="7F453DCF" w14:textId="77777777">
        <w:trPr>
          <w:trHeight w:val="363"/>
        </w:trPr>
        <w:tc>
          <w:tcPr>
            <w:tcW w:w="2676" w:type="dxa"/>
          </w:tcPr>
          <w:p w14:paraId="41BAC558" w14:textId="77777777" w:rsidR="005E785F" w:rsidRDefault="003621E8">
            <w:pPr>
              <w:pStyle w:val="BodyText"/>
              <w:rPr>
                <w:bCs/>
              </w:rPr>
            </w:pPr>
            <w:r>
              <w:rPr>
                <w:bCs/>
              </w:rPr>
              <w:t>QRS Width</w:t>
            </w:r>
          </w:p>
        </w:tc>
        <w:tc>
          <w:tcPr>
            <w:tcW w:w="2989" w:type="dxa"/>
          </w:tcPr>
          <w:p w14:paraId="3531A78C" w14:textId="77777777" w:rsidR="005E785F" w:rsidRDefault="003621E8">
            <w:pPr>
              <w:pStyle w:val="BodyText"/>
            </w:pPr>
            <w:r>
              <w:t xml:space="preserve">70-120 </w:t>
            </w:r>
          </w:p>
        </w:tc>
        <w:tc>
          <w:tcPr>
            <w:tcW w:w="3352" w:type="dxa"/>
          </w:tcPr>
          <w:p w14:paraId="4CF572E3" w14:textId="77777777" w:rsidR="005E785F" w:rsidRDefault="003621E8">
            <w:pPr>
              <w:pStyle w:val="BodyText"/>
            </w:pPr>
            <w:r>
              <w:t>millisecond(s) (ms)</w:t>
            </w:r>
          </w:p>
        </w:tc>
      </w:tr>
      <w:tr w:rsidR="005E785F" w14:paraId="2552C480" w14:textId="77777777">
        <w:trPr>
          <w:trHeight w:val="363"/>
        </w:trPr>
        <w:tc>
          <w:tcPr>
            <w:tcW w:w="2676" w:type="dxa"/>
          </w:tcPr>
          <w:p w14:paraId="1E613C1E" w14:textId="77777777" w:rsidR="005E785F" w:rsidRDefault="003621E8">
            <w:pPr>
              <w:pStyle w:val="BodyText"/>
              <w:rPr>
                <w:bCs/>
              </w:rPr>
            </w:pPr>
            <w:r>
              <w:rPr>
                <w:bCs/>
              </w:rPr>
              <w:t xml:space="preserve">QT Interval </w:t>
            </w:r>
          </w:p>
        </w:tc>
        <w:tc>
          <w:tcPr>
            <w:tcW w:w="2989" w:type="dxa"/>
          </w:tcPr>
          <w:p w14:paraId="134BFF93" w14:textId="77777777" w:rsidR="005E785F" w:rsidRDefault="003621E8">
            <w:pPr>
              <w:pStyle w:val="BodyText"/>
            </w:pPr>
            <w:r>
              <w:t>N/A</w:t>
            </w:r>
          </w:p>
        </w:tc>
        <w:tc>
          <w:tcPr>
            <w:tcW w:w="3352" w:type="dxa"/>
          </w:tcPr>
          <w:p w14:paraId="6598787A" w14:textId="77777777" w:rsidR="005E785F" w:rsidRDefault="003621E8">
            <w:pPr>
              <w:pStyle w:val="BodyText"/>
            </w:pPr>
            <w:r>
              <w:t>N/A</w:t>
            </w:r>
          </w:p>
        </w:tc>
      </w:tr>
      <w:tr w:rsidR="005E785F" w14:paraId="47F16BC4" w14:textId="77777777">
        <w:trPr>
          <w:trHeight w:val="363"/>
        </w:trPr>
        <w:tc>
          <w:tcPr>
            <w:tcW w:w="2676" w:type="dxa"/>
          </w:tcPr>
          <w:p w14:paraId="734936B7" w14:textId="47615E4E" w:rsidR="005E785F" w:rsidRDefault="003621E8">
            <w:pPr>
              <w:pStyle w:val="BodyText"/>
              <w:rPr>
                <w:bCs/>
              </w:rPr>
            </w:pPr>
            <w:r>
              <w:rPr>
                <w:bCs/>
              </w:rPr>
              <w:t>QTc Interval (Fridericia’s Formula)</w:t>
            </w:r>
          </w:p>
        </w:tc>
        <w:tc>
          <w:tcPr>
            <w:tcW w:w="2989" w:type="dxa"/>
          </w:tcPr>
          <w:p w14:paraId="5AC510FA" w14:textId="77777777" w:rsidR="005E785F" w:rsidRDefault="003621E8">
            <w:pPr>
              <w:pStyle w:val="BodyText"/>
              <w:tabs>
                <w:tab w:val="left" w:pos="2016"/>
              </w:tabs>
            </w:pPr>
            <w:r>
              <w:t xml:space="preserve">Male: 350-450 </w:t>
            </w:r>
          </w:p>
          <w:p w14:paraId="55292275" w14:textId="27C57AD9" w:rsidR="005E785F" w:rsidRDefault="005E785F">
            <w:pPr>
              <w:pStyle w:val="BodyText"/>
            </w:pPr>
          </w:p>
        </w:tc>
        <w:tc>
          <w:tcPr>
            <w:tcW w:w="3352" w:type="dxa"/>
            <w:vAlign w:val="center"/>
          </w:tcPr>
          <w:p w14:paraId="261BC1F7" w14:textId="77777777" w:rsidR="005E785F" w:rsidRDefault="003621E8">
            <w:pPr>
              <w:pStyle w:val="BodyText"/>
              <w:tabs>
                <w:tab w:val="left" w:pos="2016"/>
              </w:tabs>
            </w:pPr>
            <w:r>
              <w:t xml:space="preserve">millisecond(s) (ms) </w:t>
            </w:r>
          </w:p>
          <w:p w14:paraId="11ECE3F2" w14:textId="12EFB8FB" w:rsidR="005E785F" w:rsidRDefault="005E785F">
            <w:pPr>
              <w:pStyle w:val="BodyText"/>
              <w:tabs>
                <w:tab w:val="left" w:pos="2016"/>
              </w:tabs>
            </w:pPr>
          </w:p>
        </w:tc>
      </w:tr>
      <w:bookmarkEnd w:id="267"/>
      <w:bookmarkEnd w:id="272"/>
    </w:tbl>
    <w:p w14:paraId="73FB2350" w14:textId="780C3145" w:rsidR="005E785F" w:rsidRDefault="003621E8">
      <w:pPr>
        <w:jc w:val="both"/>
        <w:rPr>
          <w:lang w:val="en-GB"/>
        </w:rPr>
      </w:pPr>
      <w:r>
        <w:rPr>
          <w:lang w:val="en-GB"/>
        </w:rPr>
        <w:br w:type="page"/>
      </w:r>
    </w:p>
    <w:p w14:paraId="73FB2351" w14:textId="2E64169D" w:rsidR="005E785F" w:rsidRDefault="003621E8">
      <w:pPr>
        <w:pStyle w:val="Heading2Unnumbered"/>
      </w:pPr>
      <w:bookmarkStart w:id="274" w:name="_Toc74904462"/>
      <w:bookmarkStart w:id="275" w:name="Appendix2"/>
      <w:bookmarkStart w:id="276" w:name="_Toc200273965"/>
      <w:r>
        <w:lastRenderedPageBreak/>
        <w:t xml:space="preserve">Appendix </w:t>
      </w:r>
      <w:r w:rsidR="00747B9C">
        <w:fldChar w:fldCharType="begin"/>
      </w:r>
      <w:r w:rsidR="00747B9C">
        <w:instrText xml:space="preserve"> SEQ Appendix \* ARABIC </w:instrText>
      </w:r>
      <w:r w:rsidR="00747B9C">
        <w:fldChar w:fldCharType="separate"/>
      </w:r>
      <w:r>
        <w:t>2</w:t>
      </w:r>
      <w:r w:rsidR="00747B9C">
        <w:fldChar w:fldCharType="end"/>
      </w:r>
      <w:r>
        <w:t>: DECLARATION OF HELSINKI (BRAZIL, 2013)</w:t>
      </w:r>
      <w:bookmarkEnd w:id="274"/>
    </w:p>
    <w:bookmarkEnd w:id="275"/>
    <w:p w14:paraId="1BF05C31" w14:textId="77777777" w:rsidR="005E785F" w:rsidRDefault="005E785F">
      <w:pPr>
        <w:rPr>
          <w:lang w:val="en-GB"/>
        </w:rPr>
      </w:pPr>
    </w:p>
    <w:p w14:paraId="73FB2394" w14:textId="28A0C0B6" w:rsidR="005E785F" w:rsidRDefault="00747B9C">
      <w:pPr>
        <w:rPr>
          <w:rStyle w:val="Hyperlink"/>
          <w:lang w:val="en-GB"/>
        </w:rPr>
      </w:pPr>
      <w:hyperlink r:id="rId17" w:history="1">
        <w:r w:rsidR="003621E8">
          <w:rPr>
            <w:rStyle w:val="Hyperlink"/>
            <w:lang w:val="en-GB"/>
          </w:rPr>
          <w:t>https://www.wma.net/policies-post/wma-declaration-of-helsinki-ethical-principles-for medical-research-involving-human-subjects/</w:t>
        </w:r>
      </w:hyperlink>
      <w:bookmarkEnd w:id="276"/>
    </w:p>
    <w:p w14:paraId="514D6B75" w14:textId="77777777" w:rsidR="005E785F" w:rsidRDefault="003621E8">
      <w:pPr>
        <w:rPr>
          <w:rStyle w:val="Hyperlink"/>
          <w:lang w:val="en-GB"/>
        </w:rPr>
      </w:pPr>
      <w:r>
        <w:rPr>
          <w:rStyle w:val="Hyperlink"/>
          <w:lang w:val="en-GB"/>
        </w:rPr>
        <w:br w:type="page"/>
      </w:r>
    </w:p>
    <w:p w14:paraId="2C16348D" w14:textId="63A3C2CF" w:rsidR="005E785F" w:rsidRDefault="003621E8">
      <w:pPr>
        <w:pStyle w:val="Heading2Unnumbered"/>
      </w:pPr>
      <w:bookmarkStart w:id="277" w:name="_Ref67033060"/>
      <w:bookmarkStart w:id="278" w:name="_Ref67033045"/>
      <w:bookmarkStart w:id="279" w:name="AppendixA"/>
      <w:bookmarkStart w:id="280" w:name="_Toc495596639"/>
      <w:bookmarkStart w:id="281" w:name="Appendix3"/>
      <w:bookmarkStart w:id="282" w:name="_Toc74904463"/>
      <w:r>
        <w:lastRenderedPageBreak/>
        <w:t xml:space="preserve">Appendix </w:t>
      </w:r>
      <w:r w:rsidR="00747B9C">
        <w:fldChar w:fldCharType="begin"/>
      </w:r>
      <w:r w:rsidR="00747B9C">
        <w:instrText xml:space="preserve"> SEQ Appendix \* ARABIC </w:instrText>
      </w:r>
      <w:r w:rsidR="00747B9C">
        <w:fldChar w:fldCharType="separate"/>
      </w:r>
      <w:r>
        <w:t>3</w:t>
      </w:r>
      <w:r w:rsidR="00747B9C">
        <w:fldChar w:fldCharType="end"/>
      </w:r>
      <w:bookmarkEnd w:id="277"/>
      <w:r>
        <w:rPr>
          <w:lang w:val="en-GB"/>
        </w:rPr>
        <w:t>: GRADING AND MANAGEMENT OF INJECTION SITE REACTIONS</w:t>
      </w:r>
      <w:bookmarkEnd w:id="278"/>
      <w:r>
        <w:rPr>
          <w:lang w:val="en-GB"/>
        </w:rPr>
        <w:t xml:space="preserve"> </w:t>
      </w:r>
      <w:bookmarkEnd w:id="279"/>
      <w:bookmarkEnd w:id="280"/>
      <w:bookmarkEnd w:id="281"/>
      <w:r>
        <w:t>GRADING OF INFUSION REACTIONS</w:t>
      </w:r>
      <w:bookmarkEnd w:id="282"/>
    </w:p>
    <w:p w14:paraId="6AEAD88A" w14:textId="71AAF232" w:rsidR="005E785F" w:rsidRDefault="003621E8">
      <w:pPr>
        <w:jc w:val="both"/>
        <w:rPr>
          <w:rFonts w:cs="Times New Roman"/>
          <w:szCs w:val="24"/>
        </w:rPr>
      </w:pPr>
      <w:r>
        <w:rPr>
          <w:rFonts w:cs="Times New Roman"/>
          <w:szCs w:val="24"/>
        </w:rPr>
        <w:t xml:space="preserve">Individual signs or symptoms (e.g., erythema, swelling, etc.) at the injection site reported by a subject following dose administration will be recorded as an injection site reaction and an AE if grade 1 or more. </w:t>
      </w:r>
    </w:p>
    <w:p w14:paraId="4E8225BC" w14:textId="0FD72D51" w:rsidR="005E785F" w:rsidRDefault="003621E8">
      <w:pPr>
        <w:pStyle w:val="Caption"/>
      </w:pPr>
      <w:bookmarkStart w:id="283" w:name="_Toc66992769"/>
      <w:r>
        <w:t>Table </w:t>
      </w:r>
      <w:r w:rsidR="00747B9C">
        <w:fldChar w:fldCharType="begin"/>
      </w:r>
      <w:r w:rsidR="00747B9C">
        <w:instrText xml:space="preserve"> SEQ Table \* ARABIC </w:instrText>
      </w:r>
      <w:r w:rsidR="00747B9C">
        <w:fldChar w:fldCharType="separate"/>
      </w:r>
      <w:r>
        <w:t>8</w:t>
      </w:r>
      <w:r w:rsidR="00747B9C">
        <w:fldChar w:fldCharType="end"/>
      </w:r>
      <w:r>
        <w:t>:</w:t>
      </w:r>
      <w:r>
        <w:tab/>
        <w:t>Grading of Injection Site Reactions, Guidance for Industry Toxicity Grading Scale for Healthy Adult and Adolescent Volunteers Enrolled in Preventive Vaccine Clinical Trials</w:t>
      </w:r>
      <w:bookmarkEnd w:id="283"/>
    </w:p>
    <w:p w14:paraId="2482AC92" w14:textId="77777777" w:rsidR="005E785F" w:rsidRDefault="005E785F"/>
    <w:p w14:paraId="03A80CED" w14:textId="77777777" w:rsidR="005E785F" w:rsidRDefault="005E785F">
      <w:pPr>
        <w:autoSpaceDE w:val="0"/>
        <w:autoSpaceDN w:val="0"/>
        <w:adjustRightInd w:val="0"/>
      </w:pPr>
    </w:p>
    <w:tbl>
      <w:tblPr>
        <w:tblW w:w="9993" w:type="dxa"/>
        <w:tblInd w:w="62" w:type="dxa"/>
        <w:tblBorders>
          <w:top w:val="nil"/>
          <w:left w:val="nil"/>
          <w:bottom w:val="nil"/>
          <w:right w:val="nil"/>
        </w:tblBorders>
        <w:tblLayout w:type="fixed"/>
        <w:tblLook w:val="0000" w:firstRow="0" w:lastRow="0" w:firstColumn="0" w:lastColumn="0" w:noHBand="0" w:noVBand="0"/>
      </w:tblPr>
      <w:tblGrid>
        <w:gridCol w:w="1913"/>
        <w:gridCol w:w="1984"/>
        <w:gridCol w:w="2127"/>
        <w:gridCol w:w="1984"/>
        <w:gridCol w:w="1985"/>
      </w:tblGrid>
      <w:tr w:rsidR="005E785F" w14:paraId="01865B6E" w14:textId="77777777">
        <w:trPr>
          <w:trHeight w:val="363"/>
        </w:trPr>
        <w:tc>
          <w:tcPr>
            <w:tcW w:w="1913" w:type="dxa"/>
            <w:tcBorders>
              <w:top w:val="single" w:sz="8" w:space="0" w:color="000000"/>
              <w:left w:val="single" w:sz="8" w:space="0" w:color="000000"/>
              <w:bottom w:val="single" w:sz="8" w:space="0" w:color="000000"/>
              <w:right w:val="single" w:sz="8" w:space="0" w:color="000000"/>
            </w:tcBorders>
          </w:tcPr>
          <w:p w14:paraId="61049538" w14:textId="77777777" w:rsidR="005E785F" w:rsidRDefault="003621E8">
            <w:pPr>
              <w:pStyle w:val="Default"/>
              <w:rPr>
                <w:sz w:val="20"/>
                <w:szCs w:val="20"/>
              </w:rPr>
            </w:pPr>
            <w:r>
              <w:rPr>
                <w:b/>
                <w:bCs/>
                <w:sz w:val="20"/>
                <w:szCs w:val="20"/>
              </w:rPr>
              <w:t xml:space="preserve">Local Reaction to </w:t>
            </w:r>
          </w:p>
          <w:p w14:paraId="07DD7D3C" w14:textId="77777777" w:rsidR="005E785F" w:rsidRDefault="003621E8">
            <w:pPr>
              <w:pStyle w:val="Default"/>
              <w:rPr>
                <w:sz w:val="20"/>
                <w:szCs w:val="20"/>
              </w:rPr>
            </w:pPr>
            <w:r>
              <w:rPr>
                <w:b/>
                <w:bCs/>
                <w:sz w:val="20"/>
                <w:szCs w:val="20"/>
              </w:rPr>
              <w:t xml:space="preserve">Injectable Product </w:t>
            </w:r>
          </w:p>
        </w:tc>
        <w:tc>
          <w:tcPr>
            <w:tcW w:w="1984" w:type="dxa"/>
            <w:tcBorders>
              <w:top w:val="single" w:sz="8" w:space="0" w:color="000000"/>
              <w:left w:val="single" w:sz="8" w:space="0" w:color="000000"/>
              <w:bottom w:val="single" w:sz="8" w:space="0" w:color="000000"/>
              <w:right w:val="single" w:sz="8" w:space="0" w:color="000000"/>
            </w:tcBorders>
          </w:tcPr>
          <w:p w14:paraId="571A0BE3" w14:textId="77777777" w:rsidR="005E785F" w:rsidRDefault="003621E8">
            <w:pPr>
              <w:pStyle w:val="Default"/>
              <w:rPr>
                <w:sz w:val="20"/>
                <w:szCs w:val="20"/>
              </w:rPr>
            </w:pPr>
            <w:r>
              <w:rPr>
                <w:b/>
                <w:bCs/>
                <w:sz w:val="20"/>
                <w:szCs w:val="20"/>
              </w:rPr>
              <w:t xml:space="preserve">Mild (Grade 1) </w:t>
            </w:r>
          </w:p>
        </w:tc>
        <w:tc>
          <w:tcPr>
            <w:tcW w:w="2127" w:type="dxa"/>
            <w:tcBorders>
              <w:top w:val="single" w:sz="8" w:space="0" w:color="000000"/>
              <w:left w:val="single" w:sz="8" w:space="0" w:color="000000"/>
              <w:bottom w:val="single" w:sz="8" w:space="0" w:color="000000"/>
              <w:right w:val="single" w:sz="8" w:space="0" w:color="000000"/>
            </w:tcBorders>
          </w:tcPr>
          <w:p w14:paraId="1D46D9EF" w14:textId="4E7F761A" w:rsidR="005E785F" w:rsidRDefault="003621E8">
            <w:pPr>
              <w:pStyle w:val="Default"/>
              <w:rPr>
                <w:sz w:val="20"/>
                <w:szCs w:val="20"/>
              </w:rPr>
            </w:pPr>
            <w:r>
              <w:rPr>
                <w:b/>
                <w:bCs/>
                <w:sz w:val="20"/>
                <w:szCs w:val="20"/>
              </w:rPr>
              <w:t xml:space="preserve">Moderate (Grade 2) </w:t>
            </w:r>
          </w:p>
        </w:tc>
        <w:tc>
          <w:tcPr>
            <w:tcW w:w="1984" w:type="dxa"/>
            <w:tcBorders>
              <w:top w:val="single" w:sz="8" w:space="0" w:color="000000"/>
              <w:left w:val="single" w:sz="8" w:space="0" w:color="000000"/>
              <w:bottom w:val="single" w:sz="8" w:space="0" w:color="000000"/>
              <w:right w:val="single" w:sz="8" w:space="0" w:color="000000"/>
            </w:tcBorders>
          </w:tcPr>
          <w:p w14:paraId="422370D4" w14:textId="77777777" w:rsidR="005E785F" w:rsidRDefault="003621E8">
            <w:pPr>
              <w:pStyle w:val="Default"/>
              <w:rPr>
                <w:sz w:val="20"/>
                <w:szCs w:val="20"/>
              </w:rPr>
            </w:pPr>
            <w:r>
              <w:rPr>
                <w:b/>
                <w:bCs/>
                <w:sz w:val="20"/>
                <w:szCs w:val="20"/>
              </w:rPr>
              <w:t xml:space="preserve">Severe (Grade 3) </w:t>
            </w:r>
          </w:p>
        </w:tc>
        <w:tc>
          <w:tcPr>
            <w:tcW w:w="1985" w:type="dxa"/>
            <w:tcBorders>
              <w:top w:val="single" w:sz="8" w:space="0" w:color="000000"/>
              <w:left w:val="single" w:sz="8" w:space="0" w:color="000000"/>
              <w:bottom w:val="single" w:sz="8" w:space="0" w:color="000000"/>
              <w:right w:val="single" w:sz="8" w:space="0" w:color="000000"/>
            </w:tcBorders>
          </w:tcPr>
          <w:p w14:paraId="64AC4809" w14:textId="77777777" w:rsidR="005E785F" w:rsidRDefault="003621E8">
            <w:pPr>
              <w:pStyle w:val="Default"/>
              <w:rPr>
                <w:sz w:val="20"/>
                <w:szCs w:val="20"/>
              </w:rPr>
            </w:pPr>
            <w:r>
              <w:rPr>
                <w:b/>
                <w:bCs/>
                <w:sz w:val="20"/>
                <w:szCs w:val="20"/>
              </w:rPr>
              <w:t xml:space="preserve">Potentially Life </w:t>
            </w:r>
          </w:p>
          <w:p w14:paraId="40546500" w14:textId="77777777" w:rsidR="005E785F" w:rsidRDefault="003621E8">
            <w:pPr>
              <w:pStyle w:val="Default"/>
              <w:rPr>
                <w:sz w:val="20"/>
                <w:szCs w:val="20"/>
              </w:rPr>
            </w:pPr>
            <w:r>
              <w:rPr>
                <w:b/>
                <w:bCs/>
                <w:sz w:val="20"/>
                <w:szCs w:val="20"/>
              </w:rPr>
              <w:t xml:space="preserve">Threatening </w:t>
            </w:r>
          </w:p>
          <w:p w14:paraId="00B381C7" w14:textId="77777777" w:rsidR="005E785F" w:rsidRDefault="003621E8">
            <w:pPr>
              <w:pStyle w:val="Default"/>
              <w:rPr>
                <w:sz w:val="20"/>
                <w:szCs w:val="20"/>
              </w:rPr>
            </w:pPr>
            <w:r>
              <w:rPr>
                <w:b/>
                <w:bCs/>
                <w:sz w:val="20"/>
                <w:szCs w:val="20"/>
              </w:rPr>
              <w:t xml:space="preserve">(Grade 4) </w:t>
            </w:r>
          </w:p>
        </w:tc>
      </w:tr>
      <w:tr w:rsidR="005E785F" w14:paraId="76870327" w14:textId="77777777">
        <w:trPr>
          <w:trHeight w:val="591"/>
        </w:trPr>
        <w:tc>
          <w:tcPr>
            <w:tcW w:w="1913" w:type="dxa"/>
            <w:tcBorders>
              <w:top w:val="single" w:sz="8" w:space="0" w:color="000000"/>
              <w:left w:val="single" w:sz="8" w:space="0" w:color="000000"/>
              <w:bottom w:val="single" w:sz="8" w:space="0" w:color="000000"/>
              <w:right w:val="single" w:sz="8" w:space="0" w:color="000000"/>
            </w:tcBorders>
          </w:tcPr>
          <w:p w14:paraId="1A6E3DEA" w14:textId="77777777" w:rsidR="005E785F" w:rsidRDefault="003621E8">
            <w:pPr>
              <w:pStyle w:val="Default"/>
              <w:rPr>
                <w:sz w:val="20"/>
                <w:szCs w:val="20"/>
              </w:rPr>
            </w:pPr>
            <w:r>
              <w:rPr>
                <w:sz w:val="20"/>
                <w:szCs w:val="20"/>
              </w:rPr>
              <w:t xml:space="preserve">Pain </w:t>
            </w:r>
          </w:p>
        </w:tc>
        <w:tc>
          <w:tcPr>
            <w:tcW w:w="1984" w:type="dxa"/>
            <w:tcBorders>
              <w:top w:val="single" w:sz="8" w:space="0" w:color="000000"/>
              <w:left w:val="single" w:sz="8" w:space="0" w:color="000000"/>
              <w:bottom w:val="single" w:sz="8" w:space="0" w:color="000000"/>
              <w:right w:val="single" w:sz="8" w:space="0" w:color="000000"/>
            </w:tcBorders>
          </w:tcPr>
          <w:p w14:paraId="124A0CC4" w14:textId="77777777" w:rsidR="005E785F" w:rsidRDefault="003621E8">
            <w:pPr>
              <w:pStyle w:val="Default"/>
              <w:rPr>
                <w:sz w:val="20"/>
                <w:szCs w:val="20"/>
              </w:rPr>
            </w:pPr>
            <w:r>
              <w:rPr>
                <w:sz w:val="20"/>
                <w:szCs w:val="20"/>
              </w:rPr>
              <w:t xml:space="preserve">Does not interfere </w:t>
            </w:r>
          </w:p>
          <w:p w14:paraId="3DD882B9" w14:textId="77777777" w:rsidR="005E785F" w:rsidRDefault="003621E8">
            <w:pPr>
              <w:pStyle w:val="Default"/>
              <w:rPr>
                <w:sz w:val="20"/>
                <w:szCs w:val="20"/>
              </w:rPr>
            </w:pPr>
            <w:r>
              <w:rPr>
                <w:sz w:val="20"/>
                <w:szCs w:val="20"/>
              </w:rPr>
              <w:t xml:space="preserve">with activity </w:t>
            </w:r>
          </w:p>
        </w:tc>
        <w:tc>
          <w:tcPr>
            <w:tcW w:w="2127" w:type="dxa"/>
            <w:tcBorders>
              <w:top w:val="single" w:sz="8" w:space="0" w:color="000000"/>
              <w:left w:val="single" w:sz="8" w:space="0" w:color="000000"/>
              <w:bottom w:val="single" w:sz="8" w:space="0" w:color="000000"/>
              <w:right w:val="single" w:sz="8" w:space="0" w:color="000000"/>
            </w:tcBorders>
          </w:tcPr>
          <w:p w14:paraId="361BC84A" w14:textId="77777777" w:rsidR="005E785F" w:rsidRDefault="003621E8">
            <w:pPr>
              <w:pStyle w:val="Default"/>
              <w:rPr>
                <w:sz w:val="20"/>
                <w:szCs w:val="20"/>
              </w:rPr>
            </w:pPr>
            <w:r>
              <w:rPr>
                <w:sz w:val="20"/>
                <w:szCs w:val="20"/>
              </w:rPr>
              <w:t xml:space="preserve">Repeated use of non-narcotic pain reliever &gt; 24 hours or interferes with activity </w:t>
            </w:r>
          </w:p>
        </w:tc>
        <w:tc>
          <w:tcPr>
            <w:tcW w:w="1984" w:type="dxa"/>
            <w:tcBorders>
              <w:top w:val="single" w:sz="8" w:space="0" w:color="000000"/>
              <w:left w:val="single" w:sz="8" w:space="0" w:color="000000"/>
              <w:bottom w:val="single" w:sz="8" w:space="0" w:color="000000"/>
              <w:right w:val="single" w:sz="8" w:space="0" w:color="000000"/>
            </w:tcBorders>
          </w:tcPr>
          <w:p w14:paraId="62DF8F34" w14:textId="77777777" w:rsidR="005E785F" w:rsidRDefault="003621E8">
            <w:pPr>
              <w:pStyle w:val="Default"/>
              <w:rPr>
                <w:sz w:val="20"/>
                <w:szCs w:val="20"/>
              </w:rPr>
            </w:pPr>
            <w:r>
              <w:rPr>
                <w:sz w:val="20"/>
                <w:szCs w:val="20"/>
              </w:rPr>
              <w:t xml:space="preserve">Any use of narcotic pain reliever or prevents daily </w:t>
            </w:r>
          </w:p>
          <w:p w14:paraId="3585B34E" w14:textId="77777777" w:rsidR="005E785F" w:rsidRDefault="003621E8">
            <w:pPr>
              <w:pStyle w:val="Default"/>
              <w:rPr>
                <w:sz w:val="20"/>
                <w:szCs w:val="20"/>
              </w:rPr>
            </w:pPr>
            <w:r>
              <w:rPr>
                <w:sz w:val="20"/>
                <w:szCs w:val="20"/>
              </w:rPr>
              <w:t xml:space="preserve">activity </w:t>
            </w:r>
          </w:p>
        </w:tc>
        <w:tc>
          <w:tcPr>
            <w:tcW w:w="1985" w:type="dxa"/>
            <w:tcBorders>
              <w:top w:val="single" w:sz="8" w:space="0" w:color="000000"/>
              <w:left w:val="single" w:sz="8" w:space="0" w:color="000000"/>
              <w:bottom w:val="single" w:sz="8" w:space="0" w:color="000000"/>
              <w:right w:val="single" w:sz="8" w:space="0" w:color="000000"/>
            </w:tcBorders>
          </w:tcPr>
          <w:p w14:paraId="653C8303" w14:textId="77777777" w:rsidR="005E785F" w:rsidRDefault="003621E8">
            <w:pPr>
              <w:pStyle w:val="Default"/>
              <w:rPr>
                <w:sz w:val="20"/>
                <w:szCs w:val="20"/>
              </w:rPr>
            </w:pPr>
            <w:r>
              <w:rPr>
                <w:sz w:val="20"/>
                <w:szCs w:val="20"/>
              </w:rPr>
              <w:t xml:space="preserve">Emergency room </w:t>
            </w:r>
          </w:p>
          <w:p w14:paraId="5D7AF576" w14:textId="77777777" w:rsidR="005E785F" w:rsidRDefault="003621E8">
            <w:pPr>
              <w:pStyle w:val="Default"/>
              <w:rPr>
                <w:sz w:val="20"/>
                <w:szCs w:val="20"/>
              </w:rPr>
            </w:pPr>
            <w:r>
              <w:rPr>
                <w:sz w:val="20"/>
                <w:szCs w:val="20"/>
              </w:rPr>
              <w:t xml:space="preserve">(ER) visit or </w:t>
            </w:r>
          </w:p>
          <w:p w14:paraId="512794DF" w14:textId="77777777" w:rsidR="005E785F" w:rsidRDefault="003621E8">
            <w:pPr>
              <w:pStyle w:val="Default"/>
              <w:rPr>
                <w:sz w:val="20"/>
                <w:szCs w:val="20"/>
              </w:rPr>
            </w:pPr>
            <w:r>
              <w:rPr>
                <w:sz w:val="20"/>
                <w:szCs w:val="20"/>
              </w:rPr>
              <w:t xml:space="preserve">hospitalization </w:t>
            </w:r>
          </w:p>
        </w:tc>
      </w:tr>
      <w:tr w:rsidR="005E785F" w14:paraId="1CCE8D34" w14:textId="77777777">
        <w:trPr>
          <w:trHeight w:val="246"/>
        </w:trPr>
        <w:tc>
          <w:tcPr>
            <w:tcW w:w="1913" w:type="dxa"/>
            <w:tcBorders>
              <w:top w:val="single" w:sz="8" w:space="0" w:color="000000"/>
              <w:left w:val="single" w:sz="8" w:space="0" w:color="000000"/>
              <w:bottom w:val="single" w:sz="8" w:space="0" w:color="000000"/>
              <w:right w:val="single" w:sz="8" w:space="0" w:color="000000"/>
            </w:tcBorders>
          </w:tcPr>
          <w:p w14:paraId="3490EEB2" w14:textId="77777777" w:rsidR="005E785F" w:rsidRDefault="003621E8">
            <w:pPr>
              <w:pStyle w:val="Default"/>
              <w:rPr>
                <w:sz w:val="20"/>
                <w:szCs w:val="20"/>
              </w:rPr>
            </w:pPr>
            <w:r>
              <w:rPr>
                <w:sz w:val="20"/>
                <w:szCs w:val="20"/>
              </w:rPr>
              <w:t xml:space="preserve">Tenderness </w:t>
            </w:r>
          </w:p>
        </w:tc>
        <w:tc>
          <w:tcPr>
            <w:tcW w:w="1984" w:type="dxa"/>
            <w:tcBorders>
              <w:top w:val="single" w:sz="8" w:space="0" w:color="000000"/>
              <w:left w:val="single" w:sz="8" w:space="0" w:color="000000"/>
              <w:bottom w:val="single" w:sz="8" w:space="0" w:color="000000"/>
              <w:right w:val="single" w:sz="8" w:space="0" w:color="000000"/>
            </w:tcBorders>
          </w:tcPr>
          <w:p w14:paraId="37220280" w14:textId="77777777" w:rsidR="005E785F" w:rsidRDefault="003621E8">
            <w:pPr>
              <w:pStyle w:val="Default"/>
              <w:rPr>
                <w:sz w:val="20"/>
                <w:szCs w:val="20"/>
              </w:rPr>
            </w:pPr>
            <w:r>
              <w:rPr>
                <w:sz w:val="20"/>
                <w:szCs w:val="20"/>
              </w:rPr>
              <w:t xml:space="preserve">Mild discomfort to touch </w:t>
            </w:r>
          </w:p>
        </w:tc>
        <w:tc>
          <w:tcPr>
            <w:tcW w:w="2127" w:type="dxa"/>
            <w:tcBorders>
              <w:top w:val="single" w:sz="8" w:space="0" w:color="000000"/>
              <w:left w:val="single" w:sz="8" w:space="0" w:color="000000"/>
              <w:bottom w:val="single" w:sz="8" w:space="0" w:color="000000"/>
              <w:right w:val="single" w:sz="8" w:space="0" w:color="000000"/>
            </w:tcBorders>
          </w:tcPr>
          <w:p w14:paraId="2EC6A831" w14:textId="77777777" w:rsidR="005E785F" w:rsidRDefault="003621E8">
            <w:pPr>
              <w:pStyle w:val="Default"/>
              <w:rPr>
                <w:sz w:val="20"/>
                <w:szCs w:val="20"/>
              </w:rPr>
            </w:pPr>
            <w:r>
              <w:rPr>
                <w:sz w:val="20"/>
                <w:szCs w:val="20"/>
              </w:rPr>
              <w:t xml:space="preserve">Discomfort with movement </w:t>
            </w:r>
          </w:p>
        </w:tc>
        <w:tc>
          <w:tcPr>
            <w:tcW w:w="1984" w:type="dxa"/>
            <w:tcBorders>
              <w:top w:val="single" w:sz="8" w:space="0" w:color="000000"/>
              <w:left w:val="single" w:sz="8" w:space="0" w:color="000000"/>
              <w:bottom w:val="single" w:sz="8" w:space="0" w:color="000000"/>
              <w:right w:val="single" w:sz="8" w:space="0" w:color="000000"/>
            </w:tcBorders>
          </w:tcPr>
          <w:p w14:paraId="162F226A" w14:textId="77777777" w:rsidR="005E785F" w:rsidRDefault="003621E8">
            <w:pPr>
              <w:pStyle w:val="Default"/>
              <w:rPr>
                <w:sz w:val="20"/>
                <w:szCs w:val="20"/>
              </w:rPr>
            </w:pPr>
            <w:r>
              <w:rPr>
                <w:sz w:val="20"/>
                <w:szCs w:val="20"/>
              </w:rPr>
              <w:t xml:space="preserve">Significant </w:t>
            </w:r>
          </w:p>
          <w:p w14:paraId="29480258" w14:textId="77777777" w:rsidR="005E785F" w:rsidRDefault="003621E8">
            <w:pPr>
              <w:pStyle w:val="Default"/>
              <w:rPr>
                <w:sz w:val="20"/>
                <w:szCs w:val="20"/>
              </w:rPr>
            </w:pPr>
            <w:r>
              <w:rPr>
                <w:sz w:val="20"/>
                <w:szCs w:val="20"/>
              </w:rPr>
              <w:t xml:space="preserve">discomfort at rest </w:t>
            </w:r>
          </w:p>
        </w:tc>
        <w:tc>
          <w:tcPr>
            <w:tcW w:w="1985" w:type="dxa"/>
            <w:tcBorders>
              <w:top w:val="single" w:sz="8" w:space="0" w:color="000000"/>
              <w:left w:val="single" w:sz="8" w:space="0" w:color="000000"/>
              <w:bottom w:val="single" w:sz="8" w:space="0" w:color="000000"/>
              <w:right w:val="single" w:sz="8" w:space="0" w:color="000000"/>
            </w:tcBorders>
          </w:tcPr>
          <w:p w14:paraId="4A8EA889" w14:textId="77777777" w:rsidR="005E785F" w:rsidRDefault="003621E8">
            <w:pPr>
              <w:pStyle w:val="Default"/>
              <w:rPr>
                <w:sz w:val="20"/>
                <w:szCs w:val="20"/>
              </w:rPr>
            </w:pPr>
            <w:r>
              <w:rPr>
                <w:sz w:val="20"/>
                <w:szCs w:val="20"/>
              </w:rPr>
              <w:t xml:space="preserve">ER visit or </w:t>
            </w:r>
          </w:p>
          <w:p w14:paraId="5DE45CF2" w14:textId="77777777" w:rsidR="005E785F" w:rsidRDefault="003621E8">
            <w:pPr>
              <w:pStyle w:val="Default"/>
              <w:rPr>
                <w:sz w:val="20"/>
                <w:szCs w:val="20"/>
              </w:rPr>
            </w:pPr>
            <w:r>
              <w:rPr>
                <w:sz w:val="20"/>
                <w:szCs w:val="20"/>
              </w:rPr>
              <w:t xml:space="preserve">hospitalization </w:t>
            </w:r>
          </w:p>
        </w:tc>
      </w:tr>
      <w:tr w:rsidR="005E785F" w14:paraId="27FB8598" w14:textId="77777777">
        <w:trPr>
          <w:trHeight w:val="362"/>
        </w:trPr>
        <w:tc>
          <w:tcPr>
            <w:tcW w:w="1913" w:type="dxa"/>
            <w:tcBorders>
              <w:top w:val="single" w:sz="8" w:space="0" w:color="000000"/>
              <w:left w:val="single" w:sz="8" w:space="0" w:color="000000"/>
              <w:bottom w:val="single" w:sz="8" w:space="0" w:color="000000"/>
              <w:right w:val="single" w:sz="8" w:space="0" w:color="000000"/>
            </w:tcBorders>
          </w:tcPr>
          <w:p w14:paraId="3B0BBCD6" w14:textId="77777777" w:rsidR="005E785F" w:rsidRDefault="003621E8">
            <w:pPr>
              <w:pStyle w:val="Default"/>
              <w:rPr>
                <w:sz w:val="20"/>
                <w:szCs w:val="20"/>
              </w:rPr>
            </w:pPr>
            <w:r>
              <w:rPr>
                <w:sz w:val="20"/>
                <w:szCs w:val="20"/>
              </w:rPr>
              <w:t xml:space="preserve">Erythema/Redness * </w:t>
            </w:r>
          </w:p>
        </w:tc>
        <w:tc>
          <w:tcPr>
            <w:tcW w:w="1984" w:type="dxa"/>
            <w:tcBorders>
              <w:top w:val="single" w:sz="8" w:space="0" w:color="000000"/>
              <w:left w:val="single" w:sz="8" w:space="0" w:color="000000"/>
              <w:bottom w:val="single" w:sz="8" w:space="0" w:color="000000"/>
              <w:right w:val="single" w:sz="8" w:space="0" w:color="000000"/>
            </w:tcBorders>
          </w:tcPr>
          <w:p w14:paraId="4C583961" w14:textId="77777777" w:rsidR="005E785F" w:rsidRDefault="003621E8">
            <w:pPr>
              <w:pStyle w:val="Default"/>
              <w:rPr>
                <w:sz w:val="20"/>
                <w:szCs w:val="20"/>
              </w:rPr>
            </w:pPr>
            <w:r>
              <w:rPr>
                <w:sz w:val="20"/>
                <w:szCs w:val="20"/>
              </w:rPr>
              <w:t xml:space="preserve">2.5 – 5 cm </w:t>
            </w:r>
          </w:p>
        </w:tc>
        <w:tc>
          <w:tcPr>
            <w:tcW w:w="2127" w:type="dxa"/>
            <w:tcBorders>
              <w:top w:val="single" w:sz="8" w:space="0" w:color="000000"/>
              <w:left w:val="single" w:sz="8" w:space="0" w:color="000000"/>
              <w:bottom w:val="single" w:sz="8" w:space="0" w:color="000000"/>
              <w:right w:val="single" w:sz="8" w:space="0" w:color="000000"/>
            </w:tcBorders>
          </w:tcPr>
          <w:p w14:paraId="6F9E1DB2" w14:textId="77777777" w:rsidR="005E785F" w:rsidRDefault="003621E8">
            <w:pPr>
              <w:pStyle w:val="Default"/>
              <w:rPr>
                <w:sz w:val="20"/>
                <w:szCs w:val="20"/>
              </w:rPr>
            </w:pPr>
            <w:r>
              <w:rPr>
                <w:sz w:val="20"/>
                <w:szCs w:val="20"/>
              </w:rPr>
              <w:t xml:space="preserve">5.1 – 10 cm </w:t>
            </w:r>
          </w:p>
        </w:tc>
        <w:tc>
          <w:tcPr>
            <w:tcW w:w="1984" w:type="dxa"/>
            <w:tcBorders>
              <w:top w:val="single" w:sz="8" w:space="0" w:color="000000"/>
              <w:left w:val="single" w:sz="8" w:space="0" w:color="000000"/>
              <w:bottom w:val="single" w:sz="8" w:space="0" w:color="000000"/>
              <w:right w:val="single" w:sz="8" w:space="0" w:color="000000"/>
            </w:tcBorders>
          </w:tcPr>
          <w:p w14:paraId="1FE61F3E" w14:textId="77777777" w:rsidR="005E785F" w:rsidRDefault="003621E8">
            <w:pPr>
              <w:pStyle w:val="Default"/>
              <w:rPr>
                <w:sz w:val="20"/>
                <w:szCs w:val="20"/>
              </w:rPr>
            </w:pPr>
            <w:r>
              <w:rPr>
                <w:sz w:val="20"/>
                <w:szCs w:val="20"/>
              </w:rPr>
              <w:t xml:space="preserve">&gt; 10 cm </w:t>
            </w:r>
          </w:p>
        </w:tc>
        <w:tc>
          <w:tcPr>
            <w:tcW w:w="1985" w:type="dxa"/>
            <w:tcBorders>
              <w:top w:val="single" w:sz="8" w:space="0" w:color="000000"/>
              <w:left w:val="single" w:sz="8" w:space="0" w:color="000000"/>
              <w:bottom w:val="single" w:sz="8" w:space="0" w:color="000000"/>
              <w:right w:val="single" w:sz="8" w:space="0" w:color="000000"/>
            </w:tcBorders>
          </w:tcPr>
          <w:p w14:paraId="5A493E73" w14:textId="77777777" w:rsidR="005E785F" w:rsidRDefault="003621E8">
            <w:pPr>
              <w:pStyle w:val="Default"/>
              <w:rPr>
                <w:sz w:val="20"/>
                <w:szCs w:val="20"/>
              </w:rPr>
            </w:pPr>
            <w:r>
              <w:rPr>
                <w:sz w:val="20"/>
                <w:szCs w:val="20"/>
              </w:rPr>
              <w:t xml:space="preserve">Necrosis or </w:t>
            </w:r>
          </w:p>
          <w:p w14:paraId="46EDB312" w14:textId="77777777" w:rsidR="005E785F" w:rsidRDefault="003621E8">
            <w:pPr>
              <w:pStyle w:val="Default"/>
              <w:rPr>
                <w:sz w:val="20"/>
                <w:szCs w:val="20"/>
              </w:rPr>
            </w:pPr>
            <w:r>
              <w:rPr>
                <w:sz w:val="20"/>
                <w:szCs w:val="20"/>
              </w:rPr>
              <w:t xml:space="preserve">exfoliative dermatitis </w:t>
            </w:r>
          </w:p>
        </w:tc>
      </w:tr>
      <w:tr w:rsidR="005E785F" w14:paraId="7A85F9B2" w14:textId="77777777">
        <w:trPr>
          <w:trHeight w:val="361"/>
        </w:trPr>
        <w:tc>
          <w:tcPr>
            <w:tcW w:w="1913" w:type="dxa"/>
            <w:tcBorders>
              <w:top w:val="single" w:sz="8" w:space="0" w:color="000000"/>
              <w:left w:val="single" w:sz="8" w:space="0" w:color="000000"/>
              <w:bottom w:val="single" w:sz="8" w:space="0" w:color="000000"/>
              <w:right w:val="single" w:sz="8" w:space="0" w:color="000000"/>
            </w:tcBorders>
          </w:tcPr>
          <w:p w14:paraId="7740D9B4" w14:textId="77777777" w:rsidR="005E785F" w:rsidRDefault="003621E8">
            <w:pPr>
              <w:pStyle w:val="Default"/>
              <w:rPr>
                <w:sz w:val="20"/>
                <w:szCs w:val="20"/>
              </w:rPr>
            </w:pPr>
            <w:r>
              <w:rPr>
                <w:sz w:val="20"/>
                <w:szCs w:val="20"/>
              </w:rPr>
              <w:t xml:space="preserve">Induration/Swelling ** </w:t>
            </w:r>
          </w:p>
        </w:tc>
        <w:tc>
          <w:tcPr>
            <w:tcW w:w="1984" w:type="dxa"/>
            <w:tcBorders>
              <w:top w:val="single" w:sz="8" w:space="0" w:color="000000"/>
              <w:left w:val="single" w:sz="8" w:space="0" w:color="000000"/>
              <w:bottom w:val="single" w:sz="8" w:space="0" w:color="000000"/>
              <w:right w:val="single" w:sz="8" w:space="0" w:color="000000"/>
            </w:tcBorders>
          </w:tcPr>
          <w:p w14:paraId="0DECC528" w14:textId="77777777" w:rsidR="005E785F" w:rsidRDefault="003621E8">
            <w:pPr>
              <w:pStyle w:val="Default"/>
              <w:rPr>
                <w:sz w:val="20"/>
                <w:szCs w:val="20"/>
              </w:rPr>
            </w:pPr>
            <w:r>
              <w:rPr>
                <w:sz w:val="20"/>
                <w:szCs w:val="20"/>
              </w:rPr>
              <w:t xml:space="preserve">2.5 – 5 cm and does not interfere </w:t>
            </w:r>
          </w:p>
          <w:p w14:paraId="4F543F43" w14:textId="77777777" w:rsidR="005E785F" w:rsidRDefault="003621E8">
            <w:pPr>
              <w:pStyle w:val="Default"/>
              <w:rPr>
                <w:sz w:val="20"/>
                <w:szCs w:val="20"/>
              </w:rPr>
            </w:pPr>
            <w:r>
              <w:rPr>
                <w:sz w:val="20"/>
                <w:szCs w:val="20"/>
              </w:rPr>
              <w:t xml:space="preserve">with activity </w:t>
            </w:r>
          </w:p>
        </w:tc>
        <w:tc>
          <w:tcPr>
            <w:tcW w:w="2127" w:type="dxa"/>
            <w:tcBorders>
              <w:top w:val="single" w:sz="8" w:space="0" w:color="000000"/>
              <w:left w:val="single" w:sz="8" w:space="0" w:color="000000"/>
              <w:bottom w:val="single" w:sz="8" w:space="0" w:color="000000"/>
              <w:right w:val="single" w:sz="8" w:space="0" w:color="000000"/>
            </w:tcBorders>
          </w:tcPr>
          <w:p w14:paraId="6E0BBBDD" w14:textId="77777777" w:rsidR="005E785F" w:rsidRDefault="003621E8">
            <w:pPr>
              <w:pStyle w:val="Default"/>
              <w:rPr>
                <w:sz w:val="20"/>
                <w:szCs w:val="20"/>
              </w:rPr>
            </w:pPr>
            <w:r>
              <w:rPr>
                <w:sz w:val="20"/>
                <w:szCs w:val="20"/>
              </w:rPr>
              <w:t xml:space="preserve">5.1 – 10 cm or </w:t>
            </w:r>
          </w:p>
          <w:p w14:paraId="5332F4E9" w14:textId="77777777" w:rsidR="005E785F" w:rsidRDefault="003621E8">
            <w:pPr>
              <w:pStyle w:val="Default"/>
              <w:rPr>
                <w:sz w:val="20"/>
                <w:szCs w:val="20"/>
              </w:rPr>
            </w:pPr>
            <w:r>
              <w:rPr>
                <w:sz w:val="20"/>
                <w:szCs w:val="20"/>
              </w:rPr>
              <w:t xml:space="preserve">interferes with </w:t>
            </w:r>
          </w:p>
          <w:p w14:paraId="64EA7093" w14:textId="77777777" w:rsidR="005E785F" w:rsidRDefault="003621E8">
            <w:pPr>
              <w:pStyle w:val="Default"/>
              <w:rPr>
                <w:sz w:val="20"/>
                <w:szCs w:val="20"/>
              </w:rPr>
            </w:pPr>
            <w:r>
              <w:rPr>
                <w:sz w:val="20"/>
                <w:szCs w:val="20"/>
              </w:rPr>
              <w:t xml:space="preserve">activity </w:t>
            </w:r>
          </w:p>
        </w:tc>
        <w:tc>
          <w:tcPr>
            <w:tcW w:w="1984" w:type="dxa"/>
            <w:tcBorders>
              <w:top w:val="single" w:sz="8" w:space="0" w:color="000000"/>
              <w:left w:val="single" w:sz="8" w:space="0" w:color="000000"/>
              <w:bottom w:val="single" w:sz="8" w:space="0" w:color="000000"/>
              <w:right w:val="single" w:sz="8" w:space="0" w:color="000000"/>
            </w:tcBorders>
          </w:tcPr>
          <w:p w14:paraId="10EDA0C1" w14:textId="77777777" w:rsidR="005E785F" w:rsidRDefault="003621E8">
            <w:pPr>
              <w:pStyle w:val="Default"/>
              <w:rPr>
                <w:sz w:val="20"/>
                <w:szCs w:val="20"/>
              </w:rPr>
            </w:pPr>
            <w:r>
              <w:rPr>
                <w:sz w:val="20"/>
                <w:szCs w:val="20"/>
              </w:rPr>
              <w:t xml:space="preserve">&gt; 10 cm or </w:t>
            </w:r>
          </w:p>
          <w:p w14:paraId="073CCE6E" w14:textId="77777777" w:rsidR="005E785F" w:rsidRDefault="003621E8">
            <w:pPr>
              <w:pStyle w:val="Default"/>
              <w:rPr>
                <w:sz w:val="20"/>
                <w:szCs w:val="20"/>
              </w:rPr>
            </w:pPr>
            <w:r>
              <w:rPr>
                <w:sz w:val="20"/>
                <w:szCs w:val="20"/>
              </w:rPr>
              <w:t xml:space="preserve">prevents daily </w:t>
            </w:r>
          </w:p>
          <w:p w14:paraId="42C7FBEC" w14:textId="77777777" w:rsidR="005E785F" w:rsidRDefault="003621E8">
            <w:pPr>
              <w:pStyle w:val="Default"/>
              <w:rPr>
                <w:sz w:val="20"/>
                <w:szCs w:val="20"/>
              </w:rPr>
            </w:pPr>
            <w:r>
              <w:rPr>
                <w:sz w:val="20"/>
                <w:szCs w:val="20"/>
              </w:rPr>
              <w:t xml:space="preserve">activity </w:t>
            </w:r>
          </w:p>
        </w:tc>
        <w:tc>
          <w:tcPr>
            <w:tcW w:w="1985" w:type="dxa"/>
            <w:tcBorders>
              <w:top w:val="single" w:sz="8" w:space="0" w:color="000000"/>
              <w:left w:val="single" w:sz="8" w:space="0" w:color="000000"/>
              <w:bottom w:val="single" w:sz="8" w:space="0" w:color="000000"/>
              <w:right w:val="single" w:sz="8" w:space="0" w:color="000000"/>
            </w:tcBorders>
          </w:tcPr>
          <w:p w14:paraId="0D185BCA" w14:textId="77777777" w:rsidR="005E785F" w:rsidRDefault="003621E8">
            <w:pPr>
              <w:pStyle w:val="Default"/>
              <w:rPr>
                <w:sz w:val="20"/>
                <w:szCs w:val="20"/>
              </w:rPr>
            </w:pPr>
            <w:r>
              <w:rPr>
                <w:sz w:val="20"/>
                <w:szCs w:val="20"/>
              </w:rPr>
              <w:t xml:space="preserve">Necrosis </w:t>
            </w:r>
          </w:p>
        </w:tc>
      </w:tr>
    </w:tbl>
    <w:p w14:paraId="00C90D0A" w14:textId="77777777" w:rsidR="005E785F" w:rsidRDefault="003621E8">
      <w:pPr>
        <w:autoSpaceDE w:val="0"/>
        <w:autoSpaceDN w:val="0"/>
        <w:adjustRightInd w:val="0"/>
      </w:pPr>
      <w:r>
        <w:t>* In addition to grading the measured local reaction at the greatest single diameter, the measurement should be recorded as a continuous variable.</w:t>
      </w:r>
    </w:p>
    <w:p w14:paraId="3C05F759" w14:textId="77777777" w:rsidR="005E785F" w:rsidRDefault="003621E8">
      <w:pPr>
        <w:autoSpaceDE w:val="0"/>
        <w:autoSpaceDN w:val="0"/>
        <w:adjustRightInd w:val="0"/>
      </w:pPr>
      <w:r>
        <w:t>** Induration/Swelling should be evaluated and graded using the functional scale as well as the actual measurement.</w:t>
      </w:r>
    </w:p>
    <w:p w14:paraId="4D732C93" w14:textId="77777777" w:rsidR="005E785F" w:rsidRDefault="005E785F">
      <w:pPr>
        <w:rPr>
          <w:lang w:val="en-GB"/>
        </w:rPr>
      </w:pPr>
    </w:p>
    <w:sectPr w:rsidR="005E785F">
      <w:pgSz w:w="11907" w:h="16839" w:code="9"/>
      <w:pgMar w:top="1440" w:right="1440" w:bottom="1440" w:left="1440" w:header="540" w:footer="72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C88FFE" w14:textId="77777777" w:rsidR="009B2BBA" w:rsidRDefault="009B2BBA">
      <w:r>
        <w:separator/>
      </w:r>
    </w:p>
  </w:endnote>
  <w:endnote w:type="continuationSeparator" w:id="0">
    <w:p w14:paraId="18496AE0" w14:textId="77777777" w:rsidR="009B2BBA" w:rsidRDefault="009B2BBA">
      <w:r>
        <w:continuationSeparator/>
      </w:r>
    </w:p>
  </w:endnote>
  <w:endnote w:type="continuationNotice" w:id="1">
    <w:p w14:paraId="37B1E010" w14:textId="77777777" w:rsidR="009B2BBA" w:rsidRDefault="009B2B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B2400" w14:textId="3D7FF850" w:rsidR="009B2BBA" w:rsidRDefault="009B2BBA">
    <w:pPr>
      <w:pStyle w:val="Footer"/>
    </w:pPr>
    <w:r>
      <w:rPr>
        <w:sz w:val="16"/>
        <w:szCs w:val="16"/>
      </w:rPr>
      <w:t>Clinical Study Protocol General Template (Template SR-PMt057): Version 10.0, Final (</w:t>
    </w:r>
    <w:r w:rsidRPr="00227D0F">
      <w:rPr>
        <w:sz w:val="16"/>
        <w:szCs w:val="16"/>
      </w:rPr>
      <w:t>28 May 2021</w:t>
    </w:r>
    <w:r>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4D32EE" w14:textId="77777777" w:rsidR="009B2BBA" w:rsidRDefault="009B2BBA">
      <w:r>
        <w:separator/>
      </w:r>
    </w:p>
  </w:footnote>
  <w:footnote w:type="continuationSeparator" w:id="0">
    <w:p w14:paraId="2DCB3DAC" w14:textId="77777777" w:rsidR="009B2BBA" w:rsidRDefault="009B2BBA">
      <w:r>
        <w:continuationSeparator/>
      </w:r>
    </w:p>
  </w:footnote>
  <w:footnote w:type="continuationNotice" w:id="1">
    <w:p w14:paraId="375DA83F" w14:textId="77777777" w:rsidR="009B2BBA" w:rsidRDefault="009B2B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Look w:val="01E0" w:firstRow="1" w:lastRow="1" w:firstColumn="1" w:lastColumn="1" w:noHBand="0" w:noVBand="0"/>
    </w:tblPr>
    <w:tblGrid>
      <w:gridCol w:w="2872"/>
      <w:gridCol w:w="4094"/>
      <w:gridCol w:w="2061"/>
    </w:tblGrid>
    <w:tr w:rsidR="009B2BBA" w14:paraId="73FB23F5" w14:textId="77777777">
      <w:trPr>
        <w:trHeight w:val="726"/>
        <w:jc w:val="center"/>
      </w:trPr>
      <w:tc>
        <w:tcPr>
          <w:tcW w:w="2997" w:type="dxa"/>
        </w:tcPr>
        <w:p w14:paraId="73FB23F2" w14:textId="77777777" w:rsidR="009B2BBA" w:rsidRDefault="009B2BBA">
          <w:pPr>
            <w:pStyle w:val="Header"/>
            <w:ind w:left="-57" w:right="-57"/>
          </w:pPr>
        </w:p>
      </w:tc>
      <w:tc>
        <w:tcPr>
          <w:tcW w:w="4135" w:type="dxa"/>
        </w:tcPr>
        <w:p w14:paraId="1A492734" w14:textId="5669C8ED" w:rsidR="009B2BBA" w:rsidRDefault="009B2BBA">
          <w:pPr>
            <w:pStyle w:val="Header"/>
            <w:jc w:val="center"/>
          </w:pPr>
        </w:p>
        <w:p w14:paraId="73FB23F3" w14:textId="4E66F533" w:rsidR="009B2BBA" w:rsidRDefault="009B2BBA">
          <w:pPr>
            <w:jc w:val="center"/>
            <w:rPr>
              <w:lang w:val="en-GB"/>
            </w:rPr>
          </w:pPr>
          <w:r>
            <w:rPr>
              <w:noProof/>
            </w:rPr>
            <w:drawing>
              <wp:inline distT="0" distB="0" distL="0" distR="0" wp14:anchorId="7DA10A44" wp14:editId="31C2C11A">
                <wp:extent cx="2105891" cy="30480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3336" cy="305878"/>
                        </a:xfrm>
                        <a:prstGeom prst="rect">
                          <a:avLst/>
                        </a:prstGeom>
                        <a:noFill/>
                        <a:ln>
                          <a:noFill/>
                        </a:ln>
                      </pic:spPr>
                    </pic:pic>
                  </a:graphicData>
                </a:graphic>
              </wp:inline>
            </w:drawing>
          </w:r>
        </w:p>
      </w:tc>
      <w:tc>
        <w:tcPr>
          <w:tcW w:w="2111" w:type="dxa"/>
        </w:tcPr>
        <w:p w14:paraId="73FB23F4" w14:textId="77777777" w:rsidR="009B2BBA" w:rsidRDefault="009B2BBA">
          <w:pPr>
            <w:pStyle w:val="Header"/>
            <w:ind w:left="-33" w:right="-57"/>
            <w:jc w:val="right"/>
          </w:pPr>
        </w:p>
      </w:tc>
    </w:tr>
    <w:tr w:rsidR="009B2BBA" w14:paraId="73FB23F9" w14:textId="77777777">
      <w:trPr>
        <w:trHeight w:val="342"/>
        <w:jc w:val="center"/>
      </w:trPr>
      <w:tc>
        <w:tcPr>
          <w:tcW w:w="2997" w:type="dxa"/>
          <w:vAlign w:val="center"/>
        </w:tcPr>
        <w:p w14:paraId="73FB23F6" w14:textId="28D39CD2" w:rsidR="009B2BBA" w:rsidRDefault="009B2BBA">
          <w:pPr>
            <w:pStyle w:val="Header"/>
            <w:ind w:left="-57" w:right="-57"/>
            <w:rPr>
              <w:iCs/>
              <w:szCs w:val="24"/>
            </w:rPr>
          </w:pPr>
          <w:r>
            <w:rPr>
              <w:iCs/>
              <w:szCs w:val="24"/>
            </w:rPr>
            <w:t>DNDi</w:t>
          </w:r>
        </w:p>
      </w:tc>
      <w:tc>
        <w:tcPr>
          <w:tcW w:w="4135" w:type="dxa"/>
          <w:vAlign w:val="center"/>
        </w:tcPr>
        <w:p w14:paraId="73FB23F7" w14:textId="77777777" w:rsidR="009B2BBA" w:rsidRDefault="009B2BBA">
          <w:pPr>
            <w:pStyle w:val="Header"/>
            <w:jc w:val="center"/>
          </w:pPr>
          <w:r>
            <w:t>Clinical Study Protocol</w:t>
          </w:r>
        </w:p>
      </w:tc>
      <w:tc>
        <w:tcPr>
          <w:tcW w:w="2111" w:type="dxa"/>
          <w:vAlign w:val="center"/>
        </w:tcPr>
        <w:p w14:paraId="73FB23F8" w14:textId="77777777" w:rsidR="009B2BBA" w:rsidRDefault="009B2BBA">
          <w:pPr>
            <w:pStyle w:val="Header"/>
            <w:ind w:left="-33" w:right="-57"/>
            <w:jc w:val="right"/>
          </w:pPr>
          <w:r>
            <w:t>Confidential</w:t>
          </w:r>
        </w:p>
      </w:tc>
    </w:tr>
    <w:tr w:rsidR="009B2BBA" w14:paraId="73FB23FE" w14:textId="77777777">
      <w:trPr>
        <w:trHeight w:val="352"/>
        <w:jc w:val="center"/>
      </w:trPr>
      <w:tc>
        <w:tcPr>
          <w:tcW w:w="2997" w:type="dxa"/>
          <w:tcBorders>
            <w:bottom w:val="single" w:sz="4" w:space="0" w:color="auto"/>
          </w:tcBorders>
          <w:vAlign w:val="center"/>
        </w:tcPr>
        <w:p w14:paraId="73FB23FA" w14:textId="6CA6A352" w:rsidR="009B2BBA" w:rsidRDefault="009B2BBA">
          <w:pPr>
            <w:pStyle w:val="Header"/>
            <w:ind w:left="-57" w:right="-57"/>
            <w:rPr>
              <w:iCs/>
            </w:rPr>
          </w:pPr>
          <w:r>
            <w:rPr>
              <w:iCs/>
              <w:lang w:val="de-DE"/>
            </w:rPr>
            <w:t xml:space="preserve">RD 777/35000 </w:t>
          </w:r>
        </w:p>
        <w:p w14:paraId="73FB23FB" w14:textId="26092718" w:rsidR="009B2BBA" w:rsidRDefault="009B2BBA">
          <w:pPr>
            <w:pStyle w:val="Header"/>
            <w:ind w:left="-57" w:right="-57"/>
            <w:rPr>
              <w:iCs/>
              <w:lang w:val="de-DE"/>
            </w:rPr>
          </w:pPr>
          <w:r>
            <w:rPr>
              <w:iCs/>
              <w:lang w:val="de-DE"/>
            </w:rPr>
            <w:t>DNDi‐CpG‐01</w:t>
          </w:r>
        </w:p>
      </w:tc>
      <w:tc>
        <w:tcPr>
          <w:tcW w:w="4135" w:type="dxa"/>
          <w:tcBorders>
            <w:bottom w:val="single" w:sz="4" w:space="0" w:color="auto"/>
          </w:tcBorders>
          <w:vAlign w:val="center"/>
        </w:tcPr>
        <w:p w14:paraId="3FA16980" w14:textId="50A98D35" w:rsidR="009B2BBA" w:rsidRDefault="009B2BBA">
          <w:pPr>
            <w:pStyle w:val="Header"/>
            <w:jc w:val="center"/>
          </w:pPr>
          <w:r>
            <w:rPr>
              <w:szCs w:val="24"/>
            </w:rPr>
            <w:t>Final V4.0/ Date 23 June 2021</w:t>
          </w:r>
        </w:p>
      </w:tc>
      <w:tc>
        <w:tcPr>
          <w:tcW w:w="2111" w:type="dxa"/>
          <w:tcBorders>
            <w:bottom w:val="single" w:sz="4" w:space="0" w:color="auto"/>
          </w:tcBorders>
          <w:vAlign w:val="center"/>
        </w:tcPr>
        <w:p w14:paraId="73FB23FD" w14:textId="599F8CB7" w:rsidR="009B2BBA" w:rsidRDefault="009B2BBA">
          <w:pPr>
            <w:pStyle w:val="Header"/>
            <w:ind w:left="-33" w:right="-57"/>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91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91</w:t>
          </w:r>
          <w:r>
            <w:rPr>
              <w:rStyle w:val="PageNumber"/>
            </w:rPr>
            <w:fldChar w:fldCharType="end"/>
          </w:r>
        </w:p>
      </w:tc>
    </w:tr>
  </w:tbl>
  <w:p w14:paraId="73FB23FF" w14:textId="77777777" w:rsidR="009B2BBA" w:rsidRDefault="009B2B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B2401" w14:textId="77777777" w:rsidR="009B2BBA" w:rsidRDefault="009B2BBA">
    <w:pPr>
      <w:pStyle w:val="C-BodyText"/>
    </w:pPr>
    <w:r>
      <w:t>[line1l]</w:t>
    </w:r>
    <w:r>
      <w:tab/>
    </w:r>
    <w:r>
      <w:tab/>
    </w:r>
    <w:r>
      <w:fldChar w:fldCharType="begin"/>
    </w:r>
    <w:r>
      <w:instrText xml:space="preserve"> PAGE </w:instrText>
    </w:r>
    <w:r>
      <w:fldChar w:fldCharType="separate"/>
    </w:r>
    <w:r>
      <w:t>64</w:t>
    </w:r>
    <w:r>
      <w:fldChar w:fldCharType="end"/>
    </w:r>
  </w:p>
  <w:p w14:paraId="73FB2402" w14:textId="77777777" w:rsidR="009B2BBA" w:rsidRDefault="009B2BBA">
    <w:pPr>
      <w:pStyle w:val="C-BodyText"/>
    </w:pPr>
    <w:r>
      <w:t>[line2l]</w:t>
    </w:r>
    <w:r>
      <w:tab/>
    </w:r>
    <w:r>
      <w:tab/>
      <w:t>[line2r]</w:t>
    </w:r>
  </w:p>
  <w:p w14:paraId="73FB2403" w14:textId="77777777" w:rsidR="009B2BBA" w:rsidRDefault="009B2BBA">
    <w:pPr>
      <w:pStyle w:val="C-BodyText"/>
    </w:pPr>
    <w:r>
      <w:t>[line3l]</w:t>
    </w:r>
    <w:r>
      <w:tab/>
    </w:r>
    <w:r>
      <w:tab/>
      <w:t>[line3r]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5528B8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7E80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44D7D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DC80D3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A86FE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AE2A7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F73C3DC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E1D8CAC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3B027DA"/>
    <w:multiLevelType w:val="hybridMultilevel"/>
    <w:tmpl w:val="26F86BB0"/>
    <w:lvl w:ilvl="0" w:tplc="08090001">
      <w:start w:val="1"/>
      <w:numFmt w:val="bullet"/>
      <w:lvlText w:val=""/>
      <w:lvlJc w:val="left"/>
      <w:pPr>
        <w:ind w:left="720" w:hanging="360"/>
      </w:pPr>
      <w:rPr>
        <w:rFonts w:ascii="Symbol" w:hAnsi="Symbol" w:hint="default"/>
      </w:rPr>
    </w:lvl>
    <w:lvl w:ilvl="1" w:tplc="1444E750">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740CA3"/>
    <w:multiLevelType w:val="hybridMultilevel"/>
    <w:tmpl w:val="D242D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0A7AB6"/>
    <w:multiLevelType w:val="hybridMultilevel"/>
    <w:tmpl w:val="FB8E1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BC1CA5"/>
    <w:multiLevelType w:val="hybridMultilevel"/>
    <w:tmpl w:val="2886F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D63253"/>
    <w:multiLevelType w:val="hybridMultilevel"/>
    <w:tmpl w:val="CDA26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AF178E1"/>
    <w:multiLevelType w:val="multilevel"/>
    <w:tmpl w:val="D4D6B48A"/>
    <w:name w:val="C-Number List Template"/>
    <w:lvl w:ilvl="0">
      <w:start w:val="16"/>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4"/>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DCE5A87"/>
    <w:multiLevelType w:val="hybridMultilevel"/>
    <w:tmpl w:val="5FC6BEF0"/>
    <w:lvl w:ilvl="0" w:tplc="4C443260">
      <w:start w:val="1"/>
      <w:numFmt w:val="decimal"/>
      <w:lvlText w:val="%1."/>
      <w:lvlJc w:val="left"/>
      <w:pPr>
        <w:ind w:left="720" w:hanging="360"/>
      </w:pPr>
      <w:rPr>
        <w:rFonts w:ascii="Times New Roman" w:hAnsi="Times New Roman" w:hint="default"/>
        <w:b w:val="0"/>
        <w:i w:val="0"/>
        <w:caps w:val="0"/>
        <w:strike w:val="0"/>
        <w:dstrike w:val="0"/>
        <w:vanish w:val="0"/>
        <w:color w:val="000000"/>
        <w:sz w:val="24"/>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B17538"/>
    <w:multiLevelType w:val="hybridMultilevel"/>
    <w:tmpl w:val="587CE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272EF0"/>
    <w:multiLevelType w:val="hybridMultilevel"/>
    <w:tmpl w:val="FA6A6796"/>
    <w:lvl w:ilvl="0" w:tplc="7464C5F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B72F92"/>
    <w:multiLevelType w:val="hybridMultilevel"/>
    <w:tmpl w:val="4514A53A"/>
    <w:lvl w:ilvl="0" w:tplc="08090001">
      <w:start w:val="1"/>
      <w:numFmt w:val="bullet"/>
      <w:lvlText w:val=""/>
      <w:lvlJc w:val="left"/>
      <w:pPr>
        <w:ind w:left="720" w:hanging="360"/>
      </w:pPr>
      <w:rPr>
        <w:rFonts w:ascii="Symbol" w:hAnsi="Symbol"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9E944EE"/>
    <w:multiLevelType w:val="hybridMultilevel"/>
    <w:tmpl w:val="2D603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8526D0"/>
    <w:multiLevelType w:val="hybridMultilevel"/>
    <w:tmpl w:val="AD88D454"/>
    <w:lvl w:ilvl="0" w:tplc="51D025F0">
      <w:start w:val="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424914"/>
    <w:multiLevelType w:val="hybridMultilevel"/>
    <w:tmpl w:val="98A695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544EDE"/>
    <w:multiLevelType w:val="hybridMultilevel"/>
    <w:tmpl w:val="B8A06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8886FC74">
      <w:start w:val="4"/>
      <w:numFmt w:val="bullet"/>
      <w:lvlText w:val="•"/>
      <w:lvlJc w:val="left"/>
      <w:pPr>
        <w:ind w:left="2880" w:hanging="360"/>
      </w:pPr>
      <w:rPr>
        <w:rFonts w:ascii="Times New Roman" w:eastAsia="Times New Roman"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B46852"/>
    <w:multiLevelType w:val="hybridMultilevel"/>
    <w:tmpl w:val="C6264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7F57AF"/>
    <w:multiLevelType w:val="hybridMultilevel"/>
    <w:tmpl w:val="32C66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855098"/>
    <w:multiLevelType w:val="hybridMultilevel"/>
    <w:tmpl w:val="110ECC60"/>
    <w:lvl w:ilvl="0" w:tplc="CA9EB8B0">
      <w:numFmt w:val="bullet"/>
      <w:lvlText w:val="•"/>
      <w:lvlJc w:val="left"/>
      <w:pPr>
        <w:ind w:left="720" w:hanging="360"/>
      </w:pPr>
      <w:rPr>
        <w:rFonts w:ascii="Times New Roman" w:eastAsia="Times New Roman" w:hAnsi="Times New Roman" w:cs="Times New Roman"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C63E5F"/>
    <w:multiLevelType w:val="hybridMultilevel"/>
    <w:tmpl w:val="22522F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2C60FEA"/>
    <w:multiLevelType w:val="hybridMultilevel"/>
    <w:tmpl w:val="C66A86B8"/>
    <w:lvl w:ilvl="0" w:tplc="0938FAFC">
      <w:start w:val="1"/>
      <w:numFmt w:val="lowerLetter"/>
      <w:pStyle w:val="C-AlphabeticList"/>
      <w:lvlText w:val="%1."/>
      <w:lvlJc w:val="left"/>
      <w:pPr>
        <w:tabs>
          <w:tab w:val="num" w:pos="1080"/>
        </w:tabs>
        <w:ind w:left="1080" w:hanging="360"/>
      </w:pPr>
      <w:rPr>
        <w:rFonts w:hint="default"/>
        <w:b w:val="0"/>
        <w:i w:val="0"/>
        <w:caps w:val="0"/>
        <w:strike w:val="0"/>
        <w:dstrike w:val="0"/>
        <w:vanish w:val="0"/>
        <w:color w:val="000000"/>
        <w:sz w:val="24"/>
        <w:u w:val="none"/>
        <w:vertAlign w:val="baseline"/>
      </w:rPr>
    </w:lvl>
    <w:lvl w:ilvl="1" w:tplc="449A5E96">
      <w:start w:val="1"/>
      <w:numFmt w:val="bullet"/>
      <w:lvlText w:val="o"/>
      <w:lvlJc w:val="left"/>
      <w:pPr>
        <w:tabs>
          <w:tab w:val="num" w:pos="1800"/>
        </w:tabs>
        <w:ind w:left="1800" w:hanging="360"/>
      </w:pPr>
      <w:rPr>
        <w:rFonts w:ascii="Courier New" w:hAnsi="Courier New" w:hint="default"/>
      </w:rPr>
    </w:lvl>
    <w:lvl w:ilvl="2" w:tplc="0CDA51DE">
      <w:start w:val="1"/>
      <w:numFmt w:val="bullet"/>
      <w:lvlText w:val=""/>
      <w:lvlJc w:val="left"/>
      <w:pPr>
        <w:tabs>
          <w:tab w:val="num" w:pos="2520"/>
        </w:tabs>
        <w:ind w:left="2520" w:hanging="360"/>
      </w:pPr>
      <w:rPr>
        <w:rFonts w:ascii="Wingdings" w:hAnsi="Wingdings" w:hint="default"/>
      </w:rPr>
    </w:lvl>
    <w:lvl w:ilvl="3" w:tplc="2056E316">
      <w:start w:val="1"/>
      <w:numFmt w:val="bullet"/>
      <w:lvlText w:val=""/>
      <w:lvlJc w:val="left"/>
      <w:pPr>
        <w:tabs>
          <w:tab w:val="num" w:pos="3240"/>
        </w:tabs>
        <w:ind w:left="3240" w:hanging="360"/>
      </w:pPr>
      <w:rPr>
        <w:rFonts w:ascii="Symbol" w:hAnsi="Symbol" w:hint="default"/>
      </w:rPr>
    </w:lvl>
    <w:lvl w:ilvl="4" w:tplc="78CCBFE0">
      <w:start w:val="1"/>
      <w:numFmt w:val="bullet"/>
      <w:lvlText w:val="o"/>
      <w:lvlJc w:val="left"/>
      <w:pPr>
        <w:tabs>
          <w:tab w:val="num" w:pos="3960"/>
        </w:tabs>
        <w:ind w:left="3960" w:hanging="360"/>
      </w:pPr>
      <w:rPr>
        <w:rFonts w:ascii="Courier New" w:hAnsi="Courier New" w:hint="default"/>
      </w:rPr>
    </w:lvl>
    <w:lvl w:ilvl="5" w:tplc="9B023328">
      <w:start w:val="1"/>
      <w:numFmt w:val="bullet"/>
      <w:lvlText w:val=""/>
      <w:lvlJc w:val="left"/>
      <w:pPr>
        <w:tabs>
          <w:tab w:val="num" w:pos="4680"/>
        </w:tabs>
        <w:ind w:left="4680" w:hanging="360"/>
      </w:pPr>
      <w:rPr>
        <w:rFonts w:ascii="Wingdings" w:hAnsi="Wingdings" w:hint="default"/>
      </w:rPr>
    </w:lvl>
    <w:lvl w:ilvl="6" w:tplc="F9E8E364">
      <w:start w:val="1"/>
      <w:numFmt w:val="bullet"/>
      <w:lvlText w:val=""/>
      <w:lvlJc w:val="left"/>
      <w:pPr>
        <w:tabs>
          <w:tab w:val="num" w:pos="5400"/>
        </w:tabs>
        <w:ind w:left="5400" w:hanging="360"/>
      </w:pPr>
      <w:rPr>
        <w:rFonts w:ascii="Symbol" w:hAnsi="Symbol" w:hint="default"/>
      </w:rPr>
    </w:lvl>
    <w:lvl w:ilvl="7" w:tplc="1A2A0846" w:tentative="1">
      <w:start w:val="1"/>
      <w:numFmt w:val="bullet"/>
      <w:lvlText w:val="o"/>
      <w:lvlJc w:val="left"/>
      <w:pPr>
        <w:tabs>
          <w:tab w:val="num" w:pos="6120"/>
        </w:tabs>
        <w:ind w:left="6120" w:hanging="360"/>
      </w:pPr>
      <w:rPr>
        <w:rFonts w:ascii="Courier New" w:hAnsi="Courier New" w:hint="default"/>
      </w:rPr>
    </w:lvl>
    <w:lvl w:ilvl="8" w:tplc="EA8E0D48"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3DC3D38"/>
    <w:multiLevelType w:val="hybridMultilevel"/>
    <w:tmpl w:val="C8EEF228"/>
    <w:lvl w:ilvl="0" w:tplc="803CE6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FA5FB7"/>
    <w:multiLevelType w:val="hybridMultilevel"/>
    <w:tmpl w:val="14C426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8D91812"/>
    <w:multiLevelType w:val="hybridMultilevel"/>
    <w:tmpl w:val="5CBCFA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FD458A"/>
    <w:multiLevelType w:val="hybridMultilevel"/>
    <w:tmpl w:val="F8DA7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B061C7A"/>
    <w:multiLevelType w:val="hybridMultilevel"/>
    <w:tmpl w:val="EA265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C1F2F1D"/>
    <w:multiLevelType w:val="hybridMultilevel"/>
    <w:tmpl w:val="4A7AA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D232767"/>
    <w:multiLevelType w:val="hybridMultilevel"/>
    <w:tmpl w:val="BC84BF2C"/>
    <w:lvl w:ilvl="0" w:tplc="B0B8169A">
      <w:start w:val="1"/>
      <w:numFmt w:val="decimal"/>
      <w:lvlText w:val="%1."/>
      <w:lvlJc w:val="left"/>
      <w:pPr>
        <w:ind w:left="720" w:hanging="360"/>
      </w:pPr>
      <w:rPr>
        <w:rFonts w:hint="default"/>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9F48FE"/>
    <w:multiLevelType w:val="hybridMultilevel"/>
    <w:tmpl w:val="FBFA6E9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E4A6234"/>
    <w:multiLevelType w:val="hybridMultilevel"/>
    <w:tmpl w:val="ABD80510"/>
    <w:lvl w:ilvl="0" w:tplc="04090019">
      <w:start w:val="1"/>
      <w:numFmt w:val="lowerLetter"/>
      <w:lvlText w:val="%1."/>
      <w:lvlJc w:val="left"/>
      <w:pPr>
        <w:tabs>
          <w:tab w:val="num" w:pos="1080"/>
        </w:tabs>
        <w:ind w:left="1080" w:hanging="360"/>
      </w:pPr>
      <w:rPr>
        <w:rFonts w:hint="default"/>
        <w:b w:val="0"/>
        <w:i w:val="0"/>
        <w:caps w:val="0"/>
        <w:strike w:val="0"/>
        <w:dstrike w:val="0"/>
        <w:vanish w:val="0"/>
        <w:color w:val="000000"/>
        <w:sz w:val="24"/>
        <w:u w:val="none"/>
        <w:vertAlign w:val="baseline"/>
      </w:rPr>
    </w:lvl>
    <w:lvl w:ilvl="1" w:tplc="DF2C2584">
      <w:start w:val="1"/>
      <w:numFmt w:val="bullet"/>
      <w:lvlText w:val="o"/>
      <w:lvlJc w:val="left"/>
      <w:pPr>
        <w:tabs>
          <w:tab w:val="num" w:pos="1800"/>
        </w:tabs>
        <w:ind w:left="1800" w:hanging="360"/>
      </w:pPr>
      <w:rPr>
        <w:rFonts w:ascii="Courier New" w:hAnsi="Courier New" w:hint="default"/>
      </w:rPr>
    </w:lvl>
    <w:lvl w:ilvl="2" w:tplc="BBE86082">
      <w:start w:val="1"/>
      <w:numFmt w:val="bullet"/>
      <w:lvlText w:val=""/>
      <w:lvlJc w:val="left"/>
      <w:pPr>
        <w:tabs>
          <w:tab w:val="num" w:pos="2520"/>
        </w:tabs>
        <w:ind w:left="2520" w:hanging="360"/>
      </w:pPr>
      <w:rPr>
        <w:rFonts w:ascii="Wingdings" w:hAnsi="Wingdings" w:hint="default"/>
      </w:rPr>
    </w:lvl>
    <w:lvl w:ilvl="3" w:tplc="F65EF610">
      <w:start w:val="1"/>
      <w:numFmt w:val="bullet"/>
      <w:lvlText w:val=""/>
      <w:lvlJc w:val="left"/>
      <w:pPr>
        <w:tabs>
          <w:tab w:val="num" w:pos="3240"/>
        </w:tabs>
        <w:ind w:left="3240" w:hanging="360"/>
      </w:pPr>
      <w:rPr>
        <w:rFonts w:ascii="Symbol" w:hAnsi="Symbol" w:hint="default"/>
      </w:rPr>
    </w:lvl>
    <w:lvl w:ilvl="4" w:tplc="623E474C">
      <w:start w:val="1"/>
      <w:numFmt w:val="bullet"/>
      <w:lvlText w:val="o"/>
      <w:lvlJc w:val="left"/>
      <w:pPr>
        <w:tabs>
          <w:tab w:val="num" w:pos="3960"/>
        </w:tabs>
        <w:ind w:left="3960" w:hanging="360"/>
      </w:pPr>
      <w:rPr>
        <w:rFonts w:ascii="Courier New" w:hAnsi="Courier New" w:hint="default"/>
      </w:rPr>
    </w:lvl>
    <w:lvl w:ilvl="5" w:tplc="BE36BBEA">
      <w:start w:val="1"/>
      <w:numFmt w:val="bullet"/>
      <w:lvlText w:val=""/>
      <w:lvlJc w:val="left"/>
      <w:pPr>
        <w:tabs>
          <w:tab w:val="num" w:pos="4680"/>
        </w:tabs>
        <w:ind w:left="4680" w:hanging="360"/>
      </w:pPr>
      <w:rPr>
        <w:rFonts w:ascii="Wingdings" w:hAnsi="Wingdings" w:hint="default"/>
      </w:rPr>
    </w:lvl>
    <w:lvl w:ilvl="6" w:tplc="7A801490">
      <w:start w:val="1"/>
      <w:numFmt w:val="bullet"/>
      <w:lvlText w:val=""/>
      <w:lvlJc w:val="left"/>
      <w:pPr>
        <w:tabs>
          <w:tab w:val="num" w:pos="5400"/>
        </w:tabs>
        <w:ind w:left="5400" w:hanging="360"/>
      </w:pPr>
      <w:rPr>
        <w:rFonts w:ascii="Symbol" w:hAnsi="Symbol" w:hint="default"/>
      </w:rPr>
    </w:lvl>
    <w:lvl w:ilvl="7" w:tplc="35A0A5C8" w:tentative="1">
      <w:start w:val="1"/>
      <w:numFmt w:val="bullet"/>
      <w:lvlText w:val="o"/>
      <w:lvlJc w:val="left"/>
      <w:pPr>
        <w:tabs>
          <w:tab w:val="num" w:pos="6120"/>
        </w:tabs>
        <w:ind w:left="6120" w:hanging="360"/>
      </w:pPr>
      <w:rPr>
        <w:rFonts w:ascii="Courier New" w:hAnsi="Courier New" w:hint="default"/>
      </w:rPr>
    </w:lvl>
    <w:lvl w:ilvl="8" w:tplc="5BFC413A"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3F7641A9"/>
    <w:multiLevelType w:val="multilevel"/>
    <w:tmpl w:val="268040E8"/>
    <w:lvl w:ilvl="0">
      <w:start w:val="1"/>
      <w:numFmt w:val="decimal"/>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38" w15:restartNumberingAfterBreak="0">
    <w:nsid w:val="40A37A97"/>
    <w:multiLevelType w:val="hybridMultilevel"/>
    <w:tmpl w:val="77B6E4AE"/>
    <w:lvl w:ilvl="0" w:tplc="84183550">
      <w:start w:val="1"/>
      <w:numFmt w:val="bullet"/>
      <w:pStyle w:val="C-PLR-BulletIndented"/>
      <w:lvlText w:val=""/>
      <w:lvlJc w:val="left"/>
      <w:pPr>
        <w:tabs>
          <w:tab w:val="num" w:pos="1080"/>
        </w:tabs>
        <w:ind w:left="1080" w:hanging="360"/>
      </w:pPr>
      <w:rPr>
        <w:rFonts w:ascii="Symbol" w:hAnsi="Symbol" w:hint="default"/>
      </w:rPr>
    </w:lvl>
    <w:lvl w:ilvl="1" w:tplc="9C1ECAAE" w:tentative="1">
      <w:start w:val="1"/>
      <w:numFmt w:val="bullet"/>
      <w:lvlText w:val="o"/>
      <w:lvlJc w:val="left"/>
      <w:pPr>
        <w:tabs>
          <w:tab w:val="num" w:pos="1440"/>
        </w:tabs>
        <w:ind w:left="1440" w:hanging="360"/>
      </w:pPr>
      <w:rPr>
        <w:rFonts w:ascii="Courier New" w:hAnsi="Courier New" w:hint="default"/>
      </w:rPr>
    </w:lvl>
    <w:lvl w:ilvl="2" w:tplc="3136629A" w:tentative="1">
      <w:start w:val="1"/>
      <w:numFmt w:val="bullet"/>
      <w:lvlText w:val=""/>
      <w:lvlJc w:val="left"/>
      <w:pPr>
        <w:tabs>
          <w:tab w:val="num" w:pos="2160"/>
        </w:tabs>
        <w:ind w:left="2160" w:hanging="360"/>
      </w:pPr>
      <w:rPr>
        <w:rFonts w:ascii="Wingdings" w:hAnsi="Wingdings" w:hint="default"/>
      </w:rPr>
    </w:lvl>
    <w:lvl w:ilvl="3" w:tplc="3D32F812" w:tentative="1">
      <w:start w:val="1"/>
      <w:numFmt w:val="bullet"/>
      <w:lvlText w:val=""/>
      <w:lvlJc w:val="left"/>
      <w:pPr>
        <w:tabs>
          <w:tab w:val="num" w:pos="2880"/>
        </w:tabs>
        <w:ind w:left="2880" w:hanging="360"/>
      </w:pPr>
      <w:rPr>
        <w:rFonts w:ascii="Symbol" w:hAnsi="Symbol" w:hint="default"/>
      </w:rPr>
    </w:lvl>
    <w:lvl w:ilvl="4" w:tplc="6E227526" w:tentative="1">
      <w:start w:val="1"/>
      <w:numFmt w:val="bullet"/>
      <w:lvlText w:val="o"/>
      <w:lvlJc w:val="left"/>
      <w:pPr>
        <w:tabs>
          <w:tab w:val="num" w:pos="3600"/>
        </w:tabs>
        <w:ind w:left="3600" w:hanging="360"/>
      </w:pPr>
      <w:rPr>
        <w:rFonts w:ascii="Courier New" w:hAnsi="Courier New" w:hint="default"/>
      </w:rPr>
    </w:lvl>
    <w:lvl w:ilvl="5" w:tplc="C472ECD0" w:tentative="1">
      <w:start w:val="1"/>
      <w:numFmt w:val="bullet"/>
      <w:lvlText w:val=""/>
      <w:lvlJc w:val="left"/>
      <w:pPr>
        <w:tabs>
          <w:tab w:val="num" w:pos="4320"/>
        </w:tabs>
        <w:ind w:left="4320" w:hanging="360"/>
      </w:pPr>
      <w:rPr>
        <w:rFonts w:ascii="Wingdings" w:hAnsi="Wingdings" w:hint="default"/>
      </w:rPr>
    </w:lvl>
    <w:lvl w:ilvl="6" w:tplc="80C6D1F0" w:tentative="1">
      <w:start w:val="1"/>
      <w:numFmt w:val="bullet"/>
      <w:lvlText w:val=""/>
      <w:lvlJc w:val="left"/>
      <w:pPr>
        <w:tabs>
          <w:tab w:val="num" w:pos="5040"/>
        </w:tabs>
        <w:ind w:left="5040" w:hanging="360"/>
      </w:pPr>
      <w:rPr>
        <w:rFonts w:ascii="Symbol" w:hAnsi="Symbol" w:hint="default"/>
      </w:rPr>
    </w:lvl>
    <w:lvl w:ilvl="7" w:tplc="8CE259EC" w:tentative="1">
      <w:start w:val="1"/>
      <w:numFmt w:val="bullet"/>
      <w:lvlText w:val="o"/>
      <w:lvlJc w:val="left"/>
      <w:pPr>
        <w:tabs>
          <w:tab w:val="num" w:pos="5760"/>
        </w:tabs>
        <w:ind w:left="5760" w:hanging="360"/>
      </w:pPr>
      <w:rPr>
        <w:rFonts w:ascii="Courier New" w:hAnsi="Courier New" w:hint="default"/>
      </w:rPr>
    </w:lvl>
    <w:lvl w:ilvl="8" w:tplc="0C2688E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1285D4D"/>
    <w:multiLevelType w:val="hybridMultilevel"/>
    <w:tmpl w:val="4D68E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A04641"/>
    <w:multiLevelType w:val="hybridMultilevel"/>
    <w:tmpl w:val="E3EEB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43F709B"/>
    <w:multiLevelType w:val="hybridMultilevel"/>
    <w:tmpl w:val="268AC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5285785"/>
    <w:multiLevelType w:val="hybridMultilevel"/>
    <w:tmpl w:val="8AB6ED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5CD7A7C"/>
    <w:multiLevelType w:val="hybridMultilevel"/>
    <w:tmpl w:val="89A8781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63A5083"/>
    <w:multiLevelType w:val="hybridMultilevel"/>
    <w:tmpl w:val="C30C29B6"/>
    <w:name w:val="C-Number List Template2"/>
    <w:lvl w:ilvl="0" w:tplc="27206DDA">
      <w:start w:val="1"/>
      <w:numFmt w:val="decimal"/>
      <w:lvlText w:val="%1."/>
      <w:lvlJc w:val="left"/>
      <w:pPr>
        <w:tabs>
          <w:tab w:val="num" w:pos="360"/>
        </w:tabs>
        <w:ind w:left="360" w:hanging="360"/>
      </w:pPr>
      <w:rPr>
        <w:b w:val="0"/>
        <w:i w:val="0"/>
        <w:caps w:val="0"/>
        <w:strike w:val="0"/>
        <w:dstrike w:val="0"/>
        <w:vanish w:val="0"/>
        <w:webHidden w:val="0"/>
        <w:color w:val="auto"/>
        <w:sz w:val="24"/>
        <w:u w:val="none"/>
        <w:effect w:val="none"/>
        <w:vertAlign w:val="baseline"/>
        <w:specVanish w:val="0"/>
      </w:rPr>
    </w:lvl>
    <w:lvl w:ilvl="1" w:tplc="544EB828">
      <w:start w:val="1"/>
      <w:numFmt w:val="lowerLetter"/>
      <w:lvlText w:val="%2."/>
      <w:lvlJc w:val="left"/>
      <w:pPr>
        <w:tabs>
          <w:tab w:val="num" w:pos="720"/>
        </w:tabs>
        <w:ind w:left="720" w:hanging="360"/>
      </w:pPr>
      <w:rPr>
        <w:b w:val="0"/>
        <w:i w:val="0"/>
        <w:caps w:val="0"/>
        <w:strike w:val="0"/>
        <w:dstrike w:val="0"/>
        <w:vanish w:val="0"/>
        <w:webHidden w:val="0"/>
        <w:color w:val="auto"/>
        <w:sz w:val="24"/>
        <w:u w:val="none"/>
        <w:effect w:val="none"/>
        <w:vertAlign w:val="baseline"/>
        <w:specVanish w:val="0"/>
      </w:rPr>
    </w:lvl>
    <w:lvl w:ilvl="2" w:tplc="A43E65A6">
      <w:start w:val="1"/>
      <w:numFmt w:val="decimal"/>
      <w:lvlText w:val="%3."/>
      <w:lvlJc w:val="left"/>
      <w:pPr>
        <w:tabs>
          <w:tab w:val="num" w:pos="1980"/>
        </w:tabs>
        <w:ind w:left="1980" w:hanging="7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15:restartNumberingAfterBreak="0">
    <w:nsid w:val="46920BAC"/>
    <w:multiLevelType w:val="hybridMultilevel"/>
    <w:tmpl w:val="4880A6E6"/>
    <w:lvl w:ilvl="0" w:tplc="1DF6E09C">
      <w:start w:val="1"/>
      <w:numFmt w:val="decimal"/>
      <w:lvlText w:val="%1."/>
      <w:lvlJc w:val="left"/>
      <w:pPr>
        <w:tabs>
          <w:tab w:val="num" w:pos="1080"/>
        </w:tabs>
        <w:ind w:left="1080" w:hanging="360"/>
      </w:pPr>
      <w:rPr>
        <w:rFonts w:ascii="Times New Roman" w:hAnsi="Times New Roman" w:hint="default"/>
        <w:b w:val="0"/>
        <w:i w:val="0"/>
        <w:caps w:val="0"/>
        <w:strike w:val="0"/>
        <w:dstrike w:val="0"/>
        <w:vanish w:val="0"/>
        <w:color w:val="000000"/>
        <w:sz w:val="24"/>
        <w:u w:val="none"/>
        <w:vertAlign w:val="baseline"/>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9F16363"/>
    <w:multiLevelType w:val="hybridMultilevel"/>
    <w:tmpl w:val="4E5C7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A2E1DDD"/>
    <w:multiLevelType w:val="hybridMultilevel"/>
    <w:tmpl w:val="BA7CC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B32067C"/>
    <w:multiLevelType w:val="hybridMultilevel"/>
    <w:tmpl w:val="F1B2C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B42585A"/>
    <w:multiLevelType w:val="hybridMultilevel"/>
    <w:tmpl w:val="8034D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B8C094E"/>
    <w:multiLevelType w:val="multilevel"/>
    <w:tmpl w:val="752A60BC"/>
    <w:lvl w:ilvl="0">
      <w:start w:val="1"/>
      <w:numFmt w:val="decimal"/>
      <w:pStyle w:val="Heading1"/>
      <w:lvlText w:val="%1."/>
      <w:lvlJc w:val="left"/>
      <w:pPr>
        <w:ind w:left="360" w:hanging="36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1" w15:restartNumberingAfterBreak="0">
    <w:nsid w:val="4C412964"/>
    <w:multiLevelType w:val="multilevel"/>
    <w:tmpl w:val="5296C5CC"/>
    <w:lvl w:ilvl="0">
      <w:start w:val="16"/>
      <w:numFmt w:val="decimal"/>
      <w:pStyle w:val="Caption2"/>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1"/>
      <w:numFmt w:val="decimal"/>
      <w:pStyle w:val="Caption2"/>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4D341BF5"/>
    <w:multiLevelType w:val="hybridMultilevel"/>
    <w:tmpl w:val="D3A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D9E5F93"/>
    <w:multiLevelType w:val="hybridMultilevel"/>
    <w:tmpl w:val="AE94F95A"/>
    <w:lvl w:ilvl="0" w:tplc="1DF6E09C">
      <w:start w:val="1"/>
      <w:numFmt w:val="decimal"/>
      <w:lvlText w:val="%1."/>
      <w:lvlJc w:val="left"/>
      <w:pPr>
        <w:tabs>
          <w:tab w:val="num" w:pos="1080"/>
        </w:tabs>
        <w:ind w:left="1080" w:hanging="360"/>
      </w:pPr>
      <w:rPr>
        <w:rFonts w:ascii="Times New Roman" w:hAnsi="Times New Roman" w:hint="default"/>
        <w:b w:val="0"/>
        <w:i w:val="0"/>
        <w:caps w:val="0"/>
        <w:strike w:val="0"/>
        <w:dstrike w:val="0"/>
        <w:vanish w:val="0"/>
        <w:color w:val="000000"/>
        <w:sz w:val="24"/>
        <w:u w:val="none"/>
        <w:vertAlign w:val="baseline"/>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4DD95411"/>
    <w:multiLevelType w:val="hybridMultilevel"/>
    <w:tmpl w:val="AA8059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50CE3406"/>
    <w:multiLevelType w:val="hybridMultilevel"/>
    <w:tmpl w:val="F89E5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0F628D1"/>
    <w:multiLevelType w:val="hybridMultilevel"/>
    <w:tmpl w:val="EA0C9000"/>
    <w:lvl w:ilvl="0" w:tplc="08090001">
      <w:start w:val="1"/>
      <w:numFmt w:val="bullet"/>
      <w:lvlText w:val=""/>
      <w:lvlJc w:val="left"/>
      <w:pPr>
        <w:ind w:left="720" w:hanging="360"/>
      </w:pPr>
      <w:rPr>
        <w:rFonts w:ascii="Symbol" w:hAnsi="Symbol" w:hint="default"/>
      </w:rPr>
    </w:lvl>
    <w:lvl w:ilvl="1" w:tplc="1180CF9E">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FE2CFA"/>
    <w:multiLevelType w:val="hybridMultilevel"/>
    <w:tmpl w:val="387EC0CA"/>
    <w:lvl w:ilvl="0" w:tplc="B9266046">
      <w:start w:val="1"/>
      <w:numFmt w:val="bullet"/>
      <w:lvlRestart w:val="0"/>
      <w:pStyle w:val="C-BulletIndented"/>
      <w:lvlText w:val=""/>
      <w:lvlJc w:val="left"/>
      <w:pPr>
        <w:tabs>
          <w:tab w:val="num" w:pos="1440"/>
        </w:tabs>
        <w:ind w:left="1440" w:hanging="360"/>
      </w:pPr>
      <w:rPr>
        <w:rFonts w:ascii="Symbol" w:hAnsi="Symbol" w:hint="default"/>
        <w:b w:val="0"/>
        <w:i w:val="0"/>
        <w:caps w:val="0"/>
        <w:strike w:val="0"/>
        <w:dstrike w:val="0"/>
        <w:vanish w:val="0"/>
        <w:color w:val="000000"/>
        <w:sz w:val="24"/>
        <w:u w:val="none"/>
        <w:vertAlign w:val="baseline"/>
      </w:rPr>
    </w:lvl>
    <w:lvl w:ilvl="1" w:tplc="E2C05BE4" w:tentative="1">
      <w:start w:val="1"/>
      <w:numFmt w:val="bullet"/>
      <w:lvlText w:val="o"/>
      <w:lvlJc w:val="left"/>
      <w:pPr>
        <w:tabs>
          <w:tab w:val="num" w:pos="1800"/>
        </w:tabs>
        <w:ind w:left="1800" w:hanging="360"/>
      </w:pPr>
      <w:rPr>
        <w:rFonts w:ascii="Courier New" w:hAnsi="Courier New" w:hint="default"/>
      </w:rPr>
    </w:lvl>
    <w:lvl w:ilvl="2" w:tplc="B866CED6" w:tentative="1">
      <w:start w:val="1"/>
      <w:numFmt w:val="bullet"/>
      <w:lvlText w:val=""/>
      <w:lvlJc w:val="left"/>
      <w:pPr>
        <w:tabs>
          <w:tab w:val="num" w:pos="2520"/>
        </w:tabs>
        <w:ind w:left="2520" w:hanging="360"/>
      </w:pPr>
      <w:rPr>
        <w:rFonts w:ascii="Wingdings" w:hAnsi="Wingdings" w:hint="default"/>
      </w:rPr>
    </w:lvl>
    <w:lvl w:ilvl="3" w:tplc="97AAD5AA" w:tentative="1">
      <w:start w:val="1"/>
      <w:numFmt w:val="bullet"/>
      <w:lvlText w:val=""/>
      <w:lvlJc w:val="left"/>
      <w:pPr>
        <w:tabs>
          <w:tab w:val="num" w:pos="3240"/>
        </w:tabs>
        <w:ind w:left="3240" w:hanging="360"/>
      </w:pPr>
      <w:rPr>
        <w:rFonts w:ascii="Symbol" w:hAnsi="Symbol" w:hint="default"/>
      </w:rPr>
    </w:lvl>
    <w:lvl w:ilvl="4" w:tplc="6F9C0C64" w:tentative="1">
      <w:start w:val="1"/>
      <w:numFmt w:val="bullet"/>
      <w:lvlText w:val="o"/>
      <w:lvlJc w:val="left"/>
      <w:pPr>
        <w:tabs>
          <w:tab w:val="num" w:pos="3960"/>
        </w:tabs>
        <w:ind w:left="3960" w:hanging="360"/>
      </w:pPr>
      <w:rPr>
        <w:rFonts w:ascii="Courier New" w:hAnsi="Courier New" w:hint="default"/>
      </w:rPr>
    </w:lvl>
    <w:lvl w:ilvl="5" w:tplc="B1F6A7AE" w:tentative="1">
      <w:start w:val="1"/>
      <w:numFmt w:val="bullet"/>
      <w:lvlText w:val=""/>
      <w:lvlJc w:val="left"/>
      <w:pPr>
        <w:tabs>
          <w:tab w:val="num" w:pos="4680"/>
        </w:tabs>
        <w:ind w:left="4680" w:hanging="360"/>
      </w:pPr>
      <w:rPr>
        <w:rFonts w:ascii="Wingdings" w:hAnsi="Wingdings" w:hint="default"/>
      </w:rPr>
    </w:lvl>
    <w:lvl w:ilvl="6" w:tplc="3264843E" w:tentative="1">
      <w:start w:val="1"/>
      <w:numFmt w:val="bullet"/>
      <w:lvlText w:val=""/>
      <w:lvlJc w:val="left"/>
      <w:pPr>
        <w:tabs>
          <w:tab w:val="num" w:pos="5400"/>
        </w:tabs>
        <w:ind w:left="5400" w:hanging="360"/>
      </w:pPr>
      <w:rPr>
        <w:rFonts w:ascii="Symbol" w:hAnsi="Symbol" w:hint="default"/>
      </w:rPr>
    </w:lvl>
    <w:lvl w:ilvl="7" w:tplc="DAEAD088" w:tentative="1">
      <w:start w:val="1"/>
      <w:numFmt w:val="bullet"/>
      <w:lvlText w:val="o"/>
      <w:lvlJc w:val="left"/>
      <w:pPr>
        <w:tabs>
          <w:tab w:val="num" w:pos="6120"/>
        </w:tabs>
        <w:ind w:left="6120" w:hanging="360"/>
      </w:pPr>
      <w:rPr>
        <w:rFonts w:ascii="Courier New" w:hAnsi="Courier New" w:hint="default"/>
      </w:rPr>
    </w:lvl>
    <w:lvl w:ilvl="8" w:tplc="8C5AC508"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53814D2D"/>
    <w:multiLevelType w:val="hybridMultilevel"/>
    <w:tmpl w:val="13E486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C741E97"/>
    <w:multiLevelType w:val="hybridMultilevel"/>
    <w:tmpl w:val="9A9A7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C980D01"/>
    <w:multiLevelType w:val="hybridMultilevel"/>
    <w:tmpl w:val="8318CFC2"/>
    <w:lvl w:ilvl="0" w:tplc="474A4A64">
      <w:start w:val="1"/>
      <w:numFmt w:val="bullet"/>
      <w:lvlRestart w:val="0"/>
      <w:pStyle w:val="C-Bullet"/>
      <w:lvlText w:val=""/>
      <w:lvlJc w:val="left"/>
      <w:pPr>
        <w:tabs>
          <w:tab w:val="num" w:pos="1069"/>
        </w:tabs>
        <w:ind w:left="1069" w:hanging="360"/>
      </w:pPr>
      <w:rPr>
        <w:rFonts w:ascii="Symbol" w:hAnsi="Symbol" w:hint="default"/>
        <w:b w:val="0"/>
        <w:i w:val="0"/>
        <w:caps w:val="0"/>
        <w:strike w:val="0"/>
        <w:dstrike w:val="0"/>
        <w:vanish w:val="0"/>
        <w:color w:val="000000"/>
        <w:sz w:val="24"/>
        <w:u w:val="none"/>
        <w:vertAlign w:val="baseline"/>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5CB96944"/>
    <w:multiLevelType w:val="hybridMultilevel"/>
    <w:tmpl w:val="6442A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CFF6827"/>
    <w:multiLevelType w:val="hybridMultilevel"/>
    <w:tmpl w:val="F4CCE6F6"/>
    <w:lvl w:ilvl="0" w:tplc="0809000F">
      <w:start w:val="1"/>
      <w:numFmt w:val="decimal"/>
      <w:lvlText w:val="%1."/>
      <w:lvlJc w:val="left"/>
      <w:pPr>
        <w:ind w:left="720" w:hanging="360"/>
      </w:pPr>
      <w:rPr>
        <w:rFonts w:hint="default"/>
      </w:rPr>
    </w:lvl>
    <w:lvl w:ilvl="1" w:tplc="1444E750">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FDD5EF4"/>
    <w:multiLevelType w:val="hybridMultilevel"/>
    <w:tmpl w:val="733AECD4"/>
    <w:lvl w:ilvl="0" w:tplc="1DF6E09C">
      <w:start w:val="1"/>
      <w:numFmt w:val="decimal"/>
      <w:lvlText w:val="%1."/>
      <w:lvlJc w:val="left"/>
      <w:pPr>
        <w:tabs>
          <w:tab w:val="num" w:pos="1080"/>
        </w:tabs>
        <w:ind w:left="1080" w:hanging="360"/>
      </w:pPr>
      <w:rPr>
        <w:rFonts w:ascii="Times New Roman" w:hAnsi="Times New Roman" w:hint="default"/>
        <w:b w:val="0"/>
        <w:i w:val="0"/>
        <w:caps w:val="0"/>
        <w:strike w:val="0"/>
        <w:dstrike w:val="0"/>
        <w:vanish w:val="0"/>
        <w:color w:val="000000"/>
        <w:sz w:val="24"/>
        <w:u w:val="none"/>
        <w:vertAlign w:val="baseline"/>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4" w15:restartNumberingAfterBreak="0">
    <w:nsid w:val="60310ACA"/>
    <w:multiLevelType w:val="hybridMultilevel"/>
    <w:tmpl w:val="144E64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604D3325"/>
    <w:multiLevelType w:val="hybridMultilevel"/>
    <w:tmpl w:val="8CB46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0FB3D49"/>
    <w:multiLevelType w:val="hybridMultilevel"/>
    <w:tmpl w:val="920EC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6312199"/>
    <w:multiLevelType w:val="hybridMultilevel"/>
    <w:tmpl w:val="3F8AFA7C"/>
    <w:lvl w:ilvl="0" w:tplc="FFFFFFFF">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7D75D6E"/>
    <w:multiLevelType w:val="hybridMultilevel"/>
    <w:tmpl w:val="22686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9E42151"/>
    <w:multiLevelType w:val="hybridMultilevel"/>
    <w:tmpl w:val="935CB0C6"/>
    <w:lvl w:ilvl="0" w:tplc="A3DE2114">
      <w:start w:val="1"/>
      <w:numFmt w:val="bullet"/>
      <w:pStyle w:val="C-PLR-Bullet"/>
      <w:lvlText w:val=""/>
      <w:lvlJc w:val="left"/>
      <w:pPr>
        <w:tabs>
          <w:tab w:val="num" w:pos="720"/>
        </w:tabs>
        <w:ind w:left="720" w:hanging="360"/>
      </w:pPr>
      <w:rPr>
        <w:rFonts w:ascii="Symbol" w:hAnsi="Symbol" w:hint="default"/>
      </w:rPr>
    </w:lvl>
    <w:lvl w:ilvl="1" w:tplc="5478DEEC" w:tentative="1">
      <w:start w:val="1"/>
      <w:numFmt w:val="bullet"/>
      <w:lvlText w:val="o"/>
      <w:lvlJc w:val="left"/>
      <w:pPr>
        <w:tabs>
          <w:tab w:val="num" w:pos="1440"/>
        </w:tabs>
        <w:ind w:left="1440" w:hanging="360"/>
      </w:pPr>
      <w:rPr>
        <w:rFonts w:ascii="Courier New" w:hAnsi="Courier New" w:hint="default"/>
      </w:rPr>
    </w:lvl>
    <w:lvl w:ilvl="2" w:tplc="83EEB09E" w:tentative="1">
      <w:start w:val="1"/>
      <w:numFmt w:val="bullet"/>
      <w:lvlText w:val=""/>
      <w:lvlJc w:val="left"/>
      <w:pPr>
        <w:tabs>
          <w:tab w:val="num" w:pos="2160"/>
        </w:tabs>
        <w:ind w:left="2160" w:hanging="360"/>
      </w:pPr>
      <w:rPr>
        <w:rFonts w:ascii="Wingdings" w:hAnsi="Wingdings" w:hint="default"/>
      </w:rPr>
    </w:lvl>
    <w:lvl w:ilvl="3" w:tplc="1F74FE8E" w:tentative="1">
      <w:start w:val="1"/>
      <w:numFmt w:val="bullet"/>
      <w:lvlText w:val=""/>
      <w:lvlJc w:val="left"/>
      <w:pPr>
        <w:tabs>
          <w:tab w:val="num" w:pos="2880"/>
        </w:tabs>
        <w:ind w:left="2880" w:hanging="360"/>
      </w:pPr>
      <w:rPr>
        <w:rFonts w:ascii="Symbol" w:hAnsi="Symbol" w:hint="default"/>
      </w:rPr>
    </w:lvl>
    <w:lvl w:ilvl="4" w:tplc="4F12F9E0" w:tentative="1">
      <w:start w:val="1"/>
      <w:numFmt w:val="bullet"/>
      <w:lvlText w:val="o"/>
      <w:lvlJc w:val="left"/>
      <w:pPr>
        <w:tabs>
          <w:tab w:val="num" w:pos="3600"/>
        </w:tabs>
        <w:ind w:left="3600" w:hanging="360"/>
      </w:pPr>
      <w:rPr>
        <w:rFonts w:ascii="Courier New" w:hAnsi="Courier New" w:hint="default"/>
      </w:rPr>
    </w:lvl>
    <w:lvl w:ilvl="5" w:tplc="CD1E99AC" w:tentative="1">
      <w:start w:val="1"/>
      <w:numFmt w:val="bullet"/>
      <w:lvlText w:val=""/>
      <w:lvlJc w:val="left"/>
      <w:pPr>
        <w:tabs>
          <w:tab w:val="num" w:pos="4320"/>
        </w:tabs>
        <w:ind w:left="4320" w:hanging="360"/>
      </w:pPr>
      <w:rPr>
        <w:rFonts w:ascii="Wingdings" w:hAnsi="Wingdings" w:hint="default"/>
      </w:rPr>
    </w:lvl>
    <w:lvl w:ilvl="6" w:tplc="CA466F4C" w:tentative="1">
      <w:start w:val="1"/>
      <w:numFmt w:val="bullet"/>
      <w:lvlText w:val=""/>
      <w:lvlJc w:val="left"/>
      <w:pPr>
        <w:tabs>
          <w:tab w:val="num" w:pos="5040"/>
        </w:tabs>
        <w:ind w:left="5040" w:hanging="360"/>
      </w:pPr>
      <w:rPr>
        <w:rFonts w:ascii="Symbol" w:hAnsi="Symbol" w:hint="default"/>
      </w:rPr>
    </w:lvl>
    <w:lvl w:ilvl="7" w:tplc="317CC870" w:tentative="1">
      <w:start w:val="1"/>
      <w:numFmt w:val="bullet"/>
      <w:lvlText w:val="o"/>
      <w:lvlJc w:val="left"/>
      <w:pPr>
        <w:tabs>
          <w:tab w:val="num" w:pos="5760"/>
        </w:tabs>
        <w:ind w:left="5760" w:hanging="360"/>
      </w:pPr>
      <w:rPr>
        <w:rFonts w:ascii="Courier New" w:hAnsi="Courier New" w:hint="default"/>
      </w:rPr>
    </w:lvl>
    <w:lvl w:ilvl="8" w:tplc="1728C5F2"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BDB75DF"/>
    <w:multiLevelType w:val="hybridMultilevel"/>
    <w:tmpl w:val="853E0C4E"/>
    <w:lvl w:ilvl="0" w:tplc="62D29A18">
      <w:start w:val="1"/>
      <w:numFmt w:val="decimal"/>
      <w:pStyle w:val="C-PLR-NumberedList"/>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1" w15:restartNumberingAfterBreak="0">
    <w:nsid w:val="6C485AC6"/>
    <w:multiLevelType w:val="hybridMultilevel"/>
    <w:tmpl w:val="2D9C2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C476FE"/>
    <w:multiLevelType w:val="hybridMultilevel"/>
    <w:tmpl w:val="7C5AE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F7D51F6"/>
    <w:multiLevelType w:val="hybridMultilevel"/>
    <w:tmpl w:val="14F2E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05660F1"/>
    <w:multiLevelType w:val="hybridMultilevel"/>
    <w:tmpl w:val="755E0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0913B9A"/>
    <w:multiLevelType w:val="hybridMultilevel"/>
    <w:tmpl w:val="8188B914"/>
    <w:lvl w:ilvl="0" w:tplc="1BDC33D2">
      <w:start w:val="5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1035A3"/>
    <w:multiLevelType w:val="hybridMultilevel"/>
    <w:tmpl w:val="EB6E8B28"/>
    <w:lvl w:ilvl="0" w:tplc="25BC2472">
      <w:start w:val="1"/>
      <w:numFmt w:val="upperLetter"/>
      <w:pStyle w:val="C-Appendix"/>
      <w:lvlText w:val="Appendix %1."/>
      <w:lvlJc w:val="left"/>
      <w:pPr>
        <w:tabs>
          <w:tab w:val="num" w:pos="1987"/>
        </w:tabs>
        <w:ind w:left="1987" w:hanging="1987"/>
      </w:pPr>
      <w:rPr>
        <w:rFonts w:hint="default"/>
      </w:rPr>
    </w:lvl>
    <w:lvl w:ilvl="1" w:tplc="7EF633FE" w:tentative="1">
      <w:start w:val="1"/>
      <w:numFmt w:val="lowerLetter"/>
      <w:lvlText w:val="%2."/>
      <w:lvlJc w:val="left"/>
      <w:pPr>
        <w:tabs>
          <w:tab w:val="num" w:pos="1440"/>
        </w:tabs>
        <w:ind w:left="1440" w:hanging="360"/>
      </w:pPr>
    </w:lvl>
    <w:lvl w:ilvl="2" w:tplc="0C4E6FA8" w:tentative="1">
      <w:start w:val="1"/>
      <w:numFmt w:val="lowerRoman"/>
      <w:lvlText w:val="%3."/>
      <w:lvlJc w:val="right"/>
      <w:pPr>
        <w:tabs>
          <w:tab w:val="num" w:pos="2160"/>
        </w:tabs>
        <w:ind w:left="2160" w:hanging="180"/>
      </w:pPr>
    </w:lvl>
    <w:lvl w:ilvl="3" w:tplc="F5AC66E2" w:tentative="1">
      <w:start w:val="1"/>
      <w:numFmt w:val="decimal"/>
      <w:lvlText w:val="%4."/>
      <w:lvlJc w:val="left"/>
      <w:pPr>
        <w:tabs>
          <w:tab w:val="num" w:pos="2880"/>
        </w:tabs>
        <w:ind w:left="2880" w:hanging="360"/>
      </w:pPr>
    </w:lvl>
    <w:lvl w:ilvl="4" w:tplc="502C0D34" w:tentative="1">
      <w:start w:val="1"/>
      <w:numFmt w:val="lowerLetter"/>
      <w:lvlText w:val="%5."/>
      <w:lvlJc w:val="left"/>
      <w:pPr>
        <w:tabs>
          <w:tab w:val="num" w:pos="3600"/>
        </w:tabs>
        <w:ind w:left="3600" w:hanging="360"/>
      </w:pPr>
    </w:lvl>
    <w:lvl w:ilvl="5" w:tplc="D0BA2BD2" w:tentative="1">
      <w:start w:val="1"/>
      <w:numFmt w:val="lowerRoman"/>
      <w:lvlText w:val="%6."/>
      <w:lvlJc w:val="right"/>
      <w:pPr>
        <w:tabs>
          <w:tab w:val="num" w:pos="4320"/>
        </w:tabs>
        <w:ind w:left="4320" w:hanging="180"/>
      </w:pPr>
    </w:lvl>
    <w:lvl w:ilvl="6" w:tplc="5CA23BC2" w:tentative="1">
      <w:start w:val="1"/>
      <w:numFmt w:val="decimal"/>
      <w:lvlText w:val="%7."/>
      <w:lvlJc w:val="left"/>
      <w:pPr>
        <w:tabs>
          <w:tab w:val="num" w:pos="5040"/>
        </w:tabs>
        <w:ind w:left="5040" w:hanging="360"/>
      </w:pPr>
    </w:lvl>
    <w:lvl w:ilvl="7" w:tplc="D124C87E" w:tentative="1">
      <w:start w:val="1"/>
      <w:numFmt w:val="lowerLetter"/>
      <w:lvlText w:val="%8."/>
      <w:lvlJc w:val="left"/>
      <w:pPr>
        <w:tabs>
          <w:tab w:val="num" w:pos="5760"/>
        </w:tabs>
        <w:ind w:left="5760" w:hanging="360"/>
      </w:pPr>
    </w:lvl>
    <w:lvl w:ilvl="8" w:tplc="2FD460A8" w:tentative="1">
      <w:start w:val="1"/>
      <w:numFmt w:val="lowerRoman"/>
      <w:lvlText w:val="%9."/>
      <w:lvlJc w:val="right"/>
      <w:pPr>
        <w:tabs>
          <w:tab w:val="num" w:pos="6480"/>
        </w:tabs>
        <w:ind w:left="6480" w:hanging="180"/>
      </w:pPr>
    </w:lvl>
  </w:abstractNum>
  <w:abstractNum w:abstractNumId="77" w15:restartNumberingAfterBreak="0">
    <w:nsid w:val="735678AA"/>
    <w:multiLevelType w:val="hybridMultilevel"/>
    <w:tmpl w:val="6D7A6D44"/>
    <w:lvl w:ilvl="0" w:tplc="2EA6E524">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4B17133"/>
    <w:multiLevelType w:val="hybridMultilevel"/>
    <w:tmpl w:val="DF8A75BE"/>
    <w:lvl w:ilvl="0" w:tplc="CA9EB8B0">
      <w:numFmt w:val="bullet"/>
      <w:lvlText w:val="•"/>
      <w:lvlJc w:val="left"/>
      <w:pPr>
        <w:ind w:left="720" w:hanging="360"/>
      </w:pPr>
      <w:rPr>
        <w:rFonts w:ascii="Times New Roman" w:eastAsia="Times New Roman" w:hAnsi="Times New Roman" w:cs="Times New Roman"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4F12435"/>
    <w:multiLevelType w:val="hybridMultilevel"/>
    <w:tmpl w:val="823217EA"/>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754B1C79"/>
    <w:multiLevelType w:val="hybridMultilevel"/>
    <w:tmpl w:val="EAAC7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83A0A64"/>
    <w:multiLevelType w:val="hybridMultilevel"/>
    <w:tmpl w:val="BBF65060"/>
    <w:lvl w:ilvl="0" w:tplc="0809000F">
      <w:start w:val="1"/>
      <w:numFmt w:val="decimal"/>
      <w:lvlText w:val="%1."/>
      <w:lvlJc w:val="left"/>
      <w:pPr>
        <w:ind w:left="720" w:hanging="360"/>
      </w:pPr>
      <w:rPr>
        <w:rFonts w:hint="default"/>
      </w:rPr>
    </w:lvl>
    <w:lvl w:ilvl="1" w:tplc="1444E750">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A0576B7"/>
    <w:multiLevelType w:val="hybridMultilevel"/>
    <w:tmpl w:val="5CFCA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C366D1C"/>
    <w:multiLevelType w:val="hybridMultilevel"/>
    <w:tmpl w:val="CC88FCAA"/>
    <w:lvl w:ilvl="0" w:tplc="08090001">
      <w:start w:val="1"/>
      <w:numFmt w:val="bullet"/>
      <w:lvlText w:val=""/>
      <w:lvlJc w:val="left"/>
      <w:pPr>
        <w:ind w:left="720" w:hanging="360"/>
      </w:pPr>
      <w:rPr>
        <w:rFonts w:ascii="Symbol" w:hAnsi="Symbol"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D160E7B"/>
    <w:multiLevelType w:val="hybridMultilevel"/>
    <w:tmpl w:val="9904CBA4"/>
    <w:lvl w:ilvl="0" w:tplc="08090001">
      <w:start w:val="1"/>
      <w:numFmt w:val="bullet"/>
      <w:lvlText w:val=""/>
      <w:lvlJc w:val="left"/>
      <w:pPr>
        <w:ind w:left="720" w:hanging="360"/>
      </w:pPr>
      <w:rPr>
        <w:rFonts w:ascii="Symbol" w:hAnsi="Symbol" w:hint="default"/>
      </w:rPr>
    </w:lvl>
    <w:lvl w:ilvl="1" w:tplc="1444E750">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E782775"/>
    <w:multiLevelType w:val="hybridMultilevel"/>
    <w:tmpl w:val="96DA964A"/>
    <w:lvl w:ilvl="0" w:tplc="1DF6E09C">
      <w:start w:val="1"/>
      <w:numFmt w:val="decimal"/>
      <w:lvlText w:val="%1."/>
      <w:lvlJc w:val="left"/>
      <w:pPr>
        <w:ind w:left="720" w:hanging="360"/>
      </w:pPr>
      <w:rPr>
        <w:rFonts w:ascii="Times New Roman" w:hAnsi="Times New Roman" w:hint="default"/>
        <w:b w:val="0"/>
        <w:i w:val="0"/>
        <w:caps w:val="0"/>
        <w:strike w:val="0"/>
        <w:dstrike w:val="0"/>
        <w:vanish w:val="0"/>
        <w:color w:val="000000"/>
        <w:sz w:val="24"/>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E9E377C"/>
    <w:multiLevelType w:val="hybridMultilevel"/>
    <w:tmpl w:val="43D831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60"/>
  </w:num>
  <w:num w:numId="2">
    <w:abstractNumId w:val="57"/>
  </w:num>
  <w:num w:numId="3">
    <w:abstractNumId w:val="50"/>
  </w:num>
  <w:num w:numId="4">
    <w:abstractNumId w:val="37"/>
  </w:num>
  <w:num w:numId="5">
    <w:abstractNumId w:val="76"/>
  </w:num>
  <w:num w:numId="6">
    <w:abstractNumId w:val="70"/>
  </w:num>
  <w:num w:numId="7">
    <w:abstractNumId w:val="69"/>
  </w:num>
  <w:num w:numId="8">
    <w:abstractNumId w:val="38"/>
  </w:num>
  <w:num w:numId="9">
    <w:abstractNumId w:val="27"/>
  </w:num>
  <w:num w:numId="10">
    <w:abstractNumId w:val="8"/>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51"/>
  </w:num>
  <w:num w:numId="12">
    <w:abstractNumId w:val="36"/>
  </w:num>
  <w:num w:numId="13">
    <w:abstractNumId w:val="34"/>
  </w:num>
  <w:num w:numId="14">
    <w:abstractNumId w:val="39"/>
  </w:num>
  <w:num w:numId="15">
    <w:abstractNumId w:val="49"/>
  </w:num>
  <w:num w:numId="16">
    <w:abstractNumId w:val="63"/>
  </w:num>
  <w:num w:numId="17">
    <w:abstractNumId w:val="53"/>
  </w:num>
  <w:num w:numId="18">
    <w:abstractNumId w:val="45"/>
  </w:num>
  <w:num w:numId="19">
    <w:abstractNumId w:val="85"/>
  </w:num>
  <w:num w:numId="20">
    <w:abstractNumId w:val="5"/>
  </w:num>
  <w:num w:numId="21">
    <w:abstractNumId w:val="4"/>
  </w:num>
  <w:num w:numId="22">
    <w:abstractNumId w:val="6"/>
  </w:num>
  <w:num w:numId="23">
    <w:abstractNumId w:val="3"/>
  </w:num>
  <w:num w:numId="24">
    <w:abstractNumId w:val="2"/>
  </w:num>
  <w:num w:numId="25">
    <w:abstractNumId w:val="1"/>
  </w:num>
  <w:num w:numId="26">
    <w:abstractNumId w:val="0"/>
  </w:num>
  <w:num w:numId="27">
    <w:abstractNumId w:val="86"/>
  </w:num>
  <w:num w:numId="2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num>
  <w:num w:numId="31">
    <w:abstractNumId w:val="71"/>
  </w:num>
  <w:num w:numId="32">
    <w:abstractNumId w:val="59"/>
  </w:num>
  <w:num w:numId="33">
    <w:abstractNumId w:val="72"/>
  </w:num>
  <w:num w:numId="34">
    <w:abstractNumId w:val="56"/>
  </w:num>
  <w:num w:numId="35">
    <w:abstractNumId w:val="77"/>
  </w:num>
  <w:num w:numId="36">
    <w:abstractNumId w:val="23"/>
  </w:num>
  <w:num w:numId="37">
    <w:abstractNumId w:val="20"/>
  </w:num>
  <w:num w:numId="38">
    <w:abstractNumId w:val="22"/>
  </w:num>
  <w:num w:numId="39">
    <w:abstractNumId w:val="52"/>
  </w:num>
  <w:num w:numId="40">
    <w:abstractNumId w:val="84"/>
  </w:num>
  <w:num w:numId="41">
    <w:abstractNumId w:val="43"/>
  </w:num>
  <w:num w:numId="42">
    <w:abstractNumId w:val="24"/>
  </w:num>
  <w:num w:numId="43">
    <w:abstractNumId w:val="54"/>
  </w:num>
  <w:num w:numId="44">
    <w:abstractNumId w:val="33"/>
  </w:num>
  <w:num w:numId="45">
    <w:abstractNumId w:val="9"/>
  </w:num>
  <w:num w:numId="46">
    <w:abstractNumId w:val="48"/>
  </w:num>
  <w:num w:numId="47">
    <w:abstractNumId w:val="55"/>
  </w:num>
  <w:num w:numId="48">
    <w:abstractNumId w:val="28"/>
  </w:num>
  <w:num w:numId="49">
    <w:abstractNumId w:val="10"/>
  </w:num>
  <w:num w:numId="50">
    <w:abstractNumId w:val="68"/>
  </w:num>
  <w:num w:numId="51">
    <w:abstractNumId w:val="61"/>
  </w:num>
  <w:num w:numId="52">
    <w:abstractNumId w:val="25"/>
  </w:num>
  <w:num w:numId="53">
    <w:abstractNumId w:val="78"/>
  </w:num>
  <w:num w:numId="54">
    <w:abstractNumId w:val="32"/>
  </w:num>
  <w:num w:numId="55">
    <w:abstractNumId w:val="26"/>
  </w:num>
  <w:num w:numId="56">
    <w:abstractNumId w:val="35"/>
  </w:num>
  <w:num w:numId="57">
    <w:abstractNumId w:val="73"/>
  </w:num>
  <w:num w:numId="58">
    <w:abstractNumId w:val="79"/>
  </w:num>
  <w:num w:numId="59">
    <w:abstractNumId w:val="65"/>
  </w:num>
  <w:num w:numId="60">
    <w:abstractNumId w:val="74"/>
  </w:num>
  <w:num w:numId="61">
    <w:abstractNumId w:val="58"/>
  </w:num>
  <w:num w:numId="62">
    <w:abstractNumId w:val="80"/>
  </w:num>
  <w:num w:numId="63">
    <w:abstractNumId w:val="42"/>
  </w:num>
  <w:num w:numId="64">
    <w:abstractNumId w:val="41"/>
  </w:num>
  <w:num w:numId="65">
    <w:abstractNumId w:val="46"/>
  </w:num>
  <w:num w:numId="66">
    <w:abstractNumId w:val="83"/>
  </w:num>
  <w:num w:numId="67">
    <w:abstractNumId w:val="82"/>
  </w:num>
  <w:num w:numId="68">
    <w:abstractNumId w:val="19"/>
  </w:num>
  <w:num w:numId="69">
    <w:abstractNumId w:val="16"/>
  </w:num>
  <w:num w:numId="70">
    <w:abstractNumId w:val="21"/>
  </w:num>
  <w:num w:numId="71">
    <w:abstractNumId w:val="18"/>
  </w:num>
  <w:num w:numId="72">
    <w:abstractNumId w:val="30"/>
  </w:num>
  <w:num w:numId="73">
    <w:abstractNumId w:val="11"/>
  </w:num>
  <w:num w:numId="74">
    <w:abstractNumId w:val="47"/>
  </w:num>
  <w:num w:numId="75">
    <w:abstractNumId w:val="7"/>
  </w:num>
  <w:num w:numId="76">
    <w:abstractNumId w:val="62"/>
  </w:num>
  <w:num w:numId="77">
    <w:abstractNumId w:val="75"/>
  </w:num>
  <w:num w:numId="78">
    <w:abstractNumId w:val="81"/>
  </w:num>
  <w:num w:numId="79">
    <w:abstractNumId w:val="29"/>
  </w:num>
  <w:num w:numId="80">
    <w:abstractNumId w:val="64"/>
  </w:num>
  <w:num w:numId="81">
    <w:abstractNumId w:val="15"/>
  </w:num>
  <w:num w:numId="82">
    <w:abstractNumId w:val="50"/>
  </w:num>
  <w:num w:numId="83">
    <w:abstractNumId w:val="12"/>
  </w:num>
  <w:num w:numId="84">
    <w:abstractNumId w:val="13"/>
  </w:num>
  <w:num w:numId="85">
    <w:abstractNumId w:val="66"/>
  </w:num>
  <w:num w:numId="86">
    <w:abstractNumId w:val="67"/>
  </w:num>
  <w:num w:numId="87">
    <w:abstractNumId w:val="1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displayVerticalDrawingGridEvery w:val="2"/>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4A9"/>
    <w:rsid w:val="0000005C"/>
    <w:rsid w:val="00000161"/>
    <w:rsid w:val="00000B8D"/>
    <w:rsid w:val="00001288"/>
    <w:rsid w:val="000017A2"/>
    <w:rsid w:val="00001D3C"/>
    <w:rsid w:val="00001F06"/>
    <w:rsid w:val="000026C8"/>
    <w:rsid w:val="000029A7"/>
    <w:rsid w:val="00002C32"/>
    <w:rsid w:val="0000314E"/>
    <w:rsid w:val="000036E8"/>
    <w:rsid w:val="00003CE8"/>
    <w:rsid w:val="000042A8"/>
    <w:rsid w:val="00004B2E"/>
    <w:rsid w:val="00004DD9"/>
    <w:rsid w:val="00004F37"/>
    <w:rsid w:val="00005052"/>
    <w:rsid w:val="0000540D"/>
    <w:rsid w:val="00005C0F"/>
    <w:rsid w:val="00005EF1"/>
    <w:rsid w:val="00005FA3"/>
    <w:rsid w:val="00006B64"/>
    <w:rsid w:val="00006E11"/>
    <w:rsid w:val="000074EC"/>
    <w:rsid w:val="00007751"/>
    <w:rsid w:val="00007C70"/>
    <w:rsid w:val="000109F4"/>
    <w:rsid w:val="00010AA3"/>
    <w:rsid w:val="00012CA7"/>
    <w:rsid w:val="00013711"/>
    <w:rsid w:val="00014F27"/>
    <w:rsid w:val="00015D50"/>
    <w:rsid w:val="000166AD"/>
    <w:rsid w:val="0001721A"/>
    <w:rsid w:val="000177D3"/>
    <w:rsid w:val="00020439"/>
    <w:rsid w:val="000205A5"/>
    <w:rsid w:val="000206C7"/>
    <w:rsid w:val="000207D9"/>
    <w:rsid w:val="00020AD1"/>
    <w:rsid w:val="00021288"/>
    <w:rsid w:val="000218A0"/>
    <w:rsid w:val="00021C78"/>
    <w:rsid w:val="00022A21"/>
    <w:rsid w:val="00024374"/>
    <w:rsid w:val="00026C63"/>
    <w:rsid w:val="00026D9B"/>
    <w:rsid w:val="00027138"/>
    <w:rsid w:val="00027535"/>
    <w:rsid w:val="000275DA"/>
    <w:rsid w:val="00027890"/>
    <w:rsid w:val="00032E28"/>
    <w:rsid w:val="0003325F"/>
    <w:rsid w:val="0003455C"/>
    <w:rsid w:val="00034911"/>
    <w:rsid w:val="00034A63"/>
    <w:rsid w:val="0003566A"/>
    <w:rsid w:val="00035A23"/>
    <w:rsid w:val="00036656"/>
    <w:rsid w:val="00036A77"/>
    <w:rsid w:val="0003747B"/>
    <w:rsid w:val="00037895"/>
    <w:rsid w:val="000379E6"/>
    <w:rsid w:val="000401E9"/>
    <w:rsid w:val="00040D1E"/>
    <w:rsid w:val="0004102B"/>
    <w:rsid w:val="000432C7"/>
    <w:rsid w:val="00043E10"/>
    <w:rsid w:val="000451CE"/>
    <w:rsid w:val="0004548B"/>
    <w:rsid w:val="00045D62"/>
    <w:rsid w:val="00045D79"/>
    <w:rsid w:val="00045E6E"/>
    <w:rsid w:val="00046736"/>
    <w:rsid w:val="00047849"/>
    <w:rsid w:val="00047B7C"/>
    <w:rsid w:val="00050159"/>
    <w:rsid w:val="0005074C"/>
    <w:rsid w:val="00050E59"/>
    <w:rsid w:val="00051206"/>
    <w:rsid w:val="00051AE0"/>
    <w:rsid w:val="00051B12"/>
    <w:rsid w:val="000531C6"/>
    <w:rsid w:val="000533EF"/>
    <w:rsid w:val="00053401"/>
    <w:rsid w:val="00053467"/>
    <w:rsid w:val="00053823"/>
    <w:rsid w:val="00054236"/>
    <w:rsid w:val="000545AC"/>
    <w:rsid w:val="00054890"/>
    <w:rsid w:val="000549F3"/>
    <w:rsid w:val="00054EC6"/>
    <w:rsid w:val="00055E12"/>
    <w:rsid w:val="00056455"/>
    <w:rsid w:val="00056DD7"/>
    <w:rsid w:val="000574E5"/>
    <w:rsid w:val="00057788"/>
    <w:rsid w:val="00057F64"/>
    <w:rsid w:val="00060686"/>
    <w:rsid w:val="0006151D"/>
    <w:rsid w:val="0006198A"/>
    <w:rsid w:val="0006264C"/>
    <w:rsid w:val="0006270A"/>
    <w:rsid w:val="00062A32"/>
    <w:rsid w:val="00062AEC"/>
    <w:rsid w:val="00062B31"/>
    <w:rsid w:val="00062DF9"/>
    <w:rsid w:val="00063E21"/>
    <w:rsid w:val="00063E75"/>
    <w:rsid w:val="000641B2"/>
    <w:rsid w:val="00064543"/>
    <w:rsid w:val="00064B12"/>
    <w:rsid w:val="000655B2"/>
    <w:rsid w:val="00065641"/>
    <w:rsid w:val="00066BC9"/>
    <w:rsid w:val="000670E9"/>
    <w:rsid w:val="0006786E"/>
    <w:rsid w:val="00070598"/>
    <w:rsid w:val="00070DB5"/>
    <w:rsid w:val="00072013"/>
    <w:rsid w:val="00072570"/>
    <w:rsid w:val="00072A36"/>
    <w:rsid w:val="00072EE0"/>
    <w:rsid w:val="000732BD"/>
    <w:rsid w:val="0007376F"/>
    <w:rsid w:val="00074C1A"/>
    <w:rsid w:val="00076835"/>
    <w:rsid w:val="00076B8A"/>
    <w:rsid w:val="00076EEA"/>
    <w:rsid w:val="00077142"/>
    <w:rsid w:val="00077A00"/>
    <w:rsid w:val="00077F7B"/>
    <w:rsid w:val="000818E0"/>
    <w:rsid w:val="000824D0"/>
    <w:rsid w:val="00082AA4"/>
    <w:rsid w:val="000830A0"/>
    <w:rsid w:val="0008313C"/>
    <w:rsid w:val="000840DB"/>
    <w:rsid w:val="000846ED"/>
    <w:rsid w:val="000849EA"/>
    <w:rsid w:val="00085198"/>
    <w:rsid w:val="000852E4"/>
    <w:rsid w:val="0008634C"/>
    <w:rsid w:val="00086EEF"/>
    <w:rsid w:val="000877B3"/>
    <w:rsid w:val="00087D6A"/>
    <w:rsid w:val="000906DB"/>
    <w:rsid w:val="00090AD2"/>
    <w:rsid w:val="00090FA5"/>
    <w:rsid w:val="00091559"/>
    <w:rsid w:val="00092196"/>
    <w:rsid w:val="00092481"/>
    <w:rsid w:val="0009279E"/>
    <w:rsid w:val="00094067"/>
    <w:rsid w:val="000945AB"/>
    <w:rsid w:val="00094981"/>
    <w:rsid w:val="000955BD"/>
    <w:rsid w:val="000958FF"/>
    <w:rsid w:val="0009624D"/>
    <w:rsid w:val="00096E21"/>
    <w:rsid w:val="00096F4E"/>
    <w:rsid w:val="00096F7C"/>
    <w:rsid w:val="00097946"/>
    <w:rsid w:val="00097B57"/>
    <w:rsid w:val="000A0FE9"/>
    <w:rsid w:val="000A215A"/>
    <w:rsid w:val="000A21C4"/>
    <w:rsid w:val="000A2AEB"/>
    <w:rsid w:val="000A301F"/>
    <w:rsid w:val="000A3466"/>
    <w:rsid w:val="000A34E2"/>
    <w:rsid w:val="000A498B"/>
    <w:rsid w:val="000A4B4D"/>
    <w:rsid w:val="000A5025"/>
    <w:rsid w:val="000A55BC"/>
    <w:rsid w:val="000A5AB7"/>
    <w:rsid w:val="000A6708"/>
    <w:rsid w:val="000A7037"/>
    <w:rsid w:val="000A727D"/>
    <w:rsid w:val="000A72ED"/>
    <w:rsid w:val="000A7F99"/>
    <w:rsid w:val="000A7FA6"/>
    <w:rsid w:val="000B0119"/>
    <w:rsid w:val="000B0CC7"/>
    <w:rsid w:val="000B12DB"/>
    <w:rsid w:val="000B162B"/>
    <w:rsid w:val="000B1D83"/>
    <w:rsid w:val="000B35BD"/>
    <w:rsid w:val="000B56FF"/>
    <w:rsid w:val="000B591A"/>
    <w:rsid w:val="000B5B82"/>
    <w:rsid w:val="000B63ED"/>
    <w:rsid w:val="000B718F"/>
    <w:rsid w:val="000B773F"/>
    <w:rsid w:val="000B7A48"/>
    <w:rsid w:val="000B7AD2"/>
    <w:rsid w:val="000C053C"/>
    <w:rsid w:val="000C3B3D"/>
    <w:rsid w:val="000C4A85"/>
    <w:rsid w:val="000C5001"/>
    <w:rsid w:val="000C5C9A"/>
    <w:rsid w:val="000C662F"/>
    <w:rsid w:val="000C6C9B"/>
    <w:rsid w:val="000C74B3"/>
    <w:rsid w:val="000C7850"/>
    <w:rsid w:val="000D052F"/>
    <w:rsid w:val="000D0A70"/>
    <w:rsid w:val="000D14B3"/>
    <w:rsid w:val="000D1BFA"/>
    <w:rsid w:val="000D2507"/>
    <w:rsid w:val="000D2B27"/>
    <w:rsid w:val="000D39F1"/>
    <w:rsid w:val="000D55E8"/>
    <w:rsid w:val="000D5AE7"/>
    <w:rsid w:val="000D70D5"/>
    <w:rsid w:val="000D73C8"/>
    <w:rsid w:val="000E0B7C"/>
    <w:rsid w:val="000E0F57"/>
    <w:rsid w:val="000E106F"/>
    <w:rsid w:val="000E10D5"/>
    <w:rsid w:val="000E15CA"/>
    <w:rsid w:val="000E1A70"/>
    <w:rsid w:val="000E1C27"/>
    <w:rsid w:val="000E22C9"/>
    <w:rsid w:val="000E2988"/>
    <w:rsid w:val="000E389A"/>
    <w:rsid w:val="000E3CBB"/>
    <w:rsid w:val="000E474B"/>
    <w:rsid w:val="000E4D6D"/>
    <w:rsid w:val="000E5523"/>
    <w:rsid w:val="000E5EEC"/>
    <w:rsid w:val="000E660C"/>
    <w:rsid w:val="000E6856"/>
    <w:rsid w:val="000E6B28"/>
    <w:rsid w:val="000E70A5"/>
    <w:rsid w:val="000E7A94"/>
    <w:rsid w:val="000E7BC6"/>
    <w:rsid w:val="000E7C7E"/>
    <w:rsid w:val="000F13B4"/>
    <w:rsid w:val="000F150F"/>
    <w:rsid w:val="000F156D"/>
    <w:rsid w:val="000F1D2C"/>
    <w:rsid w:val="000F1FD4"/>
    <w:rsid w:val="000F218E"/>
    <w:rsid w:val="000F2B15"/>
    <w:rsid w:val="000F385C"/>
    <w:rsid w:val="000F4322"/>
    <w:rsid w:val="000F4532"/>
    <w:rsid w:val="000F4BD5"/>
    <w:rsid w:val="000F5A69"/>
    <w:rsid w:val="000F6240"/>
    <w:rsid w:val="000F635D"/>
    <w:rsid w:val="000F6380"/>
    <w:rsid w:val="000F7175"/>
    <w:rsid w:val="000F77B7"/>
    <w:rsid w:val="000F78E6"/>
    <w:rsid w:val="000F79E3"/>
    <w:rsid w:val="0010082B"/>
    <w:rsid w:val="00100853"/>
    <w:rsid w:val="001016D3"/>
    <w:rsid w:val="00102218"/>
    <w:rsid w:val="001025F2"/>
    <w:rsid w:val="001032A6"/>
    <w:rsid w:val="0010445C"/>
    <w:rsid w:val="001047C0"/>
    <w:rsid w:val="0010494D"/>
    <w:rsid w:val="00104D27"/>
    <w:rsid w:val="00105273"/>
    <w:rsid w:val="00105657"/>
    <w:rsid w:val="001058AB"/>
    <w:rsid w:val="00106D20"/>
    <w:rsid w:val="00107BB6"/>
    <w:rsid w:val="00107E29"/>
    <w:rsid w:val="00107E99"/>
    <w:rsid w:val="00110701"/>
    <w:rsid w:val="001107E6"/>
    <w:rsid w:val="00111C65"/>
    <w:rsid w:val="00112819"/>
    <w:rsid w:val="0011282E"/>
    <w:rsid w:val="00112878"/>
    <w:rsid w:val="00112EA9"/>
    <w:rsid w:val="001139C8"/>
    <w:rsid w:val="00115A17"/>
    <w:rsid w:val="001163BD"/>
    <w:rsid w:val="00116422"/>
    <w:rsid w:val="00116B29"/>
    <w:rsid w:val="00117AF0"/>
    <w:rsid w:val="00117D0E"/>
    <w:rsid w:val="001203FF"/>
    <w:rsid w:val="00120C5F"/>
    <w:rsid w:val="0012131D"/>
    <w:rsid w:val="00121920"/>
    <w:rsid w:val="0012197B"/>
    <w:rsid w:val="00121AEF"/>
    <w:rsid w:val="00121DCA"/>
    <w:rsid w:val="00122D16"/>
    <w:rsid w:val="00123288"/>
    <w:rsid w:val="00123652"/>
    <w:rsid w:val="0012405C"/>
    <w:rsid w:val="0012429D"/>
    <w:rsid w:val="00124ACD"/>
    <w:rsid w:val="00125458"/>
    <w:rsid w:val="00125CC0"/>
    <w:rsid w:val="00126868"/>
    <w:rsid w:val="00126897"/>
    <w:rsid w:val="00127218"/>
    <w:rsid w:val="00127410"/>
    <w:rsid w:val="0012741E"/>
    <w:rsid w:val="001274FC"/>
    <w:rsid w:val="00127E89"/>
    <w:rsid w:val="00127F6F"/>
    <w:rsid w:val="0013076E"/>
    <w:rsid w:val="00130B8E"/>
    <w:rsid w:val="00130D6B"/>
    <w:rsid w:val="001316C5"/>
    <w:rsid w:val="00131AC6"/>
    <w:rsid w:val="00131B8C"/>
    <w:rsid w:val="00131EC8"/>
    <w:rsid w:val="001322FC"/>
    <w:rsid w:val="00132A41"/>
    <w:rsid w:val="00132AA0"/>
    <w:rsid w:val="00133B1B"/>
    <w:rsid w:val="001341ED"/>
    <w:rsid w:val="00134256"/>
    <w:rsid w:val="00134E8C"/>
    <w:rsid w:val="00135569"/>
    <w:rsid w:val="00135834"/>
    <w:rsid w:val="001359C2"/>
    <w:rsid w:val="00135AF0"/>
    <w:rsid w:val="0013642D"/>
    <w:rsid w:val="001364D4"/>
    <w:rsid w:val="0013653C"/>
    <w:rsid w:val="001367BB"/>
    <w:rsid w:val="00136988"/>
    <w:rsid w:val="00136E30"/>
    <w:rsid w:val="00136F19"/>
    <w:rsid w:val="00137548"/>
    <w:rsid w:val="00137BC4"/>
    <w:rsid w:val="0014050C"/>
    <w:rsid w:val="00141CC5"/>
    <w:rsid w:val="00142BE4"/>
    <w:rsid w:val="00143867"/>
    <w:rsid w:val="001438BF"/>
    <w:rsid w:val="00143EBF"/>
    <w:rsid w:val="00144E01"/>
    <w:rsid w:val="001458F4"/>
    <w:rsid w:val="00145A49"/>
    <w:rsid w:val="00147BD7"/>
    <w:rsid w:val="00147EA7"/>
    <w:rsid w:val="001510F6"/>
    <w:rsid w:val="0015229A"/>
    <w:rsid w:val="0015247A"/>
    <w:rsid w:val="00152A88"/>
    <w:rsid w:val="00152E9C"/>
    <w:rsid w:val="00153700"/>
    <w:rsid w:val="00154498"/>
    <w:rsid w:val="0015473A"/>
    <w:rsid w:val="0015525E"/>
    <w:rsid w:val="00155EC4"/>
    <w:rsid w:val="00156CE2"/>
    <w:rsid w:val="001571AB"/>
    <w:rsid w:val="001576C0"/>
    <w:rsid w:val="00157D78"/>
    <w:rsid w:val="00157F4D"/>
    <w:rsid w:val="00157FC7"/>
    <w:rsid w:val="00160044"/>
    <w:rsid w:val="001602EF"/>
    <w:rsid w:val="00160371"/>
    <w:rsid w:val="00161FD6"/>
    <w:rsid w:val="00162A46"/>
    <w:rsid w:val="00162CD6"/>
    <w:rsid w:val="00162D2B"/>
    <w:rsid w:val="00162F6A"/>
    <w:rsid w:val="00163C7F"/>
    <w:rsid w:val="0016444D"/>
    <w:rsid w:val="001646D9"/>
    <w:rsid w:val="00164AE7"/>
    <w:rsid w:val="00165336"/>
    <w:rsid w:val="001654F6"/>
    <w:rsid w:val="0016607C"/>
    <w:rsid w:val="0017033C"/>
    <w:rsid w:val="0017053E"/>
    <w:rsid w:val="001719F0"/>
    <w:rsid w:val="00172392"/>
    <w:rsid w:val="0017464F"/>
    <w:rsid w:val="00174AE0"/>
    <w:rsid w:val="00174CBA"/>
    <w:rsid w:val="00174E28"/>
    <w:rsid w:val="001754E6"/>
    <w:rsid w:val="001758ED"/>
    <w:rsid w:val="00175D14"/>
    <w:rsid w:val="00175E64"/>
    <w:rsid w:val="0017604D"/>
    <w:rsid w:val="00176A5A"/>
    <w:rsid w:val="0017788E"/>
    <w:rsid w:val="00177BFA"/>
    <w:rsid w:val="00177EAE"/>
    <w:rsid w:val="001804F6"/>
    <w:rsid w:val="00180CF3"/>
    <w:rsid w:val="00180D17"/>
    <w:rsid w:val="00181030"/>
    <w:rsid w:val="0018167E"/>
    <w:rsid w:val="00181997"/>
    <w:rsid w:val="00181D4C"/>
    <w:rsid w:val="00182699"/>
    <w:rsid w:val="00182A28"/>
    <w:rsid w:val="00182BFD"/>
    <w:rsid w:val="001831BA"/>
    <w:rsid w:val="00183BA0"/>
    <w:rsid w:val="001840BA"/>
    <w:rsid w:val="00184146"/>
    <w:rsid w:val="00184161"/>
    <w:rsid w:val="0018490B"/>
    <w:rsid w:val="00185FFC"/>
    <w:rsid w:val="0018600B"/>
    <w:rsid w:val="001861BB"/>
    <w:rsid w:val="001879DA"/>
    <w:rsid w:val="001904E2"/>
    <w:rsid w:val="001912A2"/>
    <w:rsid w:val="0019168A"/>
    <w:rsid w:val="001916C2"/>
    <w:rsid w:val="00191F53"/>
    <w:rsid w:val="001924E0"/>
    <w:rsid w:val="0019294D"/>
    <w:rsid w:val="001929AB"/>
    <w:rsid w:val="00193422"/>
    <w:rsid w:val="00193521"/>
    <w:rsid w:val="00193535"/>
    <w:rsid w:val="0019420D"/>
    <w:rsid w:val="0019438D"/>
    <w:rsid w:val="001946ED"/>
    <w:rsid w:val="001947DB"/>
    <w:rsid w:val="00194EAC"/>
    <w:rsid w:val="00195232"/>
    <w:rsid w:val="0019586E"/>
    <w:rsid w:val="00195C38"/>
    <w:rsid w:val="00196A59"/>
    <w:rsid w:val="00196AD0"/>
    <w:rsid w:val="00196B56"/>
    <w:rsid w:val="001A03AD"/>
    <w:rsid w:val="001A07A5"/>
    <w:rsid w:val="001A07E1"/>
    <w:rsid w:val="001A11BB"/>
    <w:rsid w:val="001A1F56"/>
    <w:rsid w:val="001A29ED"/>
    <w:rsid w:val="001A36D5"/>
    <w:rsid w:val="001A3813"/>
    <w:rsid w:val="001A4301"/>
    <w:rsid w:val="001A4BBA"/>
    <w:rsid w:val="001A4C90"/>
    <w:rsid w:val="001A553B"/>
    <w:rsid w:val="001A69C4"/>
    <w:rsid w:val="001A6B39"/>
    <w:rsid w:val="001A6FE9"/>
    <w:rsid w:val="001A78A3"/>
    <w:rsid w:val="001A7953"/>
    <w:rsid w:val="001A7B00"/>
    <w:rsid w:val="001A7B82"/>
    <w:rsid w:val="001B0761"/>
    <w:rsid w:val="001B12C1"/>
    <w:rsid w:val="001B1B22"/>
    <w:rsid w:val="001B2461"/>
    <w:rsid w:val="001B273A"/>
    <w:rsid w:val="001B292C"/>
    <w:rsid w:val="001B3433"/>
    <w:rsid w:val="001B39E6"/>
    <w:rsid w:val="001B3C6C"/>
    <w:rsid w:val="001B5450"/>
    <w:rsid w:val="001B56F3"/>
    <w:rsid w:val="001B586C"/>
    <w:rsid w:val="001B616F"/>
    <w:rsid w:val="001B6507"/>
    <w:rsid w:val="001B6E51"/>
    <w:rsid w:val="001B7458"/>
    <w:rsid w:val="001B7AF9"/>
    <w:rsid w:val="001B7CAF"/>
    <w:rsid w:val="001B7F4C"/>
    <w:rsid w:val="001C1576"/>
    <w:rsid w:val="001C1ACA"/>
    <w:rsid w:val="001C2300"/>
    <w:rsid w:val="001C2C22"/>
    <w:rsid w:val="001C2E9B"/>
    <w:rsid w:val="001C2EF2"/>
    <w:rsid w:val="001C3207"/>
    <w:rsid w:val="001C3485"/>
    <w:rsid w:val="001C3492"/>
    <w:rsid w:val="001C4023"/>
    <w:rsid w:val="001C45BD"/>
    <w:rsid w:val="001C5538"/>
    <w:rsid w:val="001C6479"/>
    <w:rsid w:val="001D067D"/>
    <w:rsid w:val="001D0E55"/>
    <w:rsid w:val="001D1697"/>
    <w:rsid w:val="001D1EEA"/>
    <w:rsid w:val="001D2E7D"/>
    <w:rsid w:val="001D5926"/>
    <w:rsid w:val="001D59AE"/>
    <w:rsid w:val="001E0121"/>
    <w:rsid w:val="001E0151"/>
    <w:rsid w:val="001E03AE"/>
    <w:rsid w:val="001E0818"/>
    <w:rsid w:val="001E1492"/>
    <w:rsid w:val="001E1859"/>
    <w:rsid w:val="001E27BF"/>
    <w:rsid w:val="001E33D7"/>
    <w:rsid w:val="001E41BC"/>
    <w:rsid w:val="001E4A36"/>
    <w:rsid w:val="001E5377"/>
    <w:rsid w:val="001E5440"/>
    <w:rsid w:val="001E664A"/>
    <w:rsid w:val="001E6E05"/>
    <w:rsid w:val="001E7684"/>
    <w:rsid w:val="001E7841"/>
    <w:rsid w:val="001E7EFC"/>
    <w:rsid w:val="001E7EFD"/>
    <w:rsid w:val="001F0A8C"/>
    <w:rsid w:val="001F0DF6"/>
    <w:rsid w:val="001F1197"/>
    <w:rsid w:val="001F2710"/>
    <w:rsid w:val="001F2EB2"/>
    <w:rsid w:val="001F3209"/>
    <w:rsid w:val="001F33BC"/>
    <w:rsid w:val="001F3794"/>
    <w:rsid w:val="001F3BCA"/>
    <w:rsid w:val="001F3D94"/>
    <w:rsid w:val="001F3F3C"/>
    <w:rsid w:val="001F4118"/>
    <w:rsid w:val="001F4226"/>
    <w:rsid w:val="001F44E8"/>
    <w:rsid w:val="001F52CE"/>
    <w:rsid w:val="001F5316"/>
    <w:rsid w:val="001F56D8"/>
    <w:rsid w:val="001F58DC"/>
    <w:rsid w:val="001F591A"/>
    <w:rsid w:val="001F6118"/>
    <w:rsid w:val="001F6B05"/>
    <w:rsid w:val="001F6F4F"/>
    <w:rsid w:val="001F6F99"/>
    <w:rsid w:val="001F78DE"/>
    <w:rsid w:val="001F7C56"/>
    <w:rsid w:val="001F7F1F"/>
    <w:rsid w:val="002002BA"/>
    <w:rsid w:val="002008C4"/>
    <w:rsid w:val="00200BA4"/>
    <w:rsid w:val="00201E5F"/>
    <w:rsid w:val="0020213F"/>
    <w:rsid w:val="002024C8"/>
    <w:rsid w:val="00202C1C"/>
    <w:rsid w:val="00203345"/>
    <w:rsid w:val="002035DD"/>
    <w:rsid w:val="00204598"/>
    <w:rsid w:val="00205283"/>
    <w:rsid w:val="00205981"/>
    <w:rsid w:val="00205A69"/>
    <w:rsid w:val="00205AAE"/>
    <w:rsid w:val="00205B0D"/>
    <w:rsid w:val="00205D98"/>
    <w:rsid w:val="00205E68"/>
    <w:rsid w:val="0020662B"/>
    <w:rsid w:val="00206700"/>
    <w:rsid w:val="002076AC"/>
    <w:rsid w:val="00207C1C"/>
    <w:rsid w:val="00210056"/>
    <w:rsid w:val="002104AF"/>
    <w:rsid w:val="00210972"/>
    <w:rsid w:val="00211531"/>
    <w:rsid w:val="00211F1F"/>
    <w:rsid w:val="002125EE"/>
    <w:rsid w:val="0021268E"/>
    <w:rsid w:val="00213171"/>
    <w:rsid w:val="00214199"/>
    <w:rsid w:val="0021541D"/>
    <w:rsid w:val="00215428"/>
    <w:rsid w:val="00215946"/>
    <w:rsid w:val="00215A9B"/>
    <w:rsid w:val="00216959"/>
    <w:rsid w:val="00216BC2"/>
    <w:rsid w:val="00216E1C"/>
    <w:rsid w:val="00216E40"/>
    <w:rsid w:val="0021710C"/>
    <w:rsid w:val="00217D40"/>
    <w:rsid w:val="00220A77"/>
    <w:rsid w:val="00220F12"/>
    <w:rsid w:val="0022124E"/>
    <w:rsid w:val="00221B90"/>
    <w:rsid w:val="00222417"/>
    <w:rsid w:val="002224F1"/>
    <w:rsid w:val="002231B3"/>
    <w:rsid w:val="00223D3A"/>
    <w:rsid w:val="00224125"/>
    <w:rsid w:val="0022586A"/>
    <w:rsid w:val="00225927"/>
    <w:rsid w:val="00225938"/>
    <w:rsid w:val="00225D83"/>
    <w:rsid w:val="00226203"/>
    <w:rsid w:val="0022634C"/>
    <w:rsid w:val="00226BC8"/>
    <w:rsid w:val="00226FB8"/>
    <w:rsid w:val="00227058"/>
    <w:rsid w:val="00227D0F"/>
    <w:rsid w:val="00230025"/>
    <w:rsid w:val="0023049B"/>
    <w:rsid w:val="0023050E"/>
    <w:rsid w:val="00230701"/>
    <w:rsid w:val="002308F8"/>
    <w:rsid w:val="00231014"/>
    <w:rsid w:val="00231E0A"/>
    <w:rsid w:val="00231F51"/>
    <w:rsid w:val="00232117"/>
    <w:rsid w:val="002322EF"/>
    <w:rsid w:val="0023284E"/>
    <w:rsid w:val="002330F3"/>
    <w:rsid w:val="00233662"/>
    <w:rsid w:val="002338FB"/>
    <w:rsid w:val="00233CB3"/>
    <w:rsid w:val="00233CE9"/>
    <w:rsid w:val="00235094"/>
    <w:rsid w:val="0023592D"/>
    <w:rsid w:val="00235D32"/>
    <w:rsid w:val="00236062"/>
    <w:rsid w:val="00236959"/>
    <w:rsid w:val="00236968"/>
    <w:rsid w:val="002369CD"/>
    <w:rsid w:val="00236D64"/>
    <w:rsid w:val="00237912"/>
    <w:rsid w:val="00237A05"/>
    <w:rsid w:val="00237F64"/>
    <w:rsid w:val="00240114"/>
    <w:rsid w:val="002404C4"/>
    <w:rsid w:val="002405F9"/>
    <w:rsid w:val="0024131B"/>
    <w:rsid w:val="00241831"/>
    <w:rsid w:val="00241DA9"/>
    <w:rsid w:val="0024227D"/>
    <w:rsid w:val="00242308"/>
    <w:rsid w:val="002423F0"/>
    <w:rsid w:val="00242A96"/>
    <w:rsid w:val="00242AD6"/>
    <w:rsid w:val="00242F86"/>
    <w:rsid w:val="002431A1"/>
    <w:rsid w:val="002433D3"/>
    <w:rsid w:val="00243507"/>
    <w:rsid w:val="00243D8A"/>
    <w:rsid w:val="00243E1A"/>
    <w:rsid w:val="00244DF5"/>
    <w:rsid w:val="002454D2"/>
    <w:rsid w:val="00245701"/>
    <w:rsid w:val="00245CEF"/>
    <w:rsid w:val="00246116"/>
    <w:rsid w:val="00247C48"/>
    <w:rsid w:val="00250604"/>
    <w:rsid w:val="0025111D"/>
    <w:rsid w:val="00251723"/>
    <w:rsid w:val="002525CC"/>
    <w:rsid w:val="00252FC0"/>
    <w:rsid w:val="00253646"/>
    <w:rsid w:val="00253672"/>
    <w:rsid w:val="002537E2"/>
    <w:rsid w:val="002541CE"/>
    <w:rsid w:val="00254948"/>
    <w:rsid w:val="002549A9"/>
    <w:rsid w:val="00254EAF"/>
    <w:rsid w:val="00255CB5"/>
    <w:rsid w:val="00256145"/>
    <w:rsid w:val="00256DB9"/>
    <w:rsid w:val="002573D7"/>
    <w:rsid w:val="002574E9"/>
    <w:rsid w:val="002606DD"/>
    <w:rsid w:val="0026089C"/>
    <w:rsid w:val="002610FB"/>
    <w:rsid w:val="00261731"/>
    <w:rsid w:val="00261C87"/>
    <w:rsid w:val="00261F66"/>
    <w:rsid w:val="00262BFC"/>
    <w:rsid w:val="00263092"/>
    <w:rsid w:val="00263810"/>
    <w:rsid w:val="00264239"/>
    <w:rsid w:val="00264C43"/>
    <w:rsid w:val="002651F1"/>
    <w:rsid w:val="00265759"/>
    <w:rsid w:val="0026664E"/>
    <w:rsid w:val="00267967"/>
    <w:rsid w:val="00270035"/>
    <w:rsid w:val="002705C6"/>
    <w:rsid w:val="002717FE"/>
    <w:rsid w:val="00271A70"/>
    <w:rsid w:val="00271EE2"/>
    <w:rsid w:val="00272685"/>
    <w:rsid w:val="00272D9C"/>
    <w:rsid w:val="002738D7"/>
    <w:rsid w:val="00273C40"/>
    <w:rsid w:val="002746BA"/>
    <w:rsid w:val="00275C57"/>
    <w:rsid w:val="00276D21"/>
    <w:rsid w:val="00277461"/>
    <w:rsid w:val="00277924"/>
    <w:rsid w:val="00277E49"/>
    <w:rsid w:val="00277FF1"/>
    <w:rsid w:val="0028092D"/>
    <w:rsid w:val="00281490"/>
    <w:rsid w:val="00281776"/>
    <w:rsid w:val="00283A9C"/>
    <w:rsid w:val="00283E9F"/>
    <w:rsid w:val="00284327"/>
    <w:rsid w:val="00284845"/>
    <w:rsid w:val="00284AD1"/>
    <w:rsid w:val="002852EC"/>
    <w:rsid w:val="002854C9"/>
    <w:rsid w:val="002869FF"/>
    <w:rsid w:val="00286C45"/>
    <w:rsid w:val="00287205"/>
    <w:rsid w:val="00287BA8"/>
    <w:rsid w:val="00290608"/>
    <w:rsid w:val="002906C8"/>
    <w:rsid w:val="00290C04"/>
    <w:rsid w:val="00290CDB"/>
    <w:rsid w:val="00290CF6"/>
    <w:rsid w:val="00291459"/>
    <w:rsid w:val="00291835"/>
    <w:rsid w:val="002921F5"/>
    <w:rsid w:val="00293B30"/>
    <w:rsid w:val="00293D6A"/>
    <w:rsid w:val="00293EF5"/>
    <w:rsid w:val="002941A2"/>
    <w:rsid w:val="00294377"/>
    <w:rsid w:val="002944A5"/>
    <w:rsid w:val="002959BD"/>
    <w:rsid w:val="00295DBD"/>
    <w:rsid w:val="0029785D"/>
    <w:rsid w:val="00297A71"/>
    <w:rsid w:val="00297DF6"/>
    <w:rsid w:val="002A3165"/>
    <w:rsid w:val="002A360A"/>
    <w:rsid w:val="002A3F80"/>
    <w:rsid w:val="002A40A9"/>
    <w:rsid w:val="002A44EA"/>
    <w:rsid w:val="002A47A7"/>
    <w:rsid w:val="002A4C4F"/>
    <w:rsid w:val="002A50E6"/>
    <w:rsid w:val="002A68B6"/>
    <w:rsid w:val="002A7BA3"/>
    <w:rsid w:val="002A7DA8"/>
    <w:rsid w:val="002B0018"/>
    <w:rsid w:val="002B0BE2"/>
    <w:rsid w:val="002B1539"/>
    <w:rsid w:val="002B22D4"/>
    <w:rsid w:val="002B29C5"/>
    <w:rsid w:val="002B323F"/>
    <w:rsid w:val="002B3501"/>
    <w:rsid w:val="002B3693"/>
    <w:rsid w:val="002B3B7B"/>
    <w:rsid w:val="002B5981"/>
    <w:rsid w:val="002B6589"/>
    <w:rsid w:val="002B6949"/>
    <w:rsid w:val="002B6998"/>
    <w:rsid w:val="002B6B5F"/>
    <w:rsid w:val="002B6CA6"/>
    <w:rsid w:val="002B71DA"/>
    <w:rsid w:val="002C03CA"/>
    <w:rsid w:val="002C0870"/>
    <w:rsid w:val="002C0B25"/>
    <w:rsid w:val="002C11E8"/>
    <w:rsid w:val="002C12DB"/>
    <w:rsid w:val="002C1497"/>
    <w:rsid w:val="002C17CF"/>
    <w:rsid w:val="002C1C4E"/>
    <w:rsid w:val="002C1D65"/>
    <w:rsid w:val="002C25A3"/>
    <w:rsid w:val="002C26E1"/>
    <w:rsid w:val="002C2707"/>
    <w:rsid w:val="002C2A55"/>
    <w:rsid w:val="002C30AD"/>
    <w:rsid w:val="002C36D5"/>
    <w:rsid w:val="002C412C"/>
    <w:rsid w:val="002C4472"/>
    <w:rsid w:val="002C55BE"/>
    <w:rsid w:val="002C5A71"/>
    <w:rsid w:val="002C6418"/>
    <w:rsid w:val="002C6821"/>
    <w:rsid w:val="002C6DCC"/>
    <w:rsid w:val="002C6DDE"/>
    <w:rsid w:val="002C7118"/>
    <w:rsid w:val="002D02C1"/>
    <w:rsid w:val="002D0A77"/>
    <w:rsid w:val="002D13A3"/>
    <w:rsid w:val="002D1AF4"/>
    <w:rsid w:val="002D1B59"/>
    <w:rsid w:val="002D2AF8"/>
    <w:rsid w:val="002D2B1D"/>
    <w:rsid w:val="002D2B39"/>
    <w:rsid w:val="002D31F3"/>
    <w:rsid w:val="002D3DD0"/>
    <w:rsid w:val="002D3FFC"/>
    <w:rsid w:val="002D5033"/>
    <w:rsid w:val="002D5849"/>
    <w:rsid w:val="002D5D09"/>
    <w:rsid w:val="002D5DE2"/>
    <w:rsid w:val="002D5F80"/>
    <w:rsid w:val="002D6430"/>
    <w:rsid w:val="002D69DA"/>
    <w:rsid w:val="002D6BD7"/>
    <w:rsid w:val="002D6E79"/>
    <w:rsid w:val="002D78B7"/>
    <w:rsid w:val="002D7DB3"/>
    <w:rsid w:val="002E067D"/>
    <w:rsid w:val="002E08FE"/>
    <w:rsid w:val="002E1D05"/>
    <w:rsid w:val="002E1DB7"/>
    <w:rsid w:val="002E2B40"/>
    <w:rsid w:val="002E2C04"/>
    <w:rsid w:val="002E2C3B"/>
    <w:rsid w:val="002E2E9D"/>
    <w:rsid w:val="002E36DC"/>
    <w:rsid w:val="002E37E4"/>
    <w:rsid w:val="002E52AC"/>
    <w:rsid w:val="002E5FF7"/>
    <w:rsid w:val="002E6193"/>
    <w:rsid w:val="002E6BBC"/>
    <w:rsid w:val="002E75BC"/>
    <w:rsid w:val="002E7ACD"/>
    <w:rsid w:val="002F0684"/>
    <w:rsid w:val="002F08E6"/>
    <w:rsid w:val="002F1182"/>
    <w:rsid w:val="002F1416"/>
    <w:rsid w:val="002F15FE"/>
    <w:rsid w:val="002F1A74"/>
    <w:rsid w:val="002F1CE7"/>
    <w:rsid w:val="002F249C"/>
    <w:rsid w:val="002F29B5"/>
    <w:rsid w:val="002F2BDE"/>
    <w:rsid w:val="002F2C6C"/>
    <w:rsid w:val="002F2DBB"/>
    <w:rsid w:val="002F2F86"/>
    <w:rsid w:val="002F31FD"/>
    <w:rsid w:val="002F3947"/>
    <w:rsid w:val="002F429F"/>
    <w:rsid w:val="002F5725"/>
    <w:rsid w:val="002F680C"/>
    <w:rsid w:val="002F76E8"/>
    <w:rsid w:val="002F7D5E"/>
    <w:rsid w:val="002F7E64"/>
    <w:rsid w:val="00301338"/>
    <w:rsid w:val="00301368"/>
    <w:rsid w:val="00302A31"/>
    <w:rsid w:val="003032B8"/>
    <w:rsid w:val="00303463"/>
    <w:rsid w:val="003034DF"/>
    <w:rsid w:val="00303982"/>
    <w:rsid w:val="00303AD3"/>
    <w:rsid w:val="00303CFC"/>
    <w:rsid w:val="00303D76"/>
    <w:rsid w:val="0030432C"/>
    <w:rsid w:val="00305A3A"/>
    <w:rsid w:val="00305A99"/>
    <w:rsid w:val="00306273"/>
    <w:rsid w:val="003066AA"/>
    <w:rsid w:val="00306E8B"/>
    <w:rsid w:val="00306F6D"/>
    <w:rsid w:val="003101C9"/>
    <w:rsid w:val="00310B11"/>
    <w:rsid w:val="00310B2A"/>
    <w:rsid w:val="00310E34"/>
    <w:rsid w:val="003122F2"/>
    <w:rsid w:val="00312DA5"/>
    <w:rsid w:val="00312F64"/>
    <w:rsid w:val="00313C19"/>
    <w:rsid w:val="00313D04"/>
    <w:rsid w:val="0031407A"/>
    <w:rsid w:val="003146AA"/>
    <w:rsid w:val="00315529"/>
    <w:rsid w:val="00315758"/>
    <w:rsid w:val="00315854"/>
    <w:rsid w:val="00315CB3"/>
    <w:rsid w:val="0031643E"/>
    <w:rsid w:val="003165E5"/>
    <w:rsid w:val="003166CC"/>
    <w:rsid w:val="00316CF5"/>
    <w:rsid w:val="003174E5"/>
    <w:rsid w:val="00317724"/>
    <w:rsid w:val="00317B56"/>
    <w:rsid w:val="00317C99"/>
    <w:rsid w:val="00320B35"/>
    <w:rsid w:val="00320CAC"/>
    <w:rsid w:val="0032120B"/>
    <w:rsid w:val="00321847"/>
    <w:rsid w:val="00321DA8"/>
    <w:rsid w:val="003224EA"/>
    <w:rsid w:val="0032292E"/>
    <w:rsid w:val="00323D1A"/>
    <w:rsid w:val="00324256"/>
    <w:rsid w:val="003246A4"/>
    <w:rsid w:val="00324A08"/>
    <w:rsid w:val="003258FA"/>
    <w:rsid w:val="00327385"/>
    <w:rsid w:val="00327F00"/>
    <w:rsid w:val="00330436"/>
    <w:rsid w:val="003304C0"/>
    <w:rsid w:val="003305B5"/>
    <w:rsid w:val="0033068D"/>
    <w:rsid w:val="003307A6"/>
    <w:rsid w:val="00330812"/>
    <w:rsid w:val="00330A2D"/>
    <w:rsid w:val="003311C2"/>
    <w:rsid w:val="00331A2A"/>
    <w:rsid w:val="00331B22"/>
    <w:rsid w:val="0033205B"/>
    <w:rsid w:val="00332538"/>
    <w:rsid w:val="00332697"/>
    <w:rsid w:val="00332B0D"/>
    <w:rsid w:val="0033319F"/>
    <w:rsid w:val="00333B01"/>
    <w:rsid w:val="00333B71"/>
    <w:rsid w:val="003349C6"/>
    <w:rsid w:val="003352DF"/>
    <w:rsid w:val="003354F8"/>
    <w:rsid w:val="0033594A"/>
    <w:rsid w:val="00335B63"/>
    <w:rsid w:val="003367AB"/>
    <w:rsid w:val="00336D49"/>
    <w:rsid w:val="00336DBC"/>
    <w:rsid w:val="00336FE0"/>
    <w:rsid w:val="003371F9"/>
    <w:rsid w:val="003378EE"/>
    <w:rsid w:val="00337CB4"/>
    <w:rsid w:val="00337D49"/>
    <w:rsid w:val="003406DE"/>
    <w:rsid w:val="00340740"/>
    <w:rsid w:val="003410A4"/>
    <w:rsid w:val="003413A9"/>
    <w:rsid w:val="0034158B"/>
    <w:rsid w:val="00341891"/>
    <w:rsid w:val="00341A03"/>
    <w:rsid w:val="00341B00"/>
    <w:rsid w:val="00342769"/>
    <w:rsid w:val="003427F2"/>
    <w:rsid w:val="00342A36"/>
    <w:rsid w:val="00342D5D"/>
    <w:rsid w:val="00342F01"/>
    <w:rsid w:val="00342F51"/>
    <w:rsid w:val="00343257"/>
    <w:rsid w:val="003434F8"/>
    <w:rsid w:val="003446FB"/>
    <w:rsid w:val="0034477F"/>
    <w:rsid w:val="00345CBB"/>
    <w:rsid w:val="00346FAF"/>
    <w:rsid w:val="0034757D"/>
    <w:rsid w:val="003477CB"/>
    <w:rsid w:val="00347BB3"/>
    <w:rsid w:val="003505A6"/>
    <w:rsid w:val="00350639"/>
    <w:rsid w:val="00350C74"/>
    <w:rsid w:val="003513D1"/>
    <w:rsid w:val="00351A5F"/>
    <w:rsid w:val="00351EEC"/>
    <w:rsid w:val="00353078"/>
    <w:rsid w:val="003535BD"/>
    <w:rsid w:val="00353E57"/>
    <w:rsid w:val="00354D02"/>
    <w:rsid w:val="00355B03"/>
    <w:rsid w:val="00355FF4"/>
    <w:rsid w:val="00356EA6"/>
    <w:rsid w:val="0035781A"/>
    <w:rsid w:val="00360A29"/>
    <w:rsid w:val="0036116B"/>
    <w:rsid w:val="003621E8"/>
    <w:rsid w:val="0036263D"/>
    <w:rsid w:val="00362B56"/>
    <w:rsid w:val="00363B32"/>
    <w:rsid w:val="00363EB7"/>
    <w:rsid w:val="00364445"/>
    <w:rsid w:val="0036450A"/>
    <w:rsid w:val="0036519C"/>
    <w:rsid w:val="00365551"/>
    <w:rsid w:val="003669DB"/>
    <w:rsid w:val="00366DC0"/>
    <w:rsid w:val="00367B33"/>
    <w:rsid w:val="00370C25"/>
    <w:rsid w:val="00371469"/>
    <w:rsid w:val="00371780"/>
    <w:rsid w:val="00371AF5"/>
    <w:rsid w:val="00371F2C"/>
    <w:rsid w:val="003721F9"/>
    <w:rsid w:val="0037268E"/>
    <w:rsid w:val="00373644"/>
    <w:rsid w:val="00373A2D"/>
    <w:rsid w:val="00373E7B"/>
    <w:rsid w:val="00374DA4"/>
    <w:rsid w:val="0037586E"/>
    <w:rsid w:val="003800FB"/>
    <w:rsid w:val="00381953"/>
    <w:rsid w:val="00381B61"/>
    <w:rsid w:val="00382CB2"/>
    <w:rsid w:val="00382CED"/>
    <w:rsid w:val="0038302D"/>
    <w:rsid w:val="003830B0"/>
    <w:rsid w:val="00383B2E"/>
    <w:rsid w:val="0038419D"/>
    <w:rsid w:val="00384460"/>
    <w:rsid w:val="00384EB3"/>
    <w:rsid w:val="00385A8F"/>
    <w:rsid w:val="00385BE2"/>
    <w:rsid w:val="0038663F"/>
    <w:rsid w:val="00386B67"/>
    <w:rsid w:val="00387000"/>
    <w:rsid w:val="00387FFC"/>
    <w:rsid w:val="00392957"/>
    <w:rsid w:val="00392C74"/>
    <w:rsid w:val="00393BD3"/>
    <w:rsid w:val="0039409D"/>
    <w:rsid w:val="00395261"/>
    <w:rsid w:val="00395340"/>
    <w:rsid w:val="003953E0"/>
    <w:rsid w:val="00396055"/>
    <w:rsid w:val="00397B21"/>
    <w:rsid w:val="00397C15"/>
    <w:rsid w:val="003A09A1"/>
    <w:rsid w:val="003A0CF1"/>
    <w:rsid w:val="003A136D"/>
    <w:rsid w:val="003A2467"/>
    <w:rsid w:val="003A2B65"/>
    <w:rsid w:val="003A2D93"/>
    <w:rsid w:val="003A325D"/>
    <w:rsid w:val="003A3C83"/>
    <w:rsid w:val="003A4181"/>
    <w:rsid w:val="003A6401"/>
    <w:rsid w:val="003A6C79"/>
    <w:rsid w:val="003A7C9D"/>
    <w:rsid w:val="003A7CFB"/>
    <w:rsid w:val="003B1748"/>
    <w:rsid w:val="003B1AF9"/>
    <w:rsid w:val="003B1C86"/>
    <w:rsid w:val="003B219C"/>
    <w:rsid w:val="003B339C"/>
    <w:rsid w:val="003B36DB"/>
    <w:rsid w:val="003B42C2"/>
    <w:rsid w:val="003B4BEF"/>
    <w:rsid w:val="003B5554"/>
    <w:rsid w:val="003B5B0D"/>
    <w:rsid w:val="003B5E63"/>
    <w:rsid w:val="003B5FB8"/>
    <w:rsid w:val="003B70A9"/>
    <w:rsid w:val="003B73E1"/>
    <w:rsid w:val="003B770A"/>
    <w:rsid w:val="003B7C6D"/>
    <w:rsid w:val="003C0325"/>
    <w:rsid w:val="003C0F40"/>
    <w:rsid w:val="003C12A7"/>
    <w:rsid w:val="003C1627"/>
    <w:rsid w:val="003C16D9"/>
    <w:rsid w:val="003C211E"/>
    <w:rsid w:val="003C29C8"/>
    <w:rsid w:val="003C2EA1"/>
    <w:rsid w:val="003C33FC"/>
    <w:rsid w:val="003C36B7"/>
    <w:rsid w:val="003C4206"/>
    <w:rsid w:val="003C4972"/>
    <w:rsid w:val="003C6A50"/>
    <w:rsid w:val="003C74E9"/>
    <w:rsid w:val="003D022E"/>
    <w:rsid w:val="003D04B8"/>
    <w:rsid w:val="003D0932"/>
    <w:rsid w:val="003D1165"/>
    <w:rsid w:val="003D24DF"/>
    <w:rsid w:val="003D35EF"/>
    <w:rsid w:val="003D38D4"/>
    <w:rsid w:val="003D39BD"/>
    <w:rsid w:val="003D3BDF"/>
    <w:rsid w:val="003D491B"/>
    <w:rsid w:val="003D4F7B"/>
    <w:rsid w:val="003D6442"/>
    <w:rsid w:val="003D65D6"/>
    <w:rsid w:val="003D6703"/>
    <w:rsid w:val="003D6DD8"/>
    <w:rsid w:val="003D7EBB"/>
    <w:rsid w:val="003E007B"/>
    <w:rsid w:val="003E088C"/>
    <w:rsid w:val="003E0F20"/>
    <w:rsid w:val="003E1EBE"/>
    <w:rsid w:val="003E2231"/>
    <w:rsid w:val="003E23A2"/>
    <w:rsid w:val="003E23D0"/>
    <w:rsid w:val="003E2CC0"/>
    <w:rsid w:val="003E2FE4"/>
    <w:rsid w:val="003E3820"/>
    <w:rsid w:val="003E44F4"/>
    <w:rsid w:val="003E4959"/>
    <w:rsid w:val="003E4ADF"/>
    <w:rsid w:val="003E6CDF"/>
    <w:rsid w:val="003E79BB"/>
    <w:rsid w:val="003F0100"/>
    <w:rsid w:val="003F04D3"/>
    <w:rsid w:val="003F06A4"/>
    <w:rsid w:val="003F0900"/>
    <w:rsid w:val="003F0FE6"/>
    <w:rsid w:val="003F1047"/>
    <w:rsid w:val="003F129E"/>
    <w:rsid w:val="003F1AA3"/>
    <w:rsid w:val="003F2BEF"/>
    <w:rsid w:val="003F2DA2"/>
    <w:rsid w:val="003F326B"/>
    <w:rsid w:val="003F332E"/>
    <w:rsid w:val="003F352B"/>
    <w:rsid w:val="003F3728"/>
    <w:rsid w:val="003F3981"/>
    <w:rsid w:val="003F3FC1"/>
    <w:rsid w:val="003F43AB"/>
    <w:rsid w:val="003F4BB1"/>
    <w:rsid w:val="003F53EB"/>
    <w:rsid w:val="003F5798"/>
    <w:rsid w:val="003F5ABE"/>
    <w:rsid w:val="003F5F46"/>
    <w:rsid w:val="003F725B"/>
    <w:rsid w:val="003F7BCD"/>
    <w:rsid w:val="003F7F7D"/>
    <w:rsid w:val="00400000"/>
    <w:rsid w:val="004002A1"/>
    <w:rsid w:val="00400E39"/>
    <w:rsid w:val="00401288"/>
    <w:rsid w:val="00401B04"/>
    <w:rsid w:val="0040213E"/>
    <w:rsid w:val="004031FA"/>
    <w:rsid w:val="0040351E"/>
    <w:rsid w:val="0040369A"/>
    <w:rsid w:val="004039D1"/>
    <w:rsid w:val="00404DC2"/>
    <w:rsid w:val="00404FBA"/>
    <w:rsid w:val="00405492"/>
    <w:rsid w:val="004058E7"/>
    <w:rsid w:val="00405923"/>
    <w:rsid w:val="00405935"/>
    <w:rsid w:val="0040675C"/>
    <w:rsid w:val="004068C7"/>
    <w:rsid w:val="00406903"/>
    <w:rsid w:val="0040780D"/>
    <w:rsid w:val="00407951"/>
    <w:rsid w:val="004103F7"/>
    <w:rsid w:val="004105DF"/>
    <w:rsid w:val="00410EE6"/>
    <w:rsid w:val="00411340"/>
    <w:rsid w:val="004113B1"/>
    <w:rsid w:val="00411D9A"/>
    <w:rsid w:val="004123C3"/>
    <w:rsid w:val="00412BD6"/>
    <w:rsid w:val="004131FA"/>
    <w:rsid w:val="00414063"/>
    <w:rsid w:val="00414195"/>
    <w:rsid w:val="004146F4"/>
    <w:rsid w:val="0041555E"/>
    <w:rsid w:val="00415A27"/>
    <w:rsid w:val="00416475"/>
    <w:rsid w:val="0041678E"/>
    <w:rsid w:val="0041685B"/>
    <w:rsid w:val="00417369"/>
    <w:rsid w:val="004207EC"/>
    <w:rsid w:val="00420EC4"/>
    <w:rsid w:val="00421316"/>
    <w:rsid w:val="0042189E"/>
    <w:rsid w:val="00421CE8"/>
    <w:rsid w:val="00421EF3"/>
    <w:rsid w:val="004221D7"/>
    <w:rsid w:val="00422E07"/>
    <w:rsid w:val="0042307B"/>
    <w:rsid w:val="00423622"/>
    <w:rsid w:val="00423820"/>
    <w:rsid w:val="004240D2"/>
    <w:rsid w:val="00424344"/>
    <w:rsid w:val="0042437C"/>
    <w:rsid w:val="0042561D"/>
    <w:rsid w:val="00425EC8"/>
    <w:rsid w:val="00425FD7"/>
    <w:rsid w:val="00426109"/>
    <w:rsid w:val="00426449"/>
    <w:rsid w:val="004264CB"/>
    <w:rsid w:val="004274AD"/>
    <w:rsid w:val="004316C6"/>
    <w:rsid w:val="00431DF1"/>
    <w:rsid w:val="00432118"/>
    <w:rsid w:val="004324A8"/>
    <w:rsid w:val="00432931"/>
    <w:rsid w:val="00432BA0"/>
    <w:rsid w:val="00432E69"/>
    <w:rsid w:val="004332EA"/>
    <w:rsid w:val="00433CD9"/>
    <w:rsid w:val="0043424B"/>
    <w:rsid w:val="00436213"/>
    <w:rsid w:val="00436A98"/>
    <w:rsid w:val="0043771A"/>
    <w:rsid w:val="00440195"/>
    <w:rsid w:val="004403CC"/>
    <w:rsid w:val="004408DB"/>
    <w:rsid w:val="00440F35"/>
    <w:rsid w:val="0044118F"/>
    <w:rsid w:val="00441B84"/>
    <w:rsid w:val="0044207B"/>
    <w:rsid w:val="004420E9"/>
    <w:rsid w:val="00443716"/>
    <w:rsid w:val="00443962"/>
    <w:rsid w:val="00443D5E"/>
    <w:rsid w:val="00443E15"/>
    <w:rsid w:val="00444213"/>
    <w:rsid w:val="004445CE"/>
    <w:rsid w:val="004445D1"/>
    <w:rsid w:val="00444616"/>
    <w:rsid w:val="00444746"/>
    <w:rsid w:val="00444956"/>
    <w:rsid w:val="00444A0D"/>
    <w:rsid w:val="00444A24"/>
    <w:rsid w:val="00444A59"/>
    <w:rsid w:val="00444DA5"/>
    <w:rsid w:val="00445139"/>
    <w:rsid w:val="00445470"/>
    <w:rsid w:val="00445855"/>
    <w:rsid w:val="00445B77"/>
    <w:rsid w:val="0044655D"/>
    <w:rsid w:val="004468E9"/>
    <w:rsid w:val="0044695B"/>
    <w:rsid w:val="00446B12"/>
    <w:rsid w:val="00447FE4"/>
    <w:rsid w:val="0045066D"/>
    <w:rsid w:val="00451105"/>
    <w:rsid w:val="00451D3F"/>
    <w:rsid w:val="00451D43"/>
    <w:rsid w:val="00452081"/>
    <w:rsid w:val="004526D9"/>
    <w:rsid w:val="00452AC8"/>
    <w:rsid w:val="00453C15"/>
    <w:rsid w:val="00453DD6"/>
    <w:rsid w:val="00453E8B"/>
    <w:rsid w:val="0045451F"/>
    <w:rsid w:val="00454B52"/>
    <w:rsid w:val="0045652F"/>
    <w:rsid w:val="00456CB7"/>
    <w:rsid w:val="004577DC"/>
    <w:rsid w:val="004602E8"/>
    <w:rsid w:val="00460371"/>
    <w:rsid w:val="00460914"/>
    <w:rsid w:val="00461220"/>
    <w:rsid w:val="0046181B"/>
    <w:rsid w:val="00461987"/>
    <w:rsid w:val="00461B83"/>
    <w:rsid w:val="00462220"/>
    <w:rsid w:val="004627C5"/>
    <w:rsid w:val="004628BA"/>
    <w:rsid w:val="00462A4F"/>
    <w:rsid w:val="00462AB3"/>
    <w:rsid w:val="00462FA9"/>
    <w:rsid w:val="00463217"/>
    <w:rsid w:val="00464174"/>
    <w:rsid w:val="0046499E"/>
    <w:rsid w:val="00465DF1"/>
    <w:rsid w:val="0046622D"/>
    <w:rsid w:val="004662D0"/>
    <w:rsid w:val="004663C9"/>
    <w:rsid w:val="0046659B"/>
    <w:rsid w:val="00466BA3"/>
    <w:rsid w:val="004672D2"/>
    <w:rsid w:val="00467528"/>
    <w:rsid w:val="00467B51"/>
    <w:rsid w:val="00467B76"/>
    <w:rsid w:val="00467C05"/>
    <w:rsid w:val="0047019C"/>
    <w:rsid w:val="00470DCD"/>
    <w:rsid w:val="00470F35"/>
    <w:rsid w:val="0047165E"/>
    <w:rsid w:val="00471AEF"/>
    <w:rsid w:val="00471AF2"/>
    <w:rsid w:val="004727D7"/>
    <w:rsid w:val="00473424"/>
    <w:rsid w:val="004744CA"/>
    <w:rsid w:val="0047576A"/>
    <w:rsid w:val="004759BE"/>
    <w:rsid w:val="004766AC"/>
    <w:rsid w:val="0047692C"/>
    <w:rsid w:val="00476D0E"/>
    <w:rsid w:val="00476D97"/>
    <w:rsid w:val="00480C86"/>
    <w:rsid w:val="00480E97"/>
    <w:rsid w:val="004811AC"/>
    <w:rsid w:val="004813C6"/>
    <w:rsid w:val="0048174B"/>
    <w:rsid w:val="00481A2A"/>
    <w:rsid w:val="00481C1C"/>
    <w:rsid w:val="00481CEE"/>
    <w:rsid w:val="00481F50"/>
    <w:rsid w:val="00482217"/>
    <w:rsid w:val="00482489"/>
    <w:rsid w:val="00483619"/>
    <w:rsid w:val="00483E09"/>
    <w:rsid w:val="00484916"/>
    <w:rsid w:val="00484B5D"/>
    <w:rsid w:val="00484ED4"/>
    <w:rsid w:val="0048501A"/>
    <w:rsid w:val="004851E8"/>
    <w:rsid w:val="00485595"/>
    <w:rsid w:val="00485FE3"/>
    <w:rsid w:val="00486570"/>
    <w:rsid w:val="00486930"/>
    <w:rsid w:val="004901DB"/>
    <w:rsid w:val="004908EF"/>
    <w:rsid w:val="00490F78"/>
    <w:rsid w:val="004911BD"/>
    <w:rsid w:val="00493B44"/>
    <w:rsid w:val="00494C99"/>
    <w:rsid w:val="00495AD9"/>
    <w:rsid w:val="004965FD"/>
    <w:rsid w:val="004A02E3"/>
    <w:rsid w:val="004A051A"/>
    <w:rsid w:val="004A136F"/>
    <w:rsid w:val="004A195C"/>
    <w:rsid w:val="004A19BD"/>
    <w:rsid w:val="004A1B98"/>
    <w:rsid w:val="004A1D0D"/>
    <w:rsid w:val="004A1D72"/>
    <w:rsid w:val="004A27A9"/>
    <w:rsid w:val="004A28A1"/>
    <w:rsid w:val="004A2C9B"/>
    <w:rsid w:val="004A2CBD"/>
    <w:rsid w:val="004A439A"/>
    <w:rsid w:val="004A4A83"/>
    <w:rsid w:val="004A4B28"/>
    <w:rsid w:val="004A4E28"/>
    <w:rsid w:val="004A529D"/>
    <w:rsid w:val="004A556B"/>
    <w:rsid w:val="004A583F"/>
    <w:rsid w:val="004A66B0"/>
    <w:rsid w:val="004A6EAB"/>
    <w:rsid w:val="004A7B64"/>
    <w:rsid w:val="004A7CA1"/>
    <w:rsid w:val="004B159E"/>
    <w:rsid w:val="004B17D5"/>
    <w:rsid w:val="004B1F54"/>
    <w:rsid w:val="004B1FC1"/>
    <w:rsid w:val="004B2151"/>
    <w:rsid w:val="004B2285"/>
    <w:rsid w:val="004B284F"/>
    <w:rsid w:val="004B4446"/>
    <w:rsid w:val="004B4A24"/>
    <w:rsid w:val="004B4BD0"/>
    <w:rsid w:val="004B50E1"/>
    <w:rsid w:val="004B5872"/>
    <w:rsid w:val="004B5CB3"/>
    <w:rsid w:val="004B6A1A"/>
    <w:rsid w:val="004B6E30"/>
    <w:rsid w:val="004B70F7"/>
    <w:rsid w:val="004B75A1"/>
    <w:rsid w:val="004B790E"/>
    <w:rsid w:val="004C0396"/>
    <w:rsid w:val="004C0FBE"/>
    <w:rsid w:val="004C145C"/>
    <w:rsid w:val="004C1A86"/>
    <w:rsid w:val="004C1DE4"/>
    <w:rsid w:val="004C221B"/>
    <w:rsid w:val="004C2A08"/>
    <w:rsid w:val="004C2D21"/>
    <w:rsid w:val="004C3C0C"/>
    <w:rsid w:val="004C3CC8"/>
    <w:rsid w:val="004C5517"/>
    <w:rsid w:val="004C5D68"/>
    <w:rsid w:val="004C5E68"/>
    <w:rsid w:val="004C5F69"/>
    <w:rsid w:val="004C643D"/>
    <w:rsid w:val="004C67B8"/>
    <w:rsid w:val="004C6AFD"/>
    <w:rsid w:val="004C6E13"/>
    <w:rsid w:val="004C6FCF"/>
    <w:rsid w:val="004C6FF0"/>
    <w:rsid w:val="004C7308"/>
    <w:rsid w:val="004D0003"/>
    <w:rsid w:val="004D087F"/>
    <w:rsid w:val="004D1552"/>
    <w:rsid w:val="004D21C8"/>
    <w:rsid w:val="004D2EF6"/>
    <w:rsid w:val="004D31EA"/>
    <w:rsid w:val="004D3273"/>
    <w:rsid w:val="004D4390"/>
    <w:rsid w:val="004D5ED8"/>
    <w:rsid w:val="004D6410"/>
    <w:rsid w:val="004D6428"/>
    <w:rsid w:val="004D69BC"/>
    <w:rsid w:val="004D7724"/>
    <w:rsid w:val="004D7F03"/>
    <w:rsid w:val="004E01C6"/>
    <w:rsid w:val="004E0AE5"/>
    <w:rsid w:val="004E104F"/>
    <w:rsid w:val="004E1F5B"/>
    <w:rsid w:val="004E27AA"/>
    <w:rsid w:val="004E3353"/>
    <w:rsid w:val="004E358A"/>
    <w:rsid w:val="004E35BB"/>
    <w:rsid w:val="004E3CAD"/>
    <w:rsid w:val="004E3F09"/>
    <w:rsid w:val="004E4C9B"/>
    <w:rsid w:val="004E4EAA"/>
    <w:rsid w:val="004E55C6"/>
    <w:rsid w:val="004E5E16"/>
    <w:rsid w:val="004E5E31"/>
    <w:rsid w:val="004E5EAD"/>
    <w:rsid w:val="004E62A6"/>
    <w:rsid w:val="004E6747"/>
    <w:rsid w:val="004E7093"/>
    <w:rsid w:val="004E743F"/>
    <w:rsid w:val="004E79DA"/>
    <w:rsid w:val="004E7A4C"/>
    <w:rsid w:val="004F02C4"/>
    <w:rsid w:val="004F1EAC"/>
    <w:rsid w:val="004F3278"/>
    <w:rsid w:val="004F3C19"/>
    <w:rsid w:val="004F3F56"/>
    <w:rsid w:val="004F3F88"/>
    <w:rsid w:val="004F416D"/>
    <w:rsid w:val="004F4589"/>
    <w:rsid w:val="004F4A3A"/>
    <w:rsid w:val="004F4F25"/>
    <w:rsid w:val="004F5463"/>
    <w:rsid w:val="004F5483"/>
    <w:rsid w:val="004F560F"/>
    <w:rsid w:val="004F58EB"/>
    <w:rsid w:val="004F630B"/>
    <w:rsid w:val="004F6EB3"/>
    <w:rsid w:val="004F7880"/>
    <w:rsid w:val="004F7A7A"/>
    <w:rsid w:val="004F7E7E"/>
    <w:rsid w:val="005007E0"/>
    <w:rsid w:val="00500D3A"/>
    <w:rsid w:val="00501652"/>
    <w:rsid w:val="00501C7D"/>
    <w:rsid w:val="00501CF8"/>
    <w:rsid w:val="00501FC5"/>
    <w:rsid w:val="00502CB2"/>
    <w:rsid w:val="00502F16"/>
    <w:rsid w:val="00503002"/>
    <w:rsid w:val="00503321"/>
    <w:rsid w:val="005039EA"/>
    <w:rsid w:val="00506349"/>
    <w:rsid w:val="00506575"/>
    <w:rsid w:val="005069A8"/>
    <w:rsid w:val="00506B51"/>
    <w:rsid w:val="00507E99"/>
    <w:rsid w:val="00507F8A"/>
    <w:rsid w:val="00510099"/>
    <w:rsid w:val="005102F7"/>
    <w:rsid w:val="00510705"/>
    <w:rsid w:val="00510A67"/>
    <w:rsid w:val="00510E7B"/>
    <w:rsid w:val="00511208"/>
    <w:rsid w:val="005114D4"/>
    <w:rsid w:val="00512334"/>
    <w:rsid w:val="0051258A"/>
    <w:rsid w:val="00513527"/>
    <w:rsid w:val="00513560"/>
    <w:rsid w:val="005145F8"/>
    <w:rsid w:val="00514727"/>
    <w:rsid w:val="005147C8"/>
    <w:rsid w:val="00514AB3"/>
    <w:rsid w:val="0051579D"/>
    <w:rsid w:val="00515ECF"/>
    <w:rsid w:val="00516A7B"/>
    <w:rsid w:val="00517141"/>
    <w:rsid w:val="005201F3"/>
    <w:rsid w:val="005201FA"/>
    <w:rsid w:val="0052076E"/>
    <w:rsid w:val="00521F00"/>
    <w:rsid w:val="005226E0"/>
    <w:rsid w:val="005234C9"/>
    <w:rsid w:val="00523FC0"/>
    <w:rsid w:val="005245F4"/>
    <w:rsid w:val="00524A8B"/>
    <w:rsid w:val="005254BD"/>
    <w:rsid w:val="00525E27"/>
    <w:rsid w:val="005263CF"/>
    <w:rsid w:val="0052689C"/>
    <w:rsid w:val="00526C26"/>
    <w:rsid w:val="005278C5"/>
    <w:rsid w:val="00527948"/>
    <w:rsid w:val="00530370"/>
    <w:rsid w:val="005306BE"/>
    <w:rsid w:val="005309A1"/>
    <w:rsid w:val="00530DEF"/>
    <w:rsid w:val="00531D6F"/>
    <w:rsid w:val="0053214B"/>
    <w:rsid w:val="00532160"/>
    <w:rsid w:val="00532D14"/>
    <w:rsid w:val="0053437D"/>
    <w:rsid w:val="00534DA2"/>
    <w:rsid w:val="00535815"/>
    <w:rsid w:val="00536C6C"/>
    <w:rsid w:val="00536D63"/>
    <w:rsid w:val="0053714A"/>
    <w:rsid w:val="00537719"/>
    <w:rsid w:val="00540703"/>
    <w:rsid w:val="00540AB3"/>
    <w:rsid w:val="00540E30"/>
    <w:rsid w:val="005411BE"/>
    <w:rsid w:val="00541FB2"/>
    <w:rsid w:val="0054228A"/>
    <w:rsid w:val="005428D4"/>
    <w:rsid w:val="00542E73"/>
    <w:rsid w:val="005430F9"/>
    <w:rsid w:val="005436A0"/>
    <w:rsid w:val="005437F4"/>
    <w:rsid w:val="00543AAB"/>
    <w:rsid w:val="00544948"/>
    <w:rsid w:val="00544FEA"/>
    <w:rsid w:val="0054546B"/>
    <w:rsid w:val="005454C3"/>
    <w:rsid w:val="005468B0"/>
    <w:rsid w:val="00546FD1"/>
    <w:rsid w:val="0054730B"/>
    <w:rsid w:val="00547A98"/>
    <w:rsid w:val="0055043E"/>
    <w:rsid w:val="00550507"/>
    <w:rsid w:val="00550773"/>
    <w:rsid w:val="005507E6"/>
    <w:rsid w:val="00550A25"/>
    <w:rsid w:val="0055123F"/>
    <w:rsid w:val="005526A4"/>
    <w:rsid w:val="0055312B"/>
    <w:rsid w:val="005532EA"/>
    <w:rsid w:val="00553630"/>
    <w:rsid w:val="00553A26"/>
    <w:rsid w:val="00553F9B"/>
    <w:rsid w:val="0055432E"/>
    <w:rsid w:val="005548F5"/>
    <w:rsid w:val="00554E34"/>
    <w:rsid w:val="005552C9"/>
    <w:rsid w:val="00555A06"/>
    <w:rsid w:val="00555C1C"/>
    <w:rsid w:val="005561B2"/>
    <w:rsid w:val="00556B31"/>
    <w:rsid w:val="00556F27"/>
    <w:rsid w:val="0055731E"/>
    <w:rsid w:val="0056086F"/>
    <w:rsid w:val="00560894"/>
    <w:rsid w:val="005613EC"/>
    <w:rsid w:val="005616A5"/>
    <w:rsid w:val="00561856"/>
    <w:rsid w:val="00561E7D"/>
    <w:rsid w:val="0056235E"/>
    <w:rsid w:val="00562686"/>
    <w:rsid w:val="0056283F"/>
    <w:rsid w:val="00562E4E"/>
    <w:rsid w:val="005643AA"/>
    <w:rsid w:val="00564E8A"/>
    <w:rsid w:val="00564F2E"/>
    <w:rsid w:val="005650EC"/>
    <w:rsid w:val="00566FC5"/>
    <w:rsid w:val="0056705E"/>
    <w:rsid w:val="005703AF"/>
    <w:rsid w:val="005705F3"/>
    <w:rsid w:val="00570E1C"/>
    <w:rsid w:val="00570F43"/>
    <w:rsid w:val="005715D3"/>
    <w:rsid w:val="00571B70"/>
    <w:rsid w:val="00571DE8"/>
    <w:rsid w:val="005720AA"/>
    <w:rsid w:val="005727C8"/>
    <w:rsid w:val="005730A1"/>
    <w:rsid w:val="00574C63"/>
    <w:rsid w:val="00574C84"/>
    <w:rsid w:val="00575219"/>
    <w:rsid w:val="005753D2"/>
    <w:rsid w:val="00575F93"/>
    <w:rsid w:val="005769D5"/>
    <w:rsid w:val="005772B0"/>
    <w:rsid w:val="005805F8"/>
    <w:rsid w:val="00581129"/>
    <w:rsid w:val="005823A0"/>
    <w:rsid w:val="00582733"/>
    <w:rsid w:val="00582797"/>
    <w:rsid w:val="00582A02"/>
    <w:rsid w:val="00582A3D"/>
    <w:rsid w:val="00584C42"/>
    <w:rsid w:val="005850B8"/>
    <w:rsid w:val="0058522C"/>
    <w:rsid w:val="00585624"/>
    <w:rsid w:val="00585D56"/>
    <w:rsid w:val="00585EEC"/>
    <w:rsid w:val="005913DB"/>
    <w:rsid w:val="005914B4"/>
    <w:rsid w:val="0059186A"/>
    <w:rsid w:val="0059201F"/>
    <w:rsid w:val="0059203A"/>
    <w:rsid w:val="00592503"/>
    <w:rsid w:val="00593270"/>
    <w:rsid w:val="005933EB"/>
    <w:rsid w:val="00593BFB"/>
    <w:rsid w:val="005941F0"/>
    <w:rsid w:val="0059441C"/>
    <w:rsid w:val="0059460E"/>
    <w:rsid w:val="0059582E"/>
    <w:rsid w:val="00595BFB"/>
    <w:rsid w:val="00596012"/>
    <w:rsid w:val="005964DF"/>
    <w:rsid w:val="005967DC"/>
    <w:rsid w:val="00596991"/>
    <w:rsid w:val="005969E7"/>
    <w:rsid w:val="00596BD6"/>
    <w:rsid w:val="00597D09"/>
    <w:rsid w:val="005A036E"/>
    <w:rsid w:val="005A03A3"/>
    <w:rsid w:val="005A05B4"/>
    <w:rsid w:val="005A1214"/>
    <w:rsid w:val="005A17D6"/>
    <w:rsid w:val="005A1A70"/>
    <w:rsid w:val="005A1E8C"/>
    <w:rsid w:val="005A1FAB"/>
    <w:rsid w:val="005A3073"/>
    <w:rsid w:val="005A392C"/>
    <w:rsid w:val="005A4403"/>
    <w:rsid w:val="005A463D"/>
    <w:rsid w:val="005A5AAC"/>
    <w:rsid w:val="005A5EAD"/>
    <w:rsid w:val="005A6882"/>
    <w:rsid w:val="005A6899"/>
    <w:rsid w:val="005A72EC"/>
    <w:rsid w:val="005A742E"/>
    <w:rsid w:val="005A766D"/>
    <w:rsid w:val="005A7C11"/>
    <w:rsid w:val="005A7F35"/>
    <w:rsid w:val="005A7F53"/>
    <w:rsid w:val="005B02BF"/>
    <w:rsid w:val="005B08FF"/>
    <w:rsid w:val="005B0A1C"/>
    <w:rsid w:val="005B0DC7"/>
    <w:rsid w:val="005B0F9D"/>
    <w:rsid w:val="005B0FC1"/>
    <w:rsid w:val="005B16AE"/>
    <w:rsid w:val="005B1A85"/>
    <w:rsid w:val="005B2668"/>
    <w:rsid w:val="005B337C"/>
    <w:rsid w:val="005B5850"/>
    <w:rsid w:val="005B5D3A"/>
    <w:rsid w:val="005B5E9D"/>
    <w:rsid w:val="005B6696"/>
    <w:rsid w:val="005B72B7"/>
    <w:rsid w:val="005C0172"/>
    <w:rsid w:val="005C02B9"/>
    <w:rsid w:val="005C0A2D"/>
    <w:rsid w:val="005C0A83"/>
    <w:rsid w:val="005C195F"/>
    <w:rsid w:val="005C25CA"/>
    <w:rsid w:val="005C26C7"/>
    <w:rsid w:val="005C35BD"/>
    <w:rsid w:val="005C46EB"/>
    <w:rsid w:val="005C50FA"/>
    <w:rsid w:val="005C5393"/>
    <w:rsid w:val="005C569B"/>
    <w:rsid w:val="005C5F9A"/>
    <w:rsid w:val="005C61AD"/>
    <w:rsid w:val="005C69E2"/>
    <w:rsid w:val="005C7B3D"/>
    <w:rsid w:val="005D002E"/>
    <w:rsid w:val="005D0590"/>
    <w:rsid w:val="005D1489"/>
    <w:rsid w:val="005D17D3"/>
    <w:rsid w:val="005D18F3"/>
    <w:rsid w:val="005D210E"/>
    <w:rsid w:val="005D2310"/>
    <w:rsid w:val="005D2A8A"/>
    <w:rsid w:val="005D31F8"/>
    <w:rsid w:val="005D45F5"/>
    <w:rsid w:val="005D5EC9"/>
    <w:rsid w:val="005D5FC8"/>
    <w:rsid w:val="005D6BC0"/>
    <w:rsid w:val="005D6CE3"/>
    <w:rsid w:val="005D71D5"/>
    <w:rsid w:val="005D7744"/>
    <w:rsid w:val="005D7AA6"/>
    <w:rsid w:val="005D7D8A"/>
    <w:rsid w:val="005E0869"/>
    <w:rsid w:val="005E0E13"/>
    <w:rsid w:val="005E1028"/>
    <w:rsid w:val="005E106B"/>
    <w:rsid w:val="005E121E"/>
    <w:rsid w:val="005E14DC"/>
    <w:rsid w:val="005E259A"/>
    <w:rsid w:val="005E2E4D"/>
    <w:rsid w:val="005E36F5"/>
    <w:rsid w:val="005E3B66"/>
    <w:rsid w:val="005E50BE"/>
    <w:rsid w:val="005E525D"/>
    <w:rsid w:val="005E556A"/>
    <w:rsid w:val="005E58A2"/>
    <w:rsid w:val="005E6DD8"/>
    <w:rsid w:val="005E6F94"/>
    <w:rsid w:val="005E7329"/>
    <w:rsid w:val="005E785F"/>
    <w:rsid w:val="005E78B6"/>
    <w:rsid w:val="005E7C48"/>
    <w:rsid w:val="005F07D3"/>
    <w:rsid w:val="005F1CA1"/>
    <w:rsid w:val="005F1DF2"/>
    <w:rsid w:val="005F1F9F"/>
    <w:rsid w:val="005F326F"/>
    <w:rsid w:val="005F42D5"/>
    <w:rsid w:val="005F6696"/>
    <w:rsid w:val="005F68CD"/>
    <w:rsid w:val="005F6E60"/>
    <w:rsid w:val="005F6F99"/>
    <w:rsid w:val="005F7DC9"/>
    <w:rsid w:val="00600432"/>
    <w:rsid w:val="006011E5"/>
    <w:rsid w:val="0060145B"/>
    <w:rsid w:val="00601970"/>
    <w:rsid w:val="00601B90"/>
    <w:rsid w:val="00601BF4"/>
    <w:rsid w:val="00601EF3"/>
    <w:rsid w:val="00602082"/>
    <w:rsid w:val="006021F9"/>
    <w:rsid w:val="00602885"/>
    <w:rsid w:val="00602D30"/>
    <w:rsid w:val="00603044"/>
    <w:rsid w:val="00603A6B"/>
    <w:rsid w:val="00603E96"/>
    <w:rsid w:val="006046DB"/>
    <w:rsid w:val="00604787"/>
    <w:rsid w:val="00605293"/>
    <w:rsid w:val="006052E8"/>
    <w:rsid w:val="006053A3"/>
    <w:rsid w:val="00605722"/>
    <w:rsid w:val="00605810"/>
    <w:rsid w:val="00605867"/>
    <w:rsid w:val="00605DBB"/>
    <w:rsid w:val="006061DD"/>
    <w:rsid w:val="006065A9"/>
    <w:rsid w:val="006075E1"/>
    <w:rsid w:val="00607836"/>
    <w:rsid w:val="006079CB"/>
    <w:rsid w:val="00607A86"/>
    <w:rsid w:val="00607C8B"/>
    <w:rsid w:val="00607EB2"/>
    <w:rsid w:val="0061055A"/>
    <w:rsid w:val="00610749"/>
    <w:rsid w:val="006109A5"/>
    <w:rsid w:val="006109BD"/>
    <w:rsid w:val="00610C5E"/>
    <w:rsid w:val="006115EB"/>
    <w:rsid w:val="00612FDC"/>
    <w:rsid w:val="006130A4"/>
    <w:rsid w:val="00614161"/>
    <w:rsid w:val="006145CE"/>
    <w:rsid w:val="00614730"/>
    <w:rsid w:val="00615B9E"/>
    <w:rsid w:val="00615D73"/>
    <w:rsid w:val="00615EF6"/>
    <w:rsid w:val="00616B04"/>
    <w:rsid w:val="00617455"/>
    <w:rsid w:val="00617B75"/>
    <w:rsid w:val="0062024D"/>
    <w:rsid w:val="00620564"/>
    <w:rsid w:val="006211B3"/>
    <w:rsid w:val="006216AF"/>
    <w:rsid w:val="006225F0"/>
    <w:rsid w:val="00622A9D"/>
    <w:rsid w:val="00623308"/>
    <w:rsid w:val="0062351E"/>
    <w:rsid w:val="0062359B"/>
    <w:rsid w:val="0062362B"/>
    <w:rsid w:val="0062474A"/>
    <w:rsid w:val="00625047"/>
    <w:rsid w:val="00625628"/>
    <w:rsid w:val="00626303"/>
    <w:rsid w:val="0062638A"/>
    <w:rsid w:val="0062658D"/>
    <w:rsid w:val="006267F5"/>
    <w:rsid w:val="006277C6"/>
    <w:rsid w:val="006301C3"/>
    <w:rsid w:val="006302AA"/>
    <w:rsid w:val="00630CA1"/>
    <w:rsid w:val="00631644"/>
    <w:rsid w:val="006321BF"/>
    <w:rsid w:val="0063275F"/>
    <w:rsid w:val="006349A3"/>
    <w:rsid w:val="00635818"/>
    <w:rsid w:val="00636830"/>
    <w:rsid w:val="006373E0"/>
    <w:rsid w:val="00640368"/>
    <w:rsid w:val="00640F11"/>
    <w:rsid w:val="006413A1"/>
    <w:rsid w:val="00641497"/>
    <w:rsid w:val="006418D6"/>
    <w:rsid w:val="00641AB3"/>
    <w:rsid w:val="00642249"/>
    <w:rsid w:val="00642354"/>
    <w:rsid w:val="00642CE7"/>
    <w:rsid w:val="00643008"/>
    <w:rsid w:val="0064302F"/>
    <w:rsid w:val="00643853"/>
    <w:rsid w:val="006440A0"/>
    <w:rsid w:val="006448D0"/>
    <w:rsid w:val="00646420"/>
    <w:rsid w:val="006466DE"/>
    <w:rsid w:val="006478DB"/>
    <w:rsid w:val="00647933"/>
    <w:rsid w:val="00650467"/>
    <w:rsid w:val="00650B0F"/>
    <w:rsid w:val="00651697"/>
    <w:rsid w:val="006516B3"/>
    <w:rsid w:val="00651F9F"/>
    <w:rsid w:val="00653204"/>
    <w:rsid w:val="00653254"/>
    <w:rsid w:val="0065328F"/>
    <w:rsid w:val="00653F7F"/>
    <w:rsid w:val="006545D6"/>
    <w:rsid w:val="006551C2"/>
    <w:rsid w:val="00655295"/>
    <w:rsid w:val="0065554A"/>
    <w:rsid w:val="00656AE1"/>
    <w:rsid w:val="00657886"/>
    <w:rsid w:val="00657D4B"/>
    <w:rsid w:val="006607DB"/>
    <w:rsid w:val="00661A21"/>
    <w:rsid w:val="006621AB"/>
    <w:rsid w:val="00662CB0"/>
    <w:rsid w:val="00662FCC"/>
    <w:rsid w:val="00663AC9"/>
    <w:rsid w:val="006643BD"/>
    <w:rsid w:val="00664F95"/>
    <w:rsid w:val="00665F6A"/>
    <w:rsid w:val="00666271"/>
    <w:rsid w:val="00666F19"/>
    <w:rsid w:val="00666FA3"/>
    <w:rsid w:val="0066716B"/>
    <w:rsid w:val="00667624"/>
    <w:rsid w:val="00667726"/>
    <w:rsid w:val="006679A7"/>
    <w:rsid w:val="00667B3C"/>
    <w:rsid w:val="00667C5C"/>
    <w:rsid w:val="00670298"/>
    <w:rsid w:val="00670550"/>
    <w:rsid w:val="00670560"/>
    <w:rsid w:val="00670DF7"/>
    <w:rsid w:val="00670E4F"/>
    <w:rsid w:val="00671821"/>
    <w:rsid w:val="00671C0A"/>
    <w:rsid w:val="00671D81"/>
    <w:rsid w:val="0067223D"/>
    <w:rsid w:val="006724B8"/>
    <w:rsid w:val="00672A62"/>
    <w:rsid w:val="00672EBD"/>
    <w:rsid w:val="00673BBD"/>
    <w:rsid w:val="00673E77"/>
    <w:rsid w:val="006740B5"/>
    <w:rsid w:val="00674FAE"/>
    <w:rsid w:val="00674FCB"/>
    <w:rsid w:val="006755E2"/>
    <w:rsid w:val="00675B02"/>
    <w:rsid w:val="00676AC4"/>
    <w:rsid w:val="00677AF3"/>
    <w:rsid w:val="00677CB9"/>
    <w:rsid w:val="00677DC7"/>
    <w:rsid w:val="00680169"/>
    <w:rsid w:val="006804E8"/>
    <w:rsid w:val="006807C9"/>
    <w:rsid w:val="00680C63"/>
    <w:rsid w:val="00680DBE"/>
    <w:rsid w:val="00681045"/>
    <w:rsid w:val="006817A4"/>
    <w:rsid w:val="00681AD4"/>
    <w:rsid w:val="00681BD0"/>
    <w:rsid w:val="00681C21"/>
    <w:rsid w:val="00681F72"/>
    <w:rsid w:val="00682100"/>
    <w:rsid w:val="00682EE2"/>
    <w:rsid w:val="00682FAF"/>
    <w:rsid w:val="0068315A"/>
    <w:rsid w:val="00683F9F"/>
    <w:rsid w:val="00684140"/>
    <w:rsid w:val="00684390"/>
    <w:rsid w:val="006846DA"/>
    <w:rsid w:val="00684771"/>
    <w:rsid w:val="006847AC"/>
    <w:rsid w:val="00684C12"/>
    <w:rsid w:val="00684DAA"/>
    <w:rsid w:val="00685F20"/>
    <w:rsid w:val="00686112"/>
    <w:rsid w:val="00686451"/>
    <w:rsid w:val="006868C1"/>
    <w:rsid w:val="00686971"/>
    <w:rsid w:val="00687F86"/>
    <w:rsid w:val="006900AF"/>
    <w:rsid w:val="006904D0"/>
    <w:rsid w:val="0069097F"/>
    <w:rsid w:val="00690A1C"/>
    <w:rsid w:val="00690C06"/>
    <w:rsid w:val="00691680"/>
    <w:rsid w:val="00692061"/>
    <w:rsid w:val="006925E0"/>
    <w:rsid w:val="006925F5"/>
    <w:rsid w:val="0069447F"/>
    <w:rsid w:val="00694B94"/>
    <w:rsid w:val="00694CF1"/>
    <w:rsid w:val="006955D2"/>
    <w:rsid w:val="00695913"/>
    <w:rsid w:val="00695B25"/>
    <w:rsid w:val="006971ED"/>
    <w:rsid w:val="006A0732"/>
    <w:rsid w:val="006A1ACC"/>
    <w:rsid w:val="006A1FBC"/>
    <w:rsid w:val="006A277D"/>
    <w:rsid w:val="006A287C"/>
    <w:rsid w:val="006A3373"/>
    <w:rsid w:val="006A34AF"/>
    <w:rsid w:val="006A3B14"/>
    <w:rsid w:val="006A42FD"/>
    <w:rsid w:val="006A4A7C"/>
    <w:rsid w:val="006A535F"/>
    <w:rsid w:val="006A5D76"/>
    <w:rsid w:val="006A65F7"/>
    <w:rsid w:val="006A7304"/>
    <w:rsid w:val="006A76ED"/>
    <w:rsid w:val="006A7AE0"/>
    <w:rsid w:val="006B03D9"/>
    <w:rsid w:val="006B0548"/>
    <w:rsid w:val="006B1675"/>
    <w:rsid w:val="006B1A46"/>
    <w:rsid w:val="006B1D01"/>
    <w:rsid w:val="006B1D1C"/>
    <w:rsid w:val="006B25A3"/>
    <w:rsid w:val="006B290A"/>
    <w:rsid w:val="006B2DAC"/>
    <w:rsid w:val="006B2E53"/>
    <w:rsid w:val="006B313F"/>
    <w:rsid w:val="006B3740"/>
    <w:rsid w:val="006B4026"/>
    <w:rsid w:val="006B455B"/>
    <w:rsid w:val="006B4A2A"/>
    <w:rsid w:val="006B53C3"/>
    <w:rsid w:val="006B5403"/>
    <w:rsid w:val="006B7263"/>
    <w:rsid w:val="006B72BB"/>
    <w:rsid w:val="006B7E3F"/>
    <w:rsid w:val="006C0D55"/>
    <w:rsid w:val="006C11A4"/>
    <w:rsid w:val="006C1ED0"/>
    <w:rsid w:val="006C265E"/>
    <w:rsid w:val="006C2D14"/>
    <w:rsid w:val="006C44F0"/>
    <w:rsid w:val="006C479A"/>
    <w:rsid w:val="006C4E6A"/>
    <w:rsid w:val="006C5673"/>
    <w:rsid w:val="006C5F4C"/>
    <w:rsid w:val="006C614B"/>
    <w:rsid w:val="006C6A0E"/>
    <w:rsid w:val="006C6A45"/>
    <w:rsid w:val="006D0378"/>
    <w:rsid w:val="006D0C4B"/>
    <w:rsid w:val="006D25C3"/>
    <w:rsid w:val="006D265F"/>
    <w:rsid w:val="006D2ED0"/>
    <w:rsid w:val="006D3549"/>
    <w:rsid w:val="006D3E64"/>
    <w:rsid w:val="006D47B1"/>
    <w:rsid w:val="006D48C5"/>
    <w:rsid w:val="006D49FF"/>
    <w:rsid w:val="006D57A1"/>
    <w:rsid w:val="006D6D1A"/>
    <w:rsid w:val="006E08F5"/>
    <w:rsid w:val="006E09F7"/>
    <w:rsid w:val="006E0D7D"/>
    <w:rsid w:val="006E1983"/>
    <w:rsid w:val="006E29ED"/>
    <w:rsid w:val="006E2E0E"/>
    <w:rsid w:val="006E51B7"/>
    <w:rsid w:val="006E5528"/>
    <w:rsid w:val="006E5A73"/>
    <w:rsid w:val="006E62D7"/>
    <w:rsid w:val="006E6A74"/>
    <w:rsid w:val="006E70B5"/>
    <w:rsid w:val="006E7378"/>
    <w:rsid w:val="006E7786"/>
    <w:rsid w:val="006E7B5D"/>
    <w:rsid w:val="006E7D87"/>
    <w:rsid w:val="006F073D"/>
    <w:rsid w:val="006F0AFA"/>
    <w:rsid w:val="006F0B86"/>
    <w:rsid w:val="006F0C0A"/>
    <w:rsid w:val="006F1038"/>
    <w:rsid w:val="006F1FC8"/>
    <w:rsid w:val="006F2043"/>
    <w:rsid w:val="006F233E"/>
    <w:rsid w:val="006F27D9"/>
    <w:rsid w:val="006F27EC"/>
    <w:rsid w:val="006F2C25"/>
    <w:rsid w:val="006F2DB5"/>
    <w:rsid w:val="006F3212"/>
    <w:rsid w:val="006F391E"/>
    <w:rsid w:val="006F3EAF"/>
    <w:rsid w:val="006F412E"/>
    <w:rsid w:val="006F48F7"/>
    <w:rsid w:val="006F5214"/>
    <w:rsid w:val="006F5462"/>
    <w:rsid w:val="006F5C58"/>
    <w:rsid w:val="006F5C5B"/>
    <w:rsid w:val="006F6BD1"/>
    <w:rsid w:val="006F6CB1"/>
    <w:rsid w:val="006F6E16"/>
    <w:rsid w:val="006F6F7A"/>
    <w:rsid w:val="006F7130"/>
    <w:rsid w:val="006F72F3"/>
    <w:rsid w:val="006F7703"/>
    <w:rsid w:val="006F7F4F"/>
    <w:rsid w:val="007005F4"/>
    <w:rsid w:val="00700716"/>
    <w:rsid w:val="00700764"/>
    <w:rsid w:val="00701456"/>
    <w:rsid w:val="00702887"/>
    <w:rsid w:val="00702CB9"/>
    <w:rsid w:val="00703733"/>
    <w:rsid w:val="007046B1"/>
    <w:rsid w:val="0070472A"/>
    <w:rsid w:val="007047B2"/>
    <w:rsid w:val="00705122"/>
    <w:rsid w:val="00705134"/>
    <w:rsid w:val="007052FA"/>
    <w:rsid w:val="00706983"/>
    <w:rsid w:val="00707582"/>
    <w:rsid w:val="00707AF8"/>
    <w:rsid w:val="00707D21"/>
    <w:rsid w:val="0071042F"/>
    <w:rsid w:val="007104C0"/>
    <w:rsid w:val="007104FE"/>
    <w:rsid w:val="00710685"/>
    <w:rsid w:val="007111BC"/>
    <w:rsid w:val="0071123C"/>
    <w:rsid w:val="0071180B"/>
    <w:rsid w:val="00711A3D"/>
    <w:rsid w:val="0071211C"/>
    <w:rsid w:val="007124C0"/>
    <w:rsid w:val="007128AC"/>
    <w:rsid w:val="007128C3"/>
    <w:rsid w:val="007136A1"/>
    <w:rsid w:val="00713E12"/>
    <w:rsid w:val="00713F8E"/>
    <w:rsid w:val="00715294"/>
    <w:rsid w:val="007153B3"/>
    <w:rsid w:val="00715FFE"/>
    <w:rsid w:val="0071717E"/>
    <w:rsid w:val="00717429"/>
    <w:rsid w:val="007175B1"/>
    <w:rsid w:val="00717C82"/>
    <w:rsid w:val="00717D24"/>
    <w:rsid w:val="00717F47"/>
    <w:rsid w:val="00720724"/>
    <w:rsid w:val="007208C2"/>
    <w:rsid w:val="00720999"/>
    <w:rsid w:val="0072172B"/>
    <w:rsid w:val="007224B3"/>
    <w:rsid w:val="00722926"/>
    <w:rsid w:val="00722944"/>
    <w:rsid w:val="00722A69"/>
    <w:rsid w:val="00722C85"/>
    <w:rsid w:val="007232F6"/>
    <w:rsid w:val="00723A12"/>
    <w:rsid w:val="0072573A"/>
    <w:rsid w:val="00725E06"/>
    <w:rsid w:val="00726C10"/>
    <w:rsid w:val="00727044"/>
    <w:rsid w:val="00727449"/>
    <w:rsid w:val="00727D78"/>
    <w:rsid w:val="007301FA"/>
    <w:rsid w:val="0073025D"/>
    <w:rsid w:val="0073045C"/>
    <w:rsid w:val="00730727"/>
    <w:rsid w:val="0073083F"/>
    <w:rsid w:val="00730AD0"/>
    <w:rsid w:val="00730B1A"/>
    <w:rsid w:val="007311CD"/>
    <w:rsid w:val="007318B9"/>
    <w:rsid w:val="007318F3"/>
    <w:rsid w:val="00731BDA"/>
    <w:rsid w:val="0073243F"/>
    <w:rsid w:val="0073274D"/>
    <w:rsid w:val="007329F4"/>
    <w:rsid w:val="00732B25"/>
    <w:rsid w:val="0073306C"/>
    <w:rsid w:val="00733610"/>
    <w:rsid w:val="00733B47"/>
    <w:rsid w:val="00734185"/>
    <w:rsid w:val="0073418E"/>
    <w:rsid w:val="00734861"/>
    <w:rsid w:val="007348A9"/>
    <w:rsid w:val="00734999"/>
    <w:rsid w:val="00735D8E"/>
    <w:rsid w:val="00736629"/>
    <w:rsid w:val="007366AF"/>
    <w:rsid w:val="00736AD6"/>
    <w:rsid w:val="00736F22"/>
    <w:rsid w:val="007376ED"/>
    <w:rsid w:val="007378F3"/>
    <w:rsid w:val="0073794B"/>
    <w:rsid w:val="00740757"/>
    <w:rsid w:val="00740A6B"/>
    <w:rsid w:val="00740FD2"/>
    <w:rsid w:val="007417C5"/>
    <w:rsid w:val="007421C8"/>
    <w:rsid w:val="00742A11"/>
    <w:rsid w:val="00743B13"/>
    <w:rsid w:val="00743FC9"/>
    <w:rsid w:val="00744600"/>
    <w:rsid w:val="00745676"/>
    <w:rsid w:val="00745FC5"/>
    <w:rsid w:val="00746A22"/>
    <w:rsid w:val="00747B9C"/>
    <w:rsid w:val="00750142"/>
    <w:rsid w:val="007505A4"/>
    <w:rsid w:val="007509E4"/>
    <w:rsid w:val="00750CC8"/>
    <w:rsid w:val="00750E6D"/>
    <w:rsid w:val="0075165C"/>
    <w:rsid w:val="007525E7"/>
    <w:rsid w:val="00752D52"/>
    <w:rsid w:val="0075339B"/>
    <w:rsid w:val="007534A9"/>
    <w:rsid w:val="00753B30"/>
    <w:rsid w:val="00753C15"/>
    <w:rsid w:val="0075431C"/>
    <w:rsid w:val="007545BA"/>
    <w:rsid w:val="00754C31"/>
    <w:rsid w:val="00754F50"/>
    <w:rsid w:val="0075538E"/>
    <w:rsid w:val="00755397"/>
    <w:rsid w:val="00755AC3"/>
    <w:rsid w:val="007568E7"/>
    <w:rsid w:val="00756978"/>
    <w:rsid w:val="00757AC2"/>
    <w:rsid w:val="00760A2D"/>
    <w:rsid w:val="007612B7"/>
    <w:rsid w:val="00761483"/>
    <w:rsid w:val="00761D9F"/>
    <w:rsid w:val="00761EB3"/>
    <w:rsid w:val="00762B5C"/>
    <w:rsid w:val="00763DFD"/>
    <w:rsid w:val="0076404C"/>
    <w:rsid w:val="00765063"/>
    <w:rsid w:val="0076516C"/>
    <w:rsid w:val="00765A09"/>
    <w:rsid w:val="00766177"/>
    <w:rsid w:val="0076689D"/>
    <w:rsid w:val="00766BD0"/>
    <w:rsid w:val="00766C51"/>
    <w:rsid w:val="0076710B"/>
    <w:rsid w:val="00770401"/>
    <w:rsid w:val="00770683"/>
    <w:rsid w:val="0077163B"/>
    <w:rsid w:val="0077163F"/>
    <w:rsid w:val="00773189"/>
    <w:rsid w:val="00773597"/>
    <w:rsid w:val="00773A37"/>
    <w:rsid w:val="00773BAD"/>
    <w:rsid w:val="00774D32"/>
    <w:rsid w:val="00776BC2"/>
    <w:rsid w:val="00777306"/>
    <w:rsid w:val="0077743E"/>
    <w:rsid w:val="007775BA"/>
    <w:rsid w:val="00777642"/>
    <w:rsid w:val="00780DD4"/>
    <w:rsid w:val="007810D5"/>
    <w:rsid w:val="007815AF"/>
    <w:rsid w:val="007818CA"/>
    <w:rsid w:val="007820B9"/>
    <w:rsid w:val="007827D0"/>
    <w:rsid w:val="00782C05"/>
    <w:rsid w:val="0078327B"/>
    <w:rsid w:val="00784E9F"/>
    <w:rsid w:val="00785617"/>
    <w:rsid w:val="00785A1F"/>
    <w:rsid w:val="00785EBF"/>
    <w:rsid w:val="00786BCE"/>
    <w:rsid w:val="0079073F"/>
    <w:rsid w:val="00790B92"/>
    <w:rsid w:val="00791924"/>
    <w:rsid w:val="00792646"/>
    <w:rsid w:val="0079281C"/>
    <w:rsid w:val="0079305D"/>
    <w:rsid w:val="00793188"/>
    <w:rsid w:val="0079384F"/>
    <w:rsid w:val="00793AFA"/>
    <w:rsid w:val="00793CDC"/>
    <w:rsid w:val="007941F3"/>
    <w:rsid w:val="007945D1"/>
    <w:rsid w:val="00794D2F"/>
    <w:rsid w:val="00794D5D"/>
    <w:rsid w:val="00796C54"/>
    <w:rsid w:val="007973F0"/>
    <w:rsid w:val="00797985"/>
    <w:rsid w:val="00797A25"/>
    <w:rsid w:val="00797B0E"/>
    <w:rsid w:val="007A1ACA"/>
    <w:rsid w:val="007A3170"/>
    <w:rsid w:val="007A32B3"/>
    <w:rsid w:val="007A6115"/>
    <w:rsid w:val="007A65A1"/>
    <w:rsid w:val="007A6DE8"/>
    <w:rsid w:val="007A79CF"/>
    <w:rsid w:val="007B00C4"/>
    <w:rsid w:val="007B0A98"/>
    <w:rsid w:val="007B0C5A"/>
    <w:rsid w:val="007B0CF5"/>
    <w:rsid w:val="007B2342"/>
    <w:rsid w:val="007B26A5"/>
    <w:rsid w:val="007B2CB2"/>
    <w:rsid w:val="007B2DDC"/>
    <w:rsid w:val="007B2FDF"/>
    <w:rsid w:val="007B327E"/>
    <w:rsid w:val="007B3400"/>
    <w:rsid w:val="007B3687"/>
    <w:rsid w:val="007B3E8F"/>
    <w:rsid w:val="007B482C"/>
    <w:rsid w:val="007B4DF3"/>
    <w:rsid w:val="007B5285"/>
    <w:rsid w:val="007B5622"/>
    <w:rsid w:val="007B5941"/>
    <w:rsid w:val="007B6599"/>
    <w:rsid w:val="007B709C"/>
    <w:rsid w:val="007B754D"/>
    <w:rsid w:val="007B7D43"/>
    <w:rsid w:val="007C026A"/>
    <w:rsid w:val="007C098C"/>
    <w:rsid w:val="007C111D"/>
    <w:rsid w:val="007C1905"/>
    <w:rsid w:val="007C1EC5"/>
    <w:rsid w:val="007C288F"/>
    <w:rsid w:val="007C2A95"/>
    <w:rsid w:val="007C2BA7"/>
    <w:rsid w:val="007C2F05"/>
    <w:rsid w:val="007C3349"/>
    <w:rsid w:val="007C3420"/>
    <w:rsid w:val="007C4046"/>
    <w:rsid w:val="007C4280"/>
    <w:rsid w:val="007C4734"/>
    <w:rsid w:val="007C482E"/>
    <w:rsid w:val="007C4932"/>
    <w:rsid w:val="007C5018"/>
    <w:rsid w:val="007C52B5"/>
    <w:rsid w:val="007C53F3"/>
    <w:rsid w:val="007C5667"/>
    <w:rsid w:val="007C61F2"/>
    <w:rsid w:val="007C6373"/>
    <w:rsid w:val="007C731C"/>
    <w:rsid w:val="007C7503"/>
    <w:rsid w:val="007C75A2"/>
    <w:rsid w:val="007C77EC"/>
    <w:rsid w:val="007C79EA"/>
    <w:rsid w:val="007D0300"/>
    <w:rsid w:val="007D09B1"/>
    <w:rsid w:val="007D0EAE"/>
    <w:rsid w:val="007D29A8"/>
    <w:rsid w:val="007D2A5B"/>
    <w:rsid w:val="007D2F65"/>
    <w:rsid w:val="007D327F"/>
    <w:rsid w:val="007D3489"/>
    <w:rsid w:val="007D3921"/>
    <w:rsid w:val="007D4445"/>
    <w:rsid w:val="007D4715"/>
    <w:rsid w:val="007D4AAB"/>
    <w:rsid w:val="007D4B27"/>
    <w:rsid w:val="007D4B64"/>
    <w:rsid w:val="007D51EB"/>
    <w:rsid w:val="007D5B57"/>
    <w:rsid w:val="007D5F76"/>
    <w:rsid w:val="007D6325"/>
    <w:rsid w:val="007D6563"/>
    <w:rsid w:val="007D6887"/>
    <w:rsid w:val="007D6DD1"/>
    <w:rsid w:val="007D6EA1"/>
    <w:rsid w:val="007D708B"/>
    <w:rsid w:val="007D7391"/>
    <w:rsid w:val="007D76C9"/>
    <w:rsid w:val="007D7930"/>
    <w:rsid w:val="007E054E"/>
    <w:rsid w:val="007E1440"/>
    <w:rsid w:val="007E15F1"/>
    <w:rsid w:val="007E19BD"/>
    <w:rsid w:val="007E1DFE"/>
    <w:rsid w:val="007E28BA"/>
    <w:rsid w:val="007E31CA"/>
    <w:rsid w:val="007E343A"/>
    <w:rsid w:val="007E3B0C"/>
    <w:rsid w:val="007E5076"/>
    <w:rsid w:val="007E545E"/>
    <w:rsid w:val="007E5C6F"/>
    <w:rsid w:val="007E6466"/>
    <w:rsid w:val="007E71F8"/>
    <w:rsid w:val="007E775E"/>
    <w:rsid w:val="007F0062"/>
    <w:rsid w:val="007F0AB9"/>
    <w:rsid w:val="007F19F3"/>
    <w:rsid w:val="007F22A6"/>
    <w:rsid w:val="007F2FE0"/>
    <w:rsid w:val="007F38C3"/>
    <w:rsid w:val="007F3B2E"/>
    <w:rsid w:val="007F3F3A"/>
    <w:rsid w:val="007F53E1"/>
    <w:rsid w:val="007F5D32"/>
    <w:rsid w:val="007F6447"/>
    <w:rsid w:val="007F6848"/>
    <w:rsid w:val="007F7440"/>
    <w:rsid w:val="007F7685"/>
    <w:rsid w:val="007F7986"/>
    <w:rsid w:val="007F79B9"/>
    <w:rsid w:val="007F7FC3"/>
    <w:rsid w:val="008001D3"/>
    <w:rsid w:val="0080048D"/>
    <w:rsid w:val="008012B4"/>
    <w:rsid w:val="00801794"/>
    <w:rsid w:val="00802385"/>
    <w:rsid w:val="00802708"/>
    <w:rsid w:val="008030FA"/>
    <w:rsid w:val="00803102"/>
    <w:rsid w:val="0080367C"/>
    <w:rsid w:val="0080383D"/>
    <w:rsid w:val="00803E90"/>
    <w:rsid w:val="00804FCB"/>
    <w:rsid w:val="008052DA"/>
    <w:rsid w:val="00805891"/>
    <w:rsid w:val="008058AD"/>
    <w:rsid w:val="00805A22"/>
    <w:rsid w:val="00806309"/>
    <w:rsid w:val="00806FFE"/>
    <w:rsid w:val="00807375"/>
    <w:rsid w:val="008075A2"/>
    <w:rsid w:val="00810743"/>
    <w:rsid w:val="008108FA"/>
    <w:rsid w:val="00810BDB"/>
    <w:rsid w:val="00810CD2"/>
    <w:rsid w:val="0081112F"/>
    <w:rsid w:val="008113C5"/>
    <w:rsid w:val="00811691"/>
    <w:rsid w:val="008120EA"/>
    <w:rsid w:val="0081217F"/>
    <w:rsid w:val="00812ACA"/>
    <w:rsid w:val="008135D9"/>
    <w:rsid w:val="00814156"/>
    <w:rsid w:val="00814F3F"/>
    <w:rsid w:val="00814F64"/>
    <w:rsid w:val="008155C5"/>
    <w:rsid w:val="008155EE"/>
    <w:rsid w:val="008158CA"/>
    <w:rsid w:val="00815A08"/>
    <w:rsid w:val="00815BD0"/>
    <w:rsid w:val="0081693A"/>
    <w:rsid w:val="0081735E"/>
    <w:rsid w:val="00817EA3"/>
    <w:rsid w:val="0082003E"/>
    <w:rsid w:val="00820FD1"/>
    <w:rsid w:val="00821244"/>
    <w:rsid w:val="00821884"/>
    <w:rsid w:val="00821C1F"/>
    <w:rsid w:val="0082245D"/>
    <w:rsid w:val="00822988"/>
    <w:rsid w:val="00822CE6"/>
    <w:rsid w:val="00822D70"/>
    <w:rsid w:val="00822D82"/>
    <w:rsid w:val="0082331C"/>
    <w:rsid w:val="00823A76"/>
    <w:rsid w:val="00823A99"/>
    <w:rsid w:val="00823D02"/>
    <w:rsid w:val="00823D3D"/>
    <w:rsid w:val="00824090"/>
    <w:rsid w:val="00824B07"/>
    <w:rsid w:val="00824D29"/>
    <w:rsid w:val="0082568E"/>
    <w:rsid w:val="00825B0A"/>
    <w:rsid w:val="00825E1D"/>
    <w:rsid w:val="0082604B"/>
    <w:rsid w:val="00826233"/>
    <w:rsid w:val="00826670"/>
    <w:rsid w:val="00826762"/>
    <w:rsid w:val="00826FF0"/>
    <w:rsid w:val="008279CD"/>
    <w:rsid w:val="00827E55"/>
    <w:rsid w:val="00830737"/>
    <w:rsid w:val="00830AA1"/>
    <w:rsid w:val="00830AD5"/>
    <w:rsid w:val="00830D97"/>
    <w:rsid w:val="00832260"/>
    <w:rsid w:val="00832345"/>
    <w:rsid w:val="00832A65"/>
    <w:rsid w:val="00832AF9"/>
    <w:rsid w:val="00833283"/>
    <w:rsid w:val="00833301"/>
    <w:rsid w:val="00833ABE"/>
    <w:rsid w:val="008340F1"/>
    <w:rsid w:val="0083541D"/>
    <w:rsid w:val="00836527"/>
    <w:rsid w:val="0083754E"/>
    <w:rsid w:val="008400CF"/>
    <w:rsid w:val="00840330"/>
    <w:rsid w:val="0084037A"/>
    <w:rsid w:val="00840EF8"/>
    <w:rsid w:val="00841141"/>
    <w:rsid w:val="0084135C"/>
    <w:rsid w:val="008415AD"/>
    <w:rsid w:val="00841999"/>
    <w:rsid w:val="00841CC6"/>
    <w:rsid w:val="00841E94"/>
    <w:rsid w:val="0084237A"/>
    <w:rsid w:val="00843A0E"/>
    <w:rsid w:val="00843B02"/>
    <w:rsid w:val="00844EB1"/>
    <w:rsid w:val="0084565A"/>
    <w:rsid w:val="008456C1"/>
    <w:rsid w:val="00845F66"/>
    <w:rsid w:val="00847104"/>
    <w:rsid w:val="00847207"/>
    <w:rsid w:val="008501B8"/>
    <w:rsid w:val="0085093B"/>
    <w:rsid w:val="00850A5A"/>
    <w:rsid w:val="00850E35"/>
    <w:rsid w:val="008514EB"/>
    <w:rsid w:val="00851C7E"/>
    <w:rsid w:val="00851D14"/>
    <w:rsid w:val="00851D65"/>
    <w:rsid w:val="00852057"/>
    <w:rsid w:val="00852517"/>
    <w:rsid w:val="008533C5"/>
    <w:rsid w:val="00853808"/>
    <w:rsid w:val="0085383B"/>
    <w:rsid w:val="00853D78"/>
    <w:rsid w:val="008544A2"/>
    <w:rsid w:val="008558C0"/>
    <w:rsid w:val="00856DD1"/>
    <w:rsid w:val="008572C5"/>
    <w:rsid w:val="008574A7"/>
    <w:rsid w:val="00861665"/>
    <w:rsid w:val="00861B1A"/>
    <w:rsid w:val="00861EA5"/>
    <w:rsid w:val="0086268C"/>
    <w:rsid w:val="008632F4"/>
    <w:rsid w:val="00863EA1"/>
    <w:rsid w:val="00864195"/>
    <w:rsid w:val="00864AA6"/>
    <w:rsid w:val="00864DD5"/>
    <w:rsid w:val="008652EA"/>
    <w:rsid w:val="00866230"/>
    <w:rsid w:val="008665AD"/>
    <w:rsid w:val="00866ACF"/>
    <w:rsid w:val="00867008"/>
    <w:rsid w:val="00867851"/>
    <w:rsid w:val="0086789B"/>
    <w:rsid w:val="00867B82"/>
    <w:rsid w:val="00867C18"/>
    <w:rsid w:val="00867D6B"/>
    <w:rsid w:val="0087075E"/>
    <w:rsid w:val="00871224"/>
    <w:rsid w:val="00871411"/>
    <w:rsid w:val="0087150D"/>
    <w:rsid w:val="0087168A"/>
    <w:rsid w:val="0087207C"/>
    <w:rsid w:val="00872309"/>
    <w:rsid w:val="008724A9"/>
    <w:rsid w:val="008726DA"/>
    <w:rsid w:val="00873440"/>
    <w:rsid w:val="00873483"/>
    <w:rsid w:val="008736C7"/>
    <w:rsid w:val="00873720"/>
    <w:rsid w:val="00873E5E"/>
    <w:rsid w:val="008747A2"/>
    <w:rsid w:val="00874818"/>
    <w:rsid w:val="008765BE"/>
    <w:rsid w:val="00877698"/>
    <w:rsid w:val="00877D9C"/>
    <w:rsid w:val="0088035E"/>
    <w:rsid w:val="008806C0"/>
    <w:rsid w:val="008807CC"/>
    <w:rsid w:val="008808AE"/>
    <w:rsid w:val="00880F4C"/>
    <w:rsid w:val="0088125D"/>
    <w:rsid w:val="008812CF"/>
    <w:rsid w:val="00881B68"/>
    <w:rsid w:val="00882008"/>
    <w:rsid w:val="00883C5F"/>
    <w:rsid w:val="00885488"/>
    <w:rsid w:val="008854FA"/>
    <w:rsid w:val="008855CB"/>
    <w:rsid w:val="008856BB"/>
    <w:rsid w:val="008859F3"/>
    <w:rsid w:val="00886381"/>
    <w:rsid w:val="008863CE"/>
    <w:rsid w:val="008871C3"/>
    <w:rsid w:val="008900A1"/>
    <w:rsid w:val="008902DC"/>
    <w:rsid w:val="008914D9"/>
    <w:rsid w:val="00891CE4"/>
    <w:rsid w:val="008920D8"/>
    <w:rsid w:val="0089218C"/>
    <w:rsid w:val="00892D43"/>
    <w:rsid w:val="00894339"/>
    <w:rsid w:val="00894783"/>
    <w:rsid w:val="00895D2A"/>
    <w:rsid w:val="00895FC1"/>
    <w:rsid w:val="008960F3"/>
    <w:rsid w:val="00896FD7"/>
    <w:rsid w:val="008972DE"/>
    <w:rsid w:val="00897F1A"/>
    <w:rsid w:val="008A019B"/>
    <w:rsid w:val="008A038B"/>
    <w:rsid w:val="008A072A"/>
    <w:rsid w:val="008A0807"/>
    <w:rsid w:val="008A110A"/>
    <w:rsid w:val="008A1421"/>
    <w:rsid w:val="008A1479"/>
    <w:rsid w:val="008A1998"/>
    <w:rsid w:val="008A22BB"/>
    <w:rsid w:val="008A2884"/>
    <w:rsid w:val="008A31D8"/>
    <w:rsid w:val="008A3E91"/>
    <w:rsid w:val="008A40FE"/>
    <w:rsid w:val="008A433C"/>
    <w:rsid w:val="008A4FCF"/>
    <w:rsid w:val="008A5004"/>
    <w:rsid w:val="008A5517"/>
    <w:rsid w:val="008A5B59"/>
    <w:rsid w:val="008A62F1"/>
    <w:rsid w:val="008A6561"/>
    <w:rsid w:val="008A6611"/>
    <w:rsid w:val="008A6FC9"/>
    <w:rsid w:val="008A75CA"/>
    <w:rsid w:val="008A7CE6"/>
    <w:rsid w:val="008B1311"/>
    <w:rsid w:val="008B1499"/>
    <w:rsid w:val="008B18C8"/>
    <w:rsid w:val="008B1DBA"/>
    <w:rsid w:val="008B2309"/>
    <w:rsid w:val="008B2E23"/>
    <w:rsid w:val="008B2F5B"/>
    <w:rsid w:val="008B315C"/>
    <w:rsid w:val="008B31D6"/>
    <w:rsid w:val="008B3262"/>
    <w:rsid w:val="008B3984"/>
    <w:rsid w:val="008B3C7A"/>
    <w:rsid w:val="008B4382"/>
    <w:rsid w:val="008B4C13"/>
    <w:rsid w:val="008B5473"/>
    <w:rsid w:val="008B5723"/>
    <w:rsid w:val="008B5CD0"/>
    <w:rsid w:val="008B6C53"/>
    <w:rsid w:val="008B7007"/>
    <w:rsid w:val="008B7128"/>
    <w:rsid w:val="008B7148"/>
    <w:rsid w:val="008B793A"/>
    <w:rsid w:val="008C05BD"/>
    <w:rsid w:val="008C07C5"/>
    <w:rsid w:val="008C0BD0"/>
    <w:rsid w:val="008C136E"/>
    <w:rsid w:val="008C1CAA"/>
    <w:rsid w:val="008C3055"/>
    <w:rsid w:val="008C3AF5"/>
    <w:rsid w:val="008C45EC"/>
    <w:rsid w:val="008C4A61"/>
    <w:rsid w:val="008C4C24"/>
    <w:rsid w:val="008C4D90"/>
    <w:rsid w:val="008C4E7A"/>
    <w:rsid w:val="008C516A"/>
    <w:rsid w:val="008C5D10"/>
    <w:rsid w:val="008C5D18"/>
    <w:rsid w:val="008C5E8C"/>
    <w:rsid w:val="008C63CB"/>
    <w:rsid w:val="008C6CFD"/>
    <w:rsid w:val="008C6FAB"/>
    <w:rsid w:val="008C72BA"/>
    <w:rsid w:val="008C74D7"/>
    <w:rsid w:val="008C750B"/>
    <w:rsid w:val="008D023F"/>
    <w:rsid w:val="008D06DF"/>
    <w:rsid w:val="008D20C2"/>
    <w:rsid w:val="008D24BD"/>
    <w:rsid w:val="008D2689"/>
    <w:rsid w:val="008D2701"/>
    <w:rsid w:val="008D3968"/>
    <w:rsid w:val="008D4FA8"/>
    <w:rsid w:val="008D592C"/>
    <w:rsid w:val="008D6340"/>
    <w:rsid w:val="008D7ACC"/>
    <w:rsid w:val="008D7E81"/>
    <w:rsid w:val="008E2A33"/>
    <w:rsid w:val="008E36DE"/>
    <w:rsid w:val="008E3D72"/>
    <w:rsid w:val="008E460B"/>
    <w:rsid w:val="008E4766"/>
    <w:rsid w:val="008E4ECD"/>
    <w:rsid w:val="008E5845"/>
    <w:rsid w:val="008E5DC6"/>
    <w:rsid w:val="008E5F37"/>
    <w:rsid w:val="008F07BF"/>
    <w:rsid w:val="008F0849"/>
    <w:rsid w:val="008F0B47"/>
    <w:rsid w:val="008F1575"/>
    <w:rsid w:val="008F1735"/>
    <w:rsid w:val="008F1B79"/>
    <w:rsid w:val="008F1D88"/>
    <w:rsid w:val="008F1EEC"/>
    <w:rsid w:val="008F1F7C"/>
    <w:rsid w:val="008F2009"/>
    <w:rsid w:val="008F23D3"/>
    <w:rsid w:val="008F2887"/>
    <w:rsid w:val="008F2D7C"/>
    <w:rsid w:val="008F3081"/>
    <w:rsid w:val="008F352E"/>
    <w:rsid w:val="008F3EB5"/>
    <w:rsid w:val="008F5C69"/>
    <w:rsid w:val="008F5D4D"/>
    <w:rsid w:val="008F5D7D"/>
    <w:rsid w:val="008F5FAD"/>
    <w:rsid w:val="008F61F5"/>
    <w:rsid w:val="008F68DD"/>
    <w:rsid w:val="008F7004"/>
    <w:rsid w:val="008F72C8"/>
    <w:rsid w:val="008F753D"/>
    <w:rsid w:val="008F7B48"/>
    <w:rsid w:val="008F7BE8"/>
    <w:rsid w:val="0090026E"/>
    <w:rsid w:val="0090055C"/>
    <w:rsid w:val="00900E9D"/>
    <w:rsid w:val="00902249"/>
    <w:rsid w:val="00902387"/>
    <w:rsid w:val="0090242E"/>
    <w:rsid w:val="009028BD"/>
    <w:rsid w:val="00903EB8"/>
    <w:rsid w:val="0090419B"/>
    <w:rsid w:val="00904474"/>
    <w:rsid w:val="00904BCD"/>
    <w:rsid w:val="00904C80"/>
    <w:rsid w:val="00904DCC"/>
    <w:rsid w:val="00904DDA"/>
    <w:rsid w:val="00906440"/>
    <w:rsid w:val="00906C38"/>
    <w:rsid w:val="00907761"/>
    <w:rsid w:val="00910DDA"/>
    <w:rsid w:val="009117EC"/>
    <w:rsid w:val="00911A6A"/>
    <w:rsid w:val="00911B70"/>
    <w:rsid w:val="00911CB7"/>
    <w:rsid w:val="00912F3A"/>
    <w:rsid w:val="009143AF"/>
    <w:rsid w:val="00915605"/>
    <w:rsid w:val="009157E3"/>
    <w:rsid w:val="00915FED"/>
    <w:rsid w:val="009169A7"/>
    <w:rsid w:val="00916E0D"/>
    <w:rsid w:val="00916E22"/>
    <w:rsid w:val="00917D4E"/>
    <w:rsid w:val="00917DED"/>
    <w:rsid w:val="0092057E"/>
    <w:rsid w:val="00920E54"/>
    <w:rsid w:val="00921078"/>
    <w:rsid w:val="0092227C"/>
    <w:rsid w:val="00922BAB"/>
    <w:rsid w:val="00922E5B"/>
    <w:rsid w:val="00924149"/>
    <w:rsid w:val="00924A6E"/>
    <w:rsid w:val="00925043"/>
    <w:rsid w:val="009258EF"/>
    <w:rsid w:val="009259F4"/>
    <w:rsid w:val="00925D7E"/>
    <w:rsid w:val="00925DD2"/>
    <w:rsid w:val="00925F4F"/>
    <w:rsid w:val="009261DF"/>
    <w:rsid w:val="00926F1E"/>
    <w:rsid w:val="00927380"/>
    <w:rsid w:val="00930A8D"/>
    <w:rsid w:val="00930C48"/>
    <w:rsid w:val="009317D6"/>
    <w:rsid w:val="0093235A"/>
    <w:rsid w:val="0093271B"/>
    <w:rsid w:val="00933692"/>
    <w:rsid w:val="0093393E"/>
    <w:rsid w:val="00933B23"/>
    <w:rsid w:val="00933BAE"/>
    <w:rsid w:val="00934F7D"/>
    <w:rsid w:val="00935C59"/>
    <w:rsid w:val="00935F57"/>
    <w:rsid w:val="009360D0"/>
    <w:rsid w:val="009361A8"/>
    <w:rsid w:val="00937130"/>
    <w:rsid w:val="009376D7"/>
    <w:rsid w:val="00940B81"/>
    <w:rsid w:val="00941C70"/>
    <w:rsid w:val="00941E2C"/>
    <w:rsid w:val="009422E7"/>
    <w:rsid w:val="009426EE"/>
    <w:rsid w:val="00942711"/>
    <w:rsid w:val="00943132"/>
    <w:rsid w:val="009434F3"/>
    <w:rsid w:val="0094353B"/>
    <w:rsid w:val="00943720"/>
    <w:rsid w:val="00943EF4"/>
    <w:rsid w:val="0094464D"/>
    <w:rsid w:val="00944EFF"/>
    <w:rsid w:val="00944F67"/>
    <w:rsid w:val="00945121"/>
    <w:rsid w:val="009461BE"/>
    <w:rsid w:val="00946CD2"/>
    <w:rsid w:val="00946E3C"/>
    <w:rsid w:val="00946F27"/>
    <w:rsid w:val="00946FEC"/>
    <w:rsid w:val="009470F7"/>
    <w:rsid w:val="00947696"/>
    <w:rsid w:val="00947829"/>
    <w:rsid w:val="00947B90"/>
    <w:rsid w:val="00950BAC"/>
    <w:rsid w:val="00951FBB"/>
    <w:rsid w:val="009520C4"/>
    <w:rsid w:val="009526F1"/>
    <w:rsid w:val="00953127"/>
    <w:rsid w:val="009549FC"/>
    <w:rsid w:val="00954D40"/>
    <w:rsid w:val="00954E34"/>
    <w:rsid w:val="00955ECC"/>
    <w:rsid w:val="00956D80"/>
    <w:rsid w:val="00956F5B"/>
    <w:rsid w:val="00956F6D"/>
    <w:rsid w:val="00957143"/>
    <w:rsid w:val="00957481"/>
    <w:rsid w:val="00957954"/>
    <w:rsid w:val="00957CE5"/>
    <w:rsid w:val="00957FAA"/>
    <w:rsid w:val="009606FD"/>
    <w:rsid w:val="00960884"/>
    <w:rsid w:val="00960D22"/>
    <w:rsid w:val="00961466"/>
    <w:rsid w:val="0096193E"/>
    <w:rsid w:val="00961C11"/>
    <w:rsid w:val="00961F5C"/>
    <w:rsid w:val="009623F9"/>
    <w:rsid w:val="009625AF"/>
    <w:rsid w:val="0096273C"/>
    <w:rsid w:val="009627EA"/>
    <w:rsid w:val="00963CBE"/>
    <w:rsid w:val="00964237"/>
    <w:rsid w:val="0096440B"/>
    <w:rsid w:val="00964E2E"/>
    <w:rsid w:val="009668C7"/>
    <w:rsid w:val="00966ACA"/>
    <w:rsid w:val="00966E57"/>
    <w:rsid w:val="00966F24"/>
    <w:rsid w:val="00967280"/>
    <w:rsid w:val="00967BB8"/>
    <w:rsid w:val="00967D0E"/>
    <w:rsid w:val="009704BB"/>
    <w:rsid w:val="00971311"/>
    <w:rsid w:val="00971A2A"/>
    <w:rsid w:val="00972514"/>
    <w:rsid w:val="00973E19"/>
    <w:rsid w:val="00973E24"/>
    <w:rsid w:val="00973F6C"/>
    <w:rsid w:val="00974477"/>
    <w:rsid w:val="00974665"/>
    <w:rsid w:val="00974840"/>
    <w:rsid w:val="00974963"/>
    <w:rsid w:val="0097527A"/>
    <w:rsid w:val="009757DD"/>
    <w:rsid w:val="00975A29"/>
    <w:rsid w:val="00975CAE"/>
    <w:rsid w:val="009760EB"/>
    <w:rsid w:val="00977DC7"/>
    <w:rsid w:val="00980671"/>
    <w:rsid w:val="0098110C"/>
    <w:rsid w:val="009815B3"/>
    <w:rsid w:val="009818BD"/>
    <w:rsid w:val="009826C9"/>
    <w:rsid w:val="00982FFD"/>
    <w:rsid w:val="0098306F"/>
    <w:rsid w:val="00983A64"/>
    <w:rsid w:val="00983D78"/>
    <w:rsid w:val="009849DE"/>
    <w:rsid w:val="00984B55"/>
    <w:rsid w:val="00984CB3"/>
    <w:rsid w:val="00984F70"/>
    <w:rsid w:val="00985163"/>
    <w:rsid w:val="00985A50"/>
    <w:rsid w:val="00986289"/>
    <w:rsid w:val="00986C25"/>
    <w:rsid w:val="00987114"/>
    <w:rsid w:val="00987A46"/>
    <w:rsid w:val="00987A62"/>
    <w:rsid w:val="00987AB3"/>
    <w:rsid w:val="00987BDE"/>
    <w:rsid w:val="00987EC1"/>
    <w:rsid w:val="00991598"/>
    <w:rsid w:val="00991EEF"/>
    <w:rsid w:val="00992388"/>
    <w:rsid w:val="00992AFE"/>
    <w:rsid w:val="00992B47"/>
    <w:rsid w:val="00992C2F"/>
    <w:rsid w:val="009947C8"/>
    <w:rsid w:val="00994971"/>
    <w:rsid w:val="00994ADB"/>
    <w:rsid w:val="0099505E"/>
    <w:rsid w:val="0099652B"/>
    <w:rsid w:val="00997C4A"/>
    <w:rsid w:val="009A01F1"/>
    <w:rsid w:val="009A176D"/>
    <w:rsid w:val="009A1E47"/>
    <w:rsid w:val="009A2738"/>
    <w:rsid w:val="009A34C8"/>
    <w:rsid w:val="009A5234"/>
    <w:rsid w:val="009A572A"/>
    <w:rsid w:val="009A5970"/>
    <w:rsid w:val="009A5A1B"/>
    <w:rsid w:val="009A5AD3"/>
    <w:rsid w:val="009A6416"/>
    <w:rsid w:val="009A6F92"/>
    <w:rsid w:val="009A6FA5"/>
    <w:rsid w:val="009A7A57"/>
    <w:rsid w:val="009B02E2"/>
    <w:rsid w:val="009B0644"/>
    <w:rsid w:val="009B064C"/>
    <w:rsid w:val="009B0EBF"/>
    <w:rsid w:val="009B0F45"/>
    <w:rsid w:val="009B13A2"/>
    <w:rsid w:val="009B1DAF"/>
    <w:rsid w:val="009B25D7"/>
    <w:rsid w:val="009B2690"/>
    <w:rsid w:val="009B2BBA"/>
    <w:rsid w:val="009B2F09"/>
    <w:rsid w:val="009B30B4"/>
    <w:rsid w:val="009B44C4"/>
    <w:rsid w:val="009B51A0"/>
    <w:rsid w:val="009B5205"/>
    <w:rsid w:val="009B5940"/>
    <w:rsid w:val="009B5BBD"/>
    <w:rsid w:val="009B5DA7"/>
    <w:rsid w:val="009B6028"/>
    <w:rsid w:val="009B74C8"/>
    <w:rsid w:val="009B7EA3"/>
    <w:rsid w:val="009B7F5F"/>
    <w:rsid w:val="009C053D"/>
    <w:rsid w:val="009C06F1"/>
    <w:rsid w:val="009C0A56"/>
    <w:rsid w:val="009C0FE4"/>
    <w:rsid w:val="009C1D9E"/>
    <w:rsid w:val="009C277D"/>
    <w:rsid w:val="009C2FFC"/>
    <w:rsid w:val="009C354E"/>
    <w:rsid w:val="009C525B"/>
    <w:rsid w:val="009C5373"/>
    <w:rsid w:val="009C5CE5"/>
    <w:rsid w:val="009C6160"/>
    <w:rsid w:val="009C6267"/>
    <w:rsid w:val="009C6BBF"/>
    <w:rsid w:val="009C70D4"/>
    <w:rsid w:val="009C7600"/>
    <w:rsid w:val="009C79C3"/>
    <w:rsid w:val="009C7B02"/>
    <w:rsid w:val="009D03F5"/>
    <w:rsid w:val="009D0595"/>
    <w:rsid w:val="009D06EC"/>
    <w:rsid w:val="009D0DE8"/>
    <w:rsid w:val="009D0F51"/>
    <w:rsid w:val="009D117B"/>
    <w:rsid w:val="009D1411"/>
    <w:rsid w:val="009D14B5"/>
    <w:rsid w:val="009D1548"/>
    <w:rsid w:val="009D16C3"/>
    <w:rsid w:val="009D1857"/>
    <w:rsid w:val="009D2037"/>
    <w:rsid w:val="009D20D4"/>
    <w:rsid w:val="009D2164"/>
    <w:rsid w:val="009D22F3"/>
    <w:rsid w:val="009D2A48"/>
    <w:rsid w:val="009D2B68"/>
    <w:rsid w:val="009D3863"/>
    <w:rsid w:val="009D38A0"/>
    <w:rsid w:val="009D4940"/>
    <w:rsid w:val="009D4D68"/>
    <w:rsid w:val="009D4FF6"/>
    <w:rsid w:val="009D5943"/>
    <w:rsid w:val="009D5BB0"/>
    <w:rsid w:val="009D61B1"/>
    <w:rsid w:val="009D61F3"/>
    <w:rsid w:val="009D67F7"/>
    <w:rsid w:val="009D6CA4"/>
    <w:rsid w:val="009D7AF6"/>
    <w:rsid w:val="009D7EED"/>
    <w:rsid w:val="009E0242"/>
    <w:rsid w:val="009E0D34"/>
    <w:rsid w:val="009E134B"/>
    <w:rsid w:val="009E1539"/>
    <w:rsid w:val="009E18DF"/>
    <w:rsid w:val="009E22F9"/>
    <w:rsid w:val="009E301D"/>
    <w:rsid w:val="009E3056"/>
    <w:rsid w:val="009E341A"/>
    <w:rsid w:val="009E3869"/>
    <w:rsid w:val="009E38EB"/>
    <w:rsid w:val="009E532D"/>
    <w:rsid w:val="009E68B1"/>
    <w:rsid w:val="009E74F0"/>
    <w:rsid w:val="009E7F39"/>
    <w:rsid w:val="009F052E"/>
    <w:rsid w:val="009F0831"/>
    <w:rsid w:val="009F08FC"/>
    <w:rsid w:val="009F135A"/>
    <w:rsid w:val="009F1BC1"/>
    <w:rsid w:val="009F2046"/>
    <w:rsid w:val="009F20CB"/>
    <w:rsid w:val="009F2C4A"/>
    <w:rsid w:val="009F2FA3"/>
    <w:rsid w:val="009F37D8"/>
    <w:rsid w:val="009F3C80"/>
    <w:rsid w:val="009F448B"/>
    <w:rsid w:val="009F45BE"/>
    <w:rsid w:val="009F482F"/>
    <w:rsid w:val="009F4B1A"/>
    <w:rsid w:val="009F5939"/>
    <w:rsid w:val="009F5AC9"/>
    <w:rsid w:val="009F66F1"/>
    <w:rsid w:val="009F71C2"/>
    <w:rsid w:val="00A004A8"/>
    <w:rsid w:val="00A00A69"/>
    <w:rsid w:val="00A00CD5"/>
    <w:rsid w:val="00A013F1"/>
    <w:rsid w:val="00A01CFB"/>
    <w:rsid w:val="00A01E8A"/>
    <w:rsid w:val="00A0262F"/>
    <w:rsid w:val="00A033AD"/>
    <w:rsid w:val="00A0437E"/>
    <w:rsid w:val="00A04C0F"/>
    <w:rsid w:val="00A05148"/>
    <w:rsid w:val="00A05214"/>
    <w:rsid w:val="00A0590E"/>
    <w:rsid w:val="00A05FA9"/>
    <w:rsid w:val="00A06F2B"/>
    <w:rsid w:val="00A070D7"/>
    <w:rsid w:val="00A075E8"/>
    <w:rsid w:val="00A077C6"/>
    <w:rsid w:val="00A077CD"/>
    <w:rsid w:val="00A07A6C"/>
    <w:rsid w:val="00A104B9"/>
    <w:rsid w:val="00A107CA"/>
    <w:rsid w:val="00A11D9D"/>
    <w:rsid w:val="00A121A9"/>
    <w:rsid w:val="00A12319"/>
    <w:rsid w:val="00A1276C"/>
    <w:rsid w:val="00A12CD4"/>
    <w:rsid w:val="00A131FB"/>
    <w:rsid w:val="00A13230"/>
    <w:rsid w:val="00A13401"/>
    <w:rsid w:val="00A15007"/>
    <w:rsid w:val="00A151C0"/>
    <w:rsid w:val="00A1548E"/>
    <w:rsid w:val="00A154E8"/>
    <w:rsid w:val="00A15ACA"/>
    <w:rsid w:val="00A15B38"/>
    <w:rsid w:val="00A16729"/>
    <w:rsid w:val="00A16A71"/>
    <w:rsid w:val="00A175BF"/>
    <w:rsid w:val="00A17610"/>
    <w:rsid w:val="00A176C0"/>
    <w:rsid w:val="00A17913"/>
    <w:rsid w:val="00A17BB2"/>
    <w:rsid w:val="00A17BE4"/>
    <w:rsid w:val="00A20751"/>
    <w:rsid w:val="00A20922"/>
    <w:rsid w:val="00A214E9"/>
    <w:rsid w:val="00A215EA"/>
    <w:rsid w:val="00A21899"/>
    <w:rsid w:val="00A21E38"/>
    <w:rsid w:val="00A22491"/>
    <w:rsid w:val="00A224FF"/>
    <w:rsid w:val="00A2262D"/>
    <w:rsid w:val="00A22AD0"/>
    <w:rsid w:val="00A22E0B"/>
    <w:rsid w:val="00A23503"/>
    <w:rsid w:val="00A23610"/>
    <w:rsid w:val="00A23AEB"/>
    <w:rsid w:val="00A23C4D"/>
    <w:rsid w:val="00A2479B"/>
    <w:rsid w:val="00A2499B"/>
    <w:rsid w:val="00A24DED"/>
    <w:rsid w:val="00A24F0B"/>
    <w:rsid w:val="00A254DB"/>
    <w:rsid w:val="00A2585D"/>
    <w:rsid w:val="00A25CEF"/>
    <w:rsid w:val="00A2645A"/>
    <w:rsid w:val="00A267D8"/>
    <w:rsid w:val="00A26DB2"/>
    <w:rsid w:val="00A2712E"/>
    <w:rsid w:val="00A271A8"/>
    <w:rsid w:val="00A27873"/>
    <w:rsid w:val="00A3000D"/>
    <w:rsid w:val="00A305B6"/>
    <w:rsid w:val="00A30605"/>
    <w:rsid w:val="00A306CA"/>
    <w:rsid w:val="00A309EC"/>
    <w:rsid w:val="00A30C3C"/>
    <w:rsid w:val="00A30E5A"/>
    <w:rsid w:val="00A31453"/>
    <w:rsid w:val="00A315FD"/>
    <w:rsid w:val="00A3365C"/>
    <w:rsid w:val="00A33FE7"/>
    <w:rsid w:val="00A3471F"/>
    <w:rsid w:val="00A34940"/>
    <w:rsid w:val="00A34FD4"/>
    <w:rsid w:val="00A35A0F"/>
    <w:rsid w:val="00A35B24"/>
    <w:rsid w:val="00A37543"/>
    <w:rsid w:val="00A37F9F"/>
    <w:rsid w:val="00A40A11"/>
    <w:rsid w:val="00A40EC7"/>
    <w:rsid w:val="00A4132B"/>
    <w:rsid w:val="00A42024"/>
    <w:rsid w:val="00A420DA"/>
    <w:rsid w:val="00A427DA"/>
    <w:rsid w:val="00A429F7"/>
    <w:rsid w:val="00A4333F"/>
    <w:rsid w:val="00A43369"/>
    <w:rsid w:val="00A4344B"/>
    <w:rsid w:val="00A43BDD"/>
    <w:rsid w:val="00A440F7"/>
    <w:rsid w:val="00A4438E"/>
    <w:rsid w:val="00A44B41"/>
    <w:rsid w:val="00A4530A"/>
    <w:rsid w:val="00A45862"/>
    <w:rsid w:val="00A458BB"/>
    <w:rsid w:val="00A46372"/>
    <w:rsid w:val="00A469CA"/>
    <w:rsid w:val="00A46EA0"/>
    <w:rsid w:val="00A4762D"/>
    <w:rsid w:val="00A47954"/>
    <w:rsid w:val="00A50445"/>
    <w:rsid w:val="00A506ED"/>
    <w:rsid w:val="00A50796"/>
    <w:rsid w:val="00A513AB"/>
    <w:rsid w:val="00A51475"/>
    <w:rsid w:val="00A515D0"/>
    <w:rsid w:val="00A515D7"/>
    <w:rsid w:val="00A529B5"/>
    <w:rsid w:val="00A53440"/>
    <w:rsid w:val="00A53482"/>
    <w:rsid w:val="00A5379A"/>
    <w:rsid w:val="00A53BF7"/>
    <w:rsid w:val="00A53C99"/>
    <w:rsid w:val="00A53F40"/>
    <w:rsid w:val="00A54D40"/>
    <w:rsid w:val="00A55718"/>
    <w:rsid w:val="00A55A04"/>
    <w:rsid w:val="00A5738C"/>
    <w:rsid w:val="00A5782C"/>
    <w:rsid w:val="00A61B76"/>
    <w:rsid w:val="00A62280"/>
    <w:rsid w:val="00A627AB"/>
    <w:rsid w:val="00A63CBB"/>
    <w:rsid w:val="00A63DF2"/>
    <w:rsid w:val="00A64455"/>
    <w:rsid w:val="00A64683"/>
    <w:rsid w:val="00A65ED0"/>
    <w:rsid w:val="00A6648C"/>
    <w:rsid w:val="00A66538"/>
    <w:rsid w:val="00A66B64"/>
    <w:rsid w:val="00A67520"/>
    <w:rsid w:val="00A678C9"/>
    <w:rsid w:val="00A70015"/>
    <w:rsid w:val="00A70436"/>
    <w:rsid w:val="00A70491"/>
    <w:rsid w:val="00A70854"/>
    <w:rsid w:val="00A70855"/>
    <w:rsid w:val="00A712AF"/>
    <w:rsid w:val="00A713F8"/>
    <w:rsid w:val="00A71845"/>
    <w:rsid w:val="00A71A40"/>
    <w:rsid w:val="00A71A54"/>
    <w:rsid w:val="00A721DA"/>
    <w:rsid w:val="00A728A5"/>
    <w:rsid w:val="00A73553"/>
    <w:rsid w:val="00A73EF5"/>
    <w:rsid w:val="00A7454D"/>
    <w:rsid w:val="00A75323"/>
    <w:rsid w:val="00A7616A"/>
    <w:rsid w:val="00A77B47"/>
    <w:rsid w:val="00A77D41"/>
    <w:rsid w:val="00A806CB"/>
    <w:rsid w:val="00A807A9"/>
    <w:rsid w:val="00A80F30"/>
    <w:rsid w:val="00A8162A"/>
    <w:rsid w:val="00A81DF0"/>
    <w:rsid w:val="00A827AD"/>
    <w:rsid w:val="00A82A7D"/>
    <w:rsid w:val="00A82DED"/>
    <w:rsid w:val="00A8315B"/>
    <w:rsid w:val="00A83695"/>
    <w:rsid w:val="00A8389B"/>
    <w:rsid w:val="00A848E2"/>
    <w:rsid w:val="00A84BF3"/>
    <w:rsid w:val="00A84D45"/>
    <w:rsid w:val="00A84DED"/>
    <w:rsid w:val="00A85150"/>
    <w:rsid w:val="00A857C7"/>
    <w:rsid w:val="00A86C58"/>
    <w:rsid w:val="00A8707E"/>
    <w:rsid w:val="00A870FA"/>
    <w:rsid w:val="00A87D4C"/>
    <w:rsid w:val="00A906F0"/>
    <w:rsid w:val="00A90884"/>
    <w:rsid w:val="00A91466"/>
    <w:rsid w:val="00A92730"/>
    <w:rsid w:val="00A92741"/>
    <w:rsid w:val="00A92ACE"/>
    <w:rsid w:val="00A92B85"/>
    <w:rsid w:val="00A92E88"/>
    <w:rsid w:val="00A931BF"/>
    <w:rsid w:val="00A93344"/>
    <w:rsid w:val="00A94637"/>
    <w:rsid w:val="00A963E5"/>
    <w:rsid w:val="00A968BE"/>
    <w:rsid w:val="00A975C2"/>
    <w:rsid w:val="00A979E9"/>
    <w:rsid w:val="00A97CB9"/>
    <w:rsid w:val="00AA0C2A"/>
    <w:rsid w:val="00AA2B20"/>
    <w:rsid w:val="00AA2C9C"/>
    <w:rsid w:val="00AA34C8"/>
    <w:rsid w:val="00AA34F8"/>
    <w:rsid w:val="00AA36E9"/>
    <w:rsid w:val="00AA43E4"/>
    <w:rsid w:val="00AA481A"/>
    <w:rsid w:val="00AA521A"/>
    <w:rsid w:val="00AA5422"/>
    <w:rsid w:val="00AA5F76"/>
    <w:rsid w:val="00AA6B99"/>
    <w:rsid w:val="00AA6DE1"/>
    <w:rsid w:val="00AA6E95"/>
    <w:rsid w:val="00AA751D"/>
    <w:rsid w:val="00AA7A05"/>
    <w:rsid w:val="00AA7BDD"/>
    <w:rsid w:val="00AB04A5"/>
    <w:rsid w:val="00AB0AB1"/>
    <w:rsid w:val="00AB0D07"/>
    <w:rsid w:val="00AB1304"/>
    <w:rsid w:val="00AB15EA"/>
    <w:rsid w:val="00AB1C3F"/>
    <w:rsid w:val="00AB1ED4"/>
    <w:rsid w:val="00AB228C"/>
    <w:rsid w:val="00AB2B0B"/>
    <w:rsid w:val="00AB2F9E"/>
    <w:rsid w:val="00AB4943"/>
    <w:rsid w:val="00AB4AEE"/>
    <w:rsid w:val="00AB4C19"/>
    <w:rsid w:val="00AB4EC5"/>
    <w:rsid w:val="00AB5F8E"/>
    <w:rsid w:val="00AB60DB"/>
    <w:rsid w:val="00AB625B"/>
    <w:rsid w:val="00AB63FF"/>
    <w:rsid w:val="00AB64BA"/>
    <w:rsid w:val="00AB6879"/>
    <w:rsid w:val="00AB6EEF"/>
    <w:rsid w:val="00AB7096"/>
    <w:rsid w:val="00AB709E"/>
    <w:rsid w:val="00AB7214"/>
    <w:rsid w:val="00AB7550"/>
    <w:rsid w:val="00AB7B20"/>
    <w:rsid w:val="00AB7BF6"/>
    <w:rsid w:val="00AB7C77"/>
    <w:rsid w:val="00AB7D69"/>
    <w:rsid w:val="00AC0717"/>
    <w:rsid w:val="00AC0AEC"/>
    <w:rsid w:val="00AC0DFC"/>
    <w:rsid w:val="00AC1C90"/>
    <w:rsid w:val="00AC220B"/>
    <w:rsid w:val="00AC2ACE"/>
    <w:rsid w:val="00AC2EEE"/>
    <w:rsid w:val="00AC3055"/>
    <w:rsid w:val="00AC33F5"/>
    <w:rsid w:val="00AC35B9"/>
    <w:rsid w:val="00AC3901"/>
    <w:rsid w:val="00AC3EBE"/>
    <w:rsid w:val="00AC4639"/>
    <w:rsid w:val="00AC4C41"/>
    <w:rsid w:val="00AC4C93"/>
    <w:rsid w:val="00AC5057"/>
    <w:rsid w:val="00AC5E6E"/>
    <w:rsid w:val="00AC669E"/>
    <w:rsid w:val="00AC6CC9"/>
    <w:rsid w:val="00AC6D3B"/>
    <w:rsid w:val="00AC6D56"/>
    <w:rsid w:val="00AC79FF"/>
    <w:rsid w:val="00AC7DE9"/>
    <w:rsid w:val="00AD01C1"/>
    <w:rsid w:val="00AD04A1"/>
    <w:rsid w:val="00AD0549"/>
    <w:rsid w:val="00AD07B9"/>
    <w:rsid w:val="00AD0805"/>
    <w:rsid w:val="00AD0B20"/>
    <w:rsid w:val="00AD138B"/>
    <w:rsid w:val="00AD1A17"/>
    <w:rsid w:val="00AD1D2D"/>
    <w:rsid w:val="00AD2004"/>
    <w:rsid w:val="00AD206E"/>
    <w:rsid w:val="00AD24A8"/>
    <w:rsid w:val="00AD26EB"/>
    <w:rsid w:val="00AD2CAD"/>
    <w:rsid w:val="00AD309E"/>
    <w:rsid w:val="00AD4244"/>
    <w:rsid w:val="00AD4545"/>
    <w:rsid w:val="00AD4BF2"/>
    <w:rsid w:val="00AD53AD"/>
    <w:rsid w:val="00AD6D93"/>
    <w:rsid w:val="00AD727B"/>
    <w:rsid w:val="00AD7C2A"/>
    <w:rsid w:val="00AE1660"/>
    <w:rsid w:val="00AE1B8E"/>
    <w:rsid w:val="00AE2B69"/>
    <w:rsid w:val="00AE373A"/>
    <w:rsid w:val="00AE3AE9"/>
    <w:rsid w:val="00AE3B0F"/>
    <w:rsid w:val="00AE3B45"/>
    <w:rsid w:val="00AE4444"/>
    <w:rsid w:val="00AE4606"/>
    <w:rsid w:val="00AE509B"/>
    <w:rsid w:val="00AE5437"/>
    <w:rsid w:val="00AE674D"/>
    <w:rsid w:val="00AE6854"/>
    <w:rsid w:val="00AE6C77"/>
    <w:rsid w:val="00AE7418"/>
    <w:rsid w:val="00AE7B54"/>
    <w:rsid w:val="00AF12BD"/>
    <w:rsid w:val="00AF1936"/>
    <w:rsid w:val="00AF1D7D"/>
    <w:rsid w:val="00AF212A"/>
    <w:rsid w:val="00AF2C44"/>
    <w:rsid w:val="00AF2F0D"/>
    <w:rsid w:val="00AF33DF"/>
    <w:rsid w:val="00AF35D7"/>
    <w:rsid w:val="00AF3678"/>
    <w:rsid w:val="00AF427D"/>
    <w:rsid w:val="00AF48C5"/>
    <w:rsid w:val="00AF4943"/>
    <w:rsid w:val="00AF4BC7"/>
    <w:rsid w:val="00AF5737"/>
    <w:rsid w:val="00AF589E"/>
    <w:rsid w:val="00AF762F"/>
    <w:rsid w:val="00AF7ADC"/>
    <w:rsid w:val="00B00BAF"/>
    <w:rsid w:val="00B013FD"/>
    <w:rsid w:val="00B015ED"/>
    <w:rsid w:val="00B018C1"/>
    <w:rsid w:val="00B01A19"/>
    <w:rsid w:val="00B01EF7"/>
    <w:rsid w:val="00B01F94"/>
    <w:rsid w:val="00B02D09"/>
    <w:rsid w:val="00B02ECD"/>
    <w:rsid w:val="00B035E2"/>
    <w:rsid w:val="00B035F4"/>
    <w:rsid w:val="00B048B9"/>
    <w:rsid w:val="00B054D1"/>
    <w:rsid w:val="00B05EA0"/>
    <w:rsid w:val="00B0647A"/>
    <w:rsid w:val="00B0683A"/>
    <w:rsid w:val="00B06B15"/>
    <w:rsid w:val="00B06C2A"/>
    <w:rsid w:val="00B0708B"/>
    <w:rsid w:val="00B0753F"/>
    <w:rsid w:val="00B07701"/>
    <w:rsid w:val="00B07AD5"/>
    <w:rsid w:val="00B07E24"/>
    <w:rsid w:val="00B10121"/>
    <w:rsid w:val="00B10199"/>
    <w:rsid w:val="00B10888"/>
    <w:rsid w:val="00B11013"/>
    <w:rsid w:val="00B110D6"/>
    <w:rsid w:val="00B11205"/>
    <w:rsid w:val="00B11816"/>
    <w:rsid w:val="00B11B85"/>
    <w:rsid w:val="00B128CC"/>
    <w:rsid w:val="00B12D5C"/>
    <w:rsid w:val="00B135F7"/>
    <w:rsid w:val="00B13A94"/>
    <w:rsid w:val="00B13C57"/>
    <w:rsid w:val="00B13E2B"/>
    <w:rsid w:val="00B14642"/>
    <w:rsid w:val="00B148AB"/>
    <w:rsid w:val="00B14C41"/>
    <w:rsid w:val="00B14C57"/>
    <w:rsid w:val="00B158AD"/>
    <w:rsid w:val="00B15B3D"/>
    <w:rsid w:val="00B15C77"/>
    <w:rsid w:val="00B15FB7"/>
    <w:rsid w:val="00B16A6D"/>
    <w:rsid w:val="00B16CCE"/>
    <w:rsid w:val="00B170EC"/>
    <w:rsid w:val="00B17BCF"/>
    <w:rsid w:val="00B200C1"/>
    <w:rsid w:val="00B211C8"/>
    <w:rsid w:val="00B21EFB"/>
    <w:rsid w:val="00B2204D"/>
    <w:rsid w:val="00B227BF"/>
    <w:rsid w:val="00B228A9"/>
    <w:rsid w:val="00B22A95"/>
    <w:rsid w:val="00B22FCD"/>
    <w:rsid w:val="00B23184"/>
    <w:rsid w:val="00B23463"/>
    <w:rsid w:val="00B24BCE"/>
    <w:rsid w:val="00B2534D"/>
    <w:rsid w:val="00B25371"/>
    <w:rsid w:val="00B25B6B"/>
    <w:rsid w:val="00B2622E"/>
    <w:rsid w:val="00B26626"/>
    <w:rsid w:val="00B26D03"/>
    <w:rsid w:val="00B27726"/>
    <w:rsid w:val="00B27BCB"/>
    <w:rsid w:val="00B30990"/>
    <w:rsid w:val="00B31163"/>
    <w:rsid w:val="00B3150C"/>
    <w:rsid w:val="00B31A4D"/>
    <w:rsid w:val="00B32FD7"/>
    <w:rsid w:val="00B337F5"/>
    <w:rsid w:val="00B33E77"/>
    <w:rsid w:val="00B343A1"/>
    <w:rsid w:val="00B347F2"/>
    <w:rsid w:val="00B34825"/>
    <w:rsid w:val="00B34CC0"/>
    <w:rsid w:val="00B3500F"/>
    <w:rsid w:val="00B35594"/>
    <w:rsid w:val="00B36395"/>
    <w:rsid w:val="00B37D36"/>
    <w:rsid w:val="00B37E9B"/>
    <w:rsid w:val="00B37FD5"/>
    <w:rsid w:val="00B40E58"/>
    <w:rsid w:val="00B41054"/>
    <w:rsid w:val="00B413B0"/>
    <w:rsid w:val="00B419AC"/>
    <w:rsid w:val="00B42250"/>
    <w:rsid w:val="00B42D5F"/>
    <w:rsid w:val="00B4416A"/>
    <w:rsid w:val="00B443F5"/>
    <w:rsid w:val="00B44976"/>
    <w:rsid w:val="00B45255"/>
    <w:rsid w:val="00B453E2"/>
    <w:rsid w:val="00B472AD"/>
    <w:rsid w:val="00B4749D"/>
    <w:rsid w:val="00B478AC"/>
    <w:rsid w:val="00B47B6B"/>
    <w:rsid w:val="00B50CEE"/>
    <w:rsid w:val="00B50E67"/>
    <w:rsid w:val="00B51884"/>
    <w:rsid w:val="00B5211A"/>
    <w:rsid w:val="00B52C02"/>
    <w:rsid w:val="00B533CA"/>
    <w:rsid w:val="00B54C48"/>
    <w:rsid w:val="00B55C09"/>
    <w:rsid w:val="00B56B3B"/>
    <w:rsid w:val="00B575A2"/>
    <w:rsid w:val="00B60148"/>
    <w:rsid w:val="00B605D9"/>
    <w:rsid w:val="00B61B25"/>
    <w:rsid w:val="00B62215"/>
    <w:rsid w:val="00B633C7"/>
    <w:rsid w:val="00B63885"/>
    <w:rsid w:val="00B638A7"/>
    <w:rsid w:val="00B63C52"/>
    <w:rsid w:val="00B644DD"/>
    <w:rsid w:val="00B64515"/>
    <w:rsid w:val="00B648A0"/>
    <w:rsid w:val="00B65796"/>
    <w:rsid w:val="00B6681A"/>
    <w:rsid w:val="00B66E2A"/>
    <w:rsid w:val="00B6729B"/>
    <w:rsid w:val="00B67735"/>
    <w:rsid w:val="00B67791"/>
    <w:rsid w:val="00B70374"/>
    <w:rsid w:val="00B70C0E"/>
    <w:rsid w:val="00B70DF0"/>
    <w:rsid w:val="00B71325"/>
    <w:rsid w:val="00B72204"/>
    <w:rsid w:val="00B72B08"/>
    <w:rsid w:val="00B72D41"/>
    <w:rsid w:val="00B73BDE"/>
    <w:rsid w:val="00B73DCF"/>
    <w:rsid w:val="00B73E2F"/>
    <w:rsid w:val="00B744AD"/>
    <w:rsid w:val="00B75AF1"/>
    <w:rsid w:val="00B760E7"/>
    <w:rsid w:val="00B7718A"/>
    <w:rsid w:val="00B7763B"/>
    <w:rsid w:val="00B80085"/>
    <w:rsid w:val="00B80241"/>
    <w:rsid w:val="00B80463"/>
    <w:rsid w:val="00B81062"/>
    <w:rsid w:val="00B81266"/>
    <w:rsid w:val="00B81328"/>
    <w:rsid w:val="00B820C5"/>
    <w:rsid w:val="00B8246E"/>
    <w:rsid w:val="00B824F5"/>
    <w:rsid w:val="00B829D5"/>
    <w:rsid w:val="00B82C68"/>
    <w:rsid w:val="00B83224"/>
    <w:rsid w:val="00B834B1"/>
    <w:rsid w:val="00B84CEC"/>
    <w:rsid w:val="00B8530D"/>
    <w:rsid w:val="00B853E4"/>
    <w:rsid w:val="00B8694C"/>
    <w:rsid w:val="00B86AF6"/>
    <w:rsid w:val="00B87621"/>
    <w:rsid w:val="00B8782A"/>
    <w:rsid w:val="00B90580"/>
    <w:rsid w:val="00B90884"/>
    <w:rsid w:val="00B90D72"/>
    <w:rsid w:val="00B92786"/>
    <w:rsid w:val="00B92D57"/>
    <w:rsid w:val="00B92E7A"/>
    <w:rsid w:val="00B92E88"/>
    <w:rsid w:val="00B93105"/>
    <w:rsid w:val="00B9353C"/>
    <w:rsid w:val="00B944C5"/>
    <w:rsid w:val="00B95429"/>
    <w:rsid w:val="00B95521"/>
    <w:rsid w:val="00B959B5"/>
    <w:rsid w:val="00B95B78"/>
    <w:rsid w:val="00B95DAC"/>
    <w:rsid w:val="00B95FE5"/>
    <w:rsid w:val="00B96397"/>
    <w:rsid w:val="00B96AE3"/>
    <w:rsid w:val="00B96BB2"/>
    <w:rsid w:val="00B96CD6"/>
    <w:rsid w:val="00B96F08"/>
    <w:rsid w:val="00B97092"/>
    <w:rsid w:val="00BA1907"/>
    <w:rsid w:val="00BA1B83"/>
    <w:rsid w:val="00BA1D6D"/>
    <w:rsid w:val="00BA292E"/>
    <w:rsid w:val="00BA2D4A"/>
    <w:rsid w:val="00BA38C3"/>
    <w:rsid w:val="00BA3D65"/>
    <w:rsid w:val="00BA3F15"/>
    <w:rsid w:val="00BA40FF"/>
    <w:rsid w:val="00BA48C9"/>
    <w:rsid w:val="00BA53E2"/>
    <w:rsid w:val="00BA5DB9"/>
    <w:rsid w:val="00BA6272"/>
    <w:rsid w:val="00BA65E2"/>
    <w:rsid w:val="00BA66C0"/>
    <w:rsid w:val="00BA7746"/>
    <w:rsid w:val="00BB0F2A"/>
    <w:rsid w:val="00BB189A"/>
    <w:rsid w:val="00BB1ED4"/>
    <w:rsid w:val="00BB2AC0"/>
    <w:rsid w:val="00BB2C64"/>
    <w:rsid w:val="00BB4B07"/>
    <w:rsid w:val="00BB56A6"/>
    <w:rsid w:val="00BB56C3"/>
    <w:rsid w:val="00BB5F24"/>
    <w:rsid w:val="00BB6536"/>
    <w:rsid w:val="00BB666E"/>
    <w:rsid w:val="00BB66C8"/>
    <w:rsid w:val="00BB7438"/>
    <w:rsid w:val="00BB7AC7"/>
    <w:rsid w:val="00BC103F"/>
    <w:rsid w:val="00BC1565"/>
    <w:rsid w:val="00BC22AE"/>
    <w:rsid w:val="00BC26BF"/>
    <w:rsid w:val="00BC288D"/>
    <w:rsid w:val="00BC2DC2"/>
    <w:rsid w:val="00BC311F"/>
    <w:rsid w:val="00BC341F"/>
    <w:rsid w:val="00BC4260"/>
    <w:rsid w:val="00BC4280"/>
    <w:rsid w:val="00BC4606"/>
    <w:rsid w:val="00BC51F3"/>
    <w:rsid w:val="00BC529E"/>
    <w:rsid w:val="00BC5CA1"/>
    <w:rsid w:val="00BC5F3D"/>
    <w:rsid w:val="00BC6115"/>
    <w:rsid w:val="00BC6778"/>
    <w:rsid w:val="00BC7412"/>
    <w:rsid w:val="00BC7A97"/>
    <w:rsid w:val="00BC7F92"/>
    <w:rsid w:val="00BD0077"/>
    <w:rsid w:val="00BD0D12"/>
    <w:rsid w:val="00BD13AD"/>
    <w:rsid w:val="00BD19B3"/>
    <w:rsid w:val="00BD2B59"/>
    <w:rsid w:val="00BD4078"/>
    <w:rsid w:val="00BD488B"/>
    <w:rsid w:val="00BD4A03"/>
    <w:rsid w:val="00BD6191"/>
    <w:rsid w:val="00BD6670"/>
    <w:rsid w:val="00BD69ED"/>
    <w:rsid w:val="00BD6C60"/>
    <w:rsid w:val="00BD7218"/>
    <w:rsid w:val="00BE03CB"/>
    <w:rsid w:val="00BE2D42"/>
    <w:rsid w:val="00BE2DB6"/>
    <w:rsid w:val="00BE2FB2"/>
    <w:rsid w:val="00BE33CB"/>
    <w:rsid w:val="00BE3487"/>
    <w:rsid w:val="00BE4054"/>
    <w:rsid w:val="00BE5199"/>
    <w:rsid w:val="00BE58FD"/>
    <w:rsid w:val="00BE62D7"/>
    <w:rsid w:val="00BE69B4"/>
    <w:rsid w:val="00BE6BCF"/>
    <w:rsid w:val="00BE70DE"/>
    <w:rsid w:val="00BE71A9"/>
    <w:rsid w:val="00BE73C3"/>
    <w:rsid w:val="00BE7712"/>
    <w:rsid w:val="00BE7F9C"/>
    <w:rsid w:val="00BF0FAF"/>
    <w:rsid w:val="00BF1A15"/>
    <w:rsid w:val="00BF1BA6"/>
    <w:rsid w:val="00BF2977"/>
    <w:rsid w:val="00BF2CF8"/>
    <w:rsid w:val="00BF4879"/>
    <w:rsid w:val="00BF4FFB"/>
    <w:rsid w:val="00BF58BA"/>
    <w:rsid w:val="00BF5986"/>
    <w:rsid w:val="00BF5A70"/>
    <w:rsid w:val="00BF78C4"/>
    <w:rsid w:val="00BF794F"/>
    <w:rsid w:val="00BF7952"/>
    <w:rsid w:val="00C0000A"/>
    <w:rsid w:val="00C00547"/>
    <w:rsid w:val="00C00C95"/>
    <w:rsid w:val="00C00D0B"/>
    <w:rsid w:val="00C00D7B"/>
    <w:rsid w:val="00C0116C"/>
    <w:rsid w:val="00C017A2"/>
    <w:rsid w:val="00C026A3"/>
    <w:rsid w:val="00C02F3F"/>
    <w:rsid w:val="00C03507"/>
    <w:rsid w:val="00C0377D"/>
    <w:rsid w:val="00C03795"/>
    <w:rsid w:val="00C039E8"/>
    <w:rsid w:val="00C044A0"/>
    <w:rsid w:val="00C05695"/>
    <w:rsid w:val="00C06625"/>
    <w:rsid w:val="00C0665B"/>
    <w:rsid w:val="00C06B76"/>
    <w:rsid w:val="00C07179"/>
    <w:rsid w:val="00C07BC2"/>
    <w:rsid w:val="00C07CFC"/>
    <w:rsid w:val="00C10370"/>
    <w:rsid w:val="00C106E3"/>
    <w:rsid w:val="00C10955"/>
    <w:rsid w:val="00C10A3E"/>
    <w:rsid w:val="00C10BDE"/>
    <w:rsid w:val="00C10D0F"/>
    <w:rsid w:val="00C11AA9"/>
    <w:rsid w:val="00C11DBF"/>
    <w:rsid w:val="00C12C1F"/>
    <w:rsid w:val="00C132BB"/>
    <w:rsid w:val="00C1416F"/>
    <w:rsid w:val="00C148A5"/>
    <w:rsid w:val="00C158D6"/>
    <w:rsid w:val="00C15C8B"/>
    <w:rsid w:val="00C16477"/>
    <w:rsid w:val="00C16639"/>
    <w:rsid w:val="00C16823"/>
    <w:rsid w:val="00C16ABE"/>
    <w:rsid w:val="00C175D6"/>
    <w:rsid w:val="00C2000C"/>
    <w:rsid w:val="00C206D8"/>
    <w:rsid w:val="00C21EC4"/>
    <w:rsid w:val="00C22B6B"/>
    <w:rsid w:val="00C22D9A"/>
    <w:rsid w:val="00C22ED7"/>
    <w:rsid w:val="00C23C0F"/>
    <w:rsid w:val="00C24260"/>
    <w:rsid w:val="00C24526"/>
    <w:rsid w:val="00C24829"/>
    <w:rsid w:val="00C25008"/>
    <w:rsid w:val="00C25728"/>
    <w:rsid w:val="00C25A26"/>
    <w:rsid w:val="00C25C40"/>
    <w:rsid w:val="00C261E4"/>
    <w:rsid w:val="00C26788"/>
    <w:rsid w:val="00C300BD"/>
    <w:rsid w:val="00C310EB"/>
    <w:rsid w:val="00C314A4"/>
    <w:rsid w:val="00C32782"/>
    <w:rsid w:val="00C32D07"/>
    <w:rsid w:val="00C32F80"/>
    <w:rsid w:val="00C333EA"/>
    <w:rsid w:val="00C33804"/>
    <w:rsid w:val="00C339EC"/>
    <w:rsid w:val="00C34042"/>
    <w:rsid w:val="00C341CC"/>
    <w:rsid w:val="00C3508F"/>
    <w:rsid w:val="00C351FE"/>
    <w:rsid w:val="00C35615"/>
    <w:rsid w:val="00C358FD"/>
    <w:rsid w:val="00C35E05"/>
    <w:rsid w:val="00C35F87"/>
    <w:rsid w:val="00C3633D"/>
    <w:rsid w:val="00C400C5"/>
    <w:rsid w:val="00C4071C"/>
    <w:rsid w:val="00C4095B"/>
    <w:rsid w:val="00C40B53"/>
    <w:rsid w:val="00C411C8"/>
    <w:rsid w:val="00C41E38"/>
    <w:rsid w:val="00C42ACD"/>
    <w:rsid w:val="00C42E67"/>
    <w:rsid w:val="00C42EA7"/>
    <w:rsid w:val="00C4324C"/>
    <w:rsid w:val="00C4465B"/>
    <w:rsid w:val="00C448C3"/>
    <w:rsid w:val="00C44981"/>
    <w:rsid w:val="00C46160"/>
    <w:rsid w:val="00C4662F"/>
    <w:rsid w:val="00C46FAE"/>
    <w:rsid w:val="00C47566"/>
    <w:rsid w:val="00C50548"/>
    <w:rsid w:val="00C50D8F"/>
    <w:rsid w:val="00C51181"/>
    <w:rsid w:val="00C51926"/>
    <w:rsid w:val="00C520C5"/>
    <w:rsid w:val="00C52659"/>
    <w:rsid w:val="00C52FD5"/>
    <w:rsid w:val="00C531B9"/>
    <w:rsid w:val="00C53EB2"/>
    <w:rsid w:val="00C53F8E"/>
    <w:rsid w:val="00C545F7"/>
    <w:rsid w:val="00C5472D"/>
    <w:rsid w:val="00C54EA5"/>
    <w:rsid w:val="00C55058"/>
    <w:rsid w:val="00C5512D"/>
    <w:rsid w:val="00C55CAB"/>
    <w:rsid w:val="00C55D46"/>
    <w:rsid w:val="00C5666E"/>
    <w:rsid w:val="00C5697B"/>
    <w:rsid w:val="00C56AC9"/>
    <w:rsid w:val="00C56AE5"/>
    <w:rsid w:val="00C576E7"/>
    <w:rsid w:val="00C57D83"/>
    <w:rsid w:val="00C60600"/>
    <w:rsid w:val="00C608C5"/>
    <w:rsid w:val="00C60BB4"/>
    <w:rsid w:val="00C60BF8"/>
    <w:rsid w:val="00C60D76"/>
    <w:rsid w:val="00C610AC"/>
    <w:rsid w:val="00C629DC"/>
    <w:rsid w:val="00C629F6"/>
    <w:rsid w:val="00C63AF1"/>
    <w:rsid w:val="00C63F7F"/>
    <w:rsid w:val="00C6408C"/>
    <w:rsid w:val="00C640B3"/>
    <w:rsid w:val="00C6449D"/>
    <w:rsid w:val="00C64C11"/>
    <w:rsid w:val="00C64EDE"/>
    <w:rsid w:val="00C64F93"/>
    <w:rsid w:val="00C65088"/>
    <w:rsid w:val="00C651E0"/>
    <w:rsid w:val="00C655CF"/>
    <w:rsid w:val="00C664DE"/>
    <w:rsid w:val="00C66856"/>
    <w:rsid w:val="00C6705B"/>
    <w:rsid w:val="00C6730B"/>
    <w:rsid w:val="00C67426"/>
    <w:rsid w:val="00C67832"/>
    <w:rsid w:val="00C67DB9"/>
    <w:rsid w:val="00C67FC3"/>
    <w:rsid w:val="00C70302"/>
    <w:rsid w:val="00C709FB"/>
    <w:rsid w:val="00C71F55"/>
    <w:rsid w:val="00C72C8F"/>
    <w:rsid w:val="00C7334F"/>
    <w:rsid w:val="00C7415A"/>
    <w:rsid w:val="00C749EB"/>
    <w:rsid w:val="00C74B8B"/>
    <w:rsid w:val="00C753B0"/>
    <w:rsid w:val="00C753E7"/>
    <w:rsid w:val="00C75452"/>
    <w:rsid w:val="00C75D4C"/>
    <w:rsid w:val="00C75E5D"/>
    <w:rsid w:val="00C766A5"/>
    <w:rsid w:val="00C766C2"/>
    <w:rsid w:val="00C76B07"/>
    <w:rsid w:val="00C77685"/>
    <w:rsid w:val="00C776AC"/>
    <w:rsid w:val="00C7773F"/>
    <w:rsid w:val="00C77AE6"/>
    <w:rsid w:val="00C77F92"/>
    <w:rsid w:val="00C8006C"/>
    <w:rsid w:val="00C80397"/>
    <w:rsid w:val="00C80A69"/>
    <w:rsid w:val="00C82089"/>
    <w:rsid w:val="00C820A5"/>
    <w:rsid w:val="00C821A3"/>
    <w:rsid w:val="00C823BF"/>
    <w:rsid w:val="00C8242C"/>
    <w:rsid w:val="00C83492"/>
    <w:rsid w:val="00C84432"/>
    <w:rsid w:val="00C84CC2"/>
    <w:rsid w:val="00C85426"/>
    <w:rsid w:val="00C855A1"/>
    <w:rsid w:val="00C8695A"/>
    <w:rsid w:val="00C87044"/>
    <w:rsid w:val="00C872CE"/>
    <w:rsid w:val="00C87AD3"/>
    <w:rsid w:val="00C91209"/>
    <w:rsid w:val="00C91AD7"/>
    <w:rsid w:val="00C91E31"/>
    <w:rsid w:val="00C91ED3"/>
    <w:rsid w:val="00C91ED5"/>
    <w:rsid w:val="00C91F54"/>
    <w:rsid w:val="00C924FE"/>
    <w:rsid w:val="00C9291D"/>
    <w:rsid w:val="00C92F3C"/>
    <w:rsid w:val="00C93253"/>
    <w:rsid w:val="00C93974"/>
    <w:rsid w:val="00C93F36"/>
    <w:rsid w:val="00C945E1"/>
    <w:rsid w:val="00C94668"/>
    <w:rsid w:val="00C95F6F"/>
    <w:rsid w:val="00C9692D"/>
    <w:rsid w:val="00C97FFC"/>
    <w:rsid w:val="00CA116A"/>
    <w:rsid w:val="00CA14E7"/>
    <w:rsid w:val="00CA1510"/>
    <w:rsid w:val="00CA1846"/>
    <w:rsid w:val="00CA19CB"/>
    <w:rsid w:val="00CA1D42"/>
    <w:rsid w:val="00CA2D21"/>
    <w:rsid w:val="00CA427A"/>
    <w:rsid w:val="00CA4441"/>
    <w:rsid w:val="00CA4542"/>
    <w:rsid w:val="00CA4741"/>
    <w:rsid w:val="00CA490B"/>
    <w:rsid w:val="00CA4BFC"/>
    <w:rsid w:val="00CA4EC3"/>
    <w:rsid w:val="00CA532B"/>
    <w:rsid w:val="00CA59A3"/>
    <w:rsid w:val="00CA5A6E"/>
    <w:rsid w:val="00CA69B6"/>
    <w:rsid w:val="00CA6C32"/>
    <w:rsid w:val="00CA6E71"/>
    <w:rsid w:val="00CA6EE4"/>
    <w:rsid w:val="00CA7944"/>
    <w:rsid w:val="00CA7EAD"/>
    <w:rsid w:val="00CB0F16"/>
    <w:rsid w:val="00CB23D7"/>
    <w:rsid w:val="00CB347F"/>
    <w:rsid w:val="00CB39A7"/>
    <w:rsid w:val="00CB3A76"/>
    <w:rsid w:val="00CB420C"/>
    <w:rsid w:val="00CB47AA"/>
    <w:rsid w:val="00CB53C0"/>
    <w:rsid w:val="00CB56C1"/>
    <w:rsid w:val="00CB5796"/>
    <w:rsid w:val="00CB594F"/>
    <w:rsid w:val="00CB68F1"/>
    <w:rsid w:val="00CB6EE7"/>
    <w:rsid w:val="00CB7056"/>
    <w:rsid w:val="00CB70E5"/>
    <w:rsid w:val="00CB7546"/>
    <w:rsid w:val="00CB75DF"/>
    <w:rsid w:val="00CC007D"/>
    <w:rsid w:val="00CC077F"/>
    <w:rsid w:val="00CC10FE"/>
    <w:rsid w:val="00CC1100"/>
    <w:rsid w:val="00CC115E"/>
    <w:rsid w:val="00CC197E"/>
    <w:rsid w:val="00CC19EC"/>
    <w:rsid w:val="00CC23E6"/>
    <w:rsid w:val="00CC27DF"/>
    <w:rsid w:val="00CC2D2B"/>
    <w:rsid w:val="00CC3931"/>
    <w:rsid w:val="00CC4046"/>
    <w:rsid w:val="00CC4DAC"/>
    <w:rsid w:val="00CC5AF6"/>
    <w:rsid w:val="00CC647E"/>
    <w:rsid w:val="00CC67D8"/>
    <w:rsid w:val="00CC72E1"/>
    <w:rsid w:val="00CC78C1"/>
    <w:rsid w:val="00CC7ADF"/>
    <w:rsid w:val="00CD03A3"/>
    <w:rsid w:val="00CD1F12"/>
    <w:rsid w:val="00CD2973"/>
    <w:rsid w:val="00CD3C2D"/>
    <w:rsid w:val="00CD419D"/>
    <w:rsid w:val="00CD68BE"/>
    <w:rsid w:val="00CD6A4E"/>
    <w:rsid w:val="00CD6D13"/>
    <w:rsid w:val="00CD702F"/>
    <w:rsid w:val="00CD70E8"/>
    <w:rsid w:val="00CE10E0"/>
    <w:rsid w:val="00CE16F4"/>
    <w:rsid w:val="00CE3518"/>
    <w:rsid w:val="00CE3D43"/>
    <w:rsid w:val="00CE458E"/>
    <w:rsid w:val="00CE4658"/>
    <w:rsid w:val="00CE5F55"/>
    <w:rsid w:val="00CE6039"/>
    <w:rsid w:val="00CE6D58"/>
    <w:rsid w:val="00CE7C0A"/>
    <w:rsid w:val="00CF0587"/>
    <w:rsid w:val="00CF0FD8"/>
    <w:rsid w:val="00CF1D7B"/>
    <w:rsid w:val="00CF2385"/>
    <w:rsid w:val="00CF2896"/>
    <w:rsid w:val="00CF3100"/>
    <w:rsid w:val="00CF31C3"/>
    <w:rsid w:val="00CF31E4"/>
    <w:rsid w:val="00CF36B1"/>
    <w:rsid w:val="00CF3C3D"/>
    <w:rsid w:val="00CF43A9"/>
    <w:rsid w:val="00CF4842"/>
    <w:rsid w:val="00CF5B96"/>
    <w:rsid w:val="00CF5CFE"/>
    <w:rsid w:val="00CF603A"/>
    <w:rsid w:val="00CF61D7"/>
    <w:rsid w:val="00CF6587"/>
    <w:rsid w:val="00CF6B51"/>
    <w:rsid w:val="00D00005"/>
    <w:rsid w:val="00D00362"/>
    <w:rsid w:val="00D003B9"/>
    <w:rsid w:val="00D00411"/>
    <w:rsid w:val="00D007D6"/>
    <w:rsid w:val="00D00CD0"/>
    <w:rsid w:val="00D014CC"/>
    <w:rsid w:val="00D01671"/>
    <w:rsid w:val="00D01D00"/>
    <w:rsid w:val="00D020CE"/>
    <w:rsid w:val="00D02CFD"/>
    <w:rsid w:val="00D02E0D"/>
    <w:rsid w:val="00D0314C"/>
    <w:rsid w:val="00D0384F"/>
    <w:rsid w:val="00D04A05"/>
    <w:rsid w:val="00D05516"/>
    <w:rsid w:val="00D05904"/>
    <w:rsid w:val="00D07161"/>
    <w:rsid w:val="00D10533"/>
    <w:rsid w:val="00D1088E"/>
    <w:rsid w:val="00D10C42"/>
    <w:rsid w:val="00D10DFB"/>
    <w:rsid w:val="00D12BE4"/>
    <w:rsid w:val="00D13205"/>
    <w:rsid w:val="00D1353B"/>
    <w:rsid w:val="00D13B41"/>
    <w:rsid w:val="00D13E67"/>
    <w:rsid w:val="00D14284"/>
    <w:rsid w:val="00D145A8"/>
    <w:rsid w:val="00D14993"/>
    <w:rsid w:val="00D14E5F"/>
    <w:rsid w:val="00D1619A"/>
    <w:rsid w:val="00D17D59"/>
    <w:rsid w:val="00D21845"/>
    <w:rsid w:val="00D21C4F"/>
    <w:rsid w:val="00D21CAA"/>
    <w:rsid w:val="00D223BD"/>
    <w:rsid w:val="00D227A5"/>
    <w:rsid w:val="00D22B55"/>
    <w:rsid w:val="00D22C86"/>
    <w:rsid w:val="00D231A6"/>
    <w:rsid w:val="00D233AD"/>
    <w:rsid w:val="00D2555F"/>
    <w:rsid w:val="00D25C2D"/>
    <w:rsid w:val="00D26594"/>
    <w:rsid w:val="00D26879"/>
    <w:rsid w:val="00D26F1D"/>
    <w:rsid w:val="00D2768E"/>
    <w:rsid w:val="00D276F1"/>
    <w:rsid w:val="00D27D11"/>
    <w:rsid w:val="00D27D2A"/>
    <w:rsid w:val="00D30327"/>
    <w:rsid w:val="00D30B7E"/>
    <w:rsid w:val="00D30F7E"/>
    <w:rsid w:val="00D31E57"/>
    <w:rsid w:val="00D31FE9"/>
    <w:rsid w:val="00D328DA"/>
    <w:rsid w:val="00D32A1A"/>
    <w:rsid w:val="00D33A7D"/>
    <w:rsid w:val="00D34EB0"/>
    <w:rsid w:val="00D35117"/>
    <w:rsid w:val="00D35510"/>
    <w:rsid w:val="00D3576C"/>
    <w:rsid w:val="00D357E3"/>
    <w:rsid w:val="00D36F6A"/>
    <w:rsid w:val="00D370BE"/>
    <w:rsid w:val="00D370DA"/>
    <w:rsid w:val="00D3751C"/>
    <w:rsid w:val="00D37D3E"/>
    <w:rsid w:val="00D40A71"/>
    <w:rsid w:val="00D40AAE"/>
    <w:rsid w:val="00D40F2F"/>
    <w:rsid w:val="00D41B86"/>
    <w:rsid w:val="00D41D2A"/>
    <w:rsid w:val="00D41F91"/>
    <w:rsid w:val="00D42696"/>
    <w:rsid w:val="00D4294C"/>
    <w:rsid w:val="00D437D9"/>
    <w:rsid w:val="00D43A02"/>
    <w:rsid w:val="00D43C4C"/>
    <w:rsid w:val="00D450D1"/>
    <w:rsid w:val="00D45CC5"/>
    <w:rsid w:val="00D50825"/>
    <w:rsid w:val="00D50D4D"/>
    <w:rsid w:val="00D50F42"/>
    <w:rsid w:val="00D51108"/>
    <w:rsid w:val="00D51B70"/>
    <w:rsid w:val="00D51CDB"/>
    <w:rsid w:val="00D51D20"/>
    <w:rsid w:val="00D51FCD"/>
    <w:rsid w:val="00D51FDD"/>
    <w:rsid w:val="00D522E5"/>
    <w:rsid w:val="00D526CA"/>
    <w:rsid w:val="00D52E46"/>
    <w:rsid w:val="00D54432"/>
    <w:rsid w:val="00D545BE"/>
    <w:rsid w:val="00D547CD"/>
    <w:rsid w:val="00D54D81"/>
    <w:rsid w:val="00D551E6"/>
    <w:rsid w:val="00D552FD"/>
    <w:rsid w:val="00D5555C"/>
    <w:rsid w:val="00D5561A"/>
    <w:rsid w:val="00D569B5"/>
    <w:rsid w:val="00D57191"/>
    <w:rsid w:val="00D57A41"/>
    <w:rsid w:val="00D60295"/>
    <w:rsid w:val="00D60D6B"/>
    <w:rsid w:val="00D61104"/>
    <w:rsid w:val="00D61213"/>
    <w:rsid w:val="00D61A76"/>
    <w:rsid w:val="00D61CCB"/>
    <w:rsid w:val="00D6226E"/>
    <w:rsid w:val="00D63200"/>
    <w:rsid w:val="00D634D2"/>
    <w:rsid w:val="00D64196"/>
    <w:rsid w:val="00D646C3"/>
    <w:rsid w:val="00D65DB6"/>
    <w:rsid w:val="00D66331"/>
    <w:rsid w:val="00D66490"/>
    <w:rsid w:val="00D66C24"/>
    <w:rsid w:val="00D67342"/>
    <w:rsid w:val="00D70237"/>
    <w:rsid w:val="00D70401"/>
    <w:rsid w:val="00D70B8F"/>
    <w:rsid w:val="00D70C62"/>
    <w:rsid w:val="00D70FFF"/>
    <w:rsid w:val="00D713A4"/>
    <w:rsid w:val="00D71930"/>
    <w:rsid w:val="00D71AE6"/>
    <w:rsid w:val="00D723DD"/>
    <w:rsid w:val="00D72CCC"/>
    <w:rsid w:val="00D72D80"/>
    <w:rsid w:val="00D752C2"/>
    <w:rsid w:val="00D759AB"/>
    <w:rsid w:val="00D75F2F"/>
    <w:rsid w:val="00D7643A"/>
    <w:rsid w:val="00D766A4"/>
    <w:rsid w:val="00D76761"/>
    <w:rsid w:val="00D7676D"/>
    <w:rsid w:val="00D76A64"/>
    <w:rsid w:val="00D7742A"/>
    <w:rsid w:val="00D80C4A"/>
    <w:rsid w:val="00D81105"/>
    <w:rsid w:val="00D81C5B"/>
    <w:rsid w:val="00D828FF"/>
    <w:rsid w:val="00D83908"/>
    <w:rsid w:val="00D83A1E"/>
    <w:rsid w:val="00D84239"/>
    <w:rsid w:val="00D84D5D"/>
    <w:rsid w:val="00D85850"/>
    <w:rsid w:val="00D85886"/>
    <w:rsid w:val="00D8607F"/>
    <w:rsid w:val="00D8621E"/>
    <w:rsid w:val="00D86AED"/>
    <w:rsid w:val="00D86EDB"/>
    <w:rsid w:val="00D8704C"/>
    <w:rsid w:val="00D87402"/>
    <w:rsid w:val="00D90397"/>
    <w:rsid w:val="00D9165D"/>
    <w:rsid w:val="00D9176F"/>
    <w:rsid w:val="00D91F72"/>
    <w:rsid w:val="00D92034"/>
    <w:rsid w:val="00D931EE"/>
    <w:rsid w:val="00D93B37"/>
    <w:rsid w:val="00D93BEB"/>
    <w:rsid w:val="00D9654C"/>
    <w:rsid w:val="00D96722"/>
    <w:rsid w:val="00D96F15"/>
    <w:rsid w:val="00D977EB"/>
    <w:rsid w:val="00D97DB5"/>
    <w:rsid w:val="00DA0575"/>
    <w:rsid w:val="00DA11E5"/>
    <w:rsid w:val="00DA186F"/>
    <w:rsid w:val="00DA1BA3"/>
    <w:rsid w:val="00DA2167"/>
    <w:rsid w:val="00DA253E"/>
    <w:rsid w:val="00DA2E5B"/>
    <w:rsid w:val="00DA3740"/>
    <w:rsid w:val="00DA3FFB"/>
    <w:rsid w:val="00DA479D"/>
    <w:rsid w:val="00DA56F8"/>
    <w:rsid w:val="00DA65F6"/>
    <w:rsid w:val="00DA6E38"/>
    <w:rsid w:val="00DA6EB4"/>
    <w:rsid w:val="00DA75AD"/>
    <w:rsid w:val="00DA7CF0"/>
    <w:rsid w:val="00DB08E3"/>
    <w:rsid w:val="00DB0DF3"/>
    <w:rsid w:val="00DB17BF"/>
    <w:rsid w:val="00DB3C6A"/>
    <w:rsid w:val="00DB3EF5"/>
    <w:rsid w:val="00DB424B"/>
    <w:rsid w:val="00DB4BA4"/>
    <w:rsid w:val="00DB532A"/>
    <w:rsid w:val="00DB54D9"/>
    <w:rsid w:val="00DB6144"/>
    <w:rsid w:val="00DB6377"/>
    <w:rsid w:val="00DB645B"/>
    <w:rsid w:val="00DB670D"/>
    <w:rsid w:val="00DB6741"/>
    <w:rsid w:val="00DB7241"/>
    <w:rsid w:val="00DB76DB"/>
    <w:rsid w:val="00DC0C46"/>
    <w:rsid w:val="00DC0F2A"/>
    <w:rsid w:val="00DC11DA"/>
    <w:rsid w:val="00DC181D"/>
    <w:rsid w:val="00DC1EE3"/>
    <w:rsid w:val="00DC1FF6"/>
    <w:rsid w:val="00DC332C"/>
    <w:rsid w:val="00DC3457"/>
    <w:rsid w:val="00DC3463"/>
    <w:rsid w:val="00DC34D8"/>
    <w:rsid w:val="00DC36F9"/>
    <w:rsid w:val="00DC3CF4"/>
    <w:rsid w:val="00DC461F"/>
    <w:rsid w:val="00DC4664"/>
    <w:rsid w:val="00DC4A8C"/>
    <w:rsid w:val="00DC5265"/>
    <w:rsid w:val="00DC5298"/>
    <w:rsid w:val="00DC5378"/>
    <w:rsid w:val="00DC6227"/>
    <w:rsid w:val="00DC6BBA"/>
    <w:rsid w:val="00DC7663"/>
    <w:rsid w:val="00DD1038"/>
    <w:rsid w:val="00DD1994"/>
    <w:rsid w:val="00DD1EFA"/>
    <w:rsid w:val="00DD217E"/>
    <w:rsid w:val="00DD38A0"/>
    <w:rsid w:val="00DD3FD9"/>
    <w:rsid w:val="00DD46D2"/>
    <w:rsid w:val="00DD4A13"/>
    <w:rsid w:val="00DD541D"/>
    <w:rsid w:val="00DD6BA8"/>
    <w:rsid w:val="00DD76E0"/>
    <w:rsid w:val="00DD7C34"/>
    <w:rsid w:val="00DE03BD"/>
    <w:rsid w:val="00DE0E2D"/>
    <w:rsid w:val="00DE0E96"/>
    <w:rsid w:val="00DE0F16"/>
    <w:rsid w:val="00DE1F34"/>
    <w:rsid w:val="00DE28D2"/>
    <w:rsid w:val="00DE2E97"/>
    <w:rsid w:val="00DE36C3"/>
    <w:rsid w:val="00DE40E1"/>
    <w:rsid w:val="00DE41D6"/>
    <w:rsid w:val="00DE4A9F"/>
    <w:rsid w:val="00DE4F67"/>
    <w:rsid w:val="00DE5AF4"/>
    <w:rsid w:val="00DE5E50"/>
    <w:rsid w:val="00DE64B0"/>
    <w:rsid w:val="00DE67E7"/>
    <w:rsid w:val="00DE6BD0"/>
    <w:rsid w:val="00DE702E"/>
    <w:rsid w:val="00DE7B3A"/>
    <w:rsid w:val="00DE7F74"/>
    <w:rsid w:val="00DF0D53"/>
    <w:rsid w:val="00DF14F0"/>
    <w:rsid w:val="00DF1572"/>
    <w:rsid w:val="00DF15FF"/>
    <w:rsid w:val="00DF16A4"/>
    <w:rsid w:val="00DF1903"/>
    <w:rsid w:val="00DF2320"/>
    <w:rsid w:val="00DF3238"/>
    <w:rsid w:val="00DF3969"/>
    <w:rsid w:val="00DF3B51"/>
    <w:rsid w:val="00DF3E9C"/>
    <w:rsid w:val="00DF4692"/>
    <w:rsid w:val="00DF48F5"/>
    <w:rsid w:val="00DF4A0B"/>
    <w:rsid w:val="00DF4FD9"/>
    <w:rsid w:val="00DF5C87"/>
    <w:rsid w:val="00DF6B47"/>
    <w:rsid w:val="00DF6C3F"/>
    <w:rsid w:val="00DF6FD4"/>
    <w:rsid w:val="00DF7611"/>
    <w:rsid w:val="00E002AA"/>
    <w:rsid w:val="00E00395"/>
    <w:rsid w:val="00E0059A"/>
    <w:rsid w:val="00E013F7"/>
    <w:rsid w:val="00E01DD1"/>
    <w:rsid w:val="00E0211C"/>
    <w:rsid w:val="00E02428"/>
    <w:rsid w:val="00E0352E"/>
    <w:rsid w:val="00E04D16"/>
    <w:rsid w:val="00E05265"/>
    <w:rsid w:val="00E05C5F"/>
    <w:rsid w:val="00E0783B"/>
    <w:rsid w:val="00E078F7"/>
    <w:rsid w:val="00E07C45"/>
    <w:rsid w:val="00E07F2F"/>
    <w:rsid w:val="00E10A6F"/>
    <w:rsid w:val="00E114A8"/>
    <w:rsid w:val="00E11516"/>
    <w:rsid w:val="00E11E8A"/>
    <w:rsid w:val="00E11F94"/>
    <w:rsid w:val="00E12A88"/>
    <w:rsid w:val="00E135B7"/>
    <w:rsid w:val="00E138A3"/>
    <w:rsid w:val="00E13EB0"/>
    <w:rsid w:val="00E14DE3"/>
    <w:rsid w:val="00E15172"/>
    <w:rsid w:val="00E16686"/>
    <w:rsid w:val="00E16994"/>
    <w:rsid w:val="00E17529"/>
    <w:rsid w:val="00E17F12"/>
    <w:rsid w:val="00E208C4"/>
    <w:rsid w:val="00E20A2F"/>
    <w:rsid w:val="00E21DDE"/>
    <w:rsid w:val="00E22240"/>
    <w:rsid w:val="00E22262"/>
    <w:rsid w:val="00E22699"/>
    <w:rsid w:val="00E22D9D"/>
    <w:rsid w:val="00E24CCC"/>
    <w:rsid w:val="00E25955"/>
    <w:rsid w:val="00E25A85"/>
    <w:rsid w:val="00E25AB4"/>
    <w:rsid w:val="00E25D19"/>
    <w:rsid w:val="00E27DBB"/>
    <w:rsid w:val="00E30211"/>
    <w:rsid w:val="00E31A59"/>
    <w:rsid w:val="00E320CD"/>
    <w:rsid w:val="00E32263"/>
    <w:rsid w:val="00E32937"/>
    <w:rsid w:val="00E349D9"/>
    <w:rsid w:val="00E34C73"/>
    <w:rsid w:val="00E358D4"/>
    <w:rsid w:val="00E364B7"/>
    <w:rsid w:val="00E3653C"/>
    <w:rsid w:val="00E37422"/>
    <w:rsid w:val="00E37459"/>
    <w:rsid w:val="00E37C46"/>
    <w:rsid w:val="00E40532"/>
    <w:rsid w:val="00E411D2"/>
    <w:rsid w:val="00E41989"/>
    <w:rsid w:val="00E41B6C"/>
    <w:rsid w:val="00E41D42"/>
    <w:rsid w:val="00E4219E"/>
    <w:rsid w:val="00E42370"/>
    <w:rsid w:val="00E428E0"/>
    <w:rsid w:val="00E43249"/>
    <w:rsid w:val="00E43F50"/>
    <w:rsid w:val="00E442D4"/>
    <w:rsid w:val="00E44C90"/>
    <w:rsid w:val="00E45028"/>
    <w:rsid w:val="00E45045"/>
    <w:rsid w:val="00E4584F"/>
    <w:rsid w:val="00E46516"/>
    <w:rsid w:val="00E46837"/>
    <w:rsid w:val="00E501D3"/>
    <w:rsid w:val="00E50588"/>
    <w:rsid w:val="00E50A57"/>
    <w:rsid w:val="00E50FF8"/>
    <w:rsid w:val="00E5114B"/>
    <w:rsid w:val="00E51699"/>
    <w:rsid w:val="00E51E25"/>
    <w:rsid w:val="00E523D4"/>
    <w:rsid w:val="00E54BD0"/>
    <w:rsid w:val="00E56054"/>
    <w:rsid w:val="00E564CD"/>
    <w:rsid w:val="00E569A4"/>
    <w:rsid w:val="00E56A0D"/>
    <w:rsid w:val="00E570F9"/>
    <w:rsid w:val="00E57912"/>
    <w:rsid w:val="00E60670"/>
    <w:rsid w:val="00E60A14"/>
    <w:rsid w:val="00E613B3"/>
    <w:rsid w:val="00E614BE"/>
    <w:rsid w:val="00E61A06"/>
    <w:rsid w:val="00E61CA3"/>
    <w:rsid w:val="00E62014"/>
    <w:rsid w:val="00E620A3"/>
    <w:rsid w:val="00E6246D"/>
    <w:rsid w:val="00E63C4A"/>
    <w:rsid w:val="00E64A74"/>
    <w:rsid w:val="00E64E42"/>
    <w:rsid w:val="00E65683"/>
    <w:rsid w:val="00E65C4D"/>
    <w:rsid w:val="00E65D11"/>
    <w:rsid w:val="00E66A0F"/>
    <w:rsid w:val="00E67199"/>
    <w:rsid w:val="00E67965"/>
    <w:rsid w:val="00E7056F"/>
    <w:rsid w:val="00E70956"/>
    <w:rsid w:val="00E712DE"/>
    <w:rsid w:val="00E71BB4"/>
    <w:rsid w:val="00E732B2"/>
    <w:rsid w:val="00E73808"/>
    <w:rsid w:val="00E73963"/>
    <w:rsid w:val="00E748EA"/>
    <w:rsid w:val="00E75710"/>
    <w:rsid w:val="00E766B9"/>
    <w:rsid w:val="00E76D4C"/>
    <w:rsid w:val="00E777E4"/>
    <w:rsid w:val="00E77830"/>
    <w:rsid w:val="00E803C3"/>
    <w:rsid w:val="00E804F4"/>
    <w:rsid w:val="00E806C3"/>
    <w:rsid w:val="00E80778"/>
    <w:rsid w:val="00E81632"/>
    <w:rsid w:val="00E81E9E"/>
    <w:rsid w:val="00E82432"/>
    <w:rsid w:val="00E84371"/>
    <w:rsid w:val="00E8575D"/>
    <w:rsid w:val="00E8577F"/>
    <w:rsid w:val="00E85C12"/>
    <w:rsid w:val="00E85E29"/>
    <w:rsid w:val="00E8759E"/>
    <w:rsid w:val="00E9010D"/>
    <w:rsid w:val="00E90B61"/>
    <w:rsid w:val="00E917B7"/>
    <w:rsid w:val="00E91B31"/>
    <w:rsid w:val="00E91C09"/>
    <w:rsid w:val="00E92E8A"/>
    <w:rsid w:val="00E93AA8"/>
    <w:rsid w:val="00E95033"/>
    <w:rsid w:val="00E95E21"/>
    <w:rsid w:val="00E961C1"/>
    <w:rsid w:val="00E96490"/>
    <w:rsid w:val="00E96533"/>
    <w:rsid w:val="00E96CD0"/>
    <w:rsid w:val="00E9709B"/>
    <w:rsid w:val="00EA0065"/>
    <w:rsid w:val="00EA04E7"/>
    <w:rsid w:val="00EA2413"/>
    <w:rsid w:val="00EA2421"/>
    <w:rsid w:val="00EA343C"/>
    <w:rsid w:val="00EA3686"/>
    <w:rsid w:val="00EA3748"/>
    <w:rsid w:val="00EA3B5D"/>
    <w:rsid w:val="00EA4152"/>
    <w:rsid w:val="00EA4D00"/>
    <w:rsid w:val="00EA5156"/>
    <w:rsid w:val="00EA52FC"/>
    <w:rsid w:val="00EA5B44"/>
    <w:rsid w:val="00EA653C"/>
    <w:rsid w:val="00EA7D83"/>
    <w:rsid w:val="00EB0172"/>
    <w:rsid w:val="00EB01D2"/>
    <w:rsid w:val="00EB07F5"/>
    <w:rsid w:val="00EB092E"/>
    <w:rsid w:val="00EB0E1B"/>
    <w:rsid w:val="00EB1187"/>
    <w:rsid w:val="00EB16D7"/>
    <w:rsid w:val="00EB3882"/>
    <w:rsid w:val="00EB4483"/>
    <w:rsid w:val="00EB45BD"/>
    <w:rsid w:val="00EB45F7"/>
    <w:rsid w:val="00EB48A4"/>
    <w:rsid w:val="00EB4C7F"/>
    <w:rsid w:val="00EB4D3B"/>
    <w:rsid w:val="00EB4EA1"/>
    <w:rsid w:val="00EB5813"/>
    <w:rsid w:val="00EB5C95"/>
    <w:rsid w:val="00EB5D68"/>
    <w:rsid w:val="00EB6105"/>
    <w:rsid w:val="00EB68F0"/>
    <w:rsid w:val="00EB72C3"/>
    <w:rsid w:val="00EC0EFE"/>
    <w:rsid w:val="00EC103E"/>
    <w:rsid w:val="00EC13A2"/>
    <w:rsid w:val="00EC145E"/>
    <w:rsid w:val="00EC15F9"/>
    <w:rsid w:val="00EC2172"/>
    <w:rsid w:val="00EC2704"/>
    <w:rsid w:val="00EC2F4A"/>
    <w:rsid w:val="00EC2F8F"/>
    <w:rsid w:val="00EC3A17"/>
    <w:rsid w:val="00EC3EB3"/>
    <w:rsid w:val="00EC45F5"/>
    <w:rsid w:val="00EC5AAD"/>
    <w:rsid w:val="00EC5BAD"/>
    <w:rsid w:val="00EC7B0A"/>
    <w:rsid w:val="00EC7C9B"/>
    <w:rsid w:val="00ED0108"/>
    <w:rsid w:val="00ED02B7"/>
    <w:rsid w:val="00ED07DB"/>
    <w:rsid w:val="00ED09A9"/>
    <w:rsid w:val="00ED0D30"/>
    <w:rsid w:val="00ED0EB8"/>
    <w:rsid w:val="00ED1329"/>
    <w:rsid w:val="00ED1EE4"/>
    <w:rsid w:val="00ED20BB"/>
    <w:rsid w:val="00ED21B0"/>
    <w:rsid w:val="00ED23B2"/>
    <w:rsid w:val="00ED252C"/>
    <w:rsid w:val="00ED2613"/>
    <w:rsid w:val="00ED3796"/>
    <w:rsid w:val="00ED516E"/>
    <w:rsid w:val="00ED59C0"/>
    <w:rsid w:val="00ED7270"/>
    <w:rsid w:val="00EE148C"/>
    <w:rsid w:val="00EE165D"/>
    <w:rsid w:val="00EE2832"/>
    <w:rsid w:val="00EE3C7E"/>
    <w:rsid w:val="00EE4031"/>
    <w:rsid w:val="00EE4579"/>
    <w:rsid w:val="00EE457D"/>
    <w:rsid w:val="00EE52C8"/>
    <w:rsid w:val="00EE54E4"/>
    <w:rsid w:val="00EE556F"/>
    <w:rsid w:val="00EE5FC6"/>
    <w:rsid w:val="00EE60D7"/>
    <w:rsid w:val="00EE6596"/>
    <w:rsid w:val="00EE6935"/>
    <w:rsid w:val="00EE6EFF"/>
    <w:rsid w:val="00EE7843"/>
    <w:rsid w:val="00EE7CAA"/>
    <w:rsid w:val="00EF071A"/>
    <w:rsid w:val="00EF074E"/>
    <w:rsid w:val="00EF096D"/>
    <w:rsid w:val="00EF0CA6"/>
    <w:rsid w:val="00EF16D9"/>
    <w:rsid w:val="00EF2440"/>
    <w:rsid w:val="00EF27EB"/>
    <w:rsid w:val="00EF2C64"/>
    <w:rsid w:val="00EF3093"/>
    <w:rsid w:val="00EF3505"/>
    <w:rsid w:val="00EF3CA4"/>
    <w:rsid w:val="00EF3EAC"/>
    <w:rsid w:val="00EF4BBE"/>
    <w:rsid w:val="00EF5184"/>
    <w:rsid w:val="00EF546F"/>
    <w:rsid w:val="00EF5E07"/>
    <w:rsid w:val="00EF64AA"/>
    <w:rsid w:val="00EF654E"/>
    <w:rsid w:val="00EF6DF3"/>
    <w:rsid w:val="00EF75C1"/>
    <w:rsid w:val="00EF7907"/>
    <w:rsid w:val="00EF7FAE"/>
    <w:rsid w:val="00EF7FBE"/>
    <w:rsid w:val="00F00025"/>
    <w:rsid w:val="00F001E5"/>
    <w:rsid w:val="00F0033F"/>
    <w:rsid w:val="00F0251F"/>
    <w:rsid w:val="00F0264C"/>
    <w:rsid w:val="00F02F44"/>
    <w:rsid w:val="00F02FD1"/>
    <w:rsid w:val="00F03BE2"/>
    <w:rsid w:val="00F03FC0"/>
    <w:rsid w:val="00F03FD3"/>
    <w:rsid w:val="00F040CF"/>
    <w:rsid w:val="00F04C51"/>
    <w:rsid w:val="00F05EED"/>
    <w:rsid w:val="00F0601B"/>
    <w:rsid w:val="00F064BE"/>
    <w:rsid w:val="00F065E6"/>
    <w:rsid w:val="00F068DF"/>
    <w:rsid w:val="00F06E7C"/>
    <w:rsid w:val="00F0728C"/>
    <w:rsid w:val="00F07840"/>
    <w:rsid w:val="00F07E51"/>
    <w:rsid w:val="00F07E58"/>
    <w:rsid w:val="00F07F29"/>
    <w:rsid w:val="00F10171"/>
    <w:rsid w:val="00F1094F"/>
    <w:rsid w:val="00F10B21"/>
    <w:rsid w:val="00F10FA1"/>
    <w:rsid w:val="00F11610"/>
    <w:rsid w:val="00F11F5B"/>
    <w:rsid w:val="00F126ED"/>
    <w:rsid w:val="00F12A36"/>
    <w:rsid w:val="00F12C6E"/>
    <w:rsid w:val="00F13E7A"/>
    <w:rsid w:val="00F14B9B"/>
    <w:rsid w:val="00F14D61"/>
    <w:rsid w:val="00F152C6"/>
    <w:rsid w:val="00F15CBB"/>
    <w:rsid w:val="00F16203"/>
    <w:rsid w:val="00F16275"/>
    <w:rsid w:val="00F16349"/>
    <w:rsid w:val="00F16A3B"/>
    <w:rsid w:val="00F1756A"/>
    <w:rsid w:val="00F177C0"/>
    <w:rsid w:val="00F20221"/>
    <w:rsid w:val="00F214B3"/>
    <w:rsid w:val="00F217AD"/>
    <w:rsid w:val="00F218C5"/>
    <w:rsid w:val="00F21B57"/>
    <w:rsid w:val="00F21BD3"/>
    <w:rsid w:val="00F227DD"/>
    <w:rsid w:val="00F229D8"/>
    <w:rsid w:val="00F22CDD"/>
    <w:rsid w:val="00F22E72"/>
    <w:rsid w:val="00F2405C"/>
    <w:rsid w:val="00F24C56"/>
    <w:rsid w:val="00F2511A"/>
    <w:rsid w:val="00F25345"/>
    <w:rsid w:val="00F25645"/>
    <w:rsid w:val="00F30A01"/>
    <w:rsid w:val="00F30C85"/>
    <w:rsid w:val="00F315F9"/>
    <w:rsid w:val="00F31741"/>
    <w:rsid w:val="00F3213C"/>
    <w:rsid w:val="00F3270D"/>
    <w:rsid w:val="00F33EE9"/>
    <w:rsid w:val="00F34728"/>
    <w:rsid w:val="00F35632"/>
    <w:rsid w:val="00F36A35"/>
    <w:rsid w:val="00F40D0D"/>
    <w:rsid w:val="00F40EB7"/>
    <w:rsid w:val="00F41406"/>
    <w:rsid w:val="00F417C8"/>
    <w:rsid w:val="00F42267"/>
    <w:rsid w:val="00F427CB"/>
    <w:rsid w:val="00F427D1"/>
    <w:rsid w:val="00F43397"/>
    <w:rsid w:val="00F43C78"/>
    <w:rsid w:val="00F44181"/>
    <w:rsid w:val="00F441E7"/>
    <w:rsid w:val="00F44895"/>
    <w:rsid w:val="00F44D84"/>
    <w:rsid w:val="00F4652A"/>
    <w:rsid w:val="00F466C8"/>
    <w:rsid w:val="00F46C70"/>
    <w:rsid w:val="00F51285"/>
    <w:rsid w:val="00F515FA"/>
    <w:rsid w:val="00F52446"/>
    <w:rsid w:val="00F527BA"/>
    <w:rsid w:val="00F53AF7"/>
    <w:rsid w:val="00F53EEF"/>
    <w:rsid w:val="00F54602"/>
    <w:rsid w:val="00F55137"/>
    <w:rsid w:val="00F56477"/>
    <w:rsid w:val="00F56984"/>
    <w:rsid w:val="00F56A60"/>
    <w:rsid w:val="00F57CEE"/>
    <w:rsid w:val="00F57EB5"/>
    <w:rsid w:val="00F604E4"/>
    <w:rsid w:val="00F605E1"/>
    <w:rsid w:val="00F60982"/>
    <w:rsid w:val="00F60E00"/>
    <w:rsid w:val="00F619F6"/>
    <w:rsid w:val="00F62409"/>
    <w:rsid w:val="00F62CD3"/>
    <w:rsid w:val="00F63B98"/>
    <w:rsid w:val="00F63D96"/>
    <w:rsid w:val="00F63F2E"/>
    <w:rsid w:val="00F641C9"/>
    <w:rsid w:val="00F64646"/>
    <w:rsid w:val="00F64708"/>
    <w:rsid w:val="00F64832"/>
    <w:rsid w:val="00F648EF"/>
    <w:rsid w:val="00F64B16"/>
    <w:rsid w:val="00F6531C"/>
    <w:rsid w:val="00F655A6"/>
    <w:rsid w:val="00F66116"/>
    <w:rsid w:val="00F679F5"/>
    <w:rsid w:val="00F67CA4"/>
    <w:rsid w:val="00F70345"/>
    <w:rsid w:val="00F70B7B"/>
    <w:rsid w:val="00F70B94"/>
    <w:rsid w:val="00F70D3D"/>
    <w:rsid w:val="00F70F6D"/>
    <w:rsid w:val="00F715FD"/>
    <w:rsid w:val="00F71A47"/>
    <w:rsid w:val="00F71CAE"/>
    <w:rsid w:val="00F72604"/>
    <w:rsid w:val="00F73A59"/>
    <w:rsid w:val="00F74756"/>
    <w:rsid w:val="00F74855"/>
    <w:rsid w:val="00F74C82"/>
    <w:rsid w:val="00F7525F"/>
    <w:rsid w:val="00F754D5"/>
    <w:rsid w:val="00F75E39"/>
    <w:rsid w:val="00F76B33"/>
    <w:rsid w:val="00F77219"/>
    <w:rsid w:val="00F77332"/>
    <w:rsid w:val="00F77CE0"/>
    <w:rsid w:val="00F80693"/>
    <w:rsid w:val="00F811A9"/>
    <w:rsid w:val="00F81F86"/>
    <w:rsid w:val="00F82187"/>
    <w:rsid w:val="00F8251F"/>
    <w:rsid w:val="00F83B80"/>
    <w:rsid w:val="00F83D2C"/>
    <w:rsid w:val="00F83DB0"/>
    <w:rsid w:val="00F84C1A"/>
    <w:rsid w:val="00F84FE7"/>
    <w:rsid w:val="00F859A7"/>
    <w:rsid w:val="00F864BB"/>
    <w:rsid w:val="00F870D2"/>
    <w:rsid w:val="00F87304"/>
    <w:rsid w:val="00F87448"/>
    <w:rsid w:val="00F879E6"/>
    <w:rsid w:val="00F90952"/>
    <w:rsid w:val="00F90BED"/>
    <w:rsid w:val="00F91028"/>
    <w:rsid w:val="00F91994"/>
    <w:rsid w:val="00F91E25"/>
    <w:rsid w:val="00F9260A"/>
    <w:rsid w:val="00F93900"/>
    <w:rsid w:val="00F93929"/>
    <w:rsid w:val="00F93C74"/>
    <w:rsid w:val="00F93E34"/>
    <w:rsid w:val="00F943CB"/>
    <w:rsid w:val="00F945B2"/>
    <w:rsid w:val="00F9476C"/>
    <w:rsid w:val="00F94A45"/>
    <w:rsid w:val="00F94CBF"/>
    <w:rsid w:val="00F94E15"/>
    <w:rsid w:val="00F94F92"/>
    <w:rsid w:val="00F9605C"/>
    <w:rsid w:val="00F9654A"/>
    <w:rsid w:val="00F96A4E"/>
    <w:rsid w:val="00F972A1"/>
    <w:rsid w:val="00FA0360"/>
    <w:rsid w:val="00FA12CE"/>
    <w:rsid w:val="00FA138E"/>
    <w:rsid w:val="00FA13ED"/>
    <w:rsid w:val="00FA2B6A"/>
    <w:rsid w:val="00FA30E6"/>
    <w:rsid w:val="00FA36E4"/>
    <w:rsid w:val="00FA406A"/>
    <w:rsid w:val="00FA407D"/>
    <w:rsid w:val="00FA4E2A"/>
    <w:rsid w:val="00FA5D8F"/>
    <w:rsid w:val="00FA6754"/>
    <w:rsid w:val="00FA6EDB"/>
    <w:rsid w:val="00FA7652"/>
    <w:rsid w:val="00FA7852"/>
    <w:rsid w:val="00FA7897"/>
    <w:rsid w:val="00FA7F20"/>
    <w:rsid w:val="00FB00EB"/>
    <w:rsid w:val="00FB14DE"/>
    <w:rsid w:val="00FB1BF1"/>
    <w:rsid w:val="00FB2423"/>
    <w:rsid w:val="00FB243D"/>
    <w:rsid w:val="00FB2768"/>
    <w:rsid w:val="00FB29B2"/>
    <w:rsid w:val="00FB3266"/>
    <w:rsid w:val="00FB39AE"/>
    <w:rsid w:val="00FB43C1"/>
    <w:rsid w:val="00FB4548"/>
    <w:rsid w:val="00FB63BC"/>
    <w:rsid w:val="00FB64C8"/>
    <w:rsid w:val="00FB6617"/>
    <w:rsid w:val="00FB7D97"/>
    <w:rsid w:val="00FC00AF"/>
    <w:rsid w:val="00FC0586"/>
    <w:rsid w:val="00FC06F0"/>
    <w:rsid w:val="00FC091F"/>
    <w:rsid w:val="00FC1285"/>
    <w:rsid w:val="00FC1589"/>
    <w:rsid w:val="00FC1689"/>
    <w:rsid w:val="00FC1705"/>
    <w:rsid w:val="00FC2DA8"/>
    <w:rsid w:val="00FC2EE1"/>
    <w:rsid w:val="00FC37A4"/>
    <w:rsid w:val="00FC46F7"/>
    <w:rsid w:val="00FC5179"/>
    <w:rsid w:val="00FC5A8E"/>
    <w:rsid w:val="00FC6A20"/>
    <w:rsid w:val="00FC6A86"/>
    <w:rsid w:val="00FC6CC9"/>
    <w:rsid w:val="00FD0A7D"/>
    <w:rsid w:val="00FD0AEC"/>
    <w:rsid w:val="00FD12BB"/>
    <w:rsid w:val="00FD2298"/>
    <w:rsid w:val="00FD2D29"/>
    <w:rsid w:val="00FD2DA1"/>
    <w:rsid w:val="00FD3408"/>
    <w:rsid w:val="00FD3A82"/>
    <w:rsid w:val="00FD3D18"/>
    <w:rsid w:val="00FD3F36"/>
    <w:rsid w:val="00FD42C2"/>
    <w:rsid w:val="00FD4589"/>
    <w:rsid w:val="00FD4614"/>
    <w:rsid w:val="00FD536A"/>
    <w:rsid w:val="00FD59A0"/>
    <w:rsid w:val="00FD5A4E"/>
    <w:rsid w:val="00FD5C02"/>
    <w:rsid w:val="00FD6929"/>
    <w:rsid w:val="00FD6EB4"/>
    <w:rsid w:val="00FD6F51"/>
    <w:rsid w:val="00FD75F3"/>
    <w:rsid w:val="00FD7A40"/>
    <w:rsid w:val="00FE00A0"/>
    <w:rsid w:val="00FE068C"/>
    <w:rsid w:val="00FE07F1"/>
    <w:rsid w:val="00FE118A"/>
    <w:rsid w:val="00FE3E1F"/>
    <w:rsid w:val="00FE3E52"/>
    <w:rsid w:val="00FE44DE"/>
    <w:rsid w:val="00FE488B"/>
    <w:rsid w:val="00FE4F38"/>
    <w:rsid w:val="00FE52E9"/>
    <w:rsid w:val="00FE580D"/>
    <w:rsid w:val="00FE5939"/>
    <w:rsid w:val="00FE6C86"/>
    <w:rsid w:val="00FE7B43"/>
    <w:rsid w:val="00FE7C67"/>
    <w:rsid w:val="00FF0318"/>
    <w:rsid w:val="00FF0476"/>
    <w:rsid w:val="00FF0A88"/>
    <w:rsid w:val="00FF18B8"/>
    <w:rsid w:val="00FF1B61"/>
    <w:rsid w:val="00FF2A42"/>
    <w:rsid w:val="00FF367A"/>
    <w:rsid w:val="00FF4BF6"/>
    <w:rsid w:val="00FF51BC"/>
    <w:rsid w:val="00FF52BB"/>
    <w:rsid w:val="00FF5A78"/>
    <w:rsid w:val="00FF5B33"/>
    <w:rsid w:val="00FF5CD5"/>
    <w:rsid w:val="00FF6E9F"/>
    <w:rsid w:val="00FF7B14"/>
    <w:rsid w:val="00FF7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3FB1D60"/>
  <w15:docId w15:val="{6F629317-6212-4FF8-A631-39F7C2A4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cs="Arial"/>
      <w:sz w:val="24"/>
    </w:rPr>
  </w:style>
  <w:style w:type="paragraph" w:styleId="Heading1">
    <w:name w:val="heading 1"/>
    <w:basedOn w:val="Normal"/>
    <w:next w:val="Normal"/>
    <w:autoRedefine/>
    <w:uiPriority w:val="9"/>
    <w:qFormat/>
    <w:pPr>
      <w:keepNext/>
      <w:numPr>
        <w:numId w:val="3"/>
      </w:numPr>
      <w:spacing w:before="480" w:after="240"/>
      <w:outlineLvl w:val="0"/>
    </w:pPr>
    <w:rPr>
      <w:b/>
      <w:bCs/>
      <w:caps/>
      <w:kern w:val="32"/>
      <w:sz w:val="28"/>
      <w:szCs w:val="32"/>
      <w:lang w:val="en-GB"/>
    </w:rPr>
  </w:style>
  <w:style w:type="paragraph" w:styleId="Heading2">
    <w:name w:val="heading 2"/>
    <w:basedOn w:val="Normal"/>
    <w:next w:val="Normal"/>
    <w:autoRedefine/>
    <w:uiPriority w:val="9"/>
    <w:qFormat/>
    <w:rsid w:val="00BB4B07"/>
    <w:pPr>
      <w:keepNext/>
      <w:numPr>
        <w:ilvl w:val="1"/>
        <w:numId w:val="3"/>
      </w:numPr>
      <w:tabs>
        <w:tab w:val="clear" w:pos="576"/>
        <w:tab w:val="num" w:pos="1260"/>
      </w:tabs>
      <w:spacing w:before="240" w:after="120"/>
      <w:ind w:left="1260" w:hanging="1260"/>
      <w:outlineLvl w:val="1"/>
    </w:pPr>
    <w:rPr>
      <w:b/>
      <w:sz w:val="28"/>
      <w:szCs w:val="28"/>
      <w:lang w:val="en-GB"/>
    </w:rPr>
  </w:style>
  <w:style w:type="paragraph" w:styleId="Heading3">
    <w:name w:val="heading 3"/>
    <w:basedOn w:val="Normal"/>
    <w:next w:val="Normal"/>
    <w:link w:val="Heading3Char"/>
    <w:autoRedefine/>
    <w:qFormat/>
    <w:pPr>
      <w:keepNext/>
      <w:numPr>
        <w:ilvl w:val="2"/>
        <w:numId w:val="3"/>
      </w:numPr>
      <w:spacing w:before="300"/>
      <w:outlineLvl w:val="2"/>
    </w:pPr>
    <w:rPr>
      <w:rFonts w:cs="Times New Roman"/>
      <w:b/>
      <w:color w:val="000000"/>
      <w:szCs w:val="24"/>
      <w:lang w:val="pt-BR" w:eastAsia="pt-BR"/>
    </w:rPr>
  </w:style>
  <w:style w:type="paragraph" w:styleId="Heading4">
    <w:name w:val="heading 4"/>
    <w:aliases w:val="Heading 4x,heading 4"/>
    <w:basedOn w:val="Normal"/>
    <w:next w:val="Normal"/>
    <w:autoRedefine/>
    <w:uiPriority w:val="9"/>
    <w:qFormat/>
    <w:pPr>
      <w:keepNext/>
      <w:numPr>
        <w:ilvl w:val="3"/>
        <w:numId w:val="3"/>
      </w:numPr>
      <w:tabs>
        <w:tab w:val="clear" w:pos="864"/>
        <w:tab w:val="num" w:pos="1260"/>
      </w:tabs>
      <w:spacing w:before="240"/>
      <w:ind w:left="1259" w:hanging="1259"/>
      <w:outlineLvl w:val="3"/>
    </w:pPr>
    <w:rPr>
      <w:rFonts w:cs="Times New Roman"/>
      <w:b/>
      <w:bCs/>
      <w:szCs w:val="28"/>
      <w:lang w:val="en-GB"/>
    </w:rPr>
  </w:style>
  <w:style w:type="paragraph" w:styleId="Heading5">
    <w:name w:val="heading 5"/>
    <w:basedOn w:val="Normal"/>
    <w:next w:val="Normal"/>
    <w:link w:val="Heading5Char"/>
    <w:autoRedefine/>
    <w:uiPriority w:val="9"/>
    <w:qFormat/>
    <w:pPr>
      <w:keepNext/>
      <w:numPr>
        <w:ilvl w:val="4"/>
        <w:numId w:val="3"/>
      </w:numPr>
      <w:tabs>
        <w:tab w:val="clear" w:pos="1008"/>
        <w:tab w:val="num" w:pos="1260"/>
      </w:tabs>
      <w:spacing w:before="240" w:after="120"/>
      <w:ind w:left="1260" w:hanging="1260"/>
      <w:outlineLvl w:val="4"/>
    </w:pPr>
    <w:rPr>
      <w:b/>
      <w:bCs/>
      <w:szCs w:val="26"/>
      <w:lang w:val="en-GB"/>
    </w:rPr>
  </w:style>
  <w:style w:type="paragraph" w:styleId="Heading6">
    <w:name w:val="heading 6"/>
    <w:basedOn w:val="Normal"/>
    <w:next w:val="Normal"/>
    <w:uiPriority w:val="9"/>
    <w:qFormat/>
    <w:pPr>
      <w:keepNext/>
      <w:numPr>
        <w:ilvl w:val="5"/>
        <w:numId w:val="3"/>
      </w:numPr>
      <w:tabs>
        <w:tab w:val="clear" w:pos="1152"/>
        <w:tab w:val="num" w:pos="1260"/>
      </w:tabs>
      <w:spacing w:before="240" w:after="120"/>
      <w:ind w:left="1267" w:hanging="1267"/>
      <w:outlineLvl w:val="5"/>
    </w:pPr>
    <w:rPr>
      <w:rFonts w:cs="Times New Roman"/>
      <w:b/>
      <w:bCs/>
      <w:szCs w:val="22"/>
    </w:rPr>
  </w:style>
  <w:style w:type="paragraph" w:styleId="Heading7">
    <w:name w:val="heading 7"/>
    <w:basedOn w:val="Normal"/>
    <w:next w:val="Normal"/>
    <w:uiPriority w:val="9"/>
    <w:qFormat/>
    <w:pPr>
      <w:numPr>
        <w:ilvl w:val="6"/>
        <w:numId w:val="3"/>
      </w:numPr>
      <w:spacing w:before="240" w:after="60"/>
      <w:outlineLvl w:val="6"/>
    </w:pPr>
    <w:rPr>
      <w:rFonts w:cs="Times New Roman"/>
      <w:szCs w:val="24"/>
    </w:rPr>
  </w:style>
  <w:style w:type="paragraph" w:styleId="Heading8">
    <w:name w:val="heading 8"/>
    <w:aliases w:val="titre:d"/>
    <w:basedOn w:val="Normal"/>
    <w:next w:val="Normal"/>
    <w:uiPriority w:val="9"/>
    <w:qFormat/>
    <w:pPr>
      <w:numPr>
        <w:ilvl w:val="7"/>
        <w:numId w:val="3"/>
      </w:numPr>
      <w:spacing w:before="240" w:after="60"/>
      <w:outlineLvl w:val="7"/>
    </w:pPr>
    <w:rPr>
      <w:rFonts w:cs="Times New Roman"/>
      <w:i/>
      <w:iCs/>
      <w:szCs w:val="24"/>
    </w:rPr>
  </w:style>
  <w:style w:type="paragraph" w:styleId="Heading9">
    <w:name w:val="heading 9"/>
    <w:basedOn w:val="Normal"/>
    <w:next w:val="Normal"/>
    <w:uiPriority w:val="9"/>
    <w:qFormat/>
    <w:pPr>
      <w:numPr>
        <w:ilvl w:val="8"/>
        <w:numId w:val="3"/>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Légende Car,Légende Car Car Car,C-Caption,Table Caption (MC:xx),Beschriftung Char1,Beschriftung Char Char,Beschriftung Table (MC: AOPLan),Table Caption,table,Beschriftung Char,table Char,Beschriftung1"/>
    <w:next w:val="C-BodyText"/>
    <w:link w:val="CaptionChar"/>
    <w:uiPriority w:val="35"/>
    <w:qFormat/>
    <w:pPr>
      <w:keepNext/>
      <w:spacing w:before="120" w:after="120" w:line="280" w:lineRule="atLeast"/>
      <w:ind w:left="1440" w:hanging="1440"/>
    </w:pPr>
    <w:rPr>
      <w:b/>
      <w:bCs/>
      <w:sz w:val="24"/>
      <w:szCs w:val="24"/>
    </w:rPr>
  </w:style>
  <w:style w:type="paragraph" w:customStyle="1" w:styleId="C-BodyText">
    <w:name w:val="C-Body Text"/>
    <w:link w:val="C-BodyTextChar"/>
    <w:uiPriority w:val="99"/>
    <w:pPr>
      <w:spacing w:before="120" w:after="120" w:line="280" w:lineRule="atLeast"/>
    </w:pPr>
    <w:rPr>
      <w:sz w:val="24"/>
    </w:rPr>
  </w:style>
  <w:style w:type="paragraph" w:styleId="TOC1">
    <w:name w:val="toc 1"/>
    <w:next w:val="C-BodyText"/>
    <w:uiPriority w:val="39"/>
    <w:pPr>
      <w:tabs>
        <w:tab w:val="left" w:pos="1152"/>
        <w:tab w:val="right" w:leader="dot" w:pos="9360"/>
      </w:tabs>
      <w:spacing w:before="120"/>
      <w:ind w:left="1152" w:right="792" w:hanging="1152"/>
    </w:pPr>
    <w:rPr>
      <w:rFonts w:cs="Arial"/>
      <w:caps/>
      <w:sz w:val="24"/>
      <w:szCs w:val="24"/>
    </w:rPr>
  </w:style>
  <w:style w:type="paragraph" w:styleId="TOC2">
    <w:name w:val="toc 2"/>
    <w:basedOn w:val="TOC1"/>
    <w:next w:val="C-BodyText"/>
    <w:uiPriority w:val="39"/>
    <w:rPr>
      <w:caps w:val="0"/>
    </w:rPr>
  </w:style>
  <w:style w:type="paragraph" w:styleId="TOC3">
    <w:name w:val="toc 3"/>
    <w:basedOn w:val="TOC1"/>
    <w:next w:val="C-BodyText"/>
    <w:uiPriority w:val="39"/>
    <w:rPr>
      <w:caps w:val="0"/>
    </w:rPr>
  </w:style>
  <w:style w:type="paragraph" w:styleId="TOC4">
    <w:name w:val="toc 4"/>
    <w:basedOn w:val="TOC1"/>
    <w:next w:val="C-BodyText"/>
    <w:uiPriority w:val="39"/>
    <w:rPr>
      <w:caps w:val="0"/>
    </w:rPr>
  </w:style>
  <w:style w:type="paragraph" w:customStyle="1" w:styleId="C-Heading1">
    <w:name w:val="C-Heading 1"/>
    <w:next w:val="C-BodyText"/>
    <w:autoRedefine/>
    <w:uiPriority w:val="99"/>
    <w:pPr>
      <w:keepNext/>
      <w:spacing w:before="480" w:after="120"/>
      <w:ind w:left="1985" w:hanging="1985"/>
      <w:outlineLvl w:val="0"/>
    </w:pPr>
    <w:rPr>
      <w:b/>
      <w:caps/>
      <w:sz w:val="28"/>
    </w:rPr>
  </w:style>
  <w:style w:type="paragraph" w:customStyle="1" w:styleId="C-Heading2">
    <w:name w:val="C-Heading 2"/>
    <w:next w:val="C-BodyText"/>
    <w:uiPriority w:val="99"/>
    <w:pPr>
      <w:keepNext/>
      <w:numPr>
        <w:ilvl w:val="1"/>
        <w:numId w:val="4"/>
      </w:numPr>
      <w:spacing w:before="240"/>
      <w:outlineLvl w:val="1"/>
    </w:pPr>
    <w:rPr>
      <w:b/>
      <w:sz w:val="28"/>
    </w:rPr>
  </w:style>
  <w:style w:type="paragraph" w:customStyle="1" w:styleId="C-Heading3">
    <w:name w:val="C-Heading 3"/>
    <w:next w:val="C-BodyText"/>
    <w:uiPriority w:val="99"/>
    <w:pPr>
      <w:keepNext/>
      <w:numPr>
        <w:ilvl w:val="2"/>
        <w:numId w:val="4"/>
      </w:numPr>
      <w:spacing w:before="240"/>
      <w:outlineLvl w:val="2"/>
    </w:pPr>
    <w:rPr>
      <w:b/>
      <w:sz w:val="24"/>
    </w:rPr>
  </w:style>
  <w:style w:type="paragraph" w:customStyle="1" w:styleId="C-Heading4">
    <w:name w:val="C-Heading 4"/>
    <w:next w:val="C-BodyText"/>
    <w:uiPriority w:val="99"/>
    <w:pPr>
      <w:keepNext/>
      <w:numPr>
        <w:ilvl w:val="3"/>
        <w:numId w:val="4"/>
      </w:numPr>
      <w:spacing w:before="240"/>
      <w:outlineLvl w:val="3"/>
    </w:pPr>
    <w:rPr>
      <w:b/>
      <w:sz w:val="24"/>
    </w:rPr>
  </w:style>
  <w:style w:type="paragraph" w:customStyle="1" w:styleId="C-Heading5">
    <w:name w:val="C-Heading 5"/>
    <w:next w:val="C-BodyText"/>
    <w:uiPriority w:val="99"/>
    <w:pPr>
      <w:keepNext/>
      <w:numPr>
        <w:ilvl w:val="4"/>
        <w:numId w:val="4"/>
      </w:numPr>
      <w:spacing w:before="240"/>
      <w:outlineLvl w:val="4"/>
    </w:pPr>
    <w:rPr>
      <w:b/>
      <w:sz w:val="24"/>
    </w:rPr>
  </w:style>
  <w:style w:type="paragraph" w:customStyle="1" w:styleId="C-Heading6">
    <w:name w:val="C-Heading 6"/>
    <w:next w:val="C-BodyText"/>
    <w:uiPriority w:val="99"/>
    <w:pPr>
      <w:keepNext/>
      <w:numPr>
        <w:ilvl w:val="5"/>
        <w:numId w:val="4"/>
      </w:numPr>
      <w:tabs>
        <w:tab w:val="clear" w:pos="1080"/>
        <w:tab w:val="num" w:pos="1224"/>
        <w:tab w:val="num" w:pos="1309"/>
      </w:tabs>
      <w:spacing w:before="240"/>
      <w:ind w:left="1224" w:hanging="1224"/>
      <w:outlineLvl w:val="5"/>
    </w:pPr>
    <w:rPr>
      <w:b/>
      <w:sz w:val="24"/>
    </w:rPr>
  </w:style>
  <w:style w:type="paragraph" w:customStyle="1" w:styleId="C-BodyTextIndent">
    <w:name w:val="C-Body Text Indent"/>
    <w:pPr>
      <w:spacing w:before="120" w:after="120" w:line="280" w:lineRule="atLeast"/>
      <w:ind w:left="360"/>
    </w:pPr>
    <w:rPr>
      <w:sz w:val="24"/>
    </w:rPr>
  </w:style>
  <w:style w:type="paragraph" w:customStyle="1" w:styleId="C-Bullet">
    <w:name w:val="C-Bullet"/>
    <w:uiPriority w:val="99"/>
    <w:pPr>
      <w:numPr>
        <w:numId w:val="1"/>
      </w:numPr>
      <w:spacing w:before="120" w:after="120" w:line="280" w:lineRule="atLeast"/>
    </w:pPr>
    <w:rPr>
      <w:sz w:val="24"/>
    </w:rPr>
  </w:style>
  <w:style w:type="paragraph" w:customStyle="1" w:styleId="C-BulletIndented">
    <w:name w:val="C-Bullet Indented"/>
    <w:uiPriority w:val="99"/>
    <w:pPr>
      <w:numPr>
        <w:numId w:val="2"/>
      </w:numPr>
      <w:spacing w:before="120" w:after="120" w:line="280" w:lineRule="atLeast"/>
    </w:pPr>
    <w:rPr>
      <w:rFonts w:cs="Arial"/>
      <w:sz w:val="24"/>
    </w:rPr>
  </w:style>
  <w:style w:type="paragraph" w:customStyle="1" w:styleId="C-TableHeader">
    <w:name w:val="C-Table Header"/>
    <w:next w:val="C-TableText"/>
    <w:pPr>
      <w:keepNext/>
      <w:spacing w:before="60" w:after="60"/>
    </w:pPr>
    <w:rPr>
      <w:b/>
      <w:sz w:val="22"/>
    </w:rPr>
  </w:style>
  <w:style w:type="paragraph" w:customStyle="1" w:styleId="C-TableText">
    <w:name w:val="C-Table Text"/>
    <w:link w:val="C-TableTextChar"/>
    <w:pPr>
      <w:spacing w:before="60" w:after="60"/>
    </w:pPr>
    <w:rPr>
      <w:sz w:val="22"/>
    </w:rPr>
  </w:style>
  <w:style w:type="paragraph" w:customStyle="1" w:styleId="C-TableFootnote">
    <w:name w:val="C-Table Footnote"/>
    <w:next w:val="C-BodyText"/>
    <w:pPr>
      <w:tabs>
        <w:tab w:val="left" w:pos="144"/>
      </w:tabs>
      <w:ind w:left="144" w:hanging="144"/>
    </w:pPr>
    <w:rPr>
      <w:rFonts w:cs="Arial"/>
    </w:rPr>
  </w:style>
  <w:style w:type="paragraph" w:styleId="TOC5">
    <w:name w:val="toc 5"/>
    <w:basedOn w:val="TOC1"/>
    <w:next w:val="C-BodyText"/>
    <w:uiPriority w:val="39"/>
    <w:rPr>
      <w:caps w:val="0"/>
    </w:rPr>
  </w:style>
  <w:style w:type="paragraph" w:styleId="TOC6">
    <w:name w:val="toc 6"/>
    <w:basedOn w:val="TOC1"/>
    <w:next w:val="C-BodyText"/>
    <w:uiPriority w:val="39"/>
    <w:rPr>
      <w:caps w:val="0"/>
    </w:rPr>
  </w:style>
  <w:style w:type="paragraph" w:styleId="TOC7">
    <w:name w:val="toc 7"/>
    <w:basedOn w:val="TOC1"/>
    <w:next w:val="C-BodyText"/>
    <w:uiPriority w:val="39"/>
    <w:rPr>
      <w:caps w:val="0"/>
    </w:rPr>
  </w:style>
  <w:style w:type="paragraph" w:styleId="TOC8">
    <w:name w:val="toc 8"/>
    <w:basedOn w:val="TOC1"/>
    <w:next w:val="C-BodyText"/>
    <w:uiPriority w:val="39"/>
    <w:rPr>
      <w:caps w:val="0"/>
    </w:rPr>
  </w:style>
  <w:style w:type="paragraph" w:styleId="TOC9">
    <w:name w:val="toc 9"/>
    <w:basedOn w:val="TOC1"/>
    <w:next w:val="C-BodyText"/>
    <w:uiPriority w:val="39"/>
    <w:rPr>
      <w:caps w:val="0"/>
    </w:rPr>
  </w:style>
  <w:style w:type="paragraph" w:styleId="TableofFigures">
    <w:name w:val="table of figures"/>
    <w:next w:val="C-BodyText"/>
    <w:uiPriority w:val="99"/>
    <w:pPr>
      <w:tabs>
        <w:tab w:val="left" w:pos="1152"/>
        <w:tab w:val="right" w:leader="dot" w:pos="9360"/>
      </w:tabs>
      <w:spacing w:before="120" w:line="280" w:lineRule="atLeast"/>
      <w:ind w:left="1152" w:right="792" w:hanging="1152"/>
    </w:pPr>
    <w:rPr>
      <w:rFonts w:cs="Arial"/>
      <w:sz w:val="24"/>
    </w:rPr>
  </w:style>
  <w:style w:type="paragraph" w:customStyle="1" w:styleId="C-TOCTitle">
    <w:name w:val="C-TOC Title"/>
    <w:next w:val="C-BodyText"/>
    <w:pPr>
      <w:spacing w:after="120"/>
      <w:jc w:val="center"/>
    </w:pPr>
    <w:rPr>
      <w:b/>
      <w:caps/>
      <w:sz w:val="28"/>
      <w:szCs w:val="28"/>
    </w:rPr>
  </w:style>
  <w:style w:type="paragraph" w:customStyle="1" w:styleId="C-CaptionContinued">
    <w:name w:val="C-Caption Continued"/>
    <w:next w:val="C-BodyText"/>
    <w:pPr>
      <w:keepNext/>
      <w:spacing w:before="120" w:after="120" w:line="280" w:lineRule="atLeast"/>
      <w:ind w:left="1440" w:hanging="1440"/>
    </w:pPr>
    <w:rPr>
      <w:rFonts w:cs="Arial"/>
      <w:b/>
      <w:sz w:val="24"/>
    </w:rPr>
  </w:style>
  <w:style w:type="paragraph" w:customStyle="1" w:styleId="C-NumberedList">
    <w:name w:val="C-Numbered List"/>
    <w:pPr>
      <w:spacing w:before="120" w:after="120" w:line="280" w:lineRule="atLeast"/>
    </w:pPr>
    <w:rPr>
      <w:sz w:val="24"/>
    </w:rPr>
  </w:style>
  <w:style w:type="paragraph" w:customStyle="1" w:styleId="C-InstructionText">
    <w:name w:val="C-Instruction Text"/>
    <w:pPr>
      <w:spacing w:before="120" w:after="120" w:line="280" w:lineRule="atLeast"/>
    </w:pPr>
    <w:rPr>
      <w:vanish/>
      <w:color w:val="FF0000"/>
      <w:sz w:val="24"/>
      <w:szCs w:val="24"/>
    </w:rPr>
  </w:style>
  <w:style w:type="paragraph" w:styleId="TOAHeading">
    <w:name w:val="toa heading"/>
    <w:basedOn w:val="Normal"/>
    <w:next w:val="Normal"/>
    <w:semiHidden/>
    <w:pPr>
      <w:spacing w:before="120"/>
    </w:pPr>
    <w:rPr>
      <w:rFonts w:ascii="Arial" w:hAnsi="Arial"/>
      <w:b/>
      <w:bCs/>
      <w:szCs w:val="24"/>
    </w:rPr>
  </w:style>
  <w:style w:type="paragraph" w:customStyle="1" w:styleId="C-Title">
    <w:name w:val="C-Title"/>
    <w:next w:val="C-BodyText"/>
    <w:pPr>
      <w:spacing w:after="120"/>
      <w:jc w:val="center"/>
    </w:pPr>
    <w:rPr>
      <w:b/>
      <w:caps/>
      <w:sz w:val="36"/>
    </w:rPr>
  </w:style>
  <w:style w:type="paragraph" w:customStyle="1" w:styleId="C-Header">
    <w:name w:val="C-Header"/>
    <w:rPr>
      <w:sz w:val="24"/>
    </w:rPr>
  </w:style>
  <w:style w:type="paragraph" w:customStyle="1" w:styleId="C-Footer">
    <w:name w:val="C-Footer"/>
    <w:rPr>
      <w:sz w:val="24"/>
    </w:rPr>
  </w:style>
  <w:style w:type="paragraph" w:customStyle="1" w:styleId="C-Heading1non-numbered">
    <w:name w:val="C-Heading 1 (non-numbered)"/>
    <w:basedOn w:val="C-Heading1"/>
    <w:next w:val="C-BodyText"/>
    <w:pPr>
      <w:tabs>
        <w:tab w:val="left" w:pos="1080"/>
      </w:tabs>
    </w:pPr>
  </w:style>
  <w:style w:type="paragraph" w:customStyle="1" w:styleId="C-Heading2non-numbered">
    <w:name w:val="C-Heading 2 (non-numbered)"/>
    <w:basedOn w:val="C-Heading2"/>
    <w:next w:val="C-BodyText"/>
    <w:pPr>
      <w:numPr>
        <w:ilvl w:val="0"/>
        <w:numId w:val="0"/>
      </w:numPr>
      <w:tabs>
        <w:tab w:val="left" w:pos="1080"/>
      </w:tabs>
      <w:ind w:left="1080" w:hanging="1080"/>
    </w:pPr>
  </w:style>
  <w:style w:type="paragraph" w:customStyle="1" w:styleId="C-Heading3non-numbered">
    <w:name w:val="C-Heading 3 (non-numbered)"/>
    <w:basedOn w:val="C-Heading3"/>
    <w:next w:val="C-BodyText"/>
    <w:pPr>
      <w:numPr>
        <w:ilvl w:val="0"/>
        <w:numId w:val="0"/>
      </w:numPr>
      <w:tabs>
        <w:tab w:val="left" w:pos="1080"/>
      </w:tabs>
      <w:ind w:left="1080" w:hanging="1080"/>
    </w:pPr>
  </w:style>
  <w:style w:type="paragraph" w:customStyle="1" w:styleId="C-Heading4non-numbered">
    <w:name w:val="C-Heading 4 (non-numbered)"/>
    <w:basedOn w:val="C-Heading4"/>
    <w:next w:val="C-BodyText"/>
    <w:pPr>
      <w:numPr>
        <w:ilvl w:val="0"/>
        <w:numId w:val="0"/>
      </w:numPr>
      <w:tabs>
        <w:tab w:val="left" w:pos="1080"/>
      </w:tabs>
      <w:ind w:left="1080" w:hanging="1080"/>
    </w:pPr>
  </w:style>
  <w:style w:type="paragraph" w:customStyle="1" w:styleId="C-Heading5non-numbered">
    <w:name w:val="C-Heading 5 (non-numbered)"/>
    <w:basedOn w:val="C-Heading5"/>
    <w:next w:val="C-BodyText"/>
    <w:pPr>
      <w:numPr>
        <w:ilvl w:val="0"/>
        <w:numId w:val="0"/>
      </w:numPr>
      <w:tabs>
        <w:tab w:val="left" w:pos="1080"/>
      </w:tabs>
      <w:ind w:left="1080" w:hanging="1080"/>
    </w:pPr>
  </w:style>
  <w:style w:type="paragraph" w:customStyle="1" w:styleId="C-Heading6non-numbered">
    <w:name w:val="C-Heading 6 (non-numbered)"/>
    <w:basedOn w:val="C-Heading6"/>
    <w:next w:val="C-BodyText"/>
    <w:pPr>
      <w:numPr>
        <w:ilvl w:val="0"/>
        <w:numId w:val="0"/>
      </w:numPr>
      <w:tabs>
        <w:tab w:val="left" w:pos="1080"/>
      </w:tabs>
      <w:ind w:left="1080" w:hanging="1080"/>
    </w:pPr>
  </w:style>
  <w:style w:type="character" w:styleId="Hyperlink">
    <w:name w:val="Hyperlink"/>
    <w:basedOn w:val="DefaultParagraphFont"/>
    <w:uiPriority w:val="99"/>
    <w:rPr>
      <w:color w:val="0000FF"/>
      <w:u w:val="single"/>
    </w:rPr>
  </w:style>
  <w:style w:type="paragraph" w:customStyle="1" w:styleId="C-Heading1nopagebreak">
    <w:name w:val="C-Heading 1 (no page break)"/>
    <w:basedOn w:val="C-Heading1"/>
    <w:next w:val="C-BodyText"/>
  </w:style>
  <w:style w:type="paragraph" w:customStyle="1" w:styleId="C-Heading1nopagebreak0">
    <w:name w:val="C-Heading 1 (no page break"/>
    <w:aliases w:val="non-numbered)"/>
    <w:basedOn w:val="C-Heading1non-numbered"/>
    <w:next w:val="C-BodyText"/>
  </w:style>
  <w:style w:type="character" w:styleId="HTMLKeyboard">
    <w:name w:val="HTML Keyboard"/>
    <w:basedOn w:val="DefaultParagraphFont"/>
    <w:rPr>
      <w:rFonts w:ascii="Courier New" w:hAnsi="Courier New"/>
      <w:sz w:val="20"/>
      <w:szCs w:val="20"/>
    </w:rPr>
  </w:style>
  <w:style w:type="paragraph" w:customStyle="1" w:styleId="C-AlphabeticList">
    <w:name w:val="C-Alphabetic List"/>
    <w:pPr>
      <w:numPr>
        <w:numId w:val="9"/>
      </w:numPr>
    </w:pPr>
    <w:rPr>
      <w:sz w:val="24"/>
    </w:rPr>
  </w:style>
  <w:style w:type="paragraph" w:customStyle="1" w:styleId="C-Appendix">
    <w:name w:val="C-Appendix"/>
    <w:next w:val="C-BodyText"/>
    <w:pPr>
      <w:keepNext/>
      <w:pageBreakBefore/>
      <w:numPr>
        <w:numId w:val="5"/>
      </w:numPr>
      <w:spacing w:before="480" w:after="120"/>
      <w:outlineLvl w:val="0"/>
    </w:pPr>
    <w:rPr>
      <w:b/>
      <w:caps/>
      <w:sz w:val="28"/>
    </w:rPr>
  </w:style>
  <w:style w:type="paragraph" w:customStyle="1" w:styleId="C-PLR-NumberedList">
    <w:name w:val="C-PLR-Numbered List"/>
    <w:pPr>
      <w:numPr>
        <w:numId w:val="6"/>
      </w:numPr>
    </w:pPr>
    <w:rPr>
      <w:sz w:val="16"/>
    </w:rPr>
  </w:style>
  <w:style w:type="paragraph" w:customStyle="1" w:styleId="C-PLR-BodyText">
    <w:name w:val="C-PLR-Body Text"/>
    <w:rPr>
      <w:sz w:val="16"/>
    </w:rPr>
  </w:style>
  <w:style w:type="paragraph" w:customStyle="1" w:styleId="C-PLR-BodyTextIndent">
    <w:name w:val="C-PLR-Body Text Indent"/>
    <w:pPr>
      <w:ind w:left="360"/>
    </w:pPr>
    <w:rPr>
      <w:sz w:val="16"/>
    </w:rPr>
  </w:style>
  <w:style w:type="paragraph" w:customStyle="1" w:styleId="C-PLR-Bullet">
    <w:name w:val="C-PLR-Bullet"/>
    <w:pPr>
      <w:numPr>
        <w:numId w:val="7"/>
      </w:numPr>
    </w:pPr>
    <w:rPr>
      <w:sz w:val="16"/>
    </w:rPr>
  </w:style>
  <w:style w:type="paragraph" w:customStyle="1" w:styleId="C-PLR-BulletIndented">
    <w:name w:val="C-PLR-Bullet Indented"/>
    <w:pPr>
      <w:numPr>
        <w:numId w:val="8"/>
      </w:numPr>
    </w:pPr>
    <w:rPr>
      <w:sz w:val="16"/>
    </w:rPr>
  </w:style>
  <w:style w:type="paragraph" w:customStyle="1" w:styleId="C-PLR-Caption">
    <w:name w:val="C-PLR-Caption"/>
    <w:next w:val="C-PLR-BodyText"/>
    <w:pPr>
      <w:keepNext/>
      <w:ind w:left="360" w:hanging="360"/>
    </w:pPr>
    <w:rPr>
      <w:b/>
      <w:sz w:val="16"/>
    </w:rPr>
  </w:style>
  <w:style w:type="paragraph" w:customStyle="1" w:styleId="C-PLR-Heading1nopagebreaknon-numbered">
    <w:name w:val="C-PLR-Heading 1 (no page break.non-numbered)"/>
    <w:next w:val="C-PLR-BodyText"/>
    <w:pPr>
      <w:keepNext/>
      <w:tabs>
        <w:tab w:val="left" w:pos="432"/>
      </w:tabs>
      <w:ind w:left="432" w:hanging="432"/>
      <w:outlineLvl w:val="0"/>
    </w:pPr>
    <w:rPr>
      <w:b/>
      <w:caps/>
      <w:sz w:val="16"/>
    </w:rPr>
  </w:style>
  <w:style w:type="paragraph" w:customStyle="1" w:styleId="C-PLR-Heading2non-numbered">
    <w:name w:val="C-PLR-Heading 2 (non-numbered)"/>
    <w:next w:val="C-PLR-BodyText"/>
    <w:pPr>
      <w:keepNext/>
      <w:tabs>
        <w:tab w:val="left" w:pos="432"/>
      </w:tabs>
      <w:ind w:left="432" w:hanging="432"/>
      <w:outlineLvl w:val="1"/>
    </w:pPr>
    <w:rPr>
      <w:b/>
      <w:sz w:val="16"/>
    </w:rPr>
  </w:style>
  <w:style w:type="paragraph" w:customStyle="1" w:styleId="C-PLR-TableHeader">
    <w:name w:val="C-PLR-Table Header"/>
    <w:next w:val="C-PLR-TableText"/>
    <w:pPr>
      <w:keepNext/>
    </w:pPr>
    <w:rPr>
      <w:b/>
      <w:sz w:val="16"/>
    </w:rPr>
  </w:style>
  <w:style w:type="paragraph" w:customStyle="1" w:styleId="C-PLR-TableText">
    <w:name w:val="C-PLR-Table Text"/>
    <w:rPr>
      <w:sz w:val="16"/>
    </w:rPr>
  </w:style>
  <w:style w:type="paragraph" w:customStyle="1" w:styleId="C-PLR-Title">
    <w:name w:val="C-PLR-Title"/>
    <w:next w:val="C-PLR-BodyText"/>
    <w:pPr>
      <w:jc w:val="center"/>
    </w:pPr>
    <w:rPr>
      <w:b/>
      <w:caps/>
      <w:sz w:val="16"/>
    </w:rPr>
  </w:style>
  <w:style w:type="paragraph" w:customStyle="1" w:styleId="C-PLR-TOCTitle">
    <w:name w:val="C-PLR-TOC Title"/>
    <w:next w:val="C-PLR-BodyText"/>
    <w:pPr>
      <w:tabs>
        <w:tab w:val="center" w:leader="underscore" w:pos="2520"/>
        <w:tab w:val="right" w:leader="underscore" w:pos="5040"/>
      </w:tabs>
      <w:jc w:val="center"/>
    </w:pPr>
    <w:rPr>
      <w:b/>
      <w:caps/>
      <w:sz w:val="16"/>
    </w:rPr>
  </w:style>
  <w:style w:type="paragraph" w:customStyle="1" w:styleId="C-PLR-TOC1">
    <w:name w:val="C-PLR-TOC 1"/>
    <w:next w:val="C-PLR-BodyText"/>
    <w:pPr>
      <w:ind w:left="432" w:hanging="432"/>
    </w:pPr>
    <w:rPr>
      <w:rFonts w:ascii="Times New Roman Bold" w:hAnsi="Times New Roman Bold"/>
      <w:b/>
      <w:caps/>
      <w:sz w:val="16"/>
    </w:rPr>
  </w:style>
  <w:style w:type="paragraph" w:customStyle="1" w:styleId="C-PLR-TOC2">
    <w:name w:val="C-PLR-TOC 2"/>
    <w:basedOn w:val="C-PLR-TOC1"/>
    <w:next w:val="C-PLR-BodyText"/>
    <w:pPr>
      <w:ind w:left="864"/>
    </w:pPr>
    <w:rPr>
      <w:rFonts w:ascii="Times New Roman" w:hAnsi="Times New Roman"/>
      <w:b w:val="0"/>
      <w:caps w:val="0"/>
    </w:rPr>
  </w:style>
  <w:style w:type="paragraph" w:customStyle="1" w:styleId="C-PLR-TableFootnote">
    <w:name w:val="C-PLR-Table Footnote"/>
    <w:next w:val="C-PLR-BodyText"/>
    <w:pPr>
      <w:tabs>
        <w:tab w:val="left" w:pos="432"/>
      </w:tabs>
      <w:ind w:left="432" w:hanging="432"/>
    </w:pPr>
    <w:rPr>
      <w:sz w:val="16"/>
    </w:rPr>
  </w:style>
  <w:style w:type="character" w:customStyle="1" w:styleId="C-Hyperlink">
    <w:name w:val="C-Hyperlink"/>
    <w:basedOn w:val="DefaultParagraphFont"/>
    <w:rPr>
      <w:color w:val="0000FF"/>
    </w:rPr>
  </w:style>
  <w:style w:type="paragraph" w:styleId="Header">
    <w:name w:val="header"/>
    <w:basedOn w:val="Normal"/>
    <w:link w:val="HeaderChar"/>
    <w:pPr>
      <w:tabs>
        <w:tab w:val="center" w:pos="4320"/>
        <w:tab w:val="right" w:pos="8640"/>
      </w:tabs>
      <w:jc w:val="both"/>
    </w:pPr>
    <w:rPr>
      <w:rFonts w:cs="Times New Roman"/>
      <w:lang w:val="en-GB"/>
    </w:rPr>
  </w:style>
  <w:style w:type="character" w:customStyle="1" w:styleId="HeaderChar">
    <w:name w:val="Header Char"/>
    <w:basedOn w:val="DefaultParagraphFont"/>
    <w:link w:val="Header"/>
    <w:rPr>
      <w:sz w:val="24"/>
      <w:lang w:val="en-GB"/>
    </w:rPr>
  </w:style>
  <w:style w:type="character" w:customStyle="1" w:styleId="C-TableCallout">
    <w:name w:val="C-Table Callout"/>
    <w:basedOn w:val="DefaultParagraphFont"/>
    <w:rPr>
      <w:rFonts w:ascii="Times New Roman" w:hAnsi="Times New Roman"/>
      <w:dstrike w:val="0"/>
      <w:color w:val="auto"/>
      <w:spacing w:val="0"/>
      <w:w w:val="100"/>
      <w:position w:val="0"/>
      <w:sz w:val="22"/>
      <w:szCs w:val="22"/>
      <w:u w:val="none"/>
      <w:effect w:val="none"/>
      <w:vertAlign w:val="superscript"/>
      <w:em w:val="none"/>
    </w:rPr>
  </w:style>
  <w:style w:type="paragraph" w:styleId="CommentText">
    <w:name w:val="annotation text"/>
    <w:aliases w:val="Annotationtext"/>
    <w:basedOn w:val="Normal"/>
    <w:link w:val="CommentTextChar"/>
    <w:uiPriority w:val="99"/>
    <w:rPr>
      <w:sz w:val="20"/>
    </w:rPr>
  </w:style>
  <w:style w:type="paragraph" w:styleId="CommentSubject">
    <w:name w:val="annotation subject"/>
    <w:basedOn w:val="CommentText"/>
    <w:next w:val="CommentText"/>
    <w:semiHidden/>
    <w:rPr>
      <w:b/>
      <w:bCs/>
    </w:rPr>
  </w:style>
  <w:style w:type="paragraph" w:styleId="Footer">
    <w:name w:val="footer"/>
    <w:basedOn w:val="Normal"/>
    <w:link w:val="FooterChar"/>
    <w:pPr>
      <w:tabs>
        <w:tab w:val="center" w:pos="4320"/>
        <w:tab w:val="right" w:pos="8640"/>
      </w:tabs>
      <w:jc w:val="both"/>
    </w:pPr>
    <w:rPr>
      <w:rFonts w:cs="Times New Roman"/>
      <w:lang w:val="en-GB"/>
    </w:rPr>
  </w:style>
  <w:style w:type="character" w:customStyle="1" w:styleId="FooterChar">
    <w:name w:val="Footer Char"/>
    <w:basedOn w:val="DefaultParagraphFont"/>
    <w:link w:val="Footer"/>
    <w:rPr>
      <w:sz w:val="24"/>
      <w:lang w:val="en-GB"/>
    </w:rPr>
  </w:style>
  <w:style w:type="paragraph" w:styleId="List">
    <w:name w:val="List"/>
    <w:basedOn w:val="Normal"/>
    <w:pPr>
      <w:ind w:left="567" w:hanging="567"/>
      <w:jc w:val="both"/>
    </w:pPr>
    <w:rPr>
      <w:rFonts w:cs="Times New Roman"/>
      <w:lang w:val="en-GB"/>
    </w:rPr>
  </w:style>
  <w:style w:type="paragraph" w:styleId="List2">
    <w:name w:val="List 2"/>
    <w:basedOn w:val="Normal"/>
    <w:pPr>
      <w:spacing w:after="120"/>
      <w:ind w:left="567" w:hanging="567"/>
      <w:jc w:val="both"/>
    </w:pPr>
    <w:rPr>
      <w:rFonts w:cs="Times New Roman"/>
      <w:lang w:val="en-GB"/>
    </w:rPr>
  </w:style>
  <w:style w:type="paragraph" w:styleId="List3">
    <w:name w:val="List 3"/>
    <w:basedOn w:val="Normal"/>
    <w:pPr>
      <w:ind w:left="567" w:hanging="567"/>
      <w:jc w:val="both"/>
    </w:pPr>
    <w:rPr>
      <w:rFonts w:cs="Times New Roman"/>
      <w:lang w:val="en-GB"/>
    </w:rPr>
  </w:style>
  <w:style w:type="paragraph" w:styleId="Closing">
    <w:name w:val="Closing"/>
    <w:basedOn w:val="Normal"/>
    <w:link w:val="ClosingChar"/>
    <w:pPr>
      <w:ind w:left="4252"/>
      <w:jc w:val="both"/>
    </w:pPr>
    <w:rPr>
      <w:rFonts w:cs="Times New Roman"/>
      <w:lang w:val="en-GB"/>
    </w:rPr>
  </w:style>
  <w:style w:type="character" w:customStyle="1" w:styleId="ClosingChar">
    <w:name w:val="Closing Char"/>
    <w:basedOn w:val="DefaultParagraphFont"/>
    <w:link w:val="Closing"/>
    <w:rPr>
      <w:sz w:val="24"/>
      <w:lang w:val="en-GB"/>
    </w:rPr>
  </w:style>
  <w:style w:type="paragraph" w:styleId="ListBullet">
    <w:name w:val="List Bullet"/>
    <w:basedOn w:val="Normal"/>
    <w:pPr>
      <w:ind w:left="283" w:hanging="283"/>
      <w:jc w:val="both"/>
    </w:pPr>
    <w:rPr>
      <w:rFonts w:cs="Times New Roman"/>
      <w:lang w:val="en-GB"/>
    </w:rPr>
  </w:style>
  <w:style w:type="paragraph" w:styleId="ListBullet2">
    <w:name w:val="List Bullet 2"/>
    <w:basedOn w:val="Normal"/>
    <w:pPr>
      <w:spacing w:before="40" w:after="40" w:line="240" w:lineRule="exact"/>
      <w:ind w:left="284" w:hanging="284"/>
      <w:jc w:val="both"/>
    </w:pPr>
    <w:rPr>
      <w:rFonts w:cs="Times New Roman"/>
      <w:lang w:val="en-GB"/>
    </w:rPr>
  </w:style>
  <w:style w:type="paragraph" w:styleId="ListContinue">
    <w:name w:val="List Continue"/>
    <w:basedOn w:val="Normal"/>
    <w:pPr>
      <w:spacing w:after="120"/>
      <w:ind w:left="283"/>
      <w:jc w:val="both"/>
    </w:pPr>
    <w:rPr>
      <w:rFonts w:cs="Times New Roman"/>
      <w:lang w:val="en-GB"/>
    </w:rPr>
  </w:style>
  <w:style w:type="paragraph" w:styleId="ListContinue2">
    <w:name w:val="List Continue 2"/>
    <w:basedOn w:val="Normal"/>
    <w:pPr>
      <w:spacing w:after="120"/>
      <w:ind w:left="566"/>
      <w:jc w:val="both"/>
    </w:pPr>
    <w:rPr>
      <w:rFonts w:cs="Times New Roman"/>
      <w:lang w:val="en-GB"/>
    </w:rPr>
  </w:style>
  <w:style w:type="paragraph" w:styleId="ListContinue3">
    <w:name w:val="List Continue 3"/>
    <w:basedOn w:val="Normal"/>
    <w:pPr>
      <w:spacing w:after="120"/>
      <w:ind w:left="849"/>
      <w:jc w:val="both"/>
    </w:pPr>
    <w:rPr>
      <w:rFonts w:cs="Times New Roman"/>
      <w:lang w:val="en-GB"/>
    </w:rPr>
  </w:style>
  <w:style w:type="paragraph" w:customStyle="1" w:styleId="InsideAddress">
    <w:name w:val="Inside Address"/>
    <w:basedOn w:val="Normal"/>
    <w:pPr>
      <w:jc w:val="both"/>
    </w:pPr>
    <w:rPr>
      <w:rFonts w:cs="Times New Roman"/>
      <w:lang w:val="en-GB"/>
    </w:rPr>
  </w:style>
  <w:style w:type="paragraph" w:styleId="Title">
    <w:name w:val="Title"/>
    <w:basedOn w:val="Normal"/>
    <w:link w:val="TitleChar"/>
    <w:qFormat/>
    <w:pPr>
      <w:pBdr>
        <w:top w:val="single" w:sz="12" w:space="1" w:color="auto" w:shadow="1"/>
        <w:left w:val="single" w:sz="12" w:space="1" w:color="auto" w:shadow="1"/>
        <w:bottom w:val="single" w:sz="12" w:space="1" w:color="auto" w:shadow="1"/>
        <w:right w:val="single" w:sz="12" w:space="1" w:color="auto" w:shadow="1"/>
      </w:pBdr>
      <w:spacing w:before="240" w:after="60"/>
      <w:ind w:left="1418" w:right="850"/>
      <w:jc w:val="center"/>
    </w:pPr>
    <w:rPr>
      <w:rFonts w:ascii="Arial" w:hAnsi="Arial" w:cs="Times New Roman"/>
      <w:b/>
      <w:kern w:val="28"/>
      <w:sz w:val="36"/>
      <w:lang w:val="en-GB"/>
    </w:rPr>
  </w:style>
  <w:style w:type="character" w:customStyle="1" w:styleId="TitleChar">
    <w:name w:val="Title Char"/>
    <w:basedOn w:val="DefaultParagraphFont"/>
    <w:link w:val="Title"/>
    <w:rPr>
      <w:rFonts w:ascii="Arial" w:hAnsi="Arial"/>
      <w:b/>
      <w:kern w:val="28"/>
      <w:sz w:val="36"/>
      <w:lang w:val="en-GB"/>
    </w:rPr>
  </w:style>
  <w:style w:type="paragraph" w:styleId="Signature">
    <w:name w:val="Signature"/>
    <w:basedOn w:val="Normal"/>
    <w:link w:val="SignatureChar"/>
    <w:pPr>
      <w:spacing w:line="240" w:lineRule="exact"/>
      <w:jc w:val="both"/>
    </w:pPr>
    <w:rPr>
      <w:rFonts w:cs="Times New Roman"/>
      <w:lang w:val="en-GB"/>
    </w:rPr>
  </w:style>
  <w:style w:type="character" w:customStyle="1" w:styleId="SignatureChar">
    <w:name w:val="Signature Char"/>
    <w:basedOn w:val="DefaultParagraphFont"/>
    <w:link w:val="Signature"/>
    <w:rPr>
      <w:sz w:val="24"/>
      <w:lang w:val="en-GB"/>
    </w:rPr>
  </w:style>
  <w:style w:type="paragraph" w:styleId="BodyText">
    <w:name w:val="Body Text"/>
    <w:aliases w:val="Body Text Char1,Body Text Char Char,Body Text Char1 Char1 Char,Body Text Char2 Char Char Char,Body Text Char1 Char Char Char Char,Body Text Char2 Char1 Char,Body Text Char1 Char Char1 Char,SUB-Body Text,Body Text Char1 Char Cha"/>
    <w:basedOn w:val="Normal"/>
    <w:link w:val="BodyTextChar"/>
    <w:pPr>
      <w:spacing w:before="120" w:after="120"/>
      <w:jc w:val="both"/>
    </w:pPr>
    <w:rPr>
      <w:rFonts w:cs="Times New Roman"/>
      <w:lang w:val="en-GB"/>
    </w:rPr>
  </w:style>
  <w:style w:type="character" w:customStyle="1" w:styleId="BodyTextChar">
    <w:name w:val="Body Text Char"/>
    <w:aliases w:val="Body Text Char1 Char,Body Text Char Char Char,Body Text Char1 Char1 Char Char,Body Text Char2 Char Char Char Char,Body Text Char1 Char Char Char Char Char,Body Text Char2 Char1 Char Char,Body Text Char1 Char Char1 Char Char"/>
    <w:basedOn w:val="DefaultParagraphFont"/>
    <w:link w:val="BodyText"/>
    <w:rPr>
      <w:sz w:val="24"/>
      <w:lang w:val="en-GB"/>
    </w:rPr>
  </w:style>
  <w:style w:type="paragraph" w:styleId="BodyTextIndent">
    <w:name w:val="Body Text Indent"/>
    <w:basedOn w:val="Normal"/>
    <w:link w:val="BodyTextIndentChar"/>
    <w:pPr>
      <w:spacing w:after="120"/>
      <w:ind w:left="283"/>
      <w:jc w:val="both"/>
    </w:pPr>
    <w:rPr>
      <w:rFonts w:cs="Times New Roman"/>
      <w:lang w:val="en-GB"/>
    </w:rPr>
  </w:style>
  <w:style w:type="character" w:customStyle="1" w:styleId="BodyTextIndentChar">
    <w:name w:val="Body Text Indent Char"/>
    <w:basedOn w:val="DefaultParagraphFont"/>
    <w:link w:val="BodyTextIndent"/>
    <w:rPr>
      <w:sz w:val="24"/>
      <w:lang w:val="en-GB"/>
    </w:rPr>
  </w:style>
  <w:style w:type="paragraph" w:styleId="BodyText3">
    <w:name w:val="Body Text 3"/>
    <w:basedOn w:val="BodyTextIndent"/>
    <w:link w:val="BodyText3Char"/>
  </w:style>
  <w:style w:type="character" w:customStyle="1" w:styleId="BodyText3Char">
    <w:name w:val="Body Text 3 Char"/>
    <w:basedOn w:val="DefaultParagraphFont"/>
    <w:link w:val="BodyText3"/>
    <w:rPr>
      <w:sz w:val="24"/>
      <w:lang w:val="en-GB"/>
    </w:rPr>
  </w:style>
  <w:style w:type="paragraph" w:styleId="Subtitle">
    <w:name w:val="Subtitle"/>
    <w:basedOn w:val="Normal"/>
    <w:link w:val="SubtitleChar"/>
    <w:qFormat/>
    <w:pPr>
      <w:jc w:val="center"/>
    </w:pPr>
    <w:rPr>
      <w:rFonts w:ascii="Arial" w:hAnsi="Arial" w:cs="Times New Roman"/>
      <w:b/>
      <w:caps/>
      <w:sz w:val="28"/>
      <w:lang w:val="en-GB"/>
    </w:rPr>
  </w:style>
  <w:style w:type="character" w:customStyle="1" w:styleId="SubtitleChar">
    <w:name w:val="Subtitle Char"/>
    <w:basedOn w:val="DefaultParagraphFont"/>
    <w:link w:val="Subtitle"/>
    <w:rPr>
      <w:rFonts w:ascii="Arial" w:hAnsi="Arial"/>
      <w:b/>
      <w:caps/>
      <w:sz w:val="28"/>
      <w:lang w:val="en-GB"/>
    </w:rPr>
  </w:style>
  <w:style w:type="paragraph" w:styleId="EndnoteText">
    <w:name w:val="endnote text"/>
    <w:basedOn w:val="Normal"/>
    <w:link w:val="EndnoteTextChar"/>
    <w:pPr>
      <w:jc w:val="both"/>
    </w:pPr>
    <w:rPr>
      <w:rFonts w:cs="Times New Roman"/>
      <w:b/>
      <w:sz w:val="20"/>
      <w:lang w:val="en-GB"/>
    </w:rPr>
  </w:style>
  <w:style w:type="character" w:customStyle="1" w:styleId="EndnoteTextChar">
    <w:name w:val="Endnote Text Char"/>
    <w:basedOn w:val="DefaultParagraphFont"/>
    <w:link w:val="EndnoteText"/>
    <w:rPr>
      <w:b/>
      <w:lang w:val="en-GB"/>
    </w:rPr>
  </w:style>
  <w:style w:type="paragraph" w:customStyle="1" w:styleId="NB">
    <w:name w:val="NB"/>
    <w:basedOn w:val="List"/>
  </w:style>
  <w:style w:type="paragraph" w:customStyle="1" w:styleId="Pageheader">
    <w:name w:val="Pageheader"/>
    <w:basedOn w:val="Normal"/>
    <w:next w:val="Normal"/>
    <w:pPr>
      <w:tabs>
        <w:tab w:val="left" w:pos="4678"/>
      </w:tabs>
      <w:spacing w:line="240" w:lineRule="exact"/>
      <w:ind w:right="-284"/>
    </w:pPr>
    <w:rPr>
      <w:rFonts w:cs="Times New Roman"/>
      <w:b/>
      <w:lang w:val="en-GB"/>
    </w:rPr>
  </w:style>
  <w:style w:type="paragraph" w:customStyle="1" w:styleId="APPENDIX">
    <w:name w:val="APPENDIX"/>
    <w:basedOn w:val="Normal"/>
    <w:next w:val="BodyText"/>
    <w:pPr>
      <w:pageBreakBefore/>
      <w:pBdr>
        <w:top w:val="single" w:sz="12" w:space="1" w:color="auto" w:shadow="1"/>
        <w:left w:val="single" w:sz="12" w:space="1" w:color="auto" w:shadow="1"/>
        <w:bottom w:val="single" w:sz="12" w:space="1" w:color="auto" w:shadow="1"/>
        <w:right w:val="single" w:sz="12" w:space="1" w:color="auto" w:shadow="1"/>
      </w:pBdr>
      <w:spacing w:before="840"/>
      <w:ind w:left="1701" w:right="1701"/>
      <w:jc w:val="center"/>
    </w:pPr>
    <w:rPr>
      <w:rFonts w:ascii="Arial" w:hAnsi="Arial" w:cs="Times New Roman"/>
      <w:b/>
      <w:caps/>
      <w:sz w:val="28"/>
      <w:lang w:val="en-GB"/>
    </w:rPr>
  </w:style>
  <w:style w:type="paragraph" w:customStyle="1" w:styleId="Style1">
    <w:name w:val="Style1"/>
    <w:basedOn w:val="Normal"/>
    <w:pPr>
      <w:pageBreakBefore/>
      <w:spacing w:before="720"/>
      <w:jc w:val="center"/>
    </w:pPr>
    <w:rPr>
      <w:rFonts w:ascii="Arial" w:hAnsi="Arial" w:cs="Times New Roman"/>
      <w:caps/>
      <w:sz w:val="28"/>
      <w:lang w:val="en-GB"/>
    </w:rPr>
  </w:style>
  <w:style w:type="paragraph" w:customStyle="1" w:styleId="Style2">
    <w:name w:val="Style2"/>
    <w:basedOn w:val="ListBullet3"/>
  </w:style>
  <w:style w:type="paragraph" w:styleId="ListBullet3">
    <w:name w:val="List Bullet 3"/>
    <w:basedOn w:val="Normal"/>
    <w:pPr>
      <w:spacing w:before="20" w:after="20" w:line="240" w:lineRule="exact"/>
      <w:ind w:left="284" w:hanging="284"/>
      <w:jc w:val="both"/>
    </w:pPr>
    <w:rPr>
      <w:rFonts w:cs="Times New Roman"/>
      <w:lang w:val="en-GB"/>
    </w:rPr>
  </w:style>
  <w:style w:type="paragraph" w:customStyle="1" w:styleId="Normalbold">
    <w:name w:val="Normal bold"/>
    <w:basedOn w:val="Normal"/>
    <w:next w:val="Normal"/>
    <w:pPr>
      <w:spacing w:before="120" w:after="120"/>
      <w:jc w:val="both"/>
    </w:pPr>
    <w:rPr>
      <w:rFonts w:ascii="Arial" w:hAnsi="Arial" w:cs="Times New Roman"/>
      <w:b/>
      <w:lang w:val="en-GB"/>
    </w:rPr>
  </w:style>
  <w:style w:type="paragraph" w:styleId="BodyTextIndent2">
    <w:name w:val="Body Text Indent 2"/>
    <w:basedOn w:val="Normal"/>
    <w:link w:val="BodyTextIndent2Char"/>
    <w:pPr>
      <w:ind w:left="1276" w:hanging="1276"/>
    </w:pPr>
    <w:rPr>
      <w:rFonts w:ascii="Arial" w:hAnsi="Arial" w:cs="Times New Roman"/>
      <w:b/>
      <w:lang w:val="en-GB"/>
    </w:rPr>
  </w:style>
  <w:style w:type="character" w:customStyle="1" w:styleId="BodyTextIndent2Char">
    <w:name w:val="Body Text Indent 2 Char"/>
    <w:basedOn w:val="DefaultParagraphFont"/>
    <w:link w:val="BodyTextIndent2"/>
    <w:rPr>
      <w:rFonts w:ascii="Arial" w:hAnsi="Arial"/>
      <w:b/>
      <w:sz w:val="24"/>
      <w:lang w:val="en-GB"/>
    </w:rPr>
  </w:style>
  <w:style w:type="paragraph" w:customStyle="1" w:styleId="BIGTITLE">
    <w:name w:val="BIGTITLE"/>
    <w:basedOn w:val="Normal"/>
    <w:next w:val="Normal"/>
    <w:pPr>
      <w:jc w:val="center"/>
    </w:pPr>
    <w:rPr>
      <w:rFonts w:cs="Times New Roman"/>
      <w:b/>
      <w:sz w:val="40"/>
      <w:lang w:val="en-GB"/>
    </w:rPr>
  </w:style>
  <w:style w:type="paragraph" w:customStyle="1" w:styleId="Style3">
    <w:name w:val="Style3"/>
    <w:basedOn w:val="Caption"/>
    <w:pPr>
      <w:keepNext w:val="0"/>
      <w:spacing w:before="0" w:after="0" w:line="240" w:lineRule="auto"/>
      <w:ind w:left="0" w:hanging="993"/>
    </w:pPr>
    <w:rPr>
      <w:rFonts w:ascii="Arial" w:hAnsi="Arial"/>
      <w:bCs w:val="0"/>
      <w:caps/>
      <w:szCs w:val="20"/>
      <w:lang w:val="en-GB"/>
    </w:rPr>
  </w:style>
  <w:style w:type="paragraph" w:customStyle="1" w:styleId="Bodytextleft">
    <w:name w:val="Body text left"/>
    <w:basedOn w:val="BodyText"/>
    <w:pPr>
      <w:jc w:val="left"/>
    </w:pPr>
  </w:style>
  <w:style w:type="paragraph" w:customStyle="1" w:styleId="SUBAPPENDIX">
    <w:name w:val="SUBAPPENDIX"/>
    <w:basedOn w:val="APPENDIX"/>
    <w:next w:val="BlockText"/>
    <w:pPr>
      <w:ind w:left="2268" w:right="2267"/>
    </w:pPr>
    <w:rPr>
      <w:sz w:val="22"/>
    </w:rPr>
  </w:style>
  <w:style w:type="paragraph" w:styleId="BlockText">
    <w:name w:val="Block Text"/>
    <w:basedOn w:val="Normal"/>
    <w:pPr>
      <w:spacing w:after="120"/>
      <w:ind w:left="1440" w:right="1440"/>
      <w:jc w:val="both"/>
    </w:pPr>
    <w:rPr>
      <w:rFonts w:cs="Times New Roman"/>
      <w:lang w:val="en-GB"/>
    </w:rPr>
  </w:style>
  <w:style w:type="paragraph" w:styleId="BalloonText">
    <w:name w:val="Balloon Text"/>
    <w:basedOn w:val="Normal"/>
    <w:link w:val="BalloonTextChar"/>
    <w:pPr>
      <w:jc w:val="both"/>
    </w:pPr>
    <w:rPr>
      <w:rFonts w:ascii="Tahoma" w:hAnsi="Tahoma" w:cs="Tahoma"/>
      <w:sz w:val="16"/>
      <w:szCs w:val="16"/>
      <w:lang w:val="en-GB"/>
    </w:rPr>
  </w:style>
  <w:style w:type="character" w:customStyle="1" w:styleId="BalloonTextChar">
    <w:name w:val="Balloon Text Char"/>
    <w:basedOn w:val="DefaultParagraphFont"/>
    <w:link w:val="BalloonText"/>
    <w:rPr>
      <w:rFonts w:ascii="Tahoma" w:hAnsi="Tahoma" w:cs="Tahoma"/>
      <w:sz w:val="16"/>
      <w:szCs w:val="16"/>
      <w:lang w:val="en-GB"/>
    </w:rPr>
  </w:style>
  <w:style w:type="paragraph" w:customStyle="1" w:styleId="Caption2">
    <w:name w:val="Caption 2"/>
    <w:basedOn w:val="Caption"/>
    <w:pPr>
      <w:keepNext w:val="0"/>
      <w:numPr>
        <w:ilvl w:val="2"/>
        <w:numId w:val="11"/>
      </w:numPr>
      <w:spacing w:before="0" w:after="0" w:line="240" w:lineRule="auto"/>
    </w:pPr>
    <w:rPr>
      <w:rFonts w:ascii="Arial" w:hAnsi="Arial"/>
      <w:bCs w:val="0"/>
      <w:caps/>
      <w:szCs w:val="20"/>
      <w:lang w:val="en-GB"/>
    </w:rPr>
  </w:style>
  <w:style w:type="paragraph" w:customStyle="1" w:styleId="StyleCaptionLeft0cmHanging2cm">
    <w:name w:val="Style Caption + Left:  0 cm Hanging:  2 cm"/>
    <w:basedOn w:val="Caption"/>
    <w:autoRedefine/>
    <w:pPr>
      <w:keepNext w:val="0"/>
      <w:spacing w:before="0" w:after="0" w:line="240" w:lineRule="auto"/>
      <w:ind w:left="1134" w:hanging="1134"/>
    </w:pPr>
    <w:rPr>
      <w:rFonts w:ascii="Arial" w:hAnsi="Arial"/>
      <w:caps/>
      <w:szCs w:val="20"/>
      <w:lang w:val="en-GB"/>
    </w:rPr>
  </w:style>
  <w:style w:type="paragraph" w:customStyle="1" w:styleId="Bigtitle0">
    <w:name w:val="Bigtitle"/>
    <w:basedOn w:val="Normal"/>
    <w:next w:val="Normal"/>
    <w:pPr>
      <w:spacing w:line="360" w:lineRule="exact"/>
      <w:ind w:right="28"/>
      <w:jc w:val="center"/>
    </w:pPr>
    <w:rPr>
      <w:rFonts w:ascii="Arial" w:hAnsi="Arial" w:cs="Times New Roman"/>
      <w:b/>
      <w:caps/>
      <w:sz w:val="40"/>
      <w:lang w:val="en-GB"/>
    </w:rPr>
  </w:style>
  <w:style w:type="paragraph" w:customStyle="1" w:styleId="Style4">
    <w:name w:val="Style4"/>
    <w:basedOn w:val="BodyText"/>
  </w:style>
  <w:style w:type="paragraph" w:customStyle="1" w:styleId="bodytextleft0">
    <w:name w:val="body text left"/>
    <w:basedOn w:val="BodyText"/>
    <w:pPr>
      <w:jc w:val="left"/>
    </w:pPr>
  </w:style>
  <w:style w:type="paragraph" w:styleId="BodyText2">
    <w:name w:val="Body Text 2"/>
    <w:basedOn w:val="Normal"/>
    <w:link w:val="BodyText2Char"/>
    <w:pPr>
      <w:tabs>
        <w:tab w:val="left" w:pos="709"/>
      </w:tabs>
      <w:jc w:val="both"/>
    </w:pPr>
    <w:rPr>
      <w:rFonts w:cs="Times New Roman"/>
      <w:sz w:val="20"/>
      <w:lang w:val="en-GB"/>
    </w:rPr>
  </w:style>
  <w:style w:type="character" w:customStyle="1" w:styleId="BodyText2Char">
    <w:name w:val="Body Text 2 Char"/>
    <w:basedOn w:val="DefaultParagraphFont"/>
    <w:link w:val="BodyText2"/>
    <w:rPr>
      <w:lang w:val="en-GB"/>
    </w:rPr>
  </w:style>
  <w:style w:type="paragraph" w:styleId="BodyTextIndent3">
    <w:name w:val="Body Text Indent 3"/>
    <w:basedOn w:val="Normal"/>
    <w:link w:val="BodyTextIndent3Char"/>
    <w:pPr>
      <w:ind w:left="567"/>
      <w:jc w:val="both"/>
    </w:pPr>
    <w:rPr>
      <w:rFonts w:cs="Times New Roman"/>
      <w:lang w:val="en-GB"/>
    </w:rPr>
  </w:style>
  <w:style w:type="character" w:customStyle="1" w:styleId="BodyTextIndent3Char">
    <w:name w:val="Body Text Indent 3 Char"/>
    <w:basedOn w:val="DefaultParagraphFont"/>
    <w:link w:val="BodyTextIndent3"/>
    <w:rPr>
      <w:sz w:val="24"/>
      <w:lang w:val="en-GB"/>
    </w:rPr>
  </w:style>
  <w:style w:type="paragraph" w:customStyle="1" w:styleId="p2">
    <w:name w:val="p2"/>
    <w:basedOn w:val="Normal"/>
    <w:pPr>
      <w:widowControl w:val="0"/>
      <w:tabs>
        <w:tab w:val="left" w:pos="2148"/>
      </w:tabs>
      <w:autoSpaceDE w:val="0"/>
      <w:autoSpaceDN w:val="0"/>
      <w:adjustRightInd w:val="0"/>
      <w:ind w:left="708"/>
      <w:jc w:val="both"/>
    </w:pPr>
    <w:rPr>
      <w:rFonts w:cs="Times New Roman"/>
      <w:sz w:val="20"/>
      <w:szCs w:val="24"/>
    </w:rPr>
  </w:style>
  <w:style w:type="paragraph" w:customStyle="1" w:styleId="p3">
    <w:name w:val="p3"/>
    <w:basedOn w:val="Normal"/>
    <w:pPr>
      <w:widowControl w:val="0"/>
      <w:tabs>
        <w:tab w:val="left" w:pos="2545"/>
      </w:tabs>
      <w:autoSpaceDE w:val="0"/>
      <w:autoSpaceDN w:val="0"/>
      <w:adjustRightInd w:val="0"/>
      <w:ind w:left="1105"/>
      <w:jc w:val="both"/>
    </w:pPr>
    <w:rPr>
      <w:rFonts w:cs="Times New Roman"/>
      <w:sz w:val="20"/>
      <w:szCs w:val="24"/>
    </w:rPr>
  </w:style>
  <w:style w:type="character" w:styleId="CommentReference">
    <w:name w:val="annotation reference"/>
    <w:basedOn w:val="DefaultParagraphFont"/>
    <w:uiPriority w:val="99"/>
    <w:rPr>
      <w:sz w:val="16"/>
      <w:szCs w:val="16"/>
    </w:rPr>
  </w:style>
  <w:style w:type="paragraph" w:styleId="NormalWeb">
    <w:name w:val="Normal (Web)"/>
    <w:basedOn w:val="Normal"/>
    <w:uiPriority w:val="99"/>
    <w:unhideWhenUsed/>
    <w:pPr>
      <w:spacing w:before="100" w:beforeAutospacing="1" w:after="100" w:afterAutospacing="1"/>
    </w:pPr>
    <w:rPr>
      <w:rFonts w:ascii="Arial" w:hAnsi="Arial"/>
      <w:color w:val="000000"/>
      <w:sz w:val="18"/>
      <w:szCs w:val="18"/>
    </w:rPr>
  </w:style>
  <w:style w:type="character" w:customStyle="1" w:styleId="txtsmall1">
    <w:name w:val="txtsmall1"/>
    <w:basedOn w:val="DefaultParagraphFont"/>
    <w:rPr>
      <w:rFonts w:ascii="Arial" w:hAnsi="Arial" w:cs="Arial" w:hint="default"/>
      <w:color w:val="000000"/>
      <w:sz w:val="16"/>
      <w:szCs w:val="16"/>
    </w:rPr>
  </w:style>
  <w:style w:type="paragraph" w:styleId="ListParagraph">
    <w:name w:val="List Paragraph"/>
    <w:aliases w:val="Paragrafos numerados"/>
    <w:basedOn w:val="Normal"/>
    <w:link w:val="ListParagraphChar"/>
    <w:uiPriority w:val="34"/>
    <w:qFormat/>
    <w:pPr>
      <w:ind w:left="720"/>
    </w:pPr>
  </w:style>
  <w:style w:type="character" w:customStyle="1" w:styleId="C-BodyTextChar">
    <w:name w:val="C-Body Text Char"/>
    <w:basedOn w:val="DefaultParagraphFont"/>
    <w:link w:val="C-BodyText"/>
    <w:uiPriority w:val="99"/>
    <w:locked/>
    <w:rPr>
      <w:sz w:val="24"/>
      <w:lang w:val="en-US" w:eastAsia="en-US" w:bidi="ar-SA"/>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DefaultParagraphFont"/>
  </w:style>
  <w:style w:type="character" w:styleId="PageNumber">
    <w:name w:val="page number"/>
  </w:style>
  <w:style w:type="paragraph" w:customStyle="1" w:styleId="Text">
    <w:name w:val="Text"/>
    <w:aliases w:val="Graphic"/>
    <w:basedOn w:val="Normal"/>
    <w:link w:val="TextChar1"/>
    <w:uiPriority w:val="99"/>
    <w:pPr>
      <w:spacing w:before="120"/>
      <w:jc w:val="both"/>
    </w:pPr>
    <w:rPr>
      <w:rFonts w:eastAsia="MS Mincho" w:cs="Times New Roman"/>
    </w:rPr>
  </w:style>
  <w:style w:type="character" w:customStyle="1" w:styleId="TextChar1">
    <w:name w:val="Text Char1"/>
    <w:basedOn w:val="DefaultParagraphFont"/>
    <w:link w:val="Text"/>
    <w:rPr>
      <w:rFonts w:eastAsia="MS Mincho"/>
      <w:sz w:val="24"/>
    </w:rPr>
  </w:style>
  <w:style w:type="character" w:styleId="Emphasis">
    <w:name w:val="Emphasis"/>
    <w:uiPriority w:val="20"/>
    <w:qFormat/>
    <w:rPr>
      <w:i/>
      <w:iCs/>
    </w:rPr>
  </w:style>
  <w:style w:type="paragraph" w:styleId="Revision">
    <w:name w:val="Revision"/>
    <w:hidden/>
    <w:uiPriority w:val="99"/>
    <w:semiHidden/>
    <w:rPr>
      <w:rFonts w:cs="Arial"/>
      <w:sz w:val="24"/>
    </w:rPr>
  </w:style>
  <w:style w:type="character" w:styleId="EndnoteReference">
    <w:name w:val="endnote reference"/>
    <w:rPr>
      <w:vertAlign w:val="superscript"/>
    </w:rPr>
  </w:style>
  <w:style w:type="character" w:styleId="Strong">
    <w:name w:val="Strong"/>
    <w:basedOn w:val="DefaultParagraphFont"/>
    <w:uiPriority w:val="22"/>
    <w:qFormat/>
    <w:rPr>
      <w:b/>
      <w:bCs/>
    </w:rPr>
  </w:style>
  <w:style w:type="character" w:customStyle="1" w:styleId="st">
    <w:name w:val="st"/>
  </w:style>
  <w:style w:type="paragraph" w:styleId="Bibliography">
    <w:name w:val="Bibliography"/>
    <w:basedOn w:val="Normal"/>
    <w:next w:val="Normal"/>
    <w:uiPriority w:val="37"/>
    <w:semiHidden/>
    <w:unhideWhenUsed/>
  </w:style>
  <w:style w:type="paragraph" w:styleId="BodyTextFirstIndent">
    <w:name w:val="Body Text First Indent"/>
    <w:basedOn w:val="BodyText"/>
    <w:link w:val="BodyTextFirstIndentChar"/>
    <w:pPr>
      <w:spacing w:before="0"/>
      <w:ind w:firstLine="210"/>
      <w:jc w:val="left"/>
    </w:pPr>
    <w:rPr>
      <w:rFonts w:cs="Arial"/>
      <w:lang w:val="en-US"/>
    </w:rPr>
  </w:style>
  <w:style w:type="character" w:customStyle="1" w:styleId="BodyTextFirstIndentChar">
    <w:name w:val="Body Text First Indent Char"/>
    <w:basedOn w:val="BodyTextChar"/>
    <w:link w:val="BodyTextFirstIndent"/>
    <w:rPr>
      <w:rFonts w:cs="Arial"/>
      <w:sz w:val="24"/>
      <w:lang w:val="en-GB"/>
    </w:rPr>
  </w:style>
  <w:style w:type="paragraph" w:styleId="BodyTextFirstIndent2">
    <w:name w:val="Body Text First Indent 2"/>
    <w:basedOn w:val="BodyTextIndent"/>
    <w:link w:val="BodyTextFirstIndent2Char"/>
    <w:pPr>
      <w:ind w:firstLine="210"/>
      <w:jc w:val="left"/>
    </w:pPr>
    <w:rPr>
      <w:rFonts w:cs="Arial"/>
      <w:lang w:val="en-US"/>
    </w:rPr>
  </w:style>
  <w:style w:type="character" w:customStyle="1" w:styleId="BodyTextFirstIndent2Char">
    <w:name w:val="Body Text First Indent 2 Char"/>
    <w:basedOn w:val="BodyTextIndentChar"/>
    <w:link w:val="BodyTextFirstIndent2"/>
    <w:rPr>
      <w:rFonts w:cs="Arial"/>
      <w:sz w:val="24"/>
      <w:lang w:val="en-GB"/>
    </w:rPr>
  </w:style>
  <w:style w:type="paragraph" w:styleId="Date">
    <w:name w:val="Date"/>
    <w:basedOn w:val="Normal"/>
    <w:next w:val="Normal"/>
    <w:link w:val="DateChar"/>
  </w:style>
  <w:style w:type="character" w:customStyle="1" w:styleId="DateChar">
    <w:name w:val="Date Char"/>
    <w:basedOn w:val="DefaultParagraphFont"/>
    <w:link w:val="Date"/>
    <w:rPr>
      <w:rFonts w:cs="Arial"/>
      <w:sz w:val="24"/>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basedOn w:val="DefaultParagraphFont"/>
    <w:link w:val="DocumentMap"/>
    <w:rPr>
      <w:rFonts w:ascii="Tahoma" w:hAnsi="Tahoma" w:cs="Tahoma"/>
      <w:sz w:val="16"/>
      <w:szCs w:val="16"/>
    </w:rPr>
  </w:style>
  <w:style w:type="paragraph" w:styleId="E-mailSignature">
    <w:name w:val="E-mail Signature"/>
    <w:basedOn w:val="Normal"/>
    <w:link w:val="E-mailSignatureChar"/>
  </w:style>
  <w:style w:type="character" w:customStyle="1" w:styleId="E-mailSignatureChar">
    <w:name w:val="E-mail Signature Char"/>
    <w:basedOn w:val="DefaultParagraphFont"/>
    <w:link w:val="E-mailSignature"/>
    <w:rPr>
      <w:rFonts w:cs="Arial"/>
      <w:sz w:val="24"/>
    </w:rPr>
  </w:style>
  <w:style w:type="paragraph" w:styleId="EnvelopeAddress">
    <w:name w:val="envelope address"/>
    <w:basedOn w:val="Normal"/>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rPr>
      <w:rFonts w:asciiTheme="majorHAnsi" w:eastAsiaTheme="majorEastAsia" w:hAnsiTheme="majorHAnsi" w:cstheme="majorBidi"/>
      <w:sz w:val="20"/>
    </w:rPr>
  </w:style>
  <w:style w:type="paragraph" w:styleId="FootnoteText">
    <w:name w:val="footnote text"/>
    <w:basedOn w:val="Normal"/>
    <w:link w:val="FootnoteTextChar"/>
    <w:rPr>
      <w:sz w:val="20"/>
    </w:rPr>
  </w:style>
  <w:style w:type="character" w:customStyle="1" w:styleId="FootnoteTextChar">
    <w:name w:val="Footnote Text Char"/>
    <w:basedOn w:val="DefaultParagraphFont"/>
    <w:link w:val="FootnoteText"/>
    <w:rPr>
      <w:rFonts w:cs="Arial"/>
    </w:rPr>
  </w:style>
  <w:style w:type="paragraph" w:styleId="HTMLAddress">
    <w:name w:val="HTML Address"/>
    <w:basedOn w:val="Normal"/>
    <w:link w:val="HTMLAddressChar"/>
    <w:rPr>
      <w:i/>
      <w:iCs/>
    </w:rPr>
  </w:style>
  <w:style w:type="character" w:customStyle="1" w:styleId="HTMLAddressChar">
    <w:name w:val="HTML Address Char"/>
    <w:basedOn w:val="DefaultParagraphFont"/>
    <w:link w:val="HTMLAddress"/>
    <w:rPr>
      <w:rFonts w:cs="Arial"/>
      <w:i/>
      <w:iCs/>
      <w:sz w:val="24"/>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basedOn w:val="DefaultParagraphFont"/>
    <w:link w:val="HTMLPreformatted"/>
    <w:rPr>
      <w:rFonts w:ascii="Courier New" w:hAnsi="Courier New" w:cs="Courier New"/>
    </w:r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rFonts w:cs="Arial"/>
      <w:b/>
      <w:bCs/>
      <w:i/>
      <w:iCs/>
      <w:color w:val="4F81BD" w:themeColor="accent1"/>
      <w:sz w:val="24"/>
    </w:r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4">
    <w:name w:val="List Bullet 4"/>
    <w:basedOn w:val="Normal"/>
    <w:pPr>
      <w:numPr>
        <w:numId w:val="20"/>
      </w:numPr>
      <w:contextualSpacing/>
    </w:pPr>
  </w:style>
  <w:style w:type="paragraph" w:styleId="ListBullet5">
    <w:name w:val="List Bullet 5"/>
    <w:basedOn w:val="Normal"/>
    <w:pPr>
      <w:numPr>
        <w:numId w:val="21"/>
      </w:numPr>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qFormat/>
    <w:pPr>
      <w:numPr>
        <w:numId w:val="22"/>
      </w:numPr>
      <w:contextualSpacing/>
    </w:pPr>
  </w:style>
  <w:style w:type="paragraph" w:styleId="ListNumber2">
    <w:name w:val="List Number 2"/>
    <w:basedOn w:val="Normal"/>
    <w:pPr>
      <w:numPr>
        <w:numId w:val="23"/>
      </w:numPr>
      <w:contextualSpacing/>
    </w:pPr>
  </w:style>
  <w:style w:type="paragraph" w:styleId="ListNumber3">
    <w:name w:val="List Number 3"/>
    <w:basedOn w:val="Normal"/>
    <w:pPr>
      <w:numPr>
        <w:numId w:val="24"/>
      </w:numPr>
      <w:contextualSpacing/>
    </w:pPr>
  </w:style>
  <w:style w:type="paragraph" w:styleId="ListNumber4">
    <w:name w:val="List Number 4"/>
    <w:basedOn w:val="Normal"/>
    <w:pPr>
      <w:numPr>
        <w:numId w:val="25"/>
      </w:numPr>
      <w:contextualSpacing/>
    </w:pPr>
  </w:style>
  <w:style w:type="paragraph" w:styleId="ListNumber5">
    <w:name w:val="List Number 5"/>
    <w:basedOn w:val="Normal"/>
    <w:pPr>
      <w:numPr>
        <w:numId w:val="26"/>
      </w:numPr>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Pr>
      <w:rFonts w:ascii="Courier New" w:hAnsi="Courier New" w:cs="Courier New"/>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rPr>
  </w:style>
  <w:style w:type="paragraph" w:styleId="NoSpacing">
    <w:name w:val="No Spacing"/>
    <w:uiPriority w:val="1"/>
    <w:qFormat/>
    <w:rPr>
      <w:rFonts w:cs="Arial"/>
      <w:sz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basedOn w:val="DefaultParagraphFont"/>
    <w:link w:val="NoteHeading"/>
    <w:rPr>
      <w:rFonts w:cs="Arial"/>
      <w:sz w:val="24"/>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basedOn w:val="DefaultParagraphFont"/>
    <w:link w:val="PlainText"/>
    <w:rPr>
      <w:rFonts w:ascii="Courier New" w:hAnsi="Courier New" w:cs="Courier New"/>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rFonts w:cs="Arial"/>
      <w:i/>
      <w:iCs/>
      <w:color w:val="000000" w:themeColor="text1"/>
      <w:sz w:val="24"/>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cs="Arial"/>
      <w:sz w:val="24"/>
    </w:rPr>
  </w:style>
  <w:style w:type="paragraph" w:styleId="TableofAuthorities">
    <w:name w:val="table of authorities"/>
    <w:basedOn w:val="Normal"/>
    <w:next w:val="Normal"/>
    <w:pPr>
      <w:ind w:left="240" w:hanging="240"/>
    </w:pPr>
  </w:style>
  <w:style w:type="paragraph" w:styleId="TOCHeading">
    <w:name w:val="TOC Heading"/>
    <w:basedOn w:val="Heading1"/>
    <w:next w:val="Normal"/>
    <w:uiPriority w:val="39"/>
    <w:semiHidden/>
    <w:unhideWhenUsed/>
    <w:qFormat/>
    <w:pPr>
      <w:numPr>
        <w:numId w:val="0"/>
      </w:numPr>
      <w:spacing w:before="240" w:after="60"/>
      <w:outlineLvl w:val="9"/>
    </w:pPr>
    <w:rPr>
      <w:rFonts w:asciiTheme="majorHAnsi" w:eastAsiaTheme="majorEastAsia" w:hAnsiTheme="majorHAnsi" w:cstheme="majorBidi"/>
      <w:caps w:val="0"/>
      <w:sz w:val="32"/>
    </w:rPr>
  </w:style>
  <w:style w:type="character" w:customStyle="1" w:styleId="C-TableTextChar">
    <w:name w:val="C-Table Text Char"/>
    <w:link w:val="C-TableText"/>
    <w:rPr>
      <w:sz w:val="22"/>
    </w:rPr>
  </w:style>
  <w:style w:type="paragraph" w:customStyle="1" w:styleId="TableCellText09pt">
    <w:name w:val="Table Cell Text 09pt"/>
    <w:basedOn w:val="Normal"/>
    <w:link w:val="TableCellText09ptChar"/>
    <w:pPr>
      <w:keepNext/>
      <w:keepLines/>
      <w:spacing w:before="40" w:after="40"/>
    </w:pPr>
    <w:rPr>
      <w:rFonts w:ascii="Arial" w:hAnsi="Arial" w:cs="Times New Roman"/>
      <w:sz w:val="18"/>
      <w:szCs w:val="22"/>
      <w:lang w:val="en-GB" w:eastAsia="ja-JP"/>
    </w:rPr>
  </w:style>
  <w:style w:type="character" w:customStyle="1" w:styleId="TableCellText09ptChar">
    <w:name w:val="Table Cell Text 09pt Char"/>
    <w:link w:val="TableCellText09pt"/>
    <w:rPr>
      <w:rFonts w:ascii="Arial" w:hAnsi="Arial"/>
      <w:sz w:val="18"/>
      <w:szCs w:val="22"/>
      <w:lang w:val="en-GB" w:eastAsia="ja-JP"/>
    </w:rPr>
  </w:style>
  <w:style w:type="character" w:customStyle="1" w:styleId="CommentTextChar">
    <w:name w:val="Comment Text Char"/>
    <w:aliases w:val="Annotationtext Char"/>
    <w:link w:val="CommentText"/>
    <w:uiPriority w:val="99"/>
    <w:rPr>
      <w:rFonts w:cs="Arial"/>
    </w:rPr>
  </w:style>
  <w:style w:type="character" w:customStyle="1" w:styleId="ListParagraphChar">
    <w:name w:val="List Paragraph Char"/>
    <w:aliases w:val="Paragrafos numerados Char"/>
    <w:link w:val="ListParagraph"/>
    <w:uiPriority w:val="34"/>
    <w:locked/>
    <w:rPr>
      <w:rFonts w:cs="Arial"/>
      <w:sz w:val="24"/>
    </w:rPr>
  </w:style>
  <w:style w:type="paragraph" w:customStyle="1" w:styleId="Default">
    <w:name w:val="Default"/>
    <w:link w:val="DefaultChar"/>
    <w:pPr>
      <w:autoSpaceDE w:val="0"/>
      <w:autoSpaceDN w:val="0"/>
      <w:adjustRightInd w:val="0"/>
    </w:pPr>
    <w:rPr>
      <w:color w:val="000000"/>
      <w:sz w:val="24"/>
      <w:szCs w:val="24"/>
      <w:lang w:val="en-GB"/>
    </w:rPr>
  </w:style>
  <w:style w:type="character" w:customStyle="1" w:styleId="Heading3Char">
    <w:name w:val="Heading 3 Char"/>
    <w:basedOn w:val="DefaultParagraphFont"/>
    <w:link w:val="Heading3"/>
    <w:rPr>
      <w:b/>
      <w:color w:val="000000"/>
      <w:sz w:val="24"/>
      <w:szCs w:val="24"/>
      <w:lang w:val="pt-BR" w:eastAsia="pt-BR"/>
    </w:rPr>
  </w:style>
  <w:style w:type="character" w:customStyle="1" w:styleId="Heading5Char">
    <w:name w:val="Heading 5 Char"/>
    <w:basedOn w:val="DefaultParagraphFont"/>
    <w:link w:val="Heading5"/>
    <w:uiPriority w:val="9"/>
    <w:rPr>
      <w:rFonts w:cs="Arial"/>
      <w:b/>
      <w:bCs/>
      <w:sz w:val="24"/>
      <w:szCs w:val="26"/>
      <w:lang w:val="en-GB"/>
    </w:r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DefaultChar">
    <w:name w:val="Default Char"/>
    <w:link w:val="Default"/>
    <w:rPr>
      <w:color w:val="000000"/>
      <w:sz w:val="24"/>
      <w:szCs w:val="24"/>
      <w:lang w:val="en-GB"/>
    </w:rPr>
  </w:style>
  <w:style w:type="paragraph" w:customStyle="1" w:styleId="Heading-TablesFigures">
    <w:name w:val="Heading - Tables &amp; Figures"/>
    <w:next w:val="BodyText"/>
    <w:pPr>
      <w:keepNext/>
      <w:keepLines/>
      <w:tabs>
        <w:tab w:val="left" w:pos="1134"/>
      </w:tabs>
      <w:spacing w:after="120"/>
      <w:ind w:left="1134" w:hanging="1134"/>
      <w:jc w:val="both"/>
    </w:pPr>
    <w:rPr>
      <w:rFonts w:ascii="Arial" w:hAnsi="Arial"/>
      <w:b/>
      <w:sz w:val="22"/>
      <w:szCs w:val="22"/>
      <w:lang w:val="en-GB"/>
    </w:rPr>
  </w:style>
  <w:style w:type="paragraph" w:customStyle="1" w:styleId="ExampleText">
    <w:name w:val="Example Text"/>
    <w:basedOn w:val="BodyText"/>
    <w:next w:val="BodyText"/>
    <w:link w:val="ExampleTextChar"/>
    <w:pPr>
      <w:keepLines/>
      <w:spacing w:before="0" w:after="240"/>
    </w:pPr>
    <w:rPr>
      <w:rFonts w:ascii="Arial" w:hAnsi="Arial"/>
      <w:i/>
      <w:sz w:val="22"/>
      <w:szCs w:val="22"/>
    </w:rPr>
  </w:style>
  <w:style w:type="character" w:customStyle="1" w:styleId="ExampleTextChar">
    <w:name w:val="Example Text Char"/>
    <w:link w:val="ExampleText"/>
    <w:rPr>
      <w:rFonts w:ascii="Arial" w:hAnsi="Arial"/>
      <w:i/>
      <w:sz w:val="22"/>
      <w:szCs w:val="22"/>
      <w:lang w:val="en-GB"/>
    </w:rPr>
  </w:style>
  <w:style w:type="paragraph" w:customStyle="1" w:styleId="Studysubtitle">
    <w:name w:val="Study subtitle"/>
    <w:next w:val="Normal"/>
    <w:rPr>
      <w:b/>
      <w:bCs/>
      <w:caps/>
      <w:sz w:val="28"/>
      <w:szCs w:val="28"/>
    </w:rPr>
  </w:style>
  <w:style w:type="paragraph" w:customStyle="1" w:styleId="TitlePageText">
    <w:name w:val="Title Page Text"/>
    <w:basedOn w:val="Normal"/>
    <w:link w:val="TitlePageTextChar"/>
    <w:qFormat/>
    <w:pPr>
      <w:spacing w:after="40"/>
      <w:jc w:val="both"/>
    </w:pPr>
    <w:rPr>
      <w:rFonts w:ascii="Arial" w:hAnsi="Arial" w:cs="Times New Roman"/>
      <w:bCs/>
      <w:sz w:val="22"/>
      <w:szCs w:val="22"/>
      <w:lang w:val="en-GB"/>
    </w:rPr>
  </w:style>
  <w:style w:type="character" w:customStyle="1" w:styleId="TitlePageTextChar">
    <w:name w:val="Title Page Text Char"/>
    <w:basedOn w:val="DefaultParagraphFont"/>
    <w:link w:val="TitlePageText"/>
    <w:rPr>
      <w:rFonts w:ascii="Arial" w:hAnsi="Arial"/>
      <w:bCs/>
      <w:sz w:val="22"/>
      <w:szCs w:val="22"/>
      <w:lang w:val="en-GB"/>
    </w:rPr>
  </w:style>
  <w:style w:type="paragraph" w:customStyle="1" w:styleId="TitlePageBoldText">
    <w:name w:val="Title Page Bold Text"/>
    <w:next w:val="TitlePageText"/>
    <w:link w:val="TitlePageBoldTextChar"/>
    <w:qFormat/>
    <w:pPr>
      <w:spacing w:after="40"/>
      <w:jc w:val="both"/>
    </w:pPr>
    <w:rPr>
      <w:rFonts w:ascii="Arial" w:hAnsi="Arial"/>
      <w:b/>
      <w:bCs/>
      <w:sz w:val="22"/>
      <w:szCs w:val="22"/>
      <w:lang w:val="en-GB"/>
    </w:rPr>
  </w:style>
  <w:style w:type="character" w:customStyle="1" w:styleId="TitlePageBoldTextChar">
    <w:name w:val="Title Page Bold Text Char"/>
    <w:link w:val="TitlePageBoldText"/>
    <w:rPr>
      <w:rFonts w:ascii="Arial" w:hAnsi="Arial"/>
      <w:b/>
      <w:bCs/>
      <w:sz w:val="22"/>
      <w:szCs w:val="22"/>
      <w:lang w:val="en-GB"/>
    </w:rPr>
  </w:style>
  <w:style w:type="paragraph" w:customStyle="1" w:styleId="xl39">
    <w:name w:val="xl39"/>
    <w:basedOn w:val="Normal"/>
    <w:pPr>
      <w:pBdr>
        <w:top w:val="single" w:sz="4" w:space="0" w:color="auto"/>
      </w:pBdr>
      <w:spacing w:before="100" w:beforeAutospacing="1" w:after="100" w:afterAutospacing="1"/>
      <w:jc w:val="both"/>
      <w:textAlignment w:val="top"/>
    </w:pPr>
    <w:rPr>
      <w:rFonts w:eastAsia="Arial Unicode MS" w:cs="Times New Roman"/>
      <w:b/>
      <w:bCs/>
      <w:sz w:val="18"/>
      <w:szCs w:val="18"/>
      <w:lang w:val="en-GB" w:eastAsia="fr-FR"/>
    </w:rPr>
  </w:style>
  <w:style w:type="paragraph" w:customStyle="1" w:styleId="BodyTextFull">
    <w:name w:val="Body Text Full"/>
    <w:basedOn w:val="Normal"/>
    <w:link w:val="BodyTextFullChar"/>
    <w:qFormat/>
    <w:pPr>
      <w:spacing w:before="120" w:after="120"/>
      <w:jc w:val="both"/>
    </w:pPr>
    <w:rPr>
      <w:rFonts w:ascii="Arial" w:eastAsia="Times New Roman Bold" w:hAnsi="Arial" w:cs="Times New Roman Bold"/>
      <w:sz w:val="22"/>
    </w:rPr>
  </w:style>
  <w:style w:type="character" w:customStyle="1" w:styleId="BodyTextFullChar">
    <w:name w:val="Body Text Full Char"/>
    <w:link w:val="BodyTextFull"/>
    <w:rPr>
      <w:rFonts w:ascii="Arial" w:eastAsia="Times New Roman Bold" w:hAnsi="Arial" w:cs="Times New Roman Bold"/>
      <w:sz w:val="22"/>
    </w:rPr>
  </w:style>
  <w:style w:type="paragraph" w:customStyle="1" w:styleId="Footnote">
    <w:name w:val="Footnote"/>
    <w:basedOn w:val="EndnoteText"/>
    <w:qFormat/>
    <w:pPr>
      <w:spacing w:before="20" w:after="20"/>
    </w:pPr>
    <w:rPr>
      <w:rFonts w:ascii="Arial" w:hAnsi="Arial" w:cs="Arial"/>
      <w:b w:val="0"/>
      <w:sz w:val="18"/>
      <w:szCs w:val="18"/>
      <w:lang w:val="en-US" w:eastAsia="zh-CN"/>
    </w:rPr>
  </w:style>
  <w:style w:type="paragraph" w:customStyle="1" w:styleId="legende">
    <w:name w:val="legende"/>
    <w:basedOn w:val="Caption"/>
    <w:pPr>
      <w:keepLines/>
      <w:spacing w:before="240" w:after="0" w:line="300" w:lineRule="atLeast"/>
      <w:ind w:left="0" w:firstLine="0"/>
      <w:jc w:val="both"/>
    </w:pPr>
    <w:rPr>
      <w:bCs w:val="0"/>
      <w:i/>
      <w:sz w:val="22"/>
      <w:szCs w:val="22"/>
      <w:lang w:val="en-GB" w:eastAsia="fr-FR"/>
    </w:rPr>
  </w:style>
  <w:style w:type="paragraph" w:customStyle="1" w:styleId="Footnotespaceafter">
    <w:name w:val="Footnote space after"/>
    <w:basedOn w:val="Footnote"/>
    <w:next w:val="BodyText"/>
    <w:qFormat/>
    <w:pPr>
      <w:tabs>
        <w:tab w:val="left" w:pos="851"/>
      </w:tabs>
      <w:spacing w:before="0" w:after="240"/>
    </w:pPr>
    <w:rPr>
      <w:rFonts w:cs="Times New Roman"/>
      <w:szCs w:val="22"/>
      <w:lang w:val="en-GB" w:eastAsia="en-US"/>
    </w:rPr>
  </w:style>
  <w:style w:type="character" w:customStyle="1" w:styleId="BlueReplace">
    <w:name w:val="Blue Replace"/>
    <w:basedOn w:val="DefaultParagraphFont"/>
    <w:rPr>
      <w:color w:val="000000"/>
    </w:rPr>
  </w:style>
  <w:style w:type="paragraph" w:customStyle="1" w:styleId="Tabletext10pt">
    <w:name w:val="Table text 10pt"/>
    <w:basedOn w:val="Normal"/>
    <w:pPr>
      <w:spacing w:before="40" w:after="40" w:line="180" w:lineRule="exact"/>
      <w:jc w:val="both"/>
    </w:pPr>
    <w:rPr>
      <w:rFonts w:ascii="Arial" w:hAnsi="Arial" w:cs="Times New Roman"/>
      <w:bCs/>
      <w:sz w:val="20"/>
      <w:szCs w:val="18"/>
      <w:lang w:val="en-GB"/>
    </w:rPr>
  </w:style>
  <w:style w:type="paragraph" w:customStyle="1" w:styleId="Abstract">
    <w:name w:val="Abstract"/>
    <w:basedOn w:val="Normal"/>
    <w:next w:val="Normal"/>
    <w:pPr>
      <w:keepNext/>
      <w:tabs>
        <w:tab w:val="left" w:pos="2160"/>
      </w:tabs>
      <w:spacing w:line="360" w:lineRule="atLeast"/>
    </w:pPr>
    <w:rPr>
      <w:rFonts w:ascii="Times New Roman Bold" w:eastAsia="Times New Roman Bold" w:hAnsi="Times New Roman Bold" w:cs="Times New Roman Bold"/>
      <w:b/>
      <w:caps/>
      <w:lang w:eastAsia="it-IT"/>
    </w:rPr>
  </w:style>
  <w:style w:type="character" w:customStyle="1" w:styleId="CaptionChar">
    <w:name w:val="Caption Char"/>
    <w:aliases w:val="Légende Car Char,Légende Car Car Car Char,C-Caption Char,Table Caption (MC:xx) Char,Beschriftung Char1 Char,Beschriftung Char Char Char,Beschriftung Table (MC: AOPLan) Char,Table Caption Char,table Char1,Beschriftung Char Char2"/>
    <w:link w:val="Caption"/>
    <w:uiPriority w:val="35"/>
    <w:rPr>
      <w:b/>
      <w:bCs/>
      <w:sz w:val="24"/>
      <w:szCs w:val="24"/>
    </w:rPr>
  </w:style>
  <w:style w:type="paragraph" w:customStyle="1" w:styleId="BayerTableColumnHeadings">
    <w:name w:val="Bayer Table Column Headings"/>
    <w:basedOn w:val="Normal"/>
    <w:link w:val="BayerTableColumnHeadingsZchn"/>
    <w:pPr>
      <w:keepNext/>
      <w:jc w:val="center"/>
    </w:pPr>
    <w:rPr>
      <w:rFonts w:ascii="Calibri" w:eastAsia="Times New Roman Bold" w:hAnsi="Calibri" w:cs="Times New Roman Bold"/>
      <w:b/>
      <w:sz w:val="20"/>
    </w:rPr>
  </w:style>
  <w:style w:type="character" w:customStyle="1" w:styleId="BayerTableColumnHeadingsZchn">
    <w:name w:val="Bayer Table Column Headings Zchn"/>
    <w:link w:val="BayerTableColumnHeadings"/>
    <w:rPr>
      <w:rFonts w:ascii="Calibri" w:eastAsia="Times New Roman Bold" w:hAnsi="Calibri" w:cs="Times New Roman Bold"/>
      <w:b/>
    </w:rPr>
  </w:style>
  <w:style w:type="paragraph" w:customStyle="1" w:styleId="BayerTableStyleLeftJustified">
    <w:name w:val="Bayer TableStyle Left Justified"/>
    <w:basedOn w:val="Normal"/>
    <w:link w:val="BayerTableStyleLeftJustifiedZchn"/>
    <w:pPr>
      <w:keepNext/>
      <w:widowControl w:val="0"/>
    </w:pPr>
    <w:rPr>
      <w:rFonts w:ascii="Calibri" w:eastAsia="Times New Roman Bold" w:hAnsi="Calibri" w:cs="Times New Roman Bold"/>
      <w:sz w:val="20"/>
    </w:rPr>
  </w:style>
  <w:style w:type="character" w:customStyle="1" w:styleId="BayerTableStyleLeftJustifiedZchn">
    <w:name w:val="Bayer TableStyle Left Justified Zchn"/>
    <w:link w:val="BayerTableStyleLeftJustified"/>
    <w:rPr>
      <w:rFonts w:ascii="Calibri" w:eastAsia="Times New Roman Bold" w:hAnsi="Calibri" w:cs="Times New Roman Bold"/>
    </w:rPr>
  </w:style>
  <w:style w:type="character" w:customStyle="1" w:styleId="Mention1">
    <w:name w:val="Mention1"/>
    <w:basedOn w:val="DefaultParagraphFont"/>
    <w:uiPriority w:val="99"/>
    <w:unhideWhenUsed/>
    <w:rPr>
      <w:color w:val="2B579A"/>
      <w:shd w:val="clear" w:color="auto" w:fill="E1DFDD"/>
    </w:rPr>
  </w:style>
  <w:style w:type="character" w:customStyle="1" w:styleId="CaptionChar1">
    <w:name w:val="Caption Char1"/>
    <w:aliases w:val="Caption Char Char,table Char2,Beschriftung Char Char1,table Char Char1,Beschriftung1 Char1"/>
    <w:rPr>
      <w:rFonts w:ascii="Times New Roman Bold" w:eastAsia="Times New Roman" w:hAnsi="Times New Roman Bold" w:cs="Times New Roman"/>
      <w:b/>
      <w:bCs/>
      <w:sz w:val="24"/>
      <w:szCs w:val="24"/>
    </w:rPr>
  </w:style>
  <w:style w:type="paragraph" w:customStyle="1" w:styleId="Heading2Unnumbered">
    <w:name w:val="Heading 2 Unnumbered"/>
    <w:next w:val="Normal"/>
    <w:qFormat/>
    <w:pPr>
      <w:keepNext/>
      <w:keepLines/>
      <w:tabs>
        <w:tab w:val="left" w:pos="720"/>
      </w:tabs>
      <w:spacing w:before="240" w:after="120" w:line="259" w:lineRule="auto"/>
      <w:jc w:val="both"/>
      <w:outlineLvl w:val="1"/>
    </w:pPr>
    <w:rPr>
      <w:rFonts w:ascii="Arial" w:hAnsi="Arial" w:cs="Arial"/>
      <w:b/>
      <w:bCs/>
      <w:iCs/>
      <w:caps/>
      <w:sz w:val="26"/>
      <w:szCs w:val="26"/>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Paragraph">
    <w:name w:val="Paragraph"/>
    <w:link w:val="ParagraphChar"/>
    <w:pPr>
      <w:spacing w:after="120"/>
    </w:pPr>
    <w:rPr>
      <w:rFonts w:ascii="Times New Roman Bold" w:eastAsia="Times New Roman Bold" w:hAnsi="Times New Roman Bold" w:cs="Times New Roman Bold"/>
      <w:sz w:val="24"/>
      <w:lang w:eastAsia="it-IT"/>
    </w:rPr>
  </w:style>
  <w:style w:type="character" w:customStyle="1" w:styleId="ParagraphChar">
    <w:name w:val="Paragraph Char"/>
    <w:link w:val="Paragraph"/>
    <w:rPr>
      <w:rFonts w:ascii="Times New Roman Bold" w:eastAsia="Times New Roman Bold" w:hAnsi="Times New Roman Bold" w:cs="Times New Roman Bold"/>
      <w:sz w:val="24"/>
      <w:lang w:eastAsia="it-IT"/>
    </w:rPr>
  </w:style>
  <w:style w:type="paragraph" w:customStyle="1" w:styleId="referencesintext">
    <w:name w:val="references in text"/>
    <w:basedOn w:val="Normal"/>
    <w:link w:val="referencesintextChar"/>
    <w:qFormat/>
    <w:pPr>
      <w:spacing w:before="120" w:after="120"/>
      <w:jc w:val="both"/>
    </w:pPr>
    <w:rPr>
      <w:rFonts w:ascii="Times New Roman Bold" w:eastAsia="Times New Roman Bold" w:hAnsi="Times New Roman Bold" w:cs="Times New Roman"/>
      <w:b/>
      <w:bCs/>
      <w:vertAlign w:val="superscript"/>
    </w:rPr>
  </w:style>
  <w:style w:type="character" w:customStyle="1" w:styleId="referencesintextChar">
    <w:name w:val="references in text Char"/>
    <w:basedOn w:val="DefaultParagraphFont"/>
    <w:link w:val="referencesintext"/>
    <w:rPr>
      <w:rFonts w:ascii="Times New Roman Bold" w:eastAsia="Times New Roman Bold" w:hAnsi="Times New Roman Bold"/>
      <w:b/>
      <w:bCs/>
      <w:sz w:val="24"/>
      <w:vertAlign w:val="superscript"/>
    </w:rPr>
  </w:style>
  <w:style w:type="paragraph" w:customStyle="1" w:styleId="Tablelegend">
    <w:name w:val="Table legend"/>
    <w:basedOn w:val="Normal"/>
    <w:link w:val="TablelegendChar"/>
    <w:qFormat/>
    <w:pPr>
      <w:widowControl w:val="0"/>
      <w:autoSpaceDE w:val="0"/>
      <w:autoSpaceDN w:val="0"/>
      <w:adjustRightInd w:val="0"/>
      <w:spacing w:after="120" w:line="260" w:lineRule="atLeast"/>
    </w:pPr>
    <w:rPr>
      <w:rFonts w:ascii="Calibri" w:hAnsi="Calibri"/>
      <w:sz w:val="16"/>
      <w:szCs w:val="18"/>
      <w:lang w:eastAsia="de-DE"/>
    </w:rPr>
  </w:style>
  <w:style w:type="character" w:customStyle="1" w:styleId="TablelegendChar">
    <w:name w:val="Table legend Char"/>
    <w:link w:val="Tablelegend"/>
    <w:rPr>
      <w:rFonts w:ascii="Calibri" w:hAnsi="Calibri" w:cs="Arial"/>
      <w:sz w:val="16"/>
      <w:szCs w:val="18"/>
      <w:lang w:eastAsia="de-DE"/>
    </w:rPr>
  </w:style>
  <w:style w:type="character" w:styleId="UnresolvedMention">
    <w:name w:val="Unresolved Mention"/>
    <w:basedOn w:val="DefaultParagraphFont"/>
    <w:uiPriority w:val="99"/>
    <w:semiHidden/>
    <w:unhideWhenUsed/>
    <w:rsid w:val="00AA0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0854">
      <w:bodyDiv w:val="1"/>
      <w:marLeft w:val="0"/>
      <w:marRight w:val="0"/>
      <w:marTop w:val="0"/>
      <w:marBottom w:val="0"/>
      <w:divBdr>
        <w:top w:val="none" w:sz="0" w:space="0" w:color="auto"/>
        <w:left w:val="none" w:sz="0" w:space="0" w:color="auto"/>
        <w:bottom w:val="none" w:sz="0" w:space="0" w:color="auto"/>
        <w:right w:val="none" w:sz="0" w:space="0" w:color="auto"/>
      </w:divBdr>
    </w:div>
    <w:div w:id="237904157">
      <w:bodyDiv w:val="1"/>
      <w:marLeft w:val="0"/>
      <w:marRight w:val="0"/>
      <w:marTop w:val="0"/>
      <w:marBottom w:val="0"/>
      <w:divBdr>
        <w:top w:val="none" w:sz="0" w:space="0" w:color="auto"/>
        <w:left w:val="none" w:sz="0" w:space="0" w:color="auto"/>
        <w:bottom w:val="none" w:sz="0" w:space="0" w:color="auto"/>
        <w:right w:val="none" w:sz="0" w:space="0" w:color="auto"/>
      </w:divBdr>
    </w:div>
    <w:div w:id="330910092">
      <w:bodyDiv w:val="1"/>
      <w:marLeft w:val="0"/>
      <w:marRight w:val="0"/>
      <w:marTop w:val="0"/>
      <w:marBottom w:val="0"/>
      <w:divBdr>
        <w:top w:val="none" w:sz="0" w:space="0" w:color="auto"/>
        <w:left w:val="none" w:sz="0" w:space="0" w:color="auto"/>
        <w:bottom w:val="none" w:sz="0" w:space="0" w:color="auto"/>
        <w:right w:val="none" w:sz="0" w:space="0" w:color="auto"/>
      </w:divBdr>
    </w:div>
    <w:div w:id="345982332">
      <w:bodyDiv w:val="1"/>
      <w:marLeft w:val="0"/>
      <w:marRight w:val="0"/>
      <w:marTop w:val="0"/>
      <w:marBottom w:val="0"/>
      <w:divBdr>
        <w:top w:val="none" w:sz="0" w:space="0" w:color="auto"/>
        <w:left w:val="none" w:sz="0" w:space="0" w:color="auto"/>
        <w:bottom w:val="none" w:sz="0" w:space="0" w:color="auto"/>
        <w:right w:val="none" w:sz="0" w:space="0" w:color="auto"/>
      </w:divBdr>
    </w:div>
    <w:div w:id="359553032">
      <w:bodyDiv w:val="1"/>
      <w:marLeft w:val="0"/>
      <w:marRight w:val="0"/>
      <w:marTop w:val="0"/>
      <w:marBottom w:val="0"/>
      <w:divBdr>
        <w:top w:val="none" w:sz="0" w:space="0" w:color="auto"/>
        <w:left w:val="none" w:sz="0" w:space="0" w:color="auto"/>
        <w:bottom w:val="none" w:sz="0" w:space="0" w:color="auto"/>
        <w:right w:val="none" w:sz="0" w:space="0" w:color="auto"/>
      </w:divBdr>
    </w:div>
    <w:div w:id="381445766">
      <w:bodyDiv w:val="1"/>
      <w:marLeft w:val="0"/>
      <w:marRight w:val="0"/>
      <w:marTop w:val="0"/>
      <w:marBottom w:val="0"/>
      <w:divBdr>
        <w:top w:val="none" w:sz="0" w:space="0" w:color="auto"/>
        <w:left w:val="none" w:sz="0" w:space="0" w:color="auto"/>
        <w:bottom w:val="none" w:sz="0" w:space="0" w:color="auto"/>
        <w:right w:val="none" w:sz="0" w:space="0" w:color="auto"/>
      </w:divBdr>
    </w:div>
    <w:div w:id="394666536">
      <w:bodyDiv w:val="1"/>
      <w:marLeft w:val="60"/>
      <w:marRight w:val="60"/>
      <w:marTop w:val="60"/>
      <w:marBottom w:val="15"/>
      <w:divBdr>
        <w:top w:val="none" w:sz="0" w:space="0" w:color="auto"/>
        <w:left w:val="none" w:sz="0" w:space="0" w:color="auto"/>
        <w:bottom w:val="none" w:sz="0" w:space="0" w:color="auto"/>
        <w:right w:val="none" w:sz="0" w:space="0" w:color="auto"/>
      </w:divBdr>
      <w:divsChild>
        <w:div w:id="2059159087">
          <w:marLeft w:val="0"/>
          <w:marRight w:val="0"/>
          <w:marTop w:val="0"/>
          <w:marBottom w:val="0"/>
          <w:divBdr>
            <w:top w:val="none" w:sz="0" w:space="0" w:color="auto"/>
            <w:left w:val="none" w:sz="0" w:space="0" w:color="auto"/>
            <w:bottom w:val="none" w:sz="0" w:space="0" w:color="auto"/>
            <w:right w:val="none" w:sz="0" w:space="0" w:color="auto"/>
          </w:divBdr>
        </w:div>
      </w:divsChild>
    </w:div>
    <w:div w:id="534002104">
      <w:bodyDiv w:val="1"/>
      <w:marLeft w:val="0"/>
      <w:marRight w:val="0"/>
      <w:marTop w:val="0"/>
      <w:marBottom w:val="0"/>
      <w:divBdr>
        <w:top w:val="none" w:sz="0" w:space="0" w:color="auto"/>
        <w:left w:val="none" w:sz="0" w:space="0" w:color="auto"/>
        <w:bottom w:val="none" w:sz="0" w:space="0" w:color="auto"/>
        <w:right w:val="none" w:sz="0" w:space="0" w:color="auto"/>
      </w:divBdr>
    </w:div>
    <w:div w:id="541409757">
      <w:bodyDiv w:val="1"/>
      <w:marLeft w:val="0"/>
      <w:marRight w:val="0"/>
      <w:marTop w:val="0"/>
      <w:marBottom w:val="0"/>
      <w:divBdr>
        <w:top w:val="none" w:sz="0" w:space="0" w:color="auto"/>
        <w:left w:val="none" w:sz="0" w:space="0" w:color="auto"/>
        <w:bottom w:val="none" w:sz="0" w:space="0" w:color="auto"/>
        <w:right w:val="none" w:sz="0" w:space="0" w:color="auto"/>
      </w:divBdr>
    </w:div>
    <w:div w:id="655767965">
      <w:bodyDiv w:val="1"/>
      <w:marLeft w:val="0"/>
      <w:marRight w:val="0"/>
      <w:marTop w:val="0"/>
      <w:marBottom w:val="0"/>
      <w:divBdr>
        <w:top w:val="none" w:sz="0" w:space="0" w:color="auto"/>
        <w:left w:val="none" w:sz="0" w:space="0" w:color="auto"/>
        <w:bottom w:val="none" w:sz="0" w:space="0" w:color="auto"/>
        <w:right w:val="none" w:sz="0" w:space="0" w:color="auto"/>
      </w:divBdr>
    </w:div>
    <w:div w:id="669020253">
      <w:bodyDiv w:val="1"/>
      <w:marLeft w:val="0"/>
      <w:marRight w:val="0"/>
      <w:marTop w:val="0"/>
      <w:marBottom w:val="0"/>
      <w:divBdr>
        <w:top w:val="none" w:sz="0" w:space="0" w:color="auto"/>
        <w:left w:val="none" w:sz="0" w:space="0" w:color="auto"/>
        <w:bottom w:val="none" w:sz="0" w:space="0" w:color="auto"/>
        <w:right w:val="none" w:sz="0" w:space="0" w:color="auto"/>
      </w:divBdr>
    </w:div>
    <w:div w:id="690910591">
      <w:bodyDiv w:val="1"/>
      <w:marLeft w:val="0"/>
      <w:marRight w:val="0"/>
      <w:marTop w:val="0"/>
      <w:marBottom w:val="0"/>
      <w:divBdr>
        <w:top w:val="none" w:sz="0" w:space="0" w:color="auto"/>
        <w:left w:val="none" w:sz="0" w:space="0" w:color="auto"/>
        <w:bottom w:val="none" w:sz="0" w:space="0" w:color="auto"/>
        <w:right w:val="none" w:sz="0" w:space="0" w:color="auto"/>
      </w:divBdr>
    </w:div>
    <w:div w:id="804007633">
      <w:bodyDiv w:val="1"/>
      <w:marLeft w:val="30"/>
      <w:marRight w:val="30"/>
      <w:marTop w:val="0"/>
      <w:marBottom w:val="0"/>
      <w:divBdr>
        <w:top w:val="none" w:sz="0" w:space="0" w:color="auto"/>
        <w:left w:val="none" w:sz="0" w:space="0" w:color="auto"/>
        <w:bottom w:val="none" w:sz="0" w:space="0" w:color="auto"/>
        <w:right w:val="none" w:sz="0" w:space="0" w:color="auto"/>
      </w:divBdr>
      <w:divsChild>
        <w:div w:id="1350326840">
          <w:marLeft w:val="0"/>
          <w:marRight w:val="0"/>
          <w:marTop w:val="0"/>
          <w:marBottom w:val="0"/>
          <w:divBdr>
            <w:top w:val="none" w:sz="0" w:space="0" w:color="auto"/>
            <w:left w:val="none" w:sz="0" w:space="0" w:color="auto"/>
            <w:bottom w:val="none" w:sz="0" w:space="0" w:color="auto"/>
            <w:right w:val="none" w:sz="0" w:space="0" w:color="auto"/>
          </w:divBdr>
          <w:divsChild>
            <w:div w:id="1411121668">
              <w:marLeft w:val="0"/>
              <w:marRight w:val="0"/>
              <w:marTop w:val="0"/>
              <w:marBottom w:val="0"/>
              <w:divBdr>
                <w:top w:val="none" w:sz="0" w:space="0" w:color="auto"/>
                <w:left w:val="none" w:sz="0" w:space="0" w:color="auto"/>
                <w:bottom w:val="none" w:sz="0" w:space="0" w:color="auto"/>
                <w:right w:val="none" w:sz="0" w:space="0" w:color="auto"/>
              </w:divBdr>
              <w:divsChild>
                <w:div w:id="915749807">
                  <w:marLeft w:val="180"/>
                  <w:marRight w:val="0"/>
                  <w:marTop w:val="0"/>
                  <w:marBottom w:val="0"/>
                  <w:divBdr>
                    <w:top w:val="none" w:sz="0" w:space="0" w:color="auto"/>
                    <w:left w:val="none" w:sz="0" w:space="0" w:color="auto"/>
                    <w:bottom w:val="none" w:sz="0" w:space="0" w:color="auto"/>
                    <w:right w:val="none" w:sz="0" w:space="0" w:color="auto"/>
                  </w:divBdr>
                  <w:divsChild>
                    <w:div w:id="30874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176236">
      <w:bodyDiv w:val="1"/>
      <w:marLeft w:val="0"/>
      <w:marRight w:val="0"/>
      <w:marTop w:val="0"/>
      <w:marBottom w:val="0"/>
      <w:divBdr>
        <w:top w:val="none" w:sz="0" w:space="0" w:color="auto"/>
        <w:left w:val="none" w:sz="0" w:space="0" w:color="auto"/>
        <w:bottom w:val="none" w:sz="0" w:space="0" w:color="auto"/>
        <w:right w:val="none" w:sz="0" w:space="0" w:color="auto"/>
      </w:divBdr>
    </w:div>
    <w:div w:id="849754715">
      <w:bodyDiv w:val="1"/>
      <w:marLeft w:val="0"/>
      <w:marRight w:val="0"/>
      <w:marTop w:val="0"/>
      <w:marBottom w:val="0"/>
      <w:divBdr>
        <w:top w:val="none" w:sz="0" w:space="0" w:color="auto"/>
        <w:left w:val="none" w:sz="0" w:space="0" w:color="auto"/>
        <w:bottom w:val="none" w:sz="0" w:space="0" w:color="auto"/>
        <w:right w:val="none" w:sz="0" w:space="0" w:color="auto"/>
      </w:divBdr>
    </w:div>
    <w:div w:id="853615473">
      <w:bodyDiv w:val="1"/>
      <w:marLeft w:val="0"/>
      <w:marRight w:val="0"/>
      <w:marTop w:val="0"/>
      <w:marBottom w:val="0"/>
      <w:divBdr>
        <w:top w:val="none" w:sz="0" w:space="0" w:color="auto"/>
        <w:left w:val="none" w:sz="0" w:space="0" w:color="auto"/>
        <w:bottom w:val="none" w:sz="0" w:space="0" w:color="auto"/>
        <w:right w:val="none" w:sz="0" w:space="0" w:color="auto"/>
      </w:divBdr>
    </w:div>
    <w:div w:id="915823704">
      <w:bodyDiv w:val="1"/>
      <w:marLeft w:val="0"/>
      <w:marRight w:val="0"/>
      <w:marTop w:val="0"/>
      <w:marBottom w:val="0"/>
      <w:divBdr>
        <w:top w:val="none" w:sz="0" w:space="0" w:color="auto"/>
        <w:left w:val="none" w:sz="0" w:space="0" w:color="auto"/>
        <w:bottom w:val="none" w:sz="0" w:space="0" w:color="auto"/>
        <w:right w:val="none" w:sz="0" w:space="0" w:color="auto"/>
      </w:divBdr>
    </w:div>
    <w:div w:id="939878480">
      <w:bodyDiv w:val="1"/>
      <w:marLeft w:val="0"/>
      <w:marRight w:val="0"/>
      <w:marTop w:val="0"/>
      <w:marBottom w:val="0"/>
      <w:divBdr>
        <w:top w:val="none" w:sz="0" w:space="0" w:color="auto"/>
        <w:left w:val="none" w:sz="0" w:space="0" w:color="auto"/>
        <w:bottom w:val="none" w:sz="0" w:space="0" w:color="auto"/>
        <w:right w:val="none" w:sz="0" w:space="0" w:color="auto"/>
      </w:divBdr>
    </w:div>
    <w:div w:id="1024014703">
      <w:bodyDiv w:val="1"/>
      <w:marLeft w:val="0"/>
      <w:marRight w:val="0"/>
      <w:marTop w:val="0"/>
      <w:marBottom w:val="0"/>
      <w:divBdr>
        <w:top w:val="none" w:sz="0" w:space="0" w:color="auto"/>
        <w:left w:val="none" w:sz="0" w:space="0" w:color="auto"/>
        <w:bottom w:val="none" w:sz="0" w:space="0" w:color="auto"/>
        <w:right w:val="none" w:sz="0" w:space="0" w:color="auto"/>
      </w:divBdr>
    </w:div>
    <w:div w:id="1045832953">
      <w:bodyDiv w:val="1"/>
      <w:marLeft w:val="0"/>
      <w:marRight w:val="0"/>
      <w:marTop w:val="0"/>
      <w:marBottom w:val="0"/>
      <w:divBdr>
        <w:top w:val="none" w:sz="0" w:space="0" w:color="auto"/>
        <w:left w:val="none" w:sz="0" w:space="0" w:color="auto"/>
        <w:bottom w:val="none" w:sz="0" w:space="0" w:color="auto"/>
        <w:right w:val="none" w:sz="0" w:space="0" w:color="auto"/>
      </w:divBdr>
    </w:div>
    <w:div w:id="1113869131">
      <w:bodyDiv w:val="1"/>
      <w:marLeft w:val="0"/>
      <w:marRight w:val="0"/>
      <w:marTop w:val="0"/>
      <w:marBottom w:val="0"/>
      <w:divBdr>
        <w:top w:val="none" w:sz="0" w:space="0" w:color="auto"/>
        <w:left w:val="none" w:sz="0" w:space="0" w:color="auto"/>
        <w:bottom w:val="none" w:sz="0" w:space="0" w:color="auto"/>
        <w:right w:val="none" w:sz="0" w:space="0" w:color="auto"/>
      </w:divBdr>
    </w:div>
    <w:div w:id="1114714055">
      <w:bodyDiv w:val="1"/>
      <w:marLeft w:val="0"/>
      <w:marRight w:val="0"/>
      <w:marTop w:val="0"/>
      <w:marBottom w:val="0"/>
      <w:divBdr>
        <w:top w:val="none" w:sz="0" w:space="0" w:color="auto"/>
        <w:left w:val="none" w:sz="0" w:space="0" w:color="auto"/>
        <w:bottom w:val="none" w:sz="0" w:space="0" w:color="auto"/>
        <w:right w:val="none" w:sz="0" w:space="0" w:color="auto"/>
      </w:divBdr>
    </w:div>
    <w:div w:id="1124731607">
      <w:bodyDiv w:val="1"/>
      <w:marLeft w:val="0"/>
      <w:marRight w:val="0"/>
      <w:marTop w:val="0"/>
      <w:marBottom w:val="0"/>
      <w:divBdr>
        <w:top w:val="none" w:sz="0" w:space="0" w:color="auto"/>
        <w:left w:val="none" w:sz="0" w:space="0" w:color="auto"/>
        <w:bottom w:val="none" w:sz="0" w:space="0" w:color="auto"/>
        <w:right w:val="none" w:sz="0" w:space="0" w:color="auto"/>
      </w:divBdr>
    </w:div>
    <w:div w:id="1126200730">
      <w:bodyDiv w:val="1"/>
      <w:marLeft w:val="30"/>
      <w:marRight w:val="30"/>
      <w:marTop w:val="0"/>
      <w:marBottom w:val="0"/>
      <w:divBdr>
        <w:top w:val="none" w:sz="0" w:space="0" w:color="auto"/>
        <w:left w:val="none" w:sz="0" w:space="0" w:color="auto"/>
        <w:bottom w:val="none" w:sz="0" w:space="0" w:color="auto"/>
        <w:right w:val="none" w:sz="0" w:space="0" w:color="auto"/>
      </w:divBdr>
      <w:divsChild>
        <w:div w:id="1072894185">
          <w:marLeft w:val="0"/>
          <w:marRight w:val="0"/>
          <w:marTop w:val="0"/>
          <w:marBottom w:val="0"/>
          <w:divBdr>
            <w:top w:val="none" w:sz="0" w:space="0" w:color="auto"/>
            <w:left w:val="none" w:sz="0" w:space="0" w:color="auto"/>
            <w:bottom w:val="none" w:sz="0" w:space="0" w:color="auto"/>
            <w:right w:val="none" w:sz="0" w:space="0" w:color="auto"/>
          </w:divBdr>
          <w:divsChild>
            <w:div w:id="1647204590">
              <w:marLeft w:val="0"/>
              <w:marRight w:val="0"/>
              <w:marTop w:val="0"/>
              <w:marBottom w:val="0"/>
              <w:divBdr>
                <w:top w:val="none" w:sz="0" w:space="0" w:color="auto"/>
                <w:left w:val="none" w:sz="0" w:space="0" w:color="auto"/>
                <w:bottom w:val="none" w:sz="0" w:space="0" w:color="auto"/>
                <w:right w:val="none" w:sz="0" w:space="0" w:color="auto"/>
              </w:divBdr>
              <w:divsChild>
                <w:div w:id="638731381">
                  <w:marLeft w:val="180"/>
                  <w:marRight w:val="0"/>
                  <w:marTop w:val="0"/>
                  <w:marBottom w:val="0"/>
                  <w:divBdr>
                    <w:top w:val="none" w:sz="0" w:space="0" w:color="auto"/>
                    <w:left w:val="none" w:sz="0" w:space="0" w:color="auto"/>
                    <w:bottom w:val="none" w:sz="0" w:space="0" w:color="auto"/>
                    <w:right w:val="none" w:sz="0" w:space="0" w:color="auto"/>
                  </w:divBdr>
                  <w:divsChild>
                    <w:div w:id="74792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970613">
      <w:bodyDiv w:val="1"/>
      <w:marLeft w:val="0"/>
      <w:marRight w:val="0"/>
      <w:marTop w:val="0"/>
      <w:marBottom w:val="0"/>
      <w:divBdr>
        <w:top w:val="none" w:sz="0" w:space="0" w:color="auto"/>
        <w:left w:val="none" w:sz="0" w:space="0" w:color="auto"/>
        <w:bottom w:val="none" w:sz="0" w:space="0" w:color="auto"/>
        <w:right w:val="none" w:sz="0" w:space="0" w:color="auto"/>
      </w:divBdr>
    </w:div>
    <w:div w:id="1357150250">
      <w:bodyDiv w:val="1"/>
      <w:marLeft w:val="30"/>
      <w:marRight w:val="30"/>
      <w:marTop w:val="0"/>
      <w:marBottom w:val="0"/>
      <w:divBdr>
        <w:top w:val="none" w:sz="0" w:space="0" w:color="auto"/>
        <w:left w:val="none" w:sz="0" w:space="0" w:color="auto"/>
        <w:bottom w:val="none" w:sz="0" w:space="0" w:color="auto"/>
        <w:right w:val="none" w:sz="0" w:space="0" w:color="auto"/>
      </w:divBdr>
      <w:divsChild>
        <w:div w:id="1438519196">
          <w:marLeft w:val="0"/>
          <w:marRight w:val="0"/>
          <w:marTop w:val="0"/>
          <w:marBottom w:val="0"/>
          <w:divBdr>
            <w:top w:val="none" w:sz="0" w:space="0" w:color="auto"/>
            <w:left w:val="none" w:sz="0" w:space="0" w:color="auto"/>
            <w:bottom w:val="none" w:sz="0" w:space="0" w:color="auto"/>
            <w:right w:val="none" w:sz="0" w:space="0" w:color="auto"/>
          </w:divBdr>
          <w:divsChild>
            <w:div w:id="634216947">
              <w:marLeft w:val="0"/>
              <w:marRight w:val="0"/>
              <w:marTop w:val="0"/>
              <w:marBottom w:val="0"/>
              <w:divBdr>
                <w:top w:val="none" w:sz="0" w:space="0" w:color="auto"/>
                <w:left w:val="none" w:sz="0" w:space="0" w:color="auto"/>
                <w:bottom w:val="none" w:sz="0" w:space="0" w:color="auto"/>
                <w:right w:val="none" w:sz="0" w:space="0" w:color="auto"/>
              </w:divBdr>
              <w:divsChild>
                <w:div w:id="1656374074">
                  <w:marLeft w:val="180"/>
                  <w:marRight w:val="0"/>
                  <w:marTop w:val="0"/>
                  <w:marBottom w:val="0"/>
                  <w:divBdr>
                    <w:top w:val="none" w:sz="0" w:space="0" w:color="auto"/>
                    <w:left w:val="none" w:sz="0" w:space="0" w:color="auto"/>
                    <w:bottom w:val="none" w:sz="0" w:space="0" w:color="auto"/>
                    <w:right w:val="none" w:sz="0" w:space="0" w:color="auto"/>
                  </w:divBdr>
                  <w:divsChild>
                    <w:div w:id="131394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687987">
      <w:bodyDiv w:val="1"/>
      <w:marLeft w:val="0"/>
      <w:marRight w:val="0"/>
      <w:marTop w:val="0"/>
      <w:marBottom w:val="0"/>
      <w:divBdr>
        <w:top w:val="none" w:sz="0" w:space="0" w:color="auto"/>
        <w:left w:val="none" w:sz="0" w:space="0" w:color="auto"/>
        <w:bottom w:val="none" w:sz="0" w:space="0" w:color="auto"/>
        <w:right w:val="none" w:sz="0" w:space="0" w:color="auto"/>
      </w:divBdr>
    </w:div>
    <w:div w:id="1440180169">
      <w:bodyDiv w:val="1"/>
      <w:marLeft w:val="0"/>
      <w:marRight w:val="0"/>
      <w:marTop w:val="0"/>
      <w:marBottom w:val="0"/>
      <w:divBdr>
        <w:top w:val="none" w:sz="0" w:space="0" w:color="auto"/>
        <w:left w:val="none" w:sz="0" w:space="0" w:color="auto"/>
        <w:bottom w:val="none" w:sz="0" w:space="0" w:color="auto"/>
        <w:right w:val="none" w:sz="0" w:space="0" w:color="auto"/>
      </w:divBdr>
    </w:div>
    <w:div w:id="1456287458">
      <w:bodyDiv w:val="1"/>
      <w:marLeft w:val="60"/>
      <w:marRight w:val="60"/>
      <w:marTop w:val="60"/>
      <w:marBottom w:val="15"/>
      <w:divBdr>
        <w:top w:val="none" w:sz="0" w:space="0" w:color="auto"/>
        <w:left w:val="none" w:sz="0" w:space="0" w:color="auto"/>
        <w:bottom w:val="none" w:sz="0" w:space="0" w:color="auto"/>
        <w:right w:val="none" w:sz="0" w:space="0" w:color="auto"/>
      </w:divBdr>
      <w:divsChild>
        <w:div w:id="740450443">
          <w:marLeft w:val="0"/>
          <w:marRight w:val="0"/>
          <w:marTop w:val="0"/>
          <w:marBottom w:val="0"/>
          <w:divBdr>
            <w:top w:val="none" w:sz="0" w:space="0" w:color="auto"/>
            <w:left w:val="none" w:sz="0" w:space="0" w:color="auto"/>
            <w:bottom w:val="none" w:sz="0" w:space="0" w:color="auto"/>
            <w:right w:val="none" w:sz="0" w:space="0" w:color="auto"/>
          </w:divBdr>
        </w:div>
      </w:divsChild>
    </w:div>
    <w:div w:id="1474325044">
      <w:bodyDiv w:val="1"/>
      <w:marLeft w:val="59"/>
      <w:marRight w:val="59"/>
      <w:marTop w:val="59"/>
      <w:marBottom w:val="15"/>
      <w:divBdr>
        <w:top w:val="none" w:sz="0" w:space="0" w:color="auto"/>
        <w:left w:val="none" w:sz="0" w:space="0" w:color="auto"/>
        <w:bottom w:val="none" w:sz="0" w:space="0" w:color="auto"/>
        <w:right w:val="none" w:sz="0" w:space="0" w:color="auto"/>
      </w:divBdr>
      <w:divsChild>
        <w:div w:id="1376274339">
          <w:marLeft w:val="0"/>
          <w:marRight w:val="0"/>
          <w:marTop w:val="0"/>
          <w:marBottom w:val="0"/>
          <w:divBdr>
            <w:top w:val="none" w:sz="0" w:space="0" w:color="auto"/>
            <w:left w:val="none" w:sz="0" w:space="0" w:color="auto"/>
            <w:bottom w:val="none" w:sz="0" w:space="0" w:color="auto"/>
            <w:right w:val="none" w:sz="0" w:space="0" w:color="auto"/>
          </w:divBdr>
        </w:div>
      </w:divsChild>
    </w:div>
    <w:div w:id="1486121079">
      <w:bodyDiv w:val="1"/>
      <w:marLeft w:val="30"/>
      <w:marRight w:val="30"/>
      <w:marTop w:val="0"/>
      <w:marBottom w:val="0"/>
      <w:divBdr>
        <w:top w:val="none" w:sz="0" w:space="0" w:color="auto"/>
        <w:left w:val="none" w:sz="0" w:space="0" w:color="auto"/>
        <w:bottom w:val="none" w:sz="0" w:space="0" w:color="auto"/>
        <w:right w:val="none" w:sz="0" w:space="0" w:color="auto"/>
      </w:divBdr>
      <w:divsChild>
        <w:div w:id="1268855540">
          <w:marLeft w:val="0"/>
          <w:marRight w:val="0"/>
          <w:marTop w:val="0"/>
          <w:marBottom w:val="0"/>
          <w:divBdr>
            <w:top w:val="none" w:sz="0" w:space="0" w:color="auto"/>
            <w:left w:val="none" w:sz="0" w:space="0" w:color="auto"/>
            <w:bottom w:val="none" w:sz="0" w:space="0" w:color="auto"/>
            <w:right w:val="none" w:sz="0" w:space="0" w:color="auto"/>
          </w:divBdr>
          <w:divsChild>
            <w:div w:id="33969947">
              <w:marLeft w:val="0"/>
              <w:marRight w:val="0"/>
              <w:marTop w:val="0"/>
              <w:marBottom w:val="0"/>
              <w:divBdr>
                <w:top w:val="none" w:sz="0" w:space="0" w:color="auto"/>
                <w:left w:val="none" w:sz="0" w:space="0" w:color="auto"/>
                <w:bottom w:val="none" w:sz="0" w:space="0" w:color="auto"/>
                <w:right w:val="none" w:sz="0" w:space="0" w:color="auto"/>
              </w:divBdr>
              <w:divsChild>
                <w:div w:id="844906020">
                  <w:marLeft w:val="180"/>
                  <w:marRight w:val="0"/>
                  <w:marTop w:val="0"/>
                  <w:marBottom w:val="0"/>
                  <w:divBdr>
                    <w:top w:val="none" w:sz="0" w:space="0" w:color="auto"/>
                    <w:left w:val="none" w:sz="0" w:space="0" w:color="auto"/>
                    <w:bottom w:val="none" w:sz="0" w:space="0" w:color="auto"/>
                    <w:right w:val="none" w:sz="0" w:space="0" w:color="auto"/>
                  </w:divBdr>
                  <w:divsChild>
                    <w:div w:id="88082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489384">
      <w:bodyDiv w:val="1"/>
      <w:marLeft w:val="30"/>
      <w:marRight w:val="30"/>
      <w:marTop w:val="0"/>
      <w:marBottom w:val="0"/>
      <w:divBdr>
        <w:top w:val="none" w:sz="0" w:space="0" w:color="auto"/>
        <w:left w:val="none" w:sz="0" w:space="0" w:color="auto"/>
        <w:bottom w:val="none" w:sz="0" w:space="0" w:color="auto"/>
        <w:right w:val="none" w:sz="0" w:space="0" w:color="auto"/>
      </w:divBdr>
      <w:divsChild>
        <w:div w:id="1522820439">
          <w:marLeft w:val="0"/>
          <w:marRight w:val="0"/>
          <w:marTop w:val="0"/>
          <w:marBottom w:val="0"/>
          <w:divBdr>
            <w:top w:val="none" w:sz="0" w:space="0" w:color="auto"/>
            <w:left w:val="none" w:sz="0" w:space="0" w:color="auto"/>
            <w:bottom w:val="none" w:sz="0" w:space="0" w:color="auto"/>
            <w:right w:val="none" w:sz="0" w:space="0" w:color="auto"/>
          </w:divBdr>
          <w:divsChild>
            <w:div w:id="777716925">
              <w:marLeft w:val="0"/>
              <w:marRight w:val="0"/>
              <w:marTop w:val="0"/>
              <w:marBottom w:val="0"/>
              <w:divBdr>
                <w:top w:val="none" w:sz="0" w:space="0" w:color="auto"/>
                <w:left w:val="none" w:sz="0" w:space="0" w:color="auto"/>
                <w:bottom w:val="none" w:sz="0" w:space="0" w:color="auto"/>
                <w:right w:val="none" w:sz="0" w:space="0" w:color="auto"/>
              </w:divBdr>
              <w:divsChild>
                <w:div w:id="1779518420">
                  <w:marLeft w:val="180"/>
                  <w:marRight w:val="0"/>
                  <w:marTop w:val="0"/>
                  <w:marBottom w:val="0"/>
                  <w:divBdr>
                    <w:top w:val="none" w:sz="0" w:space="0" w:color="auto"/>
                    <w:left w:val="none" w:sz="0" w:space="0" w:color="auto"/>
                    <w:bottom w:val="none" w:sz="0" w:space="0" w:color="auto"/>
                    <w:right w:val="none" w:sz="0" w:space="0" w:color="auto"/>
                  </w:divBdr>
                  <w:divsChild>
                    <w:div w:id="170591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353513">
      <w:bodyDiv w:val="1"/>
      <w:marLeft w:val="30"/>
      <w:marRight w:val="30"/>
      <w:marTop w:val="0"/>
      <w:marBottom w:val="0"/>
      <w:divBdr>
        <w:top w:val="none" w:sz="0" w:space="0" w:color="auto"/>
        <w:left w:val="none" w:sz="0" w:space="0" w:color="auto"/>
        <w:bottom w:val="none" w:sz="0" w:space="0" w:color="auto"/>
        <w:right w:val="none" w:sz="0" w:space="0" w:color="auto"/>
      </w:divBdr>
      <w:divsChild>
        <w:div w:id="2060324717">
          <w:marLeft w:val="0"/>
          <w:marRight w:val="0"/>
          <w:marTop w:val="0"/>
          <w:marBottom w:val="0"/>
          <w:divBdr>
            <w:top w:val="none" w:sz="0" w:space="0" w:color="auto"/>
            <w:left w:val="none" w:sz="0" w:space="0" w:color="auto"/>
            <w:bottom w:val="none" w:sz="0" w:space="0" w:color="auto"/>
            <w:right w:val="none" w:sz="0" w:space="0" w:color="auto"/>
          </w:divBdr>
          <w:divsChild>
            <w:div w:id="187642957">
              <w:marLeft w:val="0"/>
              <w:marRight w:val="0"/>
              <w:marTop w:val="0"/>
              <w:marBottom w:val="0"/>
              <w:divBdr>
                <w:top w:val="none" w:sz="0" w:space="0" w:color="auto"/>
                <w:left w:val="none" w:sz="0" w:space="0" w:color="auto"/>
                <w:bottom w:val="none" w:sz="0" w:space="0" w:color="auto"/>
                <w:right w:val="none" w:sz="0" w:space="0" w:color="auto"/>
              </w:divBdr>
              <w:divsChild>
                <w:div w:id="1761027178">
                  <w:marLeft w:val="180"/>
                  <w:marRight w:val="0"/>
                  <w:marTop w:val="0"/>
                  <w:marBottom w:val="0"/>
                  <w:divBdr>
                    <w:top w:val="none" w:sz="0" w:space="0" w:color="auto"/>
                    <w:left w:val="none" w:sz="0" w:space="0" w:color="auto"/>
                    <w:bottom w:val="none" w:sz="0" w:space="0" w:color="auto"/>
                    <w:right w:val="none" w:sz="0" w:space="0" w:color="auto"/>
                  </w:divBdr>
                  <w:divsChild>
                    <w:div w:id="139146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385620">
      <w:bodyDiv w:val="1"/>
      <w:marLeft w:val="0"/>
      <w:marRight w:val="0"/>
      <w:marTop w:val="0"/>
      <w:marBottom w:val="0"/>
      <w:divBdr>
        <w:top w:val="none" w:sz="0" w:space="0" w:color="auto"/>
        <w:left w:val="none" w:sz="0" w:space="0" w:color="auto"/>
        <w:bottom w:val="none" w:sz="0" w:space="0" w:color="auto"/>
        <w:right w:val="none" w:sz="0" w:space="0" w:color="auto"/>
      </w:divBdr>
    </w:div>
    <w:div w:id="1640182095">
      <w:bodyDiv w:val="1"/>
      <w:marLeft w:val="0"/>
      <w:marRight w:val="0"/>
      <w:marTop w:val="0"/>
      <w:marBottom w:val="0"/>
      <w:divBdr>
        <w:top w:val="none" w:sz="0" w:space="0" w:color="auto"/>
        <w:left w:val="none" w:sz="0" w:space="0" w:color="auto"/>
        <w:bottom w:val="none" w:sz="0" w:space="0" w:color="auto"/>
        <w:right w:val="none" w:sz="0" w:space="0" w:color="auto"/>
      </w:divBdr>
    </w:div>
    <w:div w:id="1670133332">
      <w:bodyDiv w:val="1"/>
      <w:marLeft w:val="0"/>
      <w:marRight w:val="0"/>
      <w:marTop w:val="0"/>
      <w:marBottom w:val="0"/>
      <w:divBdr>
        <w:top w:val="none" w:sz="0" w:space="0" w:color="auto"/>
        <w:left w:val="none" w:sz="0" w:space="0" w:color="auto"/>
        <w:bottom w:val="none" w:sz="0" w:space="0" w:color="auto"/>
        <w:right w:val="none" w:sz="0" w:space="0" w:color="auto"/>
      </w:divBdr>
    </w:div>
    <w:div w:id="1674651667">
      <w:bodyDiv w:val="1"/>
      <w:marLeft w:val="0"/>
      <w:marRight w:val="0"/>
      <w:marTop w:val="0"/>
      <w:marBottom w:val="0"/>
      <w:divBdr>
        <w:top w:val="none" w:sz="0" w:space="0" w:color="auto"/>
        <w:left w:val="none" w:sz="0" w:space="0" w:color="auto"/>
        <w:bottom w:val="none" w:sz="0" w:space="0" w:color="auto"/>
        <w:right w:val="none" w:sz="0" w:space="0" w:color="auto"/>
      </w:divBdr>
    </w:div>
    <w:div w:id="1714504430">
      <w:bodyDiv w:val="1"/>
      <w:marLeft w:val="0"/>
      <w:marRight w:val="0"/>
      <w:marTop w:val="0"/>
      <w:marBottom w:val="0"/>
      <w:divBdr>
        <w:top w:val="none" w:sz="0" w:space="0" w:color="auto"/>
        <w:left w:val="none" w:sz="0" w:space="0" w:color="auto"/>
        <w:bottom w:val="none" w:sz="0" w:space="0" w:color="auto"/>
        <w:right w:val="none" w:sz="0" w:space="0" w:color="auto"/>
      </w:divBdr>
    </w:div>
    <w:div w:id="1775400630">
      <w:bodyDiv w:val="1"/>
      <w:marLeft w:val="60"/>
      <w:marRight w:val="60"/>
      <w:marTop w:val="60"/>
      <w:marBottom w:val="15"/>
      <w:divBdr>
        <w:top w:val="none" w:sz="0" w:space="0" w:color="auto"/>
        <w:left w:val="none" w:sz="0" w:space="0" w:color="auto"/>
        <w:bottom w:val="none" w:sz="0" w:space="0" w:color="auto"/>
        <w:right w:val="none" w:sz="0" w:space="0" w:color="auto"/>
      </w:divBdr>
      <w:divsChild>
        <w:div w:id="706416430">
          <w:marLeft w:val="0"/>
          <w:marRight w:val="0"/>
          <w:marTop w:val="0"/>
          <w:marBottom w:val="0"/>
          <w:divBdr>
            <w:top w:val="none" w:sz="0" w:space="0" w:color="auto"/>
            <w:left w:val="none" w:sz="0" w:space="0" w:color="auto"/>
            <w:bottom w:val="none" w:sz="0" w:space="0" w:color="auto"/>
            <w:right w:val="none" w:sz="0" w:space="0" w:color="auto"/>
          </w:divBdr>
        </w:div>
      </w:divsChild>
    </w:div>
    <w:div w:id="1798257725">
      <w:bodyDiv w:val="1"/>
      <w:marLeft w:val="0"/>
      <w:marRight w:val="0"/>
      <w:marTop w:val="0"/>
      <w:marBottom w:val="0"/>
      <w:divBdr>
        <w:top w:val="none" w:sz="0" w:space="0" w:color="auto"/>
        <w:left w:val="none" w:sz="0" w:space="0" w:color="auto"/>
        <w:bottom w:val="none" w:sz="0" w:space="0" w:color="auto"/>
        <w:right w:val="none" w:sz="0" w:space="0" w:color="auto"/>
      </w:divBdr>
    </w:div>
    <w:div w:id="208799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ygillon@dndi.org" TargetMode="External"/><Relationship Id="rId17" Type="http://schemas.openxmlformats.org/officeDocument/2006/relationships/hyperlink" Target="https://www.wma.net/policies-post/wma-declaration-of-helsinki-ethical-principles-for%20medical-research-involving-human-subjects/" TargetMode="External"/><Relationship Id="rId2" Type="http://schemas.openxmlformats.org/officeDocument/2006/relationships/customXml" Target="../customXml/item2.xml"/><Relationship Id="rId16" Type="http://schemas.openxmlformats.org/officeDocument/2006/relationships/hyperlink" Target="https://www.nhs.uk/conditions/coronavirus-covid-19/people-at-higher-risk/whos-at-higher-risk-from-coronavir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blesson@dndi.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tats_x0020_SOPs xmlns="27aaec21-b62f-491d-aa22-3c6ae3cac87e" xsi:nil="true"/>
  </documentManagement>
</p:properties>
</file>

<file path=customXml/item2.xml><?xml version="1.0" encoding="utf-8"?>
<b:Sources xmlns="http://schemas.openxmlformats.org/officeDocument/2006/bibliography" xmlns:b="http://schemas.openxmlformats.org/officeDocument/2006/bibliography" SelectedStyle="\APA.XSL" StyleName="AP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B162B873A88240B0C1574C61CAB3DA" ma:contentTypeVersion="1" ma:contentTypeDescription="Create a new document." ma:contentTypeScope="" ma:versionID="0b56f99836eb5b3df73740f7a40577c8">
  <xs:schema xmlns:xsd="http://www.w3.org/2001/XMLSchema" xmlns:xs="http://www.w3.org/2001/XMLSchema" xmlns:p="http://schemas.microsoft.com/office/2006/metadata/properties" xmlns:ns2="27aaec21-b62f-491d-aa22-3c6ae3cac87e" targetNamespace="http://schemas.microsoft.com/office/2006/metadata/properties" ma:root="true" ma:fieldsID="7931f9aecd851ec2d929da2133251c7c" ns2:_="">
    <xs:import namespace="27aaec21-b62f-491d-aa22-3c6ae3cac87e"/>
    <xs:element name="properties">
      <xs:complexType>
        <xs:sequence>
          <xs:element name="documentManagement">
            <xs:complexType>
              <xs:all>
                <xs:element ref="ns2:Stats_x0020_SOPs"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27aaec21-b62f-491d-aa22-3c6ae3cac87e" elementFormDefault="qualified">
    <xs:import namespace="http://schemas.microsoft.com/office/2006/documentManagement/types"/>
    <xs:import namespace="http://schemas.microsoft.com/office/infopath/2007/PartnerControls"/>
    <xs:element name="Stats_x0020_SOPs" ma:index="8" nillable="true" ma:displayName="Stats SOPs" ma:internalName="Stats_x0020_SOPs">
      <xs:simpleType>
        <xs:restriction base="dms:Text">
          <xs:maxLength value="255"/>
        </xs:restriction>
      </xs:simpleType>
    </xs:element>
  </xs: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5BB766-E5A4-4C3C-A642-8DC53E961325}">
  <ds:schemaRefs>
    <ds:schemaRef ds:uri="http://schemas.microsoft.com/office/2006/metadata/properties"/>
    <ds:schemaRef ds:uri="27aaec21-b62f-491d-aa22-3c6ae3cac87e"/>
  </ds:schemaRefs>
</ds:datastoreItem>
</file>

<file path=customXml/itemProps2.xml><?xml version="1.0" encoding="utf-8"?>
<ds:datastoreItem xmlns:ds="http://schemas.openxmlformats.org/officeDocument/2006/customXml" ds:itemID="{E9E1B6D3-06E5-4EE3-8172-3931A53DFB52}">
  <ds:schemaRefs>
    <ds:schemaRef ds:uri="http://schemas.openxmlformats.org/officeDocument/2006/bibliography"/>
  </ds:schemaRefs>
</ds:datastoreItem>
</file>

<file path=customXml/itemProps3.xml><?xml version="1.0" encoding="utf-8"?>
<ds:datastoreItem xmlns:ds="http://schemas.openxmlformats.org/officeDocument/2006/customXml" ds:itemID="{2EE570EF-A10F-44D1-9425-B6BCBFE6C4BC}">
  <ds:schemaRefs>
    <ds:schemaRef ds:uri="http://schemas.microsoft.com/sharepoint/v3/contenttype/forms"/>
  </ds:schemaRefs>
</ds:datastoreItem>
</file>

<file path=customXml/itemProps4.xml><?xml version="1.0" encoding="utf-8"?>
<ds:datastoreItem xmlns:ds="http://schemas.openxmlformats.org/officeDocument/2006/customXml" ds:itemID="{360C76D2-8884-489F-8E69-E8151C58C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aec21-b62f-491d-aa22-3c6ae3cac8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92</Pages>
  <Words>29953</Words>
  <Characters>175162</Characters>
  <Application>Microsoft Office Word</Application>
  <DocSecurity>0</DocSecurity>
  <Lines>1459</Lines>
  <Paragraphs>409</Paragraphs>
  <ScaleCrop>false</ScaleCrop>
  <HeadingPairs>
    <vt:vector size="2" baseType="variant">
      <vt:variant>
        <vt:lpstr>Title</vt:lpstr>
      </vt:variant>
      <vt:variant>
        <vt:i4>1</vt:i4>
      </vt:variant>
    </vt:vector>
  </HeadingPairs>
  <TitlesOfParts>
    <vt:vector size="1" baseType="lpstr">
      <vt:lpstr>Author.dot v3.0</vt:lpstr>
    </vt:vector>
  </TitlesOfParts>
  <Company>Octagon Research Solutions, Inc.</Company>
  <LinksUpToDate>false</LinksUpToDate>
  <CharactersWithSpaces>204706</CharactersWithSpaces>
  <SharedDoc>false</SharedDoc>
  <HLinks>
    <vt:vector size="390" baseType="variant">
      <vt:variant>
        <vt:i4>458777</vt:i4>
      </vt:variant>
      <vt:variant>
        <vt:i4>411</vt:i4>
      </vt:variant>
      <vt:variant>
        <vt:i4>0</vt:i4>
      </vt:variant>
      <vt:variant>
        <vt:i4>5</vt:i4>
      </vt:variant>
      <vt:variant>
        <vt:lpwstr>http://www.emea.europa.eu/pdfs/human/swp/2836707enfin.pdf</vt:lpwstr>
      </vt:variant>
      <vt:variant>
        <vt:lpwstr/>
      </vt:variant>
      <vt:variant>
        <vt:i4>1441840</vt:i4>
      </vt:variant>
      <vt:variant>
        <vt:i4>404</vt:i4>
      </vt:variant>
      <vt:variant>
        <vt:i4>0</vt:i4>
      </vt:variant>
      <vt:variant>
        <vt:i4>5</vt:i4>
      </vt:variant>
      <vt:variant>
        <vt:lpwstr/>
      </vt:variant>
      <vt:variant>
        <vt:lpwstr>_Toc223938229</vt:lpwstr>
      </vt:variant>
      <vt:variant>
        <vt:i4>1441840</vt:i4>
      </vt:variant>
      <vt:variant>
        <vt:i4>398</vt:i4>
      </vt:variant>
      <vt:variant>
        <vt:i4>0</vt:i4>
      </vt:variant>
      <vt:variant>
        <vt:i4>5</vt:i4>
      </vt:variant>
      <vt:variant>
        <vt:lpwstr/>
      </vt:variant>
      <vt:variant>
        <vt:lpwstr>_Toc223938228</vt:lpwstr>
      </vt:variant>
      <vt:variant>
        <vt:i4>1441840</vt:i4>
      </vt:variant>
      <vt:variant>
        <vt:i4>392</vt:i4>
      </vt:variant>
      <vt:variant>
        <vt:i4>0</vt:i4>
      </vt:variant>
      <vt:variant>
        <vt:i4>5</vt:i4>
      </vt:variant>
      <vt:variant>
        <vt:lpwstr/>
      </vt:variant>
      <vt:variant>
        <vt:lpwstr>_Toc223938227</vt:lpwstr>
      </vt:variant>
      <vt:variant>
        <vt:i4>1441840</vt:i4>
      </vt:variant>
      <vt:variant>
        <vt:i4>386</vt:i4>
      </vt:variant>
      <vt:variant>
        <vt:i4>0</vt:i4>
      </vt:variant>
      <vt:variant>
        <vt:i4>5</vt:i4>
      </vt:variant>
      <vt:variant>
        <vt:lpwstr/>
      </vt:variant>
      <vt:variant>
        <vt:lpwstr>_Toc223938226</vt:lpwstr>
      </vt:variant>
      <vt:variant>
        <vt:i4>1441840</vt:i4>
      </vt:variant>
      <vt:variant>
        <vt:i4>380</vt:i4>
      </vt:variant>
      <vt:variant>
        <vt:i4>0</vt:i4>
      </vt:variant>
      <vt:variant>
        <vt:i4>5</vt:i4>
      </vt:variant>
      <vt:variant>
        <vt:lpwstr/>
      </vt:variant>
      <vt:variant>
        <vt:lpwstr>_Toc223938225</vt:lpwstr>
      </vt:variant>
      <vt:variant>
        <vt:i4>1441840</vt:i4>
      </vt:variant>
      <vt:variant>
        <vt:i4>374</vt:i4>
      </vt:variant>
      <vt:variant>
        <vt:i4>0</vt:i4>
      </vt:variant>
      <vt:variant>
        <vt:i4>5</vt:i4>
      </vt:variant>
      <vt:variant>
        <vt:lpwstr/>
      </vt:variant>
      <vt:variant>
        <vt:lpwstr>_Toc223938224</vt:lpwstr>
      </vt:variant>
      <vt:variant>
        <vt:i4>1441840</vt:i4>
      </vt:variant>
      <vt:variant>
        <vt:i4>368</vt:i4>
      </vt:variant>
      <vt:variant>
        <vt:i4>0</vt:i4>
      </vt:variant>
      <vt:variant>
        <vt:i4>5</vt:i4>
      </vt:variant>
      <vt:variant>
        <vt:lpwstr/>
      </vt:variant>
      <vt:variant>
        <vt:lpwstr>_Toc223938223</vt:lpwstr>
      </vt:variant>
      <vt:variant>
        <vt:i4>1441840</vt:i4>
      </vt:variant>
      <vt:variant>
        <vt:i4>362</vt:i4>
      </vt:variant>
      <vt:variant>
        <vt:i4>0</vt:i4>
      </vt:variant>
      <vt:variant>
        <vt:i4>5</vt:i4>
      </vt:variant>
      <vt:variant>
        <vt:lpwstr/>
      </vt:variant>
      <vt:variant>
        <vt:lpwstr>_Toc223938222</vt:lpwstr>
      </vt:variant>
      <vt:variant>
        <vt:i4>1441840</vt:i4>
      </vt:variant>
      <vt:variant>
        <vt:i4>356</vt:i4>
      </vt:variant>
      <vt:variant>
        <vt:i4>0</vt:i4>
      </vt:variant>
      <vt:variant>
        <vt:i4>5</vt:i4>
      </vt:variant>
      <vt:variant>
        <vt:lpwstr/>
      </vt:variant>
      <vt:variant>
        <vt:lpwstr>_Toc223938221</vt:lpwstr>
      </vt:variant>
      <vt:variant>
        <vt:i4>1441840</vt:i4>
      </vt:variant>
      <vt:variant>
        <vt:i4>350</vt:i4>
      </vt:variant>
      <vt:variant>
        <vt:i4>0</vt:i4>
      </vt:variant>
      <vt:variant>
        <vt:i4>5</vt:i4>
      </vt:variant>
      <vt:variant>
        <vt:lpwstr/>
      </vt:variant>
      <vt:variant>
        <vt:lpwstr>_Toc223938220</vt:lpwstr>
      </vt:variant>
      <vt:variant>
        <vt:i4>1376304</vt:i4>
      </vt:variant>
      <vt:variant>
        <vt:i4>344</vt:i4>
      </vt:variant>
      <vt:variant>
        <vt:i4>0</vt:i4>
      </vt:variant>
      <vt:variant>
        <vt:i4>5</vt:i4>
      </vt:variant>
      <vt:variant>
        <vt:lpwstr/>
      </vt:variant>
      <vt:variant>
        <vt:lpwstr>_Toc223938219</vt:lpwstr>
      </vt:variant>
      <vt:variant>
        <vt:i4>1376304</vt:i4>
      </vt:variant>
      <vt:variant>
        <vt:i4>338</vt:i4>
      </vt:variant>
      <vt:variant>
        <vt:i4>0</vt:i4>
      </vt:variant>
      <vt:variant>
        <vt:i4>5</vt:i4>
      </vt:variant>
      <vt:variant>
        <vt:lpwstr/>
      </vt:variant>
      <vt:variant>
        <vt:lpwstr>_Toc223938218</vt:lpwstr>
      </vt:variant>
      <vt:variant>
        <vt:i4>1376304</vt:i4>
      </vt:variant>
      <vt:variant>
        <vt:i4>332</vt:i4>
      </vt:variant>
      <vt:variant>
        <vt:i4>0</vt:i4>
      </vt:variant>
      <vt:variant>
        <vt:i4>5</vt:i4>
      </vt:variant>
      <vt:variant>
        <vt:lpwstr/>
      </vt:variant>
      <vt:variant>
        <vt:lpwstr>_Toc223938217</vt:lpwstr>
      </vt:variant>
      <vt:variant>
        <vt:i4>1376304</vt:i4>
      </vt:variant>
      <vt:variant>
        <vt:i4>326</vt:i4>
      </vt:variant>
      <vt:variant>
        <vt:i4>0</vt:i4>
      </vt:variant>
      <vt:variant>
        <vt:i4>5</vt:i4>
      </vt:variant>
      <vt:variant>
        <vt:lpwstr/>
      </vt:variant>
      <vt:variant>
        <vt:lpwstr>_Toc223938216</vt:lpwstr>
      </vt:variant>
      <vt:variant>
        <vt:i4>1376304</vt:i4>
      </vt:variant>
      <vt:variant>
        <vt:i4>320</vt:i4>
      </vt:variant>
      <vt:variant>
        <vt:i4>0</vt:i4>
      </vt:variant>
      <vt:variant>
        <vt:i4>5</vt:i4>
      </vt:variant>
      <vt:variant>
        <vt:lpwstr/>
      </vt:variant>
      <vt:variant>
        <vt:lpwstr>_Toc223938215</vt:lpwstr>
      </vt:variant>
      <vt:variant>
        <vt:i4>1376304</vt:i4>
      </vt:variant>
      <vt:variant>
        <vt:i4>314</vt:i4>
      </vt:variant>
      <vt:variant>
        <vt:i4>0</vt:i4>
      </vt:variant>
      <vt:variant>
        <vt:i4>5</vt:i4>
      </vt:variant>
      <vt:variant>
        <vt:lpwstr/>
      </vt:variant>
      <vt:variant>
        <vt:lpwstr>_Toc223938214</vt:lpwstr>
      </vt:variant>
      <vt:variant>
        <vt:i4>1376304</vt:i4>
      </vt:variant>
      <vt:variant>
        <vt:i4>308</vt:i4>
      </vt:variant>
      <vt:variant>
        <vt:i4>0</vt:i4>
      </vt:variant>
      <vt:variant>
        <vt:i4>5</vt:i4>
      </vt:variant>
      <vt:variant>
        <vt:lpwstr/>
      </vt:variant>
      <vt:variant>
        <vt:lpwstr>_Toc223938213</vt:lpwstr>
      </vt:variant>
      <vt:variant>
        <vt:i4>1376304</vt:i4>
      </vt:variant>
      <vt:variant>
        <vt:i4>302</vt:i4>
      </vt:variant>
      <vt:variant>
        <vt:i4>0</vt:i4>
      </vt:variant>
      <vt:variant>
        <vt:i4>5</vt:i4>
      </vt:variant>
      <vt:variant>
        <vt:lpwstr/>
      </vt:variant>
      <vt:variant>
        <vt:lpwstr>_Toc223938212</vt:lpwstr>
      </vt:variant>
      <vt:variant>
        <vt:i4>1376304</vt:i4>
      </vt:variant>
      <vt:variant>
        <vt:i4>296</vt:i4>
      </vt:variant>
      <vt:variant>
        <vt:i4>0</vt:i4>
      </vt:variant>
      <vt:variant>
        <vt:i4>5</vt:i4>
      </vt:variant>
      <vt:variant>
        <vt:lpwstr/>
      </vt:variant>
      <vt:variant>
        <vt:lpwstr>_Toc223938211</vt:lpwstr>
      </vt:variant>
      <vt:variant>
        <vt:i4>1376304</vt:i4>
      </vt:variant>
      <vt:variant>
        <vt:i4>290</vt:i4>
      </vt:variant>
      <vt:variant>
        <vt:i4>0</vt:i4>
      </vt:variant>
      <vt:variant>
        <vt:i4>5</vt:i4>
      </vt:variant>
      <vt:variant>
        <vt:lpwstr/>
      </vt:variant>
      <vt:variant>
        <vt:lpwstr>_Toc223938210</vt:lpwstr>
      </vt:variant>
      <vt:variant>
        <vt:i4>1310768</vt:i4>
      </vt:variant>
      <vt:variant>
        <vt:i4>284</vt:i4>
      </vt:variant>
      <vt:variant>
        <vt:i4>0</vt:i4>
      </vt:variant>
      <vt:variant>
        <vt:i4>5</vt:i4>
      </vt:variant>
      <vt:variant>
        <vt:lpwstr/>
      </vt:variant>
      <vt:variant>
        <vt:lpwstr>_Toc223938209</vt:lpwstr>
      </vt:variant>
      <vt:variant>
        <vt:i4>1310768</vt:i4>
      </vt:variant>
      <vt:variant>
        <vt:i4>278</vt:i4>
      </vt:variant>
      <vt:variant>
        <vt:i4>0</vt:i4>
      </vt:variant>
      <vt:variant>
        <vt:i4>5</vt:i4>
      </vt:variant>
      <vt:variant>
        <vt:lpwstr/>
      </vt:variant>
      <vt:variant>
        <vt:lpwstr>_Toc223938208</vt:lpwstr>
      </vt:variant>
      <vt:variant>
        <vt:i4>1310768</vt:i4>
      </vt:variant>
      <vt:variant>
        <vt:i4>272</vt:i4>
      </vt:variant>
      <vt:variant>
        <vt:i4>0</vt:i4>
      </vt:variant>
      <vt:variant>
        <vt:i4>5</vt:i4>
      </vt:variant>
      <vt:variant>
        <vt:lpwstr/>
      </vt:variant>
      <vt:variant>
        <vt:lpwstr>_Toc223938207</vt:lpwstr>
      </vt:variant>
      <vt:variant>
        <vt:i4>1310768</vt:i4>
      </vt:variant>
      <vt:variant>
        <vt:i4>266</vt:i4>
      </vt:variant>
      <vt:variant>
        <vt:i4>0</vt:i4>
      </vt:variant>
      <vt:variant>
        <vt:i4>5</vt:i4>
      </vt:variant>
      <vt:variant>
        <vt:lpwstr/>
      </vt:variant>
      <vt:variant>
        <vt:lpwstr>_Toc223938206</vt:lpwstr>
      </vt:variant>
      <vt:variant>
        <vt:i4>1310768</vt:i4>
      </vt:variant>
      <vt:variant>
        <vt:i4>260</vt:i4>
      </vt:variant>
      <vt:variant>
        <vt:i4>0</vt:i4>
      </vt:variant>
      <vt:variant>
        <vt:i4>5</vt:i4>
      </vt:variant>
      <vt:variant>
        <vt:lpwstr/>
      </vt:variant>
      <vt:variant>
        <vt:lpwstr>_Toc223938205</vt:lpwstr>
      </vt:variant>
      <vt:variant>
        <vt:i4>1310768</vt:i4>
      </vt:variant>
      <vt:variant>
        <vt:i4>254</vt:i4>
      </vt:variant>
      <vt:variant>
        <vt:i4>0</vt:i4>
      </vt:variant>
      <vt:variant>
        <vt:i4>5</vt:i4>
      </vt:variant>
      <vt:variant>
        <vt:lpwstr/>
      </vt:variant>
      <vt:variant>
        <vt:lpwstr>_Toc223938204</vt:lpwstr>
      </vt:variant>
      <vt:variant>
        <vt:i4>1310768</vt:i4>
      </vt:variant>
      <vt:variant>
        <vt:i4>248</vt:i4>
      </vt:variant>
      <vt:variant>
        <vt:i4>0</vt:i4>
      </vt:variant>
      <vt:variant>
        <vt:i4>5</vt:i4>
      </vt:variant>
      <vt:variant>
        <vt:lpwstr/>
      </vt:variant>
      <vt:variant>
        <vt:lpwstr>_Toc223938203</vt:lpwstr>
      </vt:variant>
      <vt:variant>
        <vt:i4>1310768</vt:i4>
      </vt:variant>
      <vt:variant>
        <vt:i4>242</vt:i4>
      </vt:variant>
      <vt:variant>
        <vt:i4>0</vt:i4>
      </vt:variant>
      <vt:variant>
        <vt:i4>5</vt:i4>
      </vt:variant>
      <vt:variant>
        <vt:lpwstr/>
      </vt:variant>
      <vt:variant>
        <vt:lpwstr>_Toc223938202</vt:lpwstr>
      </vt:variant>
      <vt:variant>
        <vt:i4>1310768</vt:i4>
      </vt:variant>
      <vt:variant>
        <vt:i4>236</vt:i4>
      </vt:variant>
      <vt:variant>
        <vt:i4>0</vt:i4>
      </vt:variant>
      <vt:variant>
        <vt:i4>5</vt:i4>
      </vt:variant>
      <vt:variant>
        <vt:lpwstr/>
      </vt:variant>
      <vt:variant>
        <vt:lpwstr>_Toc223938201</vt:lpwstr>
      </vt:variant>
      <vt:variant>
        <vt:i4>1310768</vt:i4>
      </vt:variant>
      <vt:variant>
        <vt:i4>230</vt:i4>
      </vt:variant>
      <vt:variant>
        <vt:i4>0</vt:i4>
      </vt:variant>
      <vt:variant>
        <vt:i4>5</vt:i4>
      </vt:variant>
      <vt:variant>
        <vt:lpwstr/>
      </vt:variant>
      <vt:variant>
        <vt:lpwstr>_Toc223938200</vt:lpwstr>
      </vt:variant>
      <vt:variant>
        <vt:i4>1900595</vt:i4>
      </vt:variant>
      <vt:variant>
        <vt:i4>224</vt:i4>
      </vt:variant>
      <vt:variant>
        <vt:i4>0</vt:i4>
      </vt:variant>
      <vt:variant>
        <vt:i4>5</vt:i4>
      </vt:variant>
      <vt:variant>
        <vt:lpwstr/>
      </vt:variant>
      <vt:variant>
        <vt:lpwstr>_Toc223938199</vt:lpwstr>
      </vt:variant>
      <vt:variant>
        <vt:i4>1900595</vt:i4>
      </vt:variant>
      <vt:variant>
        <vt:i4>218</vt:i4>
      </vt:variant>
      <vt:variant>
        <vt:i4>0</vt:i4>
      </vt:variant>
      <vt:variant>
        <vt:i4>5</vt:i4>
      </vt:variant>
      <vt:variant>
        <vt:lpwstr/>
      </vt:variant>
      <vt:variant>
        <vt:lpwstr>_Toc223938198</vt:lpwstr>
      </vt:variant>
      <vt:variant>
        <vt:i4>1900595</vt:i4>
      </vt:variant>
      <vt:variant>
        <vt:i4>212</vt:i4>
      </vt:variant>
      <vt:variant>
        <vt:i4>0</vt:i4>
      </vt:variant>
      <vt:variant>
        <vt:i4>5</vt:i4>
      </vt:variant>
      <vt:variant>
        <vt:lpwstr/>
      </vt:variant>
      <vt:variant>
        <vt:lpwstr>_Toc223938197</vt:lpwstr>
      </vt:variant>
      <vt:variant>
        <vt:i4>1900595</vt:i4>
      </vt:variant>
      <vt:variant>
        <vt:i4>206</vt:i4>
      </vt:variant>
      <vt:variant>
        <vt:i4>0</vt:i4>
      </vt:variant>
      <vt:variant>
        <vt:i4>5</vt:i4>
      </vt:variant>
      <vt:variant>
        <vt:lpwstr/>
      </vt:variant>
      <vt:variant>
        <vt:lpwstr>_Toc223938196</vt:lpwstr>
      </vt:variant>
      <vt:variant>
        <vt:i4>1900595</vt:i4>
      </vt:variant>
      <vt:variant>
        <vt:i4>200</vt:i4>
      </vt:variant>
      <vt:variant>
        <vt:i4>0</vt:i4>
      </vt:variant>
      <vt:variant>
        <vt:i4>5</vt:i4>
      </vt:variant>
      <vt:variant>
        <vt:lpwstr/>
      </vt:variant>
      <vt:variant>
        <vt:lpwstr>_Toc223938195</vt:lpwstr>
      </vt:variant>
      <vt:variant>
        <vt:i4>1900595</vt:i4>
      </vt:variant>
      <vt:variant>
        <vt:i4>194</vt:i4>
      </vt:variant>
      <vt:variant>
        <vt:i4>0</vt:i4>
      </vt:variant>
      <vt:variant>
        <vt:i4>5</vt:i4>
      </vt:variant>
      <vt:variant>
        <vt:lpwstr/>
      </vt:variant>
      <vt:variant>
        <vt:lpwstr>_Toc223938194</vt:lpwstr>
      </vt:variant>
      <vt:variant>
        <vt:i4>1900595</vt:i4>
      </vt:variant>
      <vt:variant>
        <vt:i4>188</vt:i4>
      </vt:variant>
      <vt:variant>
        <vt:i4>0</vt:i4>
      </vt:variant>
      <vt:variant>
        <vt:i4>5</vt:i4>
      </vt:variant>
      <vt:variant>
        <vt:lpwstr/>
      </vt:variant>
      <vt:variant>
        <vt:lpwstr>_Toc223938193</vt:lpwstr>
      </vt:variant>
      <vt:variant>
        <vt:i4>1900595</vt:i4>
      </vt:variant>
      <vt:variant>
        <vt:i4>182</vt:i4>
      </vt:variant>
      <vt:variant>
        <vt:i4>0</vt:i4>
      </vt:variant>
      <vt:variant>
        <vt:i4>5</vt:i4>
      </vt:variant>
      <vt:variant>
        <vt:lpwstr/>
      </vt:variant>
      <vt:variant>
        <vt:lpwstr>_Toc223938192</vt:lpwstr>
      </vt:variant>
      <vt:variant>
        <vt:i4>1900595</vt:i4>
      </vt:variant>
      <vt:variant>
        <vt:i4>176</vt:i4>
      </vt:variant>
      <vt:variant>
        <vt:i4>0</vt:i4>
      </vt:variant>
      <vt:variant>
        <vt:i4>5</vt:i4>
      </vt:variant>
      <vt:variant>
        <vt:lpwstr/>
      </vt:variant>
      <vt:variant>
        <vt:lpwstr>_Toc223938191</vt:lpwstr>
      </vt:variant>
      <vt:variant>
        <vt:i4>1900595</vt:i4>
      </vt:variant>
      <vt:variant>
        <vt:i4>170</vt:i4>
      </vt:variant>
      <vt:variant>
        <vt:i4>0</vt:i4>
      </vt:variant>
      <vt:variant>
        <vt:i4>5</vt:i4>
      </vt:variant>
      <vt:variant>
        <vt:lpwstr/>
      </vt:variant>
      <vt:variant>
        <vt:lpwstr>_Toc223938190</vt:lpwstr>
      </vt:variant>
      <vt:variant>
        <vt:i4>1835059</vt:i4>
      </vt:variant>
      <vt:variant>
        <vt:i4>164</vt:i4>
      </vt:variant>
      <vt:variant>
        <vt:i4>0</vt:i4>
      </vt:variant>
      <vt:variant>
        <vt:i4>5</vt:i4>
      </vt:variant>
      <vt:variant>
        <vt:lpwstr/>
      </vt:variant>
      <vt:variant>
        <vt:lpwstr>_Toc223938189</vt:lpwstr>
      </vt:variant>
      <vt:variant>
        <vt:i4>1835059</vt:i4>
      </vt:variant>
      <vt:variant>
        <vt:i4>158</vt:i4>
      </vt:variant>
      <vt:variant>
        <vt:i4>0</vt:i4>
      </vt:variant>
      <vt:variant>
        <vt:i4>5</vt:i4>
      </vt:variant>
      <vt:variant>
        <vt:lpwstr/>
      </vt:variant>
      <vt:variant>
        <vt:lpwstr>_Toc223938188</vt:lpwstr>
      </vt:variant>
      <vt:variant>
        <vt:i4>1835059</vt:i4>
      </vt:variant>
      <vt:variant>
        <vt:i4>152</vt:i4>
      </vt:variant>
      <vt:variant>
        <vt:i4>0</vt:i4>
      </vt:variant>
      <vt:variant>
        <vt:i4>5</vt:i4>
      </vt:variant>
      <vt:variant>
        <vt:lpwstr/>
      </vt:variant>
      <vt:variant>
        <vt:lpwstr>_Toc223938187</vt:lpwstr>
      </vt:variant>
      <vt:variant>
        <vt:i4>1835059</vt:i4>
      </vt:variant>
      <vt:variant>
        <vt:i4>146</vt:i4>
      </vt:variant>
      <vt:variant>
        <vt:i4>0</vt:i4>
      </vt:variant>
      <vt:variant>
        <vt:i4>5</vt:i4>
      </vt:variant>
      <vt:variant>
        <vt:lpwstr/>
      </vt:variant>
      <vt:variant>
        <vt:lpwstr>_Toc223938186</vt:lpwstr>
      </vt:variant>
      <vt:variant>
        <vt:i4>1835059</vt:i4>
      </vt:variant>
      <vt:variant>
        <vt:i4>140</vt:i4>
      </vt:variant>
      <vt:variant>
        <vt:i4>0</vt:i4>
      </vt:variant>
      <vt:variant>
        <vt:i4>5</vt:i4>
      </vt:variant>
      <vt:variant>
        <vt:lpwstr/>
      </vt:variant>
      <vt:variant>
        <vt:lpwstr>_Toc223938185</vt:lpwstr>
      </vt:variant>
      <vt:variant>
        <vt:i4>1835059</vt:i4>
      </vt:variant>
      <vt:variant>
        <vt:i4>134</vt:i4>
      </vt:variant>
      <vt:variant>
        <vt:i4>0</vt:i4>
      </vt:variant>
      <vt:variant>
        <vt:i4>5</vt:i4>
      </vt:variant>
      <vt:variant>
        <vt:lpwstr/>
      </vt:variant>
      <vt:variant>
        <vt:lpwstr>_Toc223938184</vt:lpwstr>
      </vt:variant>
      <vt:variant>
        <vt:i4>1835059</vt:i4>
      </vt:variant>
      <vt:variant>
        <vt:i4>128</vt:i4>
      </vt:variant>
      <vt:variant>
        <vt:i4>0</vt:i4>
      </vt:variant>
      <vt:variant>
        <vt:i4>5</vt:i4>
      </vt:variant>
      <vt:variant>
        <vt:lpwstr/>
      </vt:variant>
      <vt:variant>
        <vt:lpwstr>_Toc223938183</vt:lpwstr>
      </vt:variant>
      <vt:variant>
        <vt:i4>1835059</vt:i4>
      </vt:variant>
      <vt:variant>
        <vt:i4>122</vt:i4>
      </vt:variant>
      <vt:variant>
        <vt:i4>0</vt:i4>
      </vt:variant>
      <vt:variant>
        <vt:i4>5</vt:i4>
      </vt:variant>
      <vt:variant>
        <vt:lpwstr/>
      </vt:variant>
      <vt:variant>
        <vt:lpwstr>_Toc223938182</vt:lpwstr>
      </vt:variant>
      <vt:variant>
        <vt:i4>1835059</vt:i4>
      </vt:variant>
      <vt:variant>
        <vt:i4>116</vt:i4>
      </vt:variant>
      <vt:variant>
        <vt:i4>0</vt:i4>
      </vt:variant>
      <vt:variant>
        <vt:i4>5</vt:i4>
      </vt:variant>
      <vt:variant>
        <vt:lpwstr/>
      </vt:variant>
      <vt:variant>
        <vt:lpwstr>_Toc223938181</vt:lpwstr>
      </vt:variant>
      <vt:variant>
        <vt:i4>1835059</vt:i4>
      </vt:variant>
      <vt:variant>
        <vt:i4>110</vt:i4>
      </vt:variant>
      <vt:variant>
        <vt:i4>0</vt:i4>
      </vt:variant>
      <vt:variant>
        <vt:i4>5</vt:i4>
      </vt:variant>
      <vt:variant>
        <vt:lpwstr/>
      </vt:variant>
      <vt:variant>
        <vt:lpwstr>_Toc223938180</vt:lpwstr>
      </vt:variant>
      <vt:variant>
        <vt:i4>1245235</vt:i4>
      </vt:variant>
      <vt:variant>
        <vt:i4>104</vt:i4>
      </vt:variant>
      <vt:variant>
        <vt:i4>0</vt:i4>
      </vt:variant>
      <vt:variant>
        <vt:i4>5</vt:i4>
      </vt:variant>
      <vt:variant>
        <vt:lpwstr/>
      </vt:variant>
      <vt:variant>
        <vt:lpwstr>_Toc223938179</vt:lpwstr>
      </vt:variant>
      <vt:variant>
        <vt:i4>1245235</vt:i4>
      </vt:variant>
      <vt:variant>
        <vt:i4>98</vt:i4>
      </vt:variant>
      <vt:variant>
        <vt:i4>0</vt:i4>
      </vt:variant>
      <vt:variant>
        <vt:i4>5</vt:i4>
      </vt:variant>
      <vt:variant>
        <vt:lpwstr/>
      </vt:variant>
      <vt:variant>
        <vt:lpwstr>_Toc223938178</vt:lpwstr>
      </vt:variant>
      <vt:variant>
        <vt:i4>1245235</vt:i4>
      </vt:variant>
      <vt:variant>
        <vt:i4>92</vt:i4>
      </vt:variant>
      <vt:variant>
        <vt:i4>0</vt:i4>
      </vt:variant>
      <vt:variant>
        <vt:i4>5</vt:i4>
      </vt:variant>
      <vt:variant>
        <vt:lpwstr/>
      </vt:variant>
      <vt:variant>
        <vt:lpwstr>_Toc223938177</vt:lpwstr>
      </vt:variant>
      <vt:variant>
        <vt:i4>1245235</vt:i4>
      </vt:variant>
      <vt:variant>
        <vt:i4>86</vt:i4>
      </vt:variant>
      <vt:variant>
        <vt:i4>0</vt:i4>
      </vt:variant>
      <vt:variant>
        <vt:i4>5</vt:i4>
      </vt:variant>
      <vt:variant>
        <vt:lpwstr/>
      </vt:variant>
      <vt:variant>
        <vt:lpwstr>_Toc223938176</vt:lpwstr>
      </vt:variant>
      <vt:variant>
        <vt:i4>1245235</vt:i4>
      </vt:variant>
      <vt:variant>
        <vt:i4>80</vt:i4>
      </vt:variant>
      <vt:variant>
        <vt:i4>0</vt:i4>
      </vt:variant>
      <vt:variant>
        <vt:i4>5</vt:i4>
      </vt:variant>
      <vt:variant>
        <vt:lpwstr/>
      </vt:variant>
      <vt:variant>
        <vt:lpwstr>_Toc223938175</vt:lpwstr>
      </vt:variant>
      <vt:variant>
        <vt:i4>1245235</vt:i4>
      </vt:variant>
      <vt:variant>
        <vt:i4>74</vt:i4>
      </vt:variant>
      <vt:variant>
        <vt:i4>0</vt:i4>
      </vt:variant>
      <vt:variant>
        <vt:i4>5</vt:i4>
      </vt:variant>
      <vt:variant>
        <vt:lpwstr/>
      </vt:variant>
      <vt:variant>
        <vt:lpwstr>_Toc223938174</vt:lpwstr>
      </vt:variant>
      <vt:variant>
        <vt:i4>1245235</vt:i4>
      </vt:variant>
      <vt:variant>
        <vt:i4>68</vt:i4>
      </vt:variant>
      <vt:variant>
        <vt:i4>0</vt:i4>
      </vt:variant>
      <vt:variant>
        <vt:i4>5</vt:i4>
      </vt:variant>
      <vt:variant>
        <vt:lpwstr/>
      </vt:variant>
      <vt:variant>
        <vt:lpwstr>_Toc223938173</vt:lpwstr>
      </vt:variant>
      <vt:variant>
        <vt:i4>1245235</vt:i4>
      </vt:variant>
      <vt:variant>
        <vt:i4>62</vt:i4>
      </vt:variant>
      <vt:variant>
        <vt:i4>0</vt:i4>
      </vt:variant>
      <vt:variant>
        <vt:i4>5</vt:i4>
      </vt:variant>
      <vt:variant>
        <vt:lpwstr/>
      </vt:variant>
      <vt:variant>
        <vt:lpwstr>_Toc223938172</vt:lpwstr>
      </vt:variant>
      <vt:variant>
        <vt:i4>1245235</vt:i4>
      </vt:variant>
      <vt:variant>
        <vt:i4>56</vt:i4>
      </vt:variant>
      <vt:variant>
        <vt:i4>0</vt:i4>
      </vt:variant>
      <vt:variant>
        <vt:i4>5</vt:i4>
      </vt:variant>
      <vt:variant>
        <vt:lpwstr/>
      </vt:variant>
      <vt:variant>
        <vt:lpwstr>_Toc223938171</vt:lpwstr>
      </vt:variant>
      <vt:variant>
        <vt:i4>1245235</vt:i4>
      </vt:variant>
      <vt:variant>
        <vt:i4>50</vt:i4>
      </vt:variant>
      <vt:variant>
        <vt:i4>0</vt:i4>
      </vt:variant>
      <vt:variant>
        <vt:i4>5</vt:i4>
      </vt:variant>
      <vt:variant>
        <vt:lpwstr/>
      </vt:variant>
      <vt:variant>
        <vt:lpwstr>_Toc223938170</vt:lpwstr>
      </vt:variant>
      <vt:variant>
        <vt:i4>1179699</vt:i4>
      </vt:variant>
      <vt:variant>
        <vt:i4>44</vt:i4>
      </vt:variant>
      <vt:variant>
        <vt:i4>0</vt:i4>
      </vt:variant>
      <vt:variant>
        <vt:i4>5</vt:i4>
      </vt:variant>
      <vt:variant>
        <vt:lpwstr/>
      </vt:variant>
      <vt:variant>
        <vt:lpwstr>_Toc223938169</vt:lpwstr>
      </vt:variant>
      <vt:variant>
        <vt:i4>1179699</vt:i4>
      </vt:variant>
      <vt:variant>
        <vt:i4>38</vt:i4>
      </vt:variant>
      <vt:variant>
        <vt:i4>0</vt:i4>
      </vt:variant>
      <vt:variant>
        <vt:i4>5</vt:i4>
      </vt:variant>
      <vt:variant>
        <vt:lpwstr/>
      </vt:variant>
      <vt:variant>
        <vt:lpwstr>_Toc223938168</vt:lpwstr>
      </vt:variant>
      <vt:variant>
        <vt:i4>1179699</vt:i4>
      </vt:variant>
      <vt:variant>
        <vt:i4>32</vt:i4>
      </vt:variant>
      <vt:variant>
        <vt:i4>0</vt:i4>
      </vt:variant>
      <vt:variant>
        <vt:i4>5</vt:i4>
      </vt:variant>
      <vt:variant>
        <vt:lpwstr/>
      </vt:variant>
      <vt:variant>
        <vt:lpwstr>_Toc223938167</vt:lpwstr>
      </vt:variant>
      <vt:variant>
        <vt:i4>1179699</vt:i4>
      </vt:variant>
      <vt:variant>
        <vt:i4>26</vt:i4>
      </vt:variant>
      <vt:variant>
        <vt:i4>0</vt:i4>
      </vt:variant>
      <vt:variant>
        <vt:i4>5</vt:i4>
      </vt:variant>
      <vt:variant>
        <vt:lpwstr/>
      </vt:variant>
      <vt:variant>
        <vt:lpwstr>_Toc223938166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Author.dot v3.0</dc:title>
  <dc:subject/>
  <dc:creator>Brenda Davies</dc:creator>
  <cp:keywords/>
  <dc:description/>
  <cp:lastModifiedBy>Lan Wu Tann</cp:lastModifiedBy>
  <cp:revision>4</cp:revision>
  <cp:lastPrinted>2016-10-10T15:24:00Z</cp:lastPrinted>
  <dcterms:created xsi:type="dcterms:W3CDTF">2021-06-23T15:18:00Z</dcterms:created>
  <dcterms:modified xsi:type="dcterms:W3CDTF">2021-06-23T15:24:00Z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0x01010029B162B873A88240B0C1574C61CAB3DA</vt:lpwstr>
  </property>
</Properties>
</file>