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3AB" w:rsidRDefault="00A80EB3">
      <w:pPr>
        <w:ind w:firstLineChars="200" w:firstLine="800"/>
        <w:rPr>
          <w:rFonts w:ascii="Calibri" w:hAnsi="Calibri" w:cs="Calibri"/>
          <w:color w:val="212121"/>
          <w:sz w:val="40"/>
          <w:szCs w:val="40"/>
          <w:shd w:val="clear" w:color="auto" w:fill="FFFFFF"/>
        </w:rPr>
      </w:pPr>
      <w:bookmarkStart w:id="0" w:name="_GoBack"/>
      <w:bookmarkEnd w:id="0"/>
      <w:r>
        <w:rPr>
          <w:rFonts w:ascii="Calibri" w:hAnsi="Calibri" w:cs="Calibri"/>
          <w:color w:val="212121"/>
          <w:sz w:val="40"/>
          <w:szCs w:val="40"/>
          <w:shd w:val="clear" w:color="auto" w:fill="FFFFFF"/>
        </w:rPr>
        <w:t>S</w:t>
      </w:r>
      <w:r>
        <w:rPr>
          <w:rFonts w:ascii="Calibri" w:hAnsi="Calibri" w:cs="Calibri"/>
          <w:color w:val="212121"/>
          <w:sz w:val="40"/>
          <w:szCs w:val="40"/>
          <w:shd w:val="clear" w:color="auto" w:fill="FFFFFF"/>
        </w:rPr>
        <w:t>tudy protocol</w:t>
      </w:r>
      <w:r>
        <w:rPr>
          <w:rFonts w:ascii="Calibri" w:hAnsi="Calibri" w:cs="Calibri"/>
          <w:color w:val="212121"/>
          <w:sz w:val="40"/>
          <w:szCs w:val="40"/>
          <w:shd w:val="clear" w:color="auto" w:fill="FFFFFF"/>
        </w:rPr>
        <w:t xml:space="preserve"> and statistical analysis plan</w:t>
      </w:r>
    </w:p>
    <w:p w:rsidR="00D503AB" w:rsidRDefault="00D503AB">
      <w:pPr>
        <w:rPr>
          <w:rFonts w:ascii="Calibri" w:hAnsi="Calibri" w:cs="Calibri"/>
          <w:color w:val="212121"/>
          <w:sz w:val="40"/>
          <w:szCs w:val="40"/>
          <w:shd w:val="clear" w:color="auto" w:fill="FFFFFF"/>
        </w:rPr>
      </w:pPr>
    </w:p>
    <w:p w:rsidR="00D503AB" w:rsidRDefault="00A80EB3">
      <w:pPr>
        <w:numPr>
          <w:ilvl w:val="0"/>
          <w:numId w:val="1"/>
        </w:numPr>
        <w:spacing w:before="87" w:line="480" w:lineRule="auto"/>
        <w:jc w:val="left"/>
        <w:rPr>
          <w:rFonts w:ascii="Calibri" w:hAnsi="Calibri" w:cs="Calibri"/>
          <w:b/>
          <w:bCs/>
          <w:sz w:val="22"/>
          <w:szCs w:val="22"/>
        </w:rPr>
      </w:pPr>
      <w:r>
        <w:rPr>
          <w:rFonts w:ascii="Calibri" w:hAnsi="Calibri" w:cs="Calibri"/>
          <w:b/>
          <w:bCs/>
          <w:color w:val="212121"/>
          <w:sz w:val="22"/>
          <w:szCs w:val="22"/>
          <w:shd w:val="clear" w:color="auto" w:fill="FFFFFF"/>
        </w:rPr>
        <w:t>Name of the research project</w:t>
      </w:r>
      <w:r>
        <w:rPr>
          <w:rFonts w:ascii="Calibri" w:hAnsi="Calibri" w:cs="Calibri"/>
          <w:color w:val="212121"/>
          <w:sz w:val="22"/>
          <w:szCs w:val="22"/>
          <w:shd w:val="clear" w:color="auto" w:fill="FFFFFF"/>
        </w:rPr>
        <w:t xml:space="preserve">: </w:t>
      </w:r>
      <w:r>
        <w:rPr>
          <w:rFonts w:ascii="Calibri" w:hAnsi="Calibri" w:cs="Calibri"/>
          <w:b/>
          <w:bCs/>
          <w:sz w:val="22"/>
          <w:szCs w:val="22"/>
        </w:rPr>
        <w:t xml:space="preserve">Effect of </w:t>
      </w:r>
      <w:bookmarkStart w:id="1" w:name="__DdeLink__16119_1720292532"/>
      <w:proofErr w:type="spellStart"/>
      <w:r>
        <w:rPr>
          <w:rFonts w:ascii="Calibri" w:hAnsi="Calibri" w:cs="Calibri"/>
          <w:b/>
          <w:bCs/>
          <w:sz w:val="22"/>
          <w:szCs w:val="22"/>
        </w:rPr>
        <w:t>ticagrelor</w:t>
      </w:r>
      <w:bookmarkEnd w:id="1"/>
      <w:proofErr w:type="spellEnd"/>
      <w:r>
        <w:rPr>
          <w:rFonts w:ascii="Calibri" w:hAnsi="Calibri" w:cs="Calibri"/>
          <w:b/>
          <w:bCs/>
          <w:sz w:val="22"/>
          <w:szCs w:val="22"/>
        </w:rPr>
        <w:t xml:space="preserve"> monotherapy versus </w:t>
      </w:r>
      <w:bookmarkStart w:id="2" w:name="__DdeLink__16121_1720292532"/>
      <w:proofErr w:type="spellStart"/>
      <w:r>
        <w:rPr>
          <w:rFonts w:ascii="Calibri" w:hAnsi="Calibri" w:cs="Calibri"/>
          <w:b/>
          <w:bCs/>
          <w:sz w:val="22"/>
          <w:szCs w:val="22"/>
        </w:rPr>
        <w:t>clopidogrel</w:t>
      </w:r>
      <w:bookmarkEnd w:id="2"/>
      <w:proofErr w:type="spellEnd"/>
      <w:r>
        <w:rPr>
          <w:rFonts w:ascii="Calibri" w:hAnsi="Calibri" w:cs="Calibri"/>
          <w:b/>
          <w:bCs/>
          <w:sz w:val="22"/>
          <w:szCs w:val="22"/>
        </w:rPr>
        <w:t xml:space="preserve"> plus aspirin in aging patients with </w:t>
      </w:r>
      <w:r>
        <w:rPr>
          <w:rFonts w:ascii="Calibri" w:hAnsi="Calibri" w:cs="Calibri"/>
          <w:b/>
          <w:bCs/>
          <w:sz w:val="22"/>
          <w:szCs w:val="22"/>
        </w:rPr>
        <w:t>unstable angina pectoris</w:t>
      </w:r>
      <w:r>
        <w:rPr>
          <w:rFonts w:ascii="Calibri" w:hAnsi="Calibri" w:cs="Calibri"/>
          <w:b/>
          <w:bCs/>
          <w:sz w:val="22"/>
          <w:szCs w:val="22"/>
        </w:rPr>
        <w:t xml:space="preserve"> after elective percutaneous coronary intervention</w:t>
      </w:r>
    </w:p>
    <w:p w:rsidR="00D503AB" w:rsidRDefault="00A80EB3">
      <w:pPr>
        <w:numPr>
          <w:ilvl w:val="0"/>
          <w:numId w:val="1"/>
        </w:numPr>
        <w:spacing w:before="87" w:line="480" w:lineRule="auto"/>
        <w:jc w:val="left"/>
        <w:rPr>
          <w:rFonts w:ascii="Calibri" w:hAnsi="Calibri" w:cs="Calibri"/>
          <w:b/>
          <w:bCs/>
          <w:sz w:val="22"/>
          <w:szCs w:val="22"/>
        </w:rPr>
      </w:pPr>
      <w:r>
        <w:rPr>
          <w:rFonts w:ascii="Calibri" w:hAnsi="Calibri" w:cs="Calibri"/>
          <w:b/>
          <w:bCs/>
          <w:sz w:val="22"/>
          <w:szCs w:val="22"/>
        </w:rPr>
        <w:t>Background</w:t>
      </w:r>
      <w:r>
        <w:rPr>
          <w:rFonts w:ascii="Calibri" w:hAnsi="Calibri" w:cs="Calibri"/>
          <w:b/>
          <w:bCs/>
          <w:sz w:val="22"/>
          <w:szCs w:val="22"/>
        </w:rPr>
        <w:t>：</w:t>
      </w:r>
    </w:p>
    <w:p w:rsidR="00D503AB" w:rsidRDefault="00A80EB3">
      <w:pPr>
        <w:spacing w:line="480" w:lineRule="auto"/>
        <w:jc w:val="left"/>
        <w:rPr>
          <w:rFonts w:ascii="Calibri" w:hAnsi="Calibri" w:cs="Calibri"/>
        </w:rPr>
      </w:pPr>
      <w:r>
        <w:rPr>
          <w:rFonts w:ascii="Calibri" w:hAnsi="Calibri" w:cs="Calibri"/>
          <w:sz w:val="22"/>
          <w:szCs w:val="22"/>
        </w:rPr>
        <w:t xml:space="preserve">The </w:t>
      </w:r>
      <w:r>
        <w:rPr>
          <w:rFonts w:ascii="Calibri" w:hAnsi="Calibri" w:cs="Calibri"/>
          <w:sz w:val="22"/>
          <w:szCs w:val="22"/>
        </w:rPr>
        <w:t>incidence of non-ST-elevation acute coronary syndrome (NSTE-ACS) is increasing year by year. At present, the most effective treatment for NSTE-ACS is percutaneous coronary intervention (PCI).</w:t>
      </w:r>
      <w:r>
        <w:rPr>
          <w:rFonts w:ascii="Calibri" w:hAnsi="Calibri" w:cs="Calibri"/>
          <w:sz w:val="22"/>
          <w:szCs w:val="22"/>
          <w:vertAlign w:val="superscript"/>
        </w:rPr>
        <w:t>1,2</w:t>
      </w:r>
      <w:r>
        <w:rPr>
          <w:rFonts w:ascii="Calibri" w:hAnsi="Calibri" w:cs="Calibri"/>
          <w:sz w:val="22"/>
          <w:szCs w:val="22"/>
        </w:rPr>
        <w:t xml:space="preserve"> However, due to various clinical conditions (such as diabetes</w:t>
      </w:r>
      <w:r>
        <w:rPr>
          <w:rFonts w:ascii="Calibri" w:hAnsi="Calibri" w:cs="Calibri"/>
          <w:sz w:val="22"/>
          <w:szCs w:val="22"/>
        </w:rPr>
        <w:t xml:space="preserve"> and </w:t>
      </w:r>
      <w:proofErr w:type="spellStart"/>
      <w:r>
        <w:rPr>
          <w:rFonts w:ascii="Calibri" w:hAnsi="Calibri" w:cs="Calibri"/>
          <w:sz w:val="22"/>
          <w:szCs w:val="22"/>
        </w:rPr>
        <w:t>dislipidemia</w:t>
      </w:r>
      <w:proofErr w:type="spellEnd"/>
      <w:r>
        <w:rPr>
          <w:rFonts w:ascii="Calibri" w:hAnsi="Calibri" w:cs="Calibri"/>
          <w:sz w:val="22"/>
          <w:szCs w:val="22"/>
        </w:rPr>
        <w:t>) or complications related to coronary vascular disease (such as complex coronary artery disease and unstable plaques) the risk of ischemic events remains high after PCI.</w:t>
      </w:r>
      <w:r>
        <w:rPr>
          <w:rFonts w:ascii="Calibri" w:hAnsi="Calibri" w:cs="Calibri"/>
          <w:sz w:val="22"/>
          <w:szCs w:val="22"/>
          <w:vertAlign w:val="superscript"/>
        </w:rPr>
        <w:t>3,4,5</w:t>
      </w:r>
    </w:p>
    <w:p w:rsidR="00D503AB" w:rsidRDefault="00A80EB3">
      <w:pPr>
        <w:spacing w:line="480" w:lineRule="auto"/>
        <w:jc w:val="left"/>
        <w:rPr>
          <w:rFonts w:ascii="Calibri" w:hAnsi="Calibri" w:cs="Calibri"/>
        </w:rPr>
      </w:pPr>
      <w:r>
        <w:rPr>
          <w:rFonts w:ascii="Calibri" w:hAnsi="Calibri" w:cs="Calibri"/>
          <w:sz w:val="22"/>
          <w:szCs w:val="22"/>
        </w:rPr>
        <w:t>Antiplatelet aggregation therapy has become the focus of curren</w:t>
      </w:r>
      <w:r>
        <w:rPr>
          <w:rFonts w:ascii="Calibri" w:hAnsi="Calibri" w:cs="Calibri"/>
          <w:sz w:val="22"/>
          <w:szCs w:val="22"/>
        </w:rPr>
        <w:t>t treatment following PCI. For NSTE-ACS patients undergoing PCI postoperative antiplatelet therapy, the current guidelines recommend dual antiplatelet therapy (DAPT) for at least 12 months.</w:t>
      </w:r>
      <w:r>
        <w:rPr>
          <w:rFonts w:ascii="Calibri" w:hAnsi="Calibri" w:cs="Calibri"/>
          <w:sz w:val="22"/>
          <w:szCs w:val="22"/>
          <w:vertAlign w:val="superscript"/>
        </w:rPr>
        <w:t xml:space="preserve">6 </w:t>
      </w:r>
      <w:r>
        <w:rPr>
          <w:rFonts w:ascii="Calibri" w:hAnsi="Calibri" w:cs="Calibri"/>
          <w:sz w:val="22"/>
          <w:szCs w:val="22"/>
        </w:rPr>
        <w:t xml:space="preserve">However, NSTE-ACS ischemic or bleeding events after PCI are more </w:t>
      </w:r>
      <w:r>
        <w:rPr>
          <w:rFonts w:ascii="Calibri" w:hAnsi="Calibri" w:cs="Calibri"/>
          <w:sz w:val="22"/>
          <w:szCs w:val="22"/>
        </w:rPr>
        <w:t>frequent in elderly patients than in normal patients,</w:t>
      </w:r>
      <w:r>
        <w:rPr>
          <w:rFonts w:ascii="Calibri" w:hAnsi="Calibri" w:cs="Calibri"/>
          <w:sz w:val="22"/>
          <w:szCs w:val="22"/>
          <w:vertAlign w:val="superscript"/>
        </w:rPr>
        <w:t xml:space="preserve">7 </w:t>
      </w:r>
      <w:r>
        <w:rPr>
          <w:rFonts w:ascii="Calibri" w:hAnsi="Calibri" w:cs="Calibri"/>
          <w:sz w:val="22"/>
          <w:szCs w:val="22"/>
        </w:rPr>
        <w:t>and while dual antiplatelet therapy reduced the risk of ischemia, it also increased bleeding.</w:t>
      </w:r>
      <w:r>
        <w:rPr>
          <w:rFonts w:ascii="Calibri" w:hAnsi="Calibri" w:cs="Calibri"/>
          <w:sz w:val="22"/>
          <w:szCs w:val="22"/>
          <w:vertAlign w:val="superscript"/>
        </w:rPr>
        <w:t xml:space="preserve">8,9,10,11 </w:t>
      </w:r>
      <w:r>
        <w:rPr>
          <w:rFonts w:ascii="Calibri" w:hAnsi="Calibri" w:cs="Calibri"/>
          <w:sz w:val="22"/>
          <w:szCs w:val="22"/>
        </w:rPr>
        <w:t xml:space="preserve">Patients with unstable angina pectoris fall into the ACS category, but have a relatively low risk </w:t>
      </w:r>
      <w:r>
        <w:rPr>
          <w:rFonts w:ascii="Calibri" w:hAnsi="Calibri" w:cs="Calibri"/>
          <w:sz w:val="22"/>
          <w:szCs w:val="22"/>
        </w:rPr>
        <w:t>of ischemia compared to NSTEMI</w:t>
      </w:r>
      <w:r>
        <w:rPr>
          <w:rFonts w:ascii="Calibri" w:hAnsi="Calibri" w:cs="Calibri"/>
          <w:sz w:val="22"/>
          <w:szCs w:val="22"/>
        </w:rPr>
        <w:t xml:space="preserve">, therefore, how to optimize the post-PCI antiplatelet regimen of elderly UAP patients is still difficult. </w:t>
      </w:r>
      <w:r>
        <w:rPr>
          <w:rFonts w:ascii="Calibri" w:hAnsi="Calibri" w:cs="Calibri"/>
          <w:sz w:val="22"/>
          <w:szCs w:val="22"/>
        </w:rPr>
        <w:t xml:space="preserve">The latest guidelines suggest that </w:t>
      </w:r>
      <w:proofErr w:type="spellStart"/>
      <w:r>
        <w:rPr>
          <w:rFonts w:ascii="Calibri" w:hAnsi="Calibri" w:cs="Calibri"/>
          <w:sz w:val="22"/>
          <w:szCs w:val="22"/>
        </w:rPr>
        <w:t>clopidogrel</w:t>
      </w:r>
      <w:proofErr w:type="spellEnd"/>
      <w:r>
        <w:rPr>
          <w:rFonts w:ascii="Calibri" w:hAnsi="Calibri" w:cs="Calibri"/>
          <w:sz w:val="22"/>
          <w:szCs w:val="22"/>
        </w:rPr>
        <w:t xml:space="preserve"> can be used instead of </w:t>
      </w:r>
      <w:proofErr w:type="spellStart"/>
      <w:r>
        <w:rPr>
          <w:rFonts w:ascii="Calibri" w:hAnsi="Calibri" w:cs="Calibri"/>
          <w:sz w:val="22"/>
          <w:szCs w:val="22"/>
        </w:rPr>
        <w:t>ticagrelor</w:t>
      </w:r>
      <w:proofErr w:type="spellEnd"/>
      <w:r>
        <w:rPr>
          <w:rFonts w:ascii="Calibri" w:hAnsi="Calibri" w:cs="Calibri"/>
          <w:sz w:val="22"/>
          <w:szCs w:val="22"/>
        </w:rPr>
        <w:t xml:space="preserve"> in patients with high bleeding risk or</w:t>
      </w:r>
      <w:r>
        <w:rPr>
          <w:rFonts w:ascii="Calibri" w:hAnsi="Calibri" w:cs="Calibri"/>
          <w:sz w:val="22"/>
          <w:szCs w:val="22"/>
        </w:rPr>
        <w:t xml:space="preserve"> other contraindications.</w:t>
      </w:r>
      <w:r>
        <w:rPr>
          <w:rFonts w:ascii="Calibri" w:hAnsi="Calibri" w:cs="Calibri"/>
          <w:sz w:val="22"/>
          <w:szCs w:val="22"/>
          <w:vertAlign w:val="superscript"/>
        </w:rPr>
        <w:t xml:space="preserve">6 </w:t>
      </w:r>
      <w:r>
        <w:rPr>
          <w:rFonts w:ascii="Calibri" w:hAnsi="Calibri" w:cs="Calibri"/>
          <w:sz w:val="22"/>
          <w:szCs w:val="22"/>
        </w:rPr>
        <w:t xml:space="preserve">A number of studies have shown that in patients receiving DAPT, </w:t>
      </w:r>
      <w:r>
        <w:rPr>
          <w:rFonts w:ascii="Calibri" w:hAnsi="Calibri" w:cs="Calibri"/>
          <w:sz w:val="22"/>
          <w:szCs w:val="22"/>
        </w:rPr>
        <w:lastRenderedPageBreak/>
        <w:t>the value of stopping aspirin 3–6 months after stent implantation depends on a balance between ischemia and bleeding risk.</w:t>
      </w:r>
      <w:r>
        <w:rPr>
          <w:rFonts w:ascii="Calibri" w:hAnsi="Calibri" w:cs="Calibri"/>
          <w:sz w:val="22"/>
          <w:szCs w:val="22"/>
          <w:vertAlign w:val="superscript"/>
        </w:rPr>
        <w:t xml:space="preserve">12,13,14 </w:t>
      </w:r>
      <w:r>
        <w:rPr>
          <w:rFonts w:ascii="Calibri" w:hAnsi="Calibri" w:cs="Calibri"/>
          <w:sz w:val="22"/>
          <w:szCs w:val="22"/>
        </w:rPr>
        <w:t>If DAPT is discontinued 3 or 6 mon</w:t>
      </w:r>
      <w:r>
        <w:rPr>
          <w:rFonts w:ascii="Calibri" w:hAnsi="Calibri" w:cs="Calibri"/>
          <w:sz w:val="22"/>
          <w:szCs w:val="22"/>
        </w:rPr>
        <w:t>ths after PCI, there is an increased risk of stent thrombosis and myocardial infarction, as reported in the OPTIMIZE and EXCELLENT trials.</w:t>
      </w:r>
      <w:r>
        <w:rPr>
          <w:rFonts w:ascii="Calibri" w:hAnsi="Calibri" w:cs="Calibri"/>
          <w:sz w:val="22"/>
          <w:szCs w:val="22"/>
          <w:vertAlign w:val="superscript"/>
        </w:rPr>
        <w:t xml:space="preserve">15,16 </w:t>
      </w:r>
      <w:r>
        <w:rPr>
          <w:rFonts w:ascii="Calibri" w:hAnsi="Calibri" w:cs="Calibri"/>
          <w:sz w:val="22"/>
          <w:szCs w:val="22"/>
        </w:rPr>
        <w:t>Although such short-term DAPT is associated with increased risk of myocardial infarction and stent thrombosis af</w:t>
      </w:r>
      <w:r>
        <w:rPr>
          <w:rFonts w:ascii="Calibri" w:hAnsi="Calibri" w:cs="Calibri"/>
          <w:sz w:val="22"/>
          <w:szCs w:val="22"/>
        </w:rPr>
        <w:t>ter PCI, long-term DAPT increases the risk of bleeding, thus offsetting its advantage for reducing recurrent ischemic events. Therefore, whether long- or short-term DAPT followed by aspirin or other treatments such as P2Y12 inhibitor monotherapy are employ</w:t>
      </w:r>
      <w:r>
        <w:rPr>
          <w:rFonts w:ascii="Calibri" w:hAnsi="Calibri" w:cs="Calibri"/>
          <w:sz w:val="22"/>
          <w:szCs w:val="22"/>
        </w:rPr>
        <w:t>ed after PCI, the results are not completely satisfactory</w:t>
      </w:r>
      <w:r>
        <w:rPr>
          <w:rFonts w:ascii="Calibri" w:hAnsi="Calibri" w:cs="Calibri"/>
          <w:sz w:val="22"/>
          <w:szCs w:val="22"/>
        </w:rPr>
        <w:t xml:space="preserve"> for elderly UAP patients</w:t>
      </w:r>
      <w:r>
        <w:rPr>
          <w:rFonts w:ascii="Calibri" w:hAnsi="Calibri" w:cs="Calibri"/>
          <w:sz w:val="22"/>
          <w:szCs w:val="22"/>
        </w:rPr>
        <w:t>.</w:t>
      </w:r>
      <w:r>
        <w:rPr>
          <w:rFonts w:ascii="Calibri" w:hAnsi="Calibri" w:cs="Calibri"/>
          <w:sz w:val="22"/>
          <w:szCs w:val="22"/>
          <w:vertAlign w:val="superscript"/>
        </w:rPr>
        <w:t>13,17</w:t>
      </w:r>
    </w:p>
    <w:p w:rsidR="00D503AB" w:rsidRDefault="00A80EB3">
      <w:pPr>
        <w:spacing w:line="480" w:lineRule="auto"/>
        <w:jc w:val="left"/>
        <w:rPr>
          <w:rFonts w:ascii="Calibri" w:hAnsi="Calibri" w:cs="Calibri"/>
          <w:sz w:val="22"/>
          <w:szCs w:val="22"/>
        </w:rPr>
      </w:pPr>
      <w:r>
        <w:rPr>
          <w:rFonts w:ascii="Calibri" w:hAnsi="Calibri" w:cs="Calibri"/>
          <w:sz w:val="22"/>
          <w:szCs w:val="22"/>
        </w:rPr>
        <w:t>In order to reduce the risk of bleeding while not increasing the incidence of ischemic events, the recent TWILIGHT study proposed changing the duration of dual antipla</w:t>
      </w:r>
      <w:r>
        <w:rPr>
          <w:rFonts w:ascii="Calibri" w:hAnsi="Calibri" w:cs="Calibri"/>
          <w:sz w:val="22"/>
          <w:szCs w:val="22"/>
        </w:rPr>
        <w:t>telet therapy without increasing the incidence of ischemic events.</w:t>
      </w:r>
      <w:r>
        <w:rPr>
          <w:rFonts w:ascii="Calibri" w:hAnsi="Calibri" w:cs="Calibri"/>
          <w:sz w:val="22"/>
          <w:szCs w:val="22"/>
          <w:vertAlign w:val="superscript"/>
        </w:rPr>
        <w:t xml:space="preserve">12 </w:t>
      </w:r>
      <w:proofErr w:type="spellStart"/>
      <w:r>
        <w:rPr>
          <w:rFonts w:ascii="Calibri" w:hAnsi="Calibri" w:cs="Calibri"/>
          <w:sz w:val="22"/>
          <w:szCs w:val="22"/>
        </w:rPr>
        <w:t>Ticagrelor</w:t>
      </w:r>
      <w:proofErr w:type="spellEnd"/>
      <w:r>
        <w:rPr>
          <w:rFonts w:ascii="Calibri" w:hAnsi="Calibri" w:cs="Calibri"/>
          <w:sz w:val="22"/>
          <w:szCs w:val="22"/>
        </w:rPr>
        <w:t xml:space="preserve"> may increase the risk of bleeding in elderly NSTE-ACS patients, but is more effective than </w:t>
      </w:r>
      <w:proofErr w:type="spellStart"/>
      <w:r>
        <w:rPr>
          <w:rFonts w:ascii="Calibri" w:hAnsi="Calibri" w:cs="Calibri"/>
          <w:sz w:val="22"/>
          <w:szCs w:val="22"/>
        </w:rPr>
        <w:t>clopidogrel</w:t>
      </w:r>
      <w:proofErr w:type="spellEnd"/>
      <w:r>
        <w:rPr>
          <w:rFonts w:ascii="Calibri" w:hAnsi="Calibri" w:cs="Calibri"/>
          <w:sz w:val="22"/>
          <w:szCs w:val="22"/>
        </w:rPr>
        <w:t xml:space="preserve"> in reducing ischemic events.</w:t>
      </w:r>
      <w:r>
        <w:rPr>
          <w:rFonts w:ascii="Calibri" w:hAnsi="Calibri" w:cs="Calibri"/>
          <w:sz w:val="22"/>
          <w:szCs w:val="22"/>
        </w:rPr>
        <w:t xml:space="preserve"> </w:t>
      </w:r>
    </w:p>
    <w:p w:rsidR="00D503AB" w:rsidRDefault="00A80EB3">
      <w:pPr>
        <w:spacing w:line="480" w:lineRule="auto"/>
        <w:jc w:val="left"/>
        <w:rPr>
          <w:rFonts w:ascii="Calibri" w:hAnsi="Calibri" w:cs="Calibri"/>
          <w:sz w:val="22"/>
          <w:szCs w:val="22"/>
        </w:rPr>
      </w:pPr>
      <w:r>
        <w:rPr>
          <w:rFonts w:ascii="Calibri" w:hAnsi="Calibri" w:cs="Calibri"/>
          <w:sz w:val="22"/>
          <w:szCs w:val="22"/>
        </w:rPr>
        <w:t xml:space="preserve">Fig.1 </w:t>
      </w:r>
      <w:r>
        <w:rPr>
          <w:rFonts w:ascii="Calibri" w:hAnsi="Calibri" w:cs="Calibri"/>
          <w:sz w:val="22"/>
          <w:szCs w:val="22"/>
        </w:rPr>
        <w:t>TWILIGHT study</w:t>
      </w:r>
    </w:p>
    <w:p w:rsidR="00D503AB" w:rsidRDefault="00A80EB3">
      <w:pPr>
        <w:spacing w:line="480" w:lineRule="auto"/>
        <w:jc w:val="left"/>
        <w:rPr>
          <w:rFonts w:ascii="Calibri" w:hAnsi="Calibri" w:cs="Calibri"/>
          <w:sz w:val="22"/>
          <w:szCs w:val="22"/>
        </w:rPr>
      </w:pPr>
      <w:r>
        <w:rPr>
          <w:rFonts w:ascii="Calibri" w:hAnsi="Calibri" w:cs="Calibri"/>
          <w:noProof/>
          <w:lang w:val="en-GB" w:eastAsia="en-GB"/>
        </w:rPr>
        <w:drawing>
          <wp:inline distT="0" distB="0" distL="114300" distR="114300">
            <wp:extent cx="5247005" cy="2526665"/>
            <wp:effectExtent l="0" t="0" r="1270" b="698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6"/>
                    <a:stretch>
                      <a:fillRect/>
                    </a:stretch>
                  </pic:blipFill>
                  <pic:spPr>
                    <a:xfrm>
                      <a:off x="0" y="0"/>
                      <a:ext cx="5247005" cy="2526665"/>
                    </a:xfrm>
                    <a:prstGeom prst="rect">
                      <a:avLst/>
                    </a:prstGeom>
                    <a:noFill/>
                    <a:ln>
                      <a:noFill/>
                    </a:ln>
                  </pic:spPr>
                </pic:pic>
              </a:graphicData>
            </a:graphic>
          </wp:inline>
        </w:drawing>
      </w:r>
    </w:p>
    <w:p w:rsidR="00D503AB" w:rsidRDefault="00A80EB3">
      <w:pPr>
        <w:spacing w:line="480" w:lineRule="auto"/>
        <w:jc w:val="left"/>
        <w:rPr>
          <w:rFonts w:ascii="Calibri" w:hAnsi="Calibri" w:cs="Calibri"/>
        </w:rPr>
      </w:pPr>
      <w:r>
        <w:rPr>
          <w:rFonts w:ascii="Calibri" w:hAnsi="Calibri" w:cs="Calibri"/>
          <w:sz w:val="22"/>
          <w:szCs w:val="22"/>
        </w:rPr>
        <w:t>However, the above s</w:t>
      </w:r>
      <w:r>
        <w:rPr>
          <w:rFonts w:ascii="Calibri" w:hAnsi="Calibri" w:cs="Calibri"/>
          <w:sz w:val="22"/>
          <w:szCs w:val="22"/>
        </w:rPr>
        <w:t xml:space="preserve">tudy is aimed at patients with high ischemic risk. The antiplatelet </w:t>
      </w:r>
      <w:r>
        <w:rPr>
          <w:rFonts w:ascii="Calibri" w:hAnsi="Calibri" w:cs="Calibri"/>
          <w:sz w:val="22"/>
          <w:szCs w:val="22"/>
        </w:rPr>
        <w:lastRenderedPageBreak/>
        <w:t xml:space="preserve">regimen of elderly UAP patients, who have low ischemic risk and high bleeding risk at once is unclear. </w:t>
      </w:r>
      <w:r>
        <w:rPr>
          <w:rFonts w:ascii="Calibri" w:hAnsi="Calibri" w:cs="Calibri"/>
          <w:sz w:val="22"/>
          <w:szCs w:val="22"/>
        </w:rPr>
        <w:t xml:space="preserve">Therefore, the purpose of our study was to compare bleeding events and the incidence </w:t>
      </w:r>
      <w:r>
        <w:rPr>
          <w:rFonts w:ascii="Calibri" w:hAnsi="Calibri" w:cs="Calibri"/>
          <w:sz w:val="22"/>
          <w:szCs w:val="22"/>
        </w:rPr>
        <w:t>of major adverse cardiovascular and cerebrovascular events (MACCE) between short-term (</w:t>
      </w:r>
      <w:proofErr w:type="spellStart"/>
      <w:r>
        <w:rPr>
          <w:rFonts w:ascii="Calibri" w:hAnsi="Calibri" w:cs="Calibri"/>
          <w:bCs/>
          <w:sz w:val="22"/>
          <w:szCs w:val="22"/>
        </w:rPr>
        <w:t>ticagrelor</w:t>
      </w:r>
      <w:proofErr w:type="spellEnd"/>
      <w:r>
        <w:rPr>
          <w:rFonts w:ascii="Calibri" w:hAnsi="Calibri" w:cs="Calibri"/>
          <w:bCs/>
          <w:sz w:val="22"/>
          <w:szCs w:val="22"/>
        </w:rPr>
        <w:t xml:space="preserve"> 90 mg bid + aspirin 100 mg </w:t>
      </w:r>
      <w:proofErr w:type="spellStart"/>
      <w:r>
        <w:rPr>
          <w:rFonts w:ascii="Calibri" w:hAnsi="Calibri" w:cs="Calibri"/>
          <w:bCs/>
          <w:sz w:val="22"/>
          <w:szCs w:val="22"/>
        </w:rPr>
        <w:t>qd</w:t>
      </w:r>
      <w:proofErr w:type="spellEnd"/>
      <w:r>
        <w:rPr>
          <w:rFonts w:ascii="Calibri" w:hAnsi="Calibri" w:cs="Calibri"/>
          <w:sz w:val="22"/>
          <w:szCs w:val="22"/>
        </w:rPr>
        <w:t>) and long-term (</w:t>
      </w:r>
      <w:proofErr w:type="spellStart"/>
      <w:r>
        <w:rPr>
          <w:rFonts w:ascii="Calibri" w:hAnsi="Calibri" w:cs="Calibri"/>
          <w:bCs/>
          <w:sz w:val="22"/>
          <w:szCs w:val="22"/>
        </w:rPr>
        <w:t>clopidogrel</w:t>
      </w:r>
      <w:proofErr w:type="spellEnd"/>
      <w:r>
        <w:rPr>
          <w:rFonts w:ascii="Calibri" w:hAnsi="Calibri" w:cs="Calibri"/>
          <w:bCs/>
          <w:sz w:val="22"/>
          <w:szCs w:val="22"/>
        </w:rPr>
        <w:t xml:space="preserve"> 75 mg </w:t>
      </w:r>
      <w:proofErr w:type="spellStart"/>
      <w:r>
        <w:rPr>
          <w:rFonts w:ascii="Calibri" w:hAnsi="Calibri" w:cs="Calibri"/>
          <w:bCs/>
          <w:sz w:val="22"/>
          <w:szCs w:val="22"/>
        </w:rPr>
        <w:t>qd</w:t>
      </w:r>
      <w:proofErr w:type="spellEnd"/>
      <w:r>
        <w:rPr>
          <w:rFonts w:ascii="Calibri" w:hAnsi="Calibri" w:cs="Calibri"/>
          <w:bCs/>
          <w:sz w:val="22"/>
          <w:szCs w:val="22"/>
        </w:rPr>
        <w:t xml:space="preserve"> </w:t>
      </w:r>
      <w:bookmarkStart w:id="3" w:name="__DdeLink__16645_1720292532"/>
      <w:r>
        <w:rPr>
          <w:rFonts w:ascii="Calibri" w:hAnsi="Calibri" w:cs="Calibri"/>
          <w:bCs/>
          <w:sz w:val="22"/>
          <w:szCs w:val="22"/>
        </w:rPr>
        <w:t>+ aspirin</w:t>
      </w:r>
      <w:bookmarkEnd w:id="3"/>
      <w:r>
        <w:rPr>
          <w:rFonts w:ascii="Calibri" w:hAnsi="Calibri" w:cs="Calibri"/>
          <w:bCs/>
          <w:sz w:val="22"/>
          <w:szCs w:val="22"/>
        </w:rPr>
        <w:t xml:space="preserve"> 100 mg </w:t>
      </w:r>
      <w:proofErr w:type="spellStart"/>
      <w:r>
        <w:rPr>
          <w:rFonts w:ascii="Calibri" w:hAnsi="Calibri" w:cs="Calibri"/>
          <w:bCs/>
          <w:sz w:val="22"/>
          <w:szCs w:val="22"/>
        </w:rPr>
        <w:t>qd</w:t>
      </w:r>
      <w:proofErr w:type="spellEnd"/>
      <w:r>
        <w:rPr>
          <w:rFonts w:ascii="Calibri" w:hAnsi="Calibri" w:cs="Calibri"/>
          <w:sz w:val="22"/>
          <w:szCs w:val="22"/>
        </w:rPr>
        <w:t xml:space="preserve">) DAPT after elective PCI in elderly patients with </w:t>
      </w:r>
      <w:r>
        <w:rPr>
          <w:rFonts w:ascii="Calibri" w:hAnsi="Calibri" w:cs="Calibri"/>
          <w:sz w:val="22"/>
          <w:szCs w:val="22"/>
        </w:rPr>
        <w:t>UAP</w:t>
      </w:r>
      <w:r>
        <w:rPr>
          <w:rFonts w:ascii="Calibri" w:hAnsi="Calibri" w:cs="Calibri"/>
          <w:sz w:val="22"/>
          <w:szCs w:val="22"/>
        </w:rPr>
        <w:t>.</w:t>
      </w:r>
    </w:p>
    <w:p w:rsidR="00D503AB" w:rsidRDefault="00A80EB3">
      <w:pPr>
        <w:numPr>
          <w:ilvl w:val="0"/>
          <w:numId w:val="1"/>
        </w:numPr>
        <w:spacing w:before="87" w:line="480" w:lineRule="auto"/>
        <w:jc w:val="left"/>
        <w:rPr>
          <w:rFonts w:ascii="Calibri" w:hAnsi="Calibri" w:cs="Calibri"/>
          <w:bCs/>
          <w:sz w:val="22"/>
          <w:szCs w:val="22"/>
        </w:rPr>
      </w:pPr>
      <w:r>
        <w:rPr>
          <w:rFonts w:ascii="Calibri" w:hAnsi="Calibri" w:cs="Calibri"/>
          <w:b/>
          <w:bCs/>
          <w:sz w:val="22"/>
          <w:szCs w:val="22"/>
        </w:rPr>
        <w:t>Study design and</w:t>
      </w:r>
      <w:r>
        <w:rPr>
          <w:rFonts w:ascii="Calibri" w:hAnsi="Calibri" w:cs="Calibri"/>
          <w:b/>
          <w:bCs/>
          <w:sz w:val="22"/>
          <w:szCs w:val="22"/>
        </w:rPr>
        <w:t xml:space="preserve"> participants:</w:t>
      </w:r>
    </w:p>
    <w:p w:rsidR="00D503AB" w:rsidRDefault="00A80EB3">
      <w:pPr>
        <w:spacing w:before="87" w:line="480" w:lineRule="auto"/>
        <w:jc w:val="left"/>
        <w:rPr>
          <w:rFonts w:ascii="Calibri" w:hAnsi="Calibri" w:cs="Calibri"/>
          <w:b/>
          <w:bCs/>
          <w:i/>
          <w:iCs/>
          <w:sz w:val="22"/>
          <w:szCs w:val="22"/>
        </w:rPr>
      </w:pPr>
      <w:r>
        <w:rPr>
          <w:rFonts w:ascii="Calibri" w:hAnsi="Calibri" w:cs="Calibri"/>
          <w:bCs/>
          <w:sz w:val="22"/>
          <w:szCs w:val="22"/>
        </w:rPr>
        <w:t>We're going to collect 200</w:t>
      </w:r>
      <w:r>
        <w:rPr>
          <w:rFonts w:ascii="Calibri" w:hAnsi="Calibri" w:cs="Calibri"/>
          <w:bCs/>
          <w:sz w:val="22"/>
          <w:szCs w:val="22"/>
        </w:rPr>
        <w:t xml:space="preserve"> patients with </w:t>
      </w:r>
      <w:r>
        <w:rPr>
          <w:rFonts w:ascii="Calibri" w:hAnsi="Calibri" w:cs="Calibri"/>
          <w:bCs/>
          <w:sz w:val="22"/>
          <w:szCs w:val="22"/>
        </w:rPr>
        <w:t>UAP</w:t>
      </w:r>
      <w:r>
        <w:rPr>
          <w:rFonts w:ascii="Calibri" w:hAnsi="Calibri" w:cs="Calibri"/>
          <w:bCs/>
          <w:sz w:val="22"/>
          <w:szCs w:val="22"/>
        </w:rPr>
        <w:t xml:space="preserve"> over 65 years of ag</w:t>
      </w:r>
      <w:r>
        <w:rPr>
          <w:rFonts w:ascii="Calibri" w:hAnsi="Calibri" w:cs="Calibri"/>
          <w:bCs/>
          <w:sz w:val="22"/>
          <w:szCs w:val="22"/>
        </w:rPr>
        <w:t>e</w:t>
      </w:r>
      <w:r>
        <w:rPr>
          <w:rFonts w:ascii="Calibri" w:hAnsi="Calibri" w:cs="Calibri"/>
          <w:bCs/>
          <w:sz w:val="22"/>
          <w:szCs w:val="22"/>
        </w:rPr>
        <w:t xml:space="preserve">. Elective coronary angiography and successful stent implantation were performed, and there </w:t>
      </w:r>
      <w:r>
        <w:rPr>
          <w:rFonts w:ascii="Calibri" w:hAnsi="Calibri" w:cs="Calibri"/>
          <w:bCs/>
          <w:sz w:val="22"/>
          <w:szCs w:val="22"/>
        </w:rPr>
        <w:t>will have</w:t>
      </w:r>
      <w:r>
        <w:rPr>
          <w:rFonts w:ascii="Calibri" w:hAnsi="Calibri" w:cs="Calibri"/>
          <w:bCs/>
          <w:sz w:val="22"/>
          <w:szCs w:val="22"/>
        </w:rPr>
        <w:t xml:space="preserve"> no complications in the perioperative period. After PCI, patients</w:t>
      </w:r>
      <w:r>
        <w:rPr>
          <w:rFonts w:ascii="Calibri" w:hAnsi="Calibri" w:cs="Calibri"/>
          <w:bCs/>
          <w:sz w:val="22"/>
          <w:szCs w:val="22"/>
        </w:rPr>
        <w:t xml:space="preserve"> will be</w:t>
      </w:r>
      <w:r>
        <w:rPr>
          <w:rFonts w:ascii="Calibri" w:hAnsi="Calibri" w:cs="Calibri"/>
          <w:bCs/>
          <w:sz w:val="22"/>
          <w:szCs w:val="22"/>
        </w:rPr>
        <w:t xml:space="preserve"> </w:t>
      </w:r>
      <w:r>
        <w:rPr>
          <w:rFonts w:ascii="Calibri" w:hAnsi="Calibri" w:cs="Calibri"/>
          <w:bCs/>
          <w:sz w:val="22"/>
          <w:szCs w:val="22"/>
        </w:rPr>
        <w:t xml:space="preserve">divided </w:t>
      </w:r>
      <w:r>
        <w:rPr>
          <w:rFonts w:ascii="Calibri" w:hAnsi="Calibri" w:cs="Calibri"/>
          <w:bCs/>
          <w:sz w:val="22"/>
          <w:szCs w:val="22"/>
        </w:rPr>
        <w:t xml:space="preserve">according to </w:t>
      </w:r>
      <w:proofErr w:type="spellStart"/>
      <w:r>
        <w:rPr>
          <w:rFonts w:ascii="Calibri" w:hAnsi="Calibri" w:cs="Calibri"/>
          <w:bCs/>
          <w:sz w:val="22"/>
          <w:szCs w:val="22"/>
        </w:rPr>
        <w:t>preprocedural</w:t>
      </w:r>
      <w:proofErr w:type="spellEnd"/>
      <w:r>
        <w:rPr>
          <w:rFonts w:ascii="Calibri" w:hAnsi="Calibri" w:cs="Calibri"/>
          <w:bCs/>
          <w:sz w:val="22"/>
          <w:szCs w:val="22"/>
        </w:rPr>
        <w:t xml:space="preserve"> antiplatelet therapy </w:t>
      </w:r>
      <w:r>
        <w:rPr>
          <w:rFonts w:ascii="Calibri" w:hAnsi="Calibri" w:cs="Calibri"/>
          <w:bCs/>
          <w:sz w:val="22"/>
          <w:szCs w:val="22"/>
        </w:rPr>
        <w:t xml:space="preserve">into two groups:  </w:t>
      </w:r>
      <w:proofErr w:type="spellStart"/>
      <w:r>
        <w:rPr>
          <w:rFonts w:ascii="Calibri" w:hAnsi="Calibri" w:cs="Calibri"/>
          <w:bCs/>
          <w:sz w:val="22"/>
          <w:szCs w:val="22"/>
        </w:rPr>
        <w:t>ticagrelor</w:t>
      </w:r>
      <w:proofErr w:type="spellEnd"/>
      <w:r>
        <w:rPr>
          <w:rFonts w:ascii="Calibri" w:hAnsi="Calibri" w:cs="Calibri"/>
          <w:bCs/>
          <w:sz w:val="22"/>
          <w:szCs w:val="22"/>
        </w:rPr>
        <w:t xml:space="preserve"> (</w:t>
      </w:r>
      <w:proofErr w:type="spellStart"/>
      <w:r>
        <w:rPr>
          <w:rFonts w:ascii="Calibri" w:hAnsi="Calibri" w:cs="Calibri"/>
          <w:bCs/>
          <w:sz w:val="22"/>
          <w:szCs w:val="22"/>
        </w:rPr>
        <w:t>ticagrelor</w:t>
      </w:r>
      <w:proofErr w:type="spellEnd"/>
      <w:r>
        <w:rPr>
          <w:rFonts w:ascii="Calibri" w:hAnsi="Calibri" w:cs="Calibri"/>
          <w:bCs/>
          <w:sz w:val="22"/>
          <w:szCs w:val="22"/>
        </w:rPr>
        <w:t xml:space="preserve"> 90 mg </w:t>
      </w:r>
      <w:bookmarkStart w:id="4" w:name="__DdeLink__16505_1720292532"/>
      <w:r>
        <w:rPr>
          <w:rFonts w:ascii="Calibri" w:hAnsi="Calibri" w:cs="Calibri"/>
          <w:bCs/>
          <w:sz w:val="22"/>
          <w:szCs w:val="22"/>
        </w:rPr>
        <w:t>bid</w:t>
      </w:r>
      <w:bookmarkEnd w:id="4"/>
      <w:r>
        <w:rPr>
          <w:rFonts w:ascii="Calibri" w:hAnsi="Calibri" w:cs="Calibri"/>
          <w:bCs/>
          <w:sz w:val="22"/>
          <w:szCs w:val="22"/>
        </w:rPr>
        <w:t xml:space="preserve">, with aspirin 100 mg </w:t>
      </w:r>
      <w:proofErr w:type="spellStart"/>
      <w:r>
        <w:rPr>
          <w:rFonts w:ascii="Calibri" w:hAnsi="Calibri" w:cs="Calibri"/>
          <w:bCs/>
          <w:sz w:val="22"/>
          <w:szCs w:val="22"/>
        </w:rPr>
        <w:t>qd</w:t>
      </w:r>
      <w:proofErr w:type="spellEnd"/>
      <w:r>
        <w:rPr>
          <w:rFonts w:ascii="Calibri" w:hAnsi="Calibri" w:cs="Calibri"/>
          <w:bCs/>
          <w:sz w:val="22"/>
          <w:szCs w:val="22"/>
        </w:rPr>
        <w:t xml:space="preserve"> early during treatment) and </w:t>
      </w:r>
      <w:proofErr w:type="spellStart"/>
      <w:r>
        <w:rPr>
          <w:rFonts w:ascii="Calibri" w:hAnsi="Calibri" w:cs="Calibri"/>
          <w:bCs/>
          <w:sz w:val="22"/>
          <w:szCs w:val="22"/>
        </w:rPr>
        <w:t>clopidogrel</w:t>
      </w:r>
      <w:proofErr w:type="spellEnd"/>
      <w:r>
        <w:rPr>
          <w:rFonts w:ascii="Calibri" w:hAnsi="Calibri" w:cs="Calibri"/>
          <w:bCs/>
          <w:sz w:val="22"/>
          <w:szCs w:val="22"/>
        </w:rPr>
        <w:t xml:space="preserve"> (</w:t>
      </w:r>
      <w:proofErr w:type="spellStart"/>
      <w:r>
        <w:rPr>
          <w:rFonts w:ascii="Calibri" w:hAnsi="Calibri" w:cs="Calibri"/>
          <w:bCs/>
          <w:sz w:val="22"/>
          <w:szCs w:val="22"/>
        </w:rPr>
        <w:t>clopidogrel</w:t>
      </w:r>
      <w:proofErr w:type="spellEnd"/>
      <w:r>
        <w:rPr>
          <w:rFonts w:ascii="Calibri" w:hAnsi="Calibri" w:cs="Calibri"/>
          <w:bCs/>
          <w:sz w:val="22"/>
          <w:szCs w:val="22"/>
        </w:rPr>
        <w:t xml:space="preserve"> 75 mg </w:t>
      </w:r>
      <w:proofErr w:type="spellStart"/>
      <w:r>
        <w:rPr>
          <w:rFonts w:ascii="Calibri" w:hAnsi="Calibri" w:cs="Calibri"/>
          <w:bCs/>
          <w:sz w:val="22"/>
          <w:szCs w:val="22"/>
        </w:rPr>
        <w:t>qd</w:t>
      </w:r>
      <w:proofErr w:type="spellEnd"/>
      <w:r>
        <w:rPr>
          <w:rFonts w:ascii="Calibri" w:hAnsi="Calibri" w:cs="Calibri"/>
          <w:bCs/>
          <w:sz w:val="22"/>
          <w:szCs w:val="22"/>
        </w:rPr>
        <w:t xml:space="preserve"> + aspirin 100 mg </w:t>
      </w:r>
      <w:proofErr w:type="spellStart"/>
      <w:r>
        <w:rPr>
          <w:rFonts w:ascii="Calibri" w:hAnsi="Calibri" w:cs="Calibri"/>
          <w:bCs/>
          <w:sz w:val="22"/>
          <w:szCs w:val="22"/>
        </w:rPr>
        <w:t>qd</w:t>
      </w:r>
      <w:proofErr w:type="spellEnd"/>
      <w:r>
        <w:rPr>
          <w:rFonts w:ascii="Calibri" w:hAnsi="Calibri" w:cs="Calibri"/>
          <w:bCs/>
          <w:sz w:val="22"/>
          <w:szCs w:val="22"/>
        </w:rPr>
        <w:t xml:space="preserve">). Patients in the </w:t>
      </w:r>
      <w:proofErr w:type="spellStart"/>
      <w:r>
        <w:rPr>
          <w:rFonts w:ascii="Calibri" w:hAnsi="Calibri" w:cs="Calibri"/>
          <w:bCs/>
          <w:sz w:val="22"/>
          <w:szCs w:val="22"/>
        </w:rPr>
        <w:t>ticagrelor</w:t>
      </w:r>
      <w:proofErr w:type="spellEnd"/>
      <w:r>
        <w:rPr>
          <w:rFonts w:ascii="Calibri" w:hAnsi="Calibri" w:cs="Calibri"/>
          <w:bCs/>
          <w:sz w:val="22"/>
          <w:szCs w:val="22"/>
        </w:rPr>
        <w:t xml:space="preserve"> group</w:t>
      </w:r>
      <w:r>
        <w:rPr>
          <w:rFonts w:ascii="Calibri" w:hAnsi="Calibri" w:cs="Calibri"/>
          <w:bCs/>
          <w:sz w:val="22"/>
          <w:szCs w:val="22"/>
        </w:rPr>
        <w:t xml:space="preserve"> will </w:t>
      </w:r>
      <w:r>
        <w:rPr>
          <w:rFonts w:ascii="Calibri" w:hAnsi="Calibri" w:cs="Calibri"/>
          <w:bCs/>
          <w:sz w:val="22"/>
          <w:szCs w:val="22"/>
        </w:rPr>
        <w:t>rec</w:t>
      </w:r>
      <w:r>
        <w:rPr>
          <w:rFonts w:ascii="Calibri" w:hAnsi="Calibri" w:cs="Calibri"/>
          <w:bCs/>
          <w:sz w:val="22"/>
          <w:szCs w:val="22"/>
        </w:rPr>
        <w:t>eive aspirin for up to 3 months after PCI</w:t>
      </w:r>
      <w:bookmarkStart w:id="5" w:name="__DdeLink__17504_1720292532"/>
      <w:r>
        <w:rPr>
          <w:rFonts w:ascii="Calibri" w:hAnsi="Calibri" w:cs="Calibri"/>
          <w:bCs/>
          <w:sz w:val="22"/>
          <w:szCs w:val="22"/>
        </w:rPr>
        <w:t xml:space="preserve"> unless there </w:t>
      </w:r>
      <w:r>
        <w:rPr>
          <w:rFonts w:ascii="Calibri" w:hAnsi="Calibri" w:cs="Calibri"/>
          <w:bCs/>
          <w:sz w:val="22"/>
          <w:szCs w:val="22"/>
        </w:rPr>
        <w:t>have</w:t>
      </w:r>
      <w:r>
        <w:rPr>
          <w:rFonts w:ascii="Calibri" w:hAnsi="Calibri" w:cs="Calibri"/>
          <w:bCs/>
          <w:sz w:val="22"/>
          <w:szCs w:val="22"/>
        </w:rPr>
        <w:t xml:space="preserve"> major </w:t>
      </w:r>
      <w:bookmarkStart w:id="6" w:name="__DdeLink__16549_1720292532"/>
      <w:r>
        <w:rPr>
          <w:rFonts w:ascii="Calibri" w:hAnsi="Calibri" w:cs="Calibri"/>
          <w:bCs/>
          <w:sz w:val="22"/>
          <w:szCs w:val="22"/>
        </w:rPr>
        <w:t>bleeding</w:t>
      </w:r>
      <w:bookmarkEnd w:id="5"/>
      <w:bookmarkEnd w:id="6"/>
      <w:r>
        <w:rPr>
          <w:rFonts w:ascii="Calibri" w:hAnsi="Calibri" w:cs="Calibri"/>
          <w:bCs/>
          <w:sz w:val="22"/>
          <w:szCs w:val="22"/>
        </w:rPr>
        <w:t xml:space="preserve"> or </w:t>
      </w:r>
      <w:r>
        <w:rPr>
          <w:rFonts w:ascii="Calibri" w:hAnsi="Calibri" w:cs="Calibri"/>
          <w:bCs/>
          <w:sz w:val="22"/>
          <w:szCs w:val="22"/>
        </w:rPr>
        <w:t xml:space="preserve">major adverse cardiovascular and cerebrovascular events (MACCE), at which point aspirin </w:t>
      </w:r>
      <w:r>
        <w:rPr>
          <w:rFonts w:ascii="Calibri" w:hAnsi="Calibri" w:cs="Calibri"/>
          <w:bCs/>
          <w:sz w:val="22"/>
          <w:szCs w:val="22"/>
        </w:rPr>
        <w:t>is</w:t>
      </w:r>
      <w:r>
        <w:rPr>
          <w:rFonts w:ascii="Calibri" w:hAnsi="Calibri" w:cs="Calibri"/>
          <w:bCs/>
          <w:sz w:val="22"/>
          <w:szCs w:val="22"/>
        </w:rPr>
        <w:t xml:space="preserve"> discontinued and </w:t>
      </w:r>
      <w:proofErr w:type="spellStart"/>
      <w:r>
        <w:rPr>
          <w:rFonts w:ascii="Calibri" w:hAnsi="Calibri" w:cs="Calibri"/>
          <w:bCs/>
          <w:sz w:val="22"/>
          <w:szCs w:val="22"/>
        </w:rPr>
        <w:t>ticagrelor</w:t>
      </w:r>
      <w:proofErr w:type="spellEnd"/>
      <w:r>
        <w:rPr>
          <w:rFonts w:ascii="Calibri" w:hAnsi="Calibri" w:cs="Calibri"/>
          <w:bCs/>
          <w:sz w:val="22"/>
          <w:szCs w:val="22"/>
        </w:rPr>
        <w:t xml:space="preserve"> (90 mg bid) </w:t>
      </w:r>
      <w:bookmarkStart w:id="7" w:name="__DdeLink__16691_1720292532"/>
      <w:r>
        <w:rPr>
          <w:rFonts w:ascii="Calibri" w:hAnsi="Calibri" w:cs="Calibri"/>
          <w:bCs/>
          <w:sz w:val="22"/>
          <w:szCs w:val="22"/>
        </w:rPr>
        <w:t>monotherapy</w:t>
      </w:r>
      <w:bookmarkEnd w:id="7"/>
      <w:r>
        <w:rPr>
          <w:rFonts w:ascii="Calibri" w:hAnsi="Calibri" w:cs="Calibri"/>
          <w:bCs/>
          <w:sz w:val="22"/>
          <w:szCs w:val="22"/>
        </w:rPr>
        <w:t xml:space="preserve"> </w:t>
      </w:r>
      <w:r>
        <w:rPr>
          <w:rFonts w:ascii="Calibri" w:hAnsi="Calibri" w:cs="Calibri"/>
          <w:bCs/>
          <w:sz w:val="22"/>
          <w:szCs w:val="22"/>
        </w:rPr>
        <w:t>will be</w:t>
      </w:r>
      <w:r>
        <w:rPr>
          <w:rFonts w:ascii="Calibri" w:hAnsi="Calibri" w:cs="Calibri"/>
          <w:bCs/>
          <w:sz w:val="22"/>
          <w:szCs w:val="22"/>
        </w:rPr>
        <w:t xml:space="preserve"> administered for the remain</w:t>
      </w:r>
      <w:r>
        <w:rPr>
          <w:rFonts w:ascii="Calibri" w:hAnsi="Calibri" w:cs="Calibri"/>
          <w:bCs/>
          <w:sz w:val="22"/>
          <w:szCs w:val="22"/>
        </w:rPr>
        <w:t xml:space="preserve">der of a </w:t>
      </w:r>
      <w:proofErr w:type="gramStart"/>
      <w:r>
        <w:rPr>
          <w:rFonts w:ascii="Calibri" w:hAnsi="Calibri" w:cs="Calibri"/>
          <w:bCs/>
          <w:sz w:val="22"/>
          <w:szCs w:val="22"/>
        </w:rPr>
        <w:t>12 month</w:t>
      </w:r>
      <w:proofErr w:type="gramEnd"/>
      <w:r>
        <w:rPr>
          <w:rFonts w:ascii="Calibri" w:hAnsi="Calibri" w:cs="Calibri"/>
          <w:bCs/>
          <w:sz w:val="22"/>
          <w:szCs w:val="22"/>
        </w:rPr>
        <w:t xml:space="preserve"> course; treatment for the </w:t>
      </w:r>
      <w:proofErr w:type="spellStart"/>
      <w:r>
        <w:rPr>
          <w:rFonts w:ascii="Calibri" w:hAnsi="Calibri" w:cs="Calibri"/>
          <w:bCs/>
          <w:sz w:val="22"/>
          <w:szCs w:val="22"/>
        </w:rPr>
        <w:t>clopidogrel</w:t>
      </w:r>
      <w:proofErr w:type="spellEnd"/>
      <w:r>
        <w:rPr>
          <w:rFonts w:ascii="Calibri" w:hAnsi="Calibri" w:cs="Calibri"/>
          <w:bCs/>
          <w:sz w:val="22"/>
          <w:szCs w:val="22"/>
        </w:rPr>
        <w:t xml:space="preserve"> group </w:t>
      </w:r>
      <w:r>
        <w:rPr>
          <w:rFonts w:ascii="Calibri" w:hAnsi="Calibri" w:cs="Calibri"/>
          <w:bCs/>
          <w:sz w:val="22"/>
          <w:szCs w:val="22"/>
        </w:rPr>
        <w:t>will be</w:t>
      </w:r>
      <w:r>
        <w:rPr>
          <w:rFonts w:ascii="Calibri" w:hAnsi="Calibri" w:cs="Calibri"/>
          <w:bCs/>
          <w:sz w:val="22"/>
          <w:szCs w:val="22"/>
        </w:rPr>
        <w:t xml:space="preserve"> unchanged over the entire 12 months. The two groups </w:t>
      </w:r>
      <w:proofErr w:type="gramStart"/>
      <w:r>
        <w:rPr>
          <w:rFonts w:ascii="Calibri" w:hAnsi="Calibri" w:cs="Calibri"/>
          <w:bCs/>
          <w:sz w:val="22"/>
          <w:szCs w:val="22"/>
        </w:rPr>
        <w:t xml:space="preserve">will </w:t>
      </w:r>
      <w:r>
        <w:rPr>
          <w:rFonts w:ascii="Calibri" w:hAnsi="Calibri" w:cs="Calibri"/>
          <w:bCs/>
          <w:sz w:val="22"/>
          <w:szCs w:val="22"/>
        </w:rPr>
        <w:t xml:space="preserve"> compare</w:t>
      </w:r>
      <w:proofErr w:type="gramEnd"/>
      <w:r>
        <w:rPr>
          <w:rFonts w:ascii="Calibri" w:hAnsi="Calibri" w:cs="Calibri"/>
          <w:bCs/>
          <w:sz w:val="22"/>
          <w:szCs w:val="22"/>
        </w:rPr>
        <w:t xml:space="preserve"> for the incidence of bleeding and </w:t>
      </w:r>
      <w:bookmarkStart w:id="8" w:name="__DdeLink__16821_1720292532"/>
      <w:r>
        <w:rPr>
          <w:rFonts w:ascii="Calibri" w:hAnsi="Calibri" w:cs="Calibri"/>
          <w:bCs/>
          <w:sz w:val="22"/>
          <w:szCs w:val="22"/>
        </w:rPr>
        <w:t>MACCE</w:t>
      </w:r>
      <w:bookmarkEnd w:id="8"/>
      <w:r>
        <w:rPr>
          <w:rFonts w:ascii="Calibri" w:hAnsi="Calibri" w:cs="Calibri"/>
          <w:bCs/>
          <w:sz w:val="22"/>
          <w:szCs w:val="22"/>
        </w:rPr>
        <w:t>.</w:t>
      </w:r>
    </w:p>
    <w:p w:rsidR="00D503AB" w:rsidRDefault="00A80EB3">
      <w:pPr>
        <w:numPr>
          <w:ilvl w:val="0"/>
          <w:numId w:val="1"/>
        </w:numPr>
        <w:spacing w:before="87" w:line="480" w:lineRule="auto"/>
        <w:jc w:val="left"/>
        <w:rPr>
          <w:rFonts w:ascii="Calibri" w:hAnsi="Calibri" w:cs="Calibri"/>
          <w:b/>
          <w:bCs/>
          <w:sz w:val="22"/>
          <w:szCs w:val="22"/>
        </w:rPr>
      </w:pPr>
      <w:r>
        <w:rPr>
          <w:rFonts w:ascii="Calibri" w:hAnsi="Calibri" w:cs="Calibri"/>
          <w:b/>
          <w:bCs/>
          <w:color w:val="000000"/>
          <w:sz w:val="22"/>
          <w:szCs w:val="22"/>
        </w:rPr>
        <w:t xml:space="preserve">   </w:t>
      </w:r>
      <w:r>
        <w:rPr>
          <w:rFonts w:ascii="Calibri" w:hAnsi="Calibri" w:cs="Calibri"/>
          <w:b/>
          <w:bCs/>
          <w:sz w:val="22"/>
          <w:szCs w:val="22"/>
        </w:rPr>
        <w:t>Follow-up and endpoints</w:t>
      </w:r>
    </w:p>
    <w:p w:rsidR="00D503AB" w:rsidRDefault="00A80EB3">
      <w:pPr>
        <w:spacing w:before="87" w:line="480" w:lineRule="auto"/>
        <w:jc w:val="left"/>
        <w:rPr>
          <w:rFonts w:ascii="Calibri" w:hAnsi="Calibri" w:cs="Calibri"/>
          <w:bCs/>
          <w:sz w:val="22"/>
          <w:szCs w:val="22"/>
        </w:rPr>
      </w:pPr>
      <w:r>
        <w:rPr>
          <w:rFonts w:ascii="Calibri" w:hAnsi="Calibri" w:cs="Calibri"/>
          <w:color w:val="000000"/>
          <w:sz w:val="22"/>
          <w:szCs w:val="22"/>
        </w:rPr>
        <w:t xml:space="preserve">At 1, 3 and 6 months after treatment, there </w:t>
      </w:r>
      <w:r>
        <w:rPr>
          <w:rFonts w:ascii="Calibri" w:hAnsi="Calibri" w:cs="Calibri"/>
          <w:color w:val="000000"/>
          <w:sz w:val="22"/>
          <w:szCs w:val="22"/>
        </w:rPr>
        <w:t>will</w:t>
      </w:r>
      <w:r>
        <w:rPr>
          <w:rFonts w:ascii="Calibri" w:hAnsi="Calibri" w:cs="Calibri"/>
          <w:color w:val="000000"/>
          <w:sz w:val="22"/>
          <w:szCs w:val="22"/>
        </w:rPr>
        <w:t xml:space="preserve"> follow up with all patients by telephone, outpatient service and hospitalization. Laboratory examination, electrocardiography, and coronary artery CT or angiography were performed at 12 months after the procedure. The primary endpoints </w:t>
      </w:r>
      <w:r>
        <w:rPr>
          <w:rFonts w:ascii="Calibri" w:hAnsi="Calibri" w:cs="Calibri"/>
          <w:color w:val="000000"/>
          <w:sz w:val="22"/>
          <w:szCs w:val="22"/>
        </w:rPr>
        <w:t>are</w:t>
      </w:r>
      <w:r>
        <w:rPr>
          <w:rFonts w:ascii="Calibri" w:hAnsi="Calibri" w:cs="Calibri"/>
          <w:color w:val="000000"/>
          <w:sz w:val="22"/>
          <w:szCs w:val="22"/>
        </w:rPr>
        <w:t xml:space="preserve"> fatal bleeding </w:t>
      </w:r>
      <w:r>
        <w:rPr>
          <w:rFonts w:ascii="Calibri" w:hAnsi="Calibri" w:cs="Calibri"/>
          <w:color w:val="000000"/>
          <w:sz w:val="22"/>
          <w:szCs w:val="22"/>
        </w:rPr>
        <w:t xml:space="preserve">events and MACCE. Major bleeding </w:t>
      </w:r>
      <w:r>
        <w:rPr>
          <w:rFonts w:ascii="Calibri" w:hAnsi="Calibri" w:cs="Calibri"/>
          <w:color w:val="000000"/>
          <w:sz w:val="22"/>
          <w:szCs w:val="22"/>
        </w:rPr>
        <w:t>is</w:t>
      </w:r>
      <w:r>
        <w:rPr>
          <w:rFonts w:ascii="Calibri" w:hAnsi="Calibri" w:cs="Calibri"/>
          <w:color w:val="000000"/>
          <w:sz w:val="22"/>
          <w:szCs w:val="22"/>
        </w:rPr>
        <w:t xml:space="preserve"> defined as </w:t>
      </w:r>
      <w:r>
        <w:rPr>
          <w:rFonts w:ascii="Calibri" w:hAnsi="Calibri" w:cs="Calibri"/>
          <w:color w:val="000000"/>
          <w:sz w:val="22"/>
          <w:szCs w:val="22"/>
        </w:rPr>
        <w:lastRenderedPageBreak/>
        <w:t>Bleeding Academic Research Consortium (BARC) type 3 to 5 bleeding.</w:t>
      </w:r>
      <w:r>
        <w:rPr>
          <w:rFonts w:ascii="Calibri" w:hAnsi="Calibri" w:cs="Calibri"/>
          <w:color w:val="000000"/>
          <w:sz w:val="22"/>
          <w:szCs w:val="22"/>
          <w:vertAlign w:val="superscript"/>
        </w:rPr>
        <w:t>19</w:t>
      </w:r>
      <w:r>
        <w:rPr>
          <w:rFonts w:ascii="Calibri" w:hAnsi="Calibri" w:cs="Calibri"/>
          <w:color w:val="000000"/>
          <w:sz w:val="22"/>
          <w:szCs w:val="22"/>
        </w:rPr>
        <w:t xml:space="preserve">, while MACCE </w:t>
      </w:r>
      <w:r>
        <w:rPr>
          <w:rFonts w:ascii="Calibri" w:hAnsi="Calibri" w:cs="Calibri"/>
          <w:color w:val="000000"/>
          <w:sz w:val="22"/>
          <w:szCs w:val="22"/>
        </w:rPr>
        <w:t>is</w:t>
      </w:r>
      <w:r>
        <w:rPr>
          <w:rFonts w:ascii="Calibri" w:hAnsi="Calibri" w:cs="Calibri"/>
          <w:color w:val="000000"/>
          <w:sz w:val="22"/>
          <w:szCs w:val="22"/>
        </w:rPr>
        <w:t xml:space="preserve"> define</w:t>
      </w:r>
      <w:r>
        <w:rPr>
          <w:rFonts w:ascii="Calibri" w:hAnsi="Calibri" w:cs="Calibri"/>
          <w:color w:val="000000"/>
          <w:sz w:val="22"/>
          <w:szCs w:val="22"/>
        </w:rPr>
        <w:t>d</w:t>
      </w:r>
      <w:r>
        <w:rPr>
          <w:rFonts w:ascii="Calibri" w:hAnsi="Calibri" w:cs="Calibri"/>
          <w:color w:val="000000"/>
          <w:sz w:val="22"/>
          <w:szCs w:val="22"/>
        </w:rPr>
        <w:t xml:space="preserve"> as a composite endpoint that could include cardiac death, non-fatal myocardial infarction, stroke, and target lesion</w:t>
      </w:r>
      <w:r>
        <w:rPr>
          <w:rFonts w:ascii="Calibri" w:hAnsi="Calibri" w:cs="Calibri"/>
          <w:color w:val="000000"/>
          <w:sz w:val="22"/>
          <w:szCs w:val="22"/>
        </w:rPr>
        <w:t xml:space="preserve"> revascularization.</w:t>
      </w:r>
    </w:p>
    <w:p w:rsidR="00D503AB" w:rsidRDefault="00A80EB3">
      <w:pPr>
        <w:numPr>
          <w:ilvl w:val="0"/>
          <w:numId w:val="1"/>
        </w:numPr>
        <w:spacing w:before="87" w:line="480" w:lineRule="auto"/>
        <w:jc w:val="left"/>
        <w:rPr>
          <w:rFonts w:ascii="Calibri" w:hAnsi="Calibri" w:cs="Calibri"/>
          <w:bCs/>
          <w:sz w:val="22"/>
          <w:szCs w:val="22"/>
        </w:rPr>
      </w:pPr>
      <w:r>
        <w:rPr>
          <w:rFonts w:ascii="Calibri" w:hAnsi="Calibri" w:cs="Calibri"/>
          <w:bCs/>
          <w:sz w:val="22"/>
          <w:szCs w:val="22"/>
        </w:rPr>
        <w:t xml:space="preserve"> Flow </w:t>
      </w:r>
      <w:proofErr w:type="spellStart"/>
      <w:r>
        <w:rPr>
          <w:rFonts w:ascii="Calibri" w:hAnsi="Calibri" w:cs="Calibri"/>
          <w:bCs/>
          <w:sz w:val="22"/>
          <w:szCs w:val="22"/>
        </w:rPr>
        <w:t>char</w:t>
      </w:r>
      <w:proofErr w:type="spellEnd"/>
      <w:r>
        <w:rPr>
          <w:rFonts w:ascii="Calibri" w:hAnsi="Calibri" w:cs="Calibri"/>
          <w:bCs/>
          <w:sz w:val="22"/>
          <w:szCs w:val="22"/>
        </w:rPr>
        <w:t>:</w:t>
      </w:r>
    </w:p>
    <w:p w:rsidR="00D503AB" w:rsidRDefault="00A80EB3">
      <w:pPr>
        <w:spacing w:before="87" w:line="480" w:lineRule="auto"/>
        <w:jc w:val="left"/>
        <w:rPr>
          <w:rFonts w:ascii="Calibri" w:hAnsi="Calibri" w:cs="Calibri"/>
          <w:bCs/>
          <w:sz w:val="22"/>
          <w:szCs w:val="22"/>
        </w:rPr>
      </w:pPr>
      <w:r>
        <w:rPr>
          <w:rFonts w:ascii="Calibri" w:hAnsi="Calibri" w:cs="Calibri" w:hint="eastAsia"/>
          <w:bCs/>
          <w:noProof/>
          <w:sz w:val="22"/>
          <w:szCs w:val="22"/>
          <w:lang w:val="en-GB" w:eastAsia="en-GB"/>
        </w:rPr>
        <w:drawing>
          <wp:inline distT="0" distB="0" distL="114300" distR="114300">
            <wp:extent cx="5272405" cy="3816350"/>
            <wp:effectExtent l="0" t="0" r="4445" b="3175"/>
            <wp:docPr id="4" name="图片 4" descr="研究方案-ISR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研究方案-ISR_02"/>
                    <pic:cNvPicPr>
                      <a:picLocks noChangeAspect="1"/>
                    </pic:cNvPicPr>
                  </pic:nvPicPr>
                  <pic:blipFill>
                    <a:blip r:embed="rId7"/>
                    <a:stretch>
                      <a:fillRect/>
                    </a:stretch>
                  </pic:blipFill>
                  <pic:spPr>
                    <a:xfrm>
                      <a:off x="0" y="0"/>
                      <a:ext cx="5272405" cy="3816350"/>
                    </a:xfrm>
                    <a:prstGeom prst="rect">
                      <a:avLst/>
                    </a:prstGeom>
                  </pic:spPr>
                </pic:pic>
              </a:graphicData>
            </a:graphic>
          </wp:inline>
        </w:drawing>
      </w:r>
    </w:p>
    <w:p w:rsidR="00D503AB" w:rsidRDefault="00D503AB">
      <w:pPr>
        <w:spacing w:before="87" w:line="480" w:lineRule="auto"/>
        <w:jc w:val="left"/>
        <w:rPr>
          <w:rFonts w:ascii="Calibri" w:hAnsi="Calibri" w:cs="Calibri"/>
          <w:bCs/>
          <w:sz w:val="22"/>
          <w:szCs w:val="22"/>
        </w:rPr>
      </w:pPr>
    </w:p>
    <w:p w:rsidR="00D503AB" w:rsidRDefault="00D503AB">
      <w:pPr>
        <w:spacing w:before="87" w:line="480" w:lineRule="auto"/>
        <w:jc w:val="left"/>
        <w:rPr>
          <w:rFonts w:ascii="Calibri" w:hAnsi="Calibri" w:cs="Calibri"/>
          <w:b/>
          <w:bCs/>
          <w:sz w:val="22"/>
          <w:szCs w:val="22"/>
        </w:rPr>
      </w:pPr>
    </w:p>
    <w:p w:rsidR="00D503AB" w:rsidRDefault="00D503AB">
      <w:pPr>
        <w:rPr>
          <w:rFonts w:ascii="Calibri" w:hAnsi="Calibri" w:cs="Calibri"/>
          <w:color w:val="212121"/>
          <w:sz w:val="22"/>
          <w:szCs w:val="22"/>
          <w:shd w:val="clear" w:color="auto" w:fill="FFFFFF"/>
        </w:rPr>
      </w:pPr>
    </w:p>
    <w:sectPr w:rsidR="00D503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E29F70"/>
    <w:multiLevelType w:val="singleLevel"/>
    <w:tmpl w:val="94E29F70"/>
    <w:lvl w:ilvl="0">
      <w:start w:val="1"/>
      <w:numFmt w:val="upperRoman"/>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2550FC"/>
    <w:rsid w:val="00A80EB3"/>
    <w:rsid w:val="00D503AB"/>
    <w:rsid w:val="5B255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A08F7A5-DF16-42B7-B030-5CEE1686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Springer Nature</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jeffchai</dc:creator>
  <cp:lastModifiedBy>Robin Packer</cp:lastModifiedBy>
  <cp:revision>2</cp:revision>
  <dcterms:created xsi:type="dcterms:W3CDTF">2021-04-06T13:46:00Z</dcterms:created>
  <dcterms:modified xsi:type="dcterms:W3CDTF">2021-04-06T13:46:00Z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84B8B6654BDA4E10829F8CB6366CBAA2</vt:lpwstr>
  </property>
</Properties>
</file>