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F7" w:rsidRPr="0025278E" w:rsidRDefault="00E70AF7" w:rsidP="00E70AF7">
      <w:pPr>
        <w:spacing w:before="100" w:beforeAutospacing="1" w:after="100" w:afterAutospacing="1" w:line="240" w:lineRule="auto"/>
        <w:rPr>
          <w:rFonts w:eastAsia="Times New Roman"/>
          <w:sz w:val="28"/>
          <w:szCs w:val="24"/>
          <w:lang w:val="en-US" w:eastAsia="fr-FR"/>
        </w:rPr>
      </w:pPr>
      <w:bookmarkStart w:id="0" w:name="_GoBack"/>
      <w:r w:rsidRPr="0025278E">
        <w:rPr>
          <w:rFonts w:eastAsia="Times New Roman"/>
          <w:b/>
          <w:bCs/>
          <w:sz w:val="28"/>
          <w:szCs w:val="24"/>
          <w:lang w:val="en-US" w:eastAsia="fr-FR"/>
        </w:rPr>
        <w:t>Participant Flow</w:t>
      </w:r>
    </w:p>
    <w:bookmarkEnd w:id="0"/>
    <w:p w:rsidR="00457FED" w:rsidRDefault="00C80D1A" w:rsidP="00713E28">
      <w:pPr>
        <w:spacing w:after="0"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  <w:noProof/>
          <w:lang w:eastAsia="en-GB"/>
        </w:rPr>
        <w:drawing>
          <wp:inline distT="0" distB="0" distL="0" distR="0">
            <wp:extent cx="4905375" cy="2743200"/>
            <wp:effectExtent l="0" t="0" r="0" b="19050"/>
            <wp:docPr id="3" name="Organization Chart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F4688" w:rsidRDefault="00DF4688" w:rsidP="00713E28">
      <w:pPr>
        <w:spacing w:after="0" w:line="360" w:lineRule="auto"/>
        <w:rPr>
          <w:rFonts w:ascii="Arial" w:hAnsi="Arial" w:cs="Arial"/>
          <w:b/>
          <w:bCs/>
          <w:iCs/>
        </w:rPr>
      </w:pPr>
    </w:p>
    <w:p w:rsidR="00E70AF7" w:rsidRDefault="00E70AF7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:rsidR="00E70AF7" w:rsidRDefault="00E70AF7" w:rsidP="00E70AF7">
      <w:pPr>
        <w:rPr>
          <w:rFonts w:eastAsia="Times New Roman"/>
          <w:b/>
          <w:sz w:val="28"/>
          <w:szCs w:val="24"/>
          <w:lang w:eastAsia="fr-FR"/>
        </w:rPr>
      </w:pPr>
      <w:r>
        <w:rPr>
          <w:rFonts w:eastAsia="Times New Roman"/>
          <w:b/>
          <w:sz w:val="28"/>
          <w:szCs w:val="24"/>
          <w:lang w:eastAsia="fr-FR"/>
        </w:rPr>
        <w:lastRenderedPageBreak/>
        <w:t>Baseline Characteristics</w:t>
      </w:r>
    </w:p>
    <w:tbl>
      <w:tblPr>
        <w:tblW w:w="10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73"/>
        <w:gridCol w:w="1032"/>
        <w:gridCol w:w="1034"/>
        <w:gridCol w:w="1033"/>
        <w:gridCol w:w="1034"/>
        <w:gridCol w:w="1032"/>
        <w:gridCol w:w="1035"/>
        <w:gridCol w:w="1033"/>
        <w:gridCol w:w="1034"/>
      </w:tblGrid>
      <w:tr w:rsidR="00457FED" w:rsidRPr="00457FED" w:rsidTr="00457FED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IVR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Internet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Missing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Total</w:t>
            </w:r>
          </w:p>
        </w:tc>
      </w:tr>
      <w:tr w:rsidR="00457FED" w:rsidRPr="00457FED" w:rsidTr="005A76F4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E494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%</w:t>
            </w:r>
          </w:p>
        </w:tc>
      </w:tr>
      <w:tr w:rsidR="00457FED" w:rsidRPr="00457FED" w:rsidTr="002A51A5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Age (years): mean (SD)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69 (10)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60 (14)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66 (9)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62 (13)</w:t>
            </w:r>
          </w:p>
        </w:tc>
      </w:tr>
      <w:tr w:rsidR="005A76F4" w:rsidRPr="00457FED" w:rsidTr="002A51A5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53%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48%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128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51%</w:t>
            </w:r>
          </w:p>
        </w:tc>
      </w:tr>
      <w:tr w:rsidR="00457FED" w:rsidRPr="00457FED" w:rsidTr="005A76F4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52%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49%</w:t>
            </w:r>
          </w:p>
        </w:tc>
      </w:tr>
      <w:tr w:rsidR="005A76F4" w:rsidRPr="00457FED" w:rsidTr="002A51A5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Study group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Chemotherapy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14%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19%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17%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Targeted agents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18%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Hormone therapy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17%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Radiotherapy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19%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17%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17%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Surgery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9%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18%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17%</w:t>
            </w:r>
          </w:p>
        </w:tc>
      </w:tr>
      <w:tr w:rsidR="00457FED" w:rsidRPr="00457FED" w:rsidTr="005A76F4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ECOG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13%</w:t>
            </w:r>
          </w:p>
        </w:tc>
      </w:tr>
      <w:tr w:rsidR="005A76F4" w:rsidRPr="00457FED" w:rsidTr="002A51A5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Disease group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 </w:t>
            </w:r>
          </w:p>
        </w:tc>
      </w:tr>
      <w:tr w:rsidR="00457FED" w:rsidRPr="00457FED" w:rsidTr="005A76F4">
        <w:trPr>
          <w:trHeight w:val="24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Breast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19%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23%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57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23%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Colorectal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7%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16%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14%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Prostate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28%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Leukaemia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7%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Myeloma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7%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Rectal/anal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Lung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Renal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Head &amp; neck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Liver resections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Ovarian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7%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Lymphoma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4%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Bladder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Pancreas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Gastric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2%</w:t>
            </w:r>
          </w:p>
        </w:tc>
      </w:tr>
      <w:tr w:rsidR="00457FED" w:rsidRPr="00457FED" w:rsidTr="00457FED">
        <w:trPr>
          <w:trHeight w:val="245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Oesophageal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57FED" w:rsidRPr="00457FED" w:rsidRDefault="00457FED" w:rsidP="00457FED">
            <w:pPr>
              <w:spacing w:after="0" w:line="245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457FED">
              <w:rPr>
                <w:rFonts w:eastAsia="Times New Roman" w:cs="Arial"/>
                <w:color w:val="000000"/>
                <w:kern w:val="24"/>
                <w:sz w:val="21"/>
                <w:szCs w:val="21"/>
                <w:lang w:eastAsia="zh-CN"/>
              </w:rPr>
              <w:t>1%</w:t>
            </w:r>
          </w:p>
        </w:tc>
      </w:tr>
    </w:tbl>
    <w:p w:rsidR="00457FED" w:rsidRDefault="00457FED" w:rsidP="00713E28">
      <w:pPr>
        <w:spacing w:after="0" w:line="360" w:lineRule="auto"/>
        <w:rPr>
          <w:rFonts w:ascii="Arial" w:hAnsi="Arial" w:cs="Arial"/>
          <w:b/>
          <w:bCs/>
          <w:iCs/>
        </w:rPr>
      </w:pPr>
    </w:p>
    <w:p w:rsidR="00E70AF7" w:rsidRDefault="00E70AF7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:rsidR="00E70AF7" w:rsidRPr="00E70AF7" w:rsidRDefault="00E70AF7" w:rsidP="00E70AF7">
      <w:pPr>
        <w:spacing w:before="100" w:beforeAutospacing="1" w:after="100" w:afterAutospacing="1" w:line="240" w:lineRule="auto"/>
        <w:rPr>
          <w:rFonts w:asciiTheme="minorHAnsi" w:eastAsia="Times New Roman" w:hAnsiTheme="minorHAnsi"/>
          <w:b/>
          <w:sz w:val="28"/>
          <w:szCs w:val="24"/>
          <w:lang w:eastAsia="fr-FR"/>
        </w:rPr>
      </w:pPr>
      <w:r w:rsidRPr="00E70AF7">
        <w:rPr>
          <w:rFonts w:asciiTheme="minorHAnsi" w:eastAsia="Times New Roman" w:hAnsiTheme="minorHAnsi"/>
          <w:b/>
          <w:sz w:val="28"/>
          <w:szCs w:val="24"/>
          <w:lang w:eastAsia="fr-FR"/>
        </w:rPr>
        <w:lastRenderedPageBreak/>
        <w:t>Outcome measures</w:t>
      </w:r>
    </w:p>
    <w:p w:rsidR="00E70AF7" w:rsidRPr="00E70AF7" w:rsidRDefault="00E70AF7" w:rsidP="00E70AF7">
      <w:pPr>
        <w:rPr>
          <w:rFonts w:asciiTheme="minorHAnsi" w:eastAsiaTheme="minorHAnsi" w:hAnsiTheme="minorHAnsi" w:cstheme="minorBidi"/>
          <w:color w:val="000000" w:themeColor="text1"/>
        </w:rPr>
      </w:pPr>
      <w:r w:rsidRPr="00E70AF7">
        <w:rPr>
          <w:rFonts w:asciiTheme="minorHAnsi" w:eastAsiaTheme="minorHAnsi" w:hAnsiTheme="minorHAnsi" w:cstheme="minorBidi"/>
          <w:color w:val="000000" w:themeColor="text1"/>
        </w:rPr>
        <w:t>Primary outcome measures</w:t>
      </w:r>
    </w:p>
    <w:p w:rsidR="00457FED" w:rsidRPr="005A76F4" w:rsidRDefault="00457FED" w:rsidP="005A76F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val="en" w:eastAsia="zh-CN"/>
        </w:rPr>
      </w:pPr>
      <w:r w:rsidRPr="00457FED">
        <w:rPr>
          <w:rFonts w:ascii="Arial" w:eastAsia="Times New Roman" w:hAnsi="Arial" w:cs="Arial"/>
          <w:i/>
          <w:iCs/>
          <w:lang w:val="en" w:eastAsia="zh-CN"/>
        </w:rPr>
        <w:t>Number of patients potentially eligible, number recruited a</w:t>
      </w:r>
      <w:r w:rsidR="005A76F4">
        <w:rPr>
          <w:rFonts w:ascii="Arial" w:eastAsia="Times New Roman" w:hAnsi="Arial" w:cs="Arial"/>
          <w:i/>
          <w:iCs/>
          <w:lang w:val="en" w:eastAsia="zh-CN"/>
        </w:rPr>
        <w:t>nd reasons for non-recruitment</w:t>
      </w:r>
    </w:p>
    <w:p w:rsidR="00457FED" w:rsidRPr="005A76F4" w:rsidRDefault="00457FED" w:rsidP="00457FED">
      <w:p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Recruitment began on 18</w:t>
      </w:r>
      <w:r w:rsidRPr="005A76F4">
        <w:rPr>
          <w:rFonts w:ascii="Arial" w:hAnsi="Arial" w:cs="Arial"/>
          <w:sz w:val="21"/>
          <w:szCs w:val="21"/>
          <w:vertAlign w:val="superscript"/>
        </w:rPr>
        <w:t>th</w:t>
      </w:r>
      <w:r w:rsidRPr="005A76F4">
        <w:rPr>
          <w:rFonts w:ascii="Arial" w:hAnsi="Arial" w:cs="Arial"/>
          <w:sz w:val="21"/>
          <w:szCs w:val="21"/>
        </w:rPr>
        <w:t xml:space="preserve"> August 2014 (Leeds) and finished on 7</w:t>
      </w:r>
      <w:r w:rsidRPr="005A76F4">
        <w:rPr>
          <w:rFonts w:ascii="Arial" w:hAnsi="Arial" w:cs="Arial"/>
          <w:sz w:val="21"/>
          <w:szCs w:val="21"/>
          <w:vertAlign w:val="superscript"/>
        </w:rPr>
        <w:t>th</w:t>
      </w:r>
      <w:r w:rsidRPr="005A76F4">
        <w:rPr>
          <w:rFonts w:ascii="Arial" w:hAnsi="Arial" w:cs="Arial"/>
          <w:sz w:val="21"/>
          <w:szCs w:val="21"/>
        </w:rPr>
        <w:t xml:space="preserve"> October 2015.  </w:t>
      </w:r>
    </w:p>
    <w:p w:rsidR="00457FED" w:rsidRPr="005A76F4" w:rsidRDefault="00457FED" w:rsidP="00457FED">
      <w:p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Number of patients potentially eligible = 888</w:t>
      </w:r>
    </w:p>
    <w:p w:rsidR="00457FED" w:rsidRPr="005A76F4" w:rsidRDefault="00457FED" w:rsidP="00457FED">
      <w:p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Number of patients recruited = 249</w:t>
      </w:r>
    </w:p>
    <w:p w:rsidR="005A76F4" w:rsidRDefault="005A76F4" w:rsidP="00457FED">
      <w:pPr>
        <w:rPr>
          <w:rFonts w:ascii="Arial" w:hAnsi="Arial" w:cs="Arial"/>
          <w:sz w:val="21"/>
          <w:szCs w:val="21"/>
        </w:rPr>
      </w:pPr>
    </w:p>
    <w:p w:rsidR="00457FED" w:rsidRPr="005A76F4" w:rsidRDefault="00457FED" w:rsidP="00457FED">
      <w:p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Reasons for non-recruitment:</w:t>
      </w:r>
    </w:p>
    <w:p w:rsidR="00457FED" w:rsidRPr="005A76F4" w:rsidRDefault="00457FED" w:rsidP="00457FED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271 declined</w:t>
      </w:r>
    </w:p>
    <w:p w:rsidR="00457FED" w:rsidRPr="005A76F4" w:rsidRDefault="00457FED" w:rsidP="00457FED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364 ineligible</w:t>
      </w:r>
    </w:p>
    <w:p w:rsidR="00457FED" w:rsidRPr="00457FED" w:rsidRDefault="00457FED" w:rsidP="00457FED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A76F4">
        <w:rPr>
          <w:rFonts w:ascii="Arial" w:hAnsi="Arial" w:cs="Arial"/>
          <w:sz w:val="21"/>
          <w:szCs w:val="21"/>
        </w:rPr>
        <w:t>4 died before consent or decline</w:t>
      </w:r>
    </w:p>
    <w:p w:rsidR="005A76F4" w:rsidRDefault="005A76F4" w:rsidP="00457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" w:eastAsia="zh-CN"/>
        </w:rPr>
      </w:pPr>
    </w:p>
    <w:p w:rsidR="00E70AF7" w:rsidRPr="00E70AF7" w:rsidRDefault="00E70AF7" w:rsidP="00E70AF7">
      <w:pPr>
        <w:spacing w:before="100" w:beforeAutospacing="1" w:after="100" w:afterAutospacing="1" w:line="240" w:lineRule="auto"/>
        <w:rPr>
          <w:rStyle w:val="SubtleEmphasis"/>
          <w:i w:val="0"/>
          <w:color w:val="000000" w:themeColor="text1"/>
        </w:rPr>
      </w:pPr>
      <w:r w:rsidRPr="00E70AF7">
        <w:rPr>
          <w:rStyle w:val="SubtleEmphasis"/>
          <w:i w:val="0"/>
          <w:color w:val="000000" w:themeColor="text1"/>
        </w:rPr>
        <w:t>Secondary outcome measures</w:t>
      </w:r>
    </w:p>
    <w:p w:rsidR="004E494D" w:rsidRPr="005A76F4" w:rsidRDefault="00457FED" w:rsidP="005A76F4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zh-CN"/>
        </w:rPr>
      </w:pPr>
      <w:r w:rsidRPr="00457FED">
        <w:rPr>
          <w:rFonts w:ascii="Arial" w:eastAsia="Times New Roman" w:hAnsi="Arial" w:cs="Arial"/>
          <w:i/>
          <w:iCs/>
          <w:lang w:val="en" w:eastAsia="zh-CN"/>
        </w:rPr>
        <w:t>Number of and timing of participant withdrawals from follow-up data collection and reasons for withdrawal</w:t>
      </w:r>
    </w:p>
    <w:p w:rsidR="004E494D" w:rsidRPr="005A76F4" w:rsidRDefault="004E494D" w:rsidP="005A76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zh-CN"/>
        </w:rPr>
      </w:pPr>
      <w:r w:rsidRPr="005A76F4">
        <w:rPr>
          <w:rFonts w:ascii="Arial" w:eastAsia="Times New Roman" w:hAnsi="Arial" w:cs="Arial"/>
          <w:sz w:val="20"/>
          <w:szCs w:val="20"/>
          <w:lang w:val="en" w:eastAsia="zh-CN"/>
        </w:rPr>
        <w:t xml:space="preserve">Overall there were 13 withdrawals </w:t>
      </w:r>
    </w:p>
    <w:p w:rsidR="004E494D" w:rsidRPr="004E494D" w:rsidRDefault="004E494D" w:rsidP="005A76F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E494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</w:t>
      </w:r>
      <w:r w:rsidR="005A76F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umber and timing of withdrawals</w:t>
      </w:r>
    </w:p>
    <w:tbl>
      <w:tblPr>
        <w:tblW w:w="770" w:type="pct"/>
        <w:tblLook w:val="04A0" w:firstRow="1" w:lastRow="0" w:firstColumn="1" w:lastColumn="0" w:noHBand="0" w:noVBand="1"/>
      </w:tblPr>
      <w:tblGrid>
        <w:gridCol w:w="750"/>
        <w:gridCol w:w="895"/>
      </w:tblGrid>
      <w:tr w:rsidR="005A76F4" w:rsidRPr="004E494D" w:rsidTr="005A76F4">
        <w:trPr>
          <w:trHeight w:val="255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Week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5A76F4" w:rsidRPr="004E494D" w:rsidTr="005A76F4">
        <w:trPr>
          <w:trHeight w:val="255"/>
        </w:trPr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4E494D" w:rsidRDefault="005A76F4" w:rsidP="004E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4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:rsidR="005A76F4" w:rsidRDefault="005A76F4" w:rsidP="004E494D">
      <w:pPr>
        <w:pStyle w:val="Caption"/>
        <w:jc w:val="left"/>
        <w:rPr>
          <w:rFonts w:cs="Arial"/>
          <w:b w:val="0"/>
          <w:bCs w:val="0"/>
          <w:i/>
          <w:iCs/>
          <w:lang w:val="en" w:eastAsia="zh-CN"/>
        </w:rPr>
      </w:pPr>
    </w:p>
    <w:p w:rsidR="005A76F4" w:rsidRDefault="005A76F4" w:rsidP="004E494D">
      <w:pPr>
        <w:pStyle w:val="Caption"/>
        <w:jc w:val="left"/>
        <w:rPr>
          <w:rFonts w:cs="Arial"/>
        </w:rPr>
      </w:pPr>
    </w:p>
    <w:p w:rsidR="005A76F4" w:rsidRDefault="005A76F4" w:rsidP="004E494D">
      <w:pPr>
        <w:pStyle w:val="Caption"/>
        <w:jc w:val="left"/>
        <w:rPr>
          <w:rFonts w:cs="Arial"/>
        </w:rPr>
      </w:pPr>
    </w:p>
    <w:p w:rsidR="005A76F4" w:rsidRDefault="005A76F4" w:rsidP="004E494D">
      <w:pPr>
        <w:pStyle w:val="Caption"/>
        <w:jc w:val="left"/>
        <w:rPr>
          <w:rFonts w:cs="Arial"/>
        </w:rPr>
      </w:pPr>
    </w:p>
    <w:p w:rsidR="005A76F4" w:rsidRDefault="005A76F4" w:rsidP="004E494D">
      <w:pPr>
        <w:pStyle w:val="Caption"/>
        <w:jc w:val="left"/>
        <w:rPr>
          <w:rFonts w:cs="Arial"/>
        </w:rPr>
      </w:pPr>
    </w:p>
    <w:p w:rsidR="004E494D" w:rsidRPr="005A76F4" w:rsidRDefault="004E494D" w:rsidP="004E494D">
      <w:pPr>
        <w:pStyle w:val="Caption"/>
        <w:jc w:val="left"/>
        <w:rPr>
          <w:rFonts w:cs="Arial"/>
        </w:rPr>
      </w:pPr>
      <w:r w:rsidRPr="005A76F4">
        <w:rPr>
          <w:rFonts w:cs="Arial"/>
        </w:rPr>
        <w:t xml:space="preserve">Reasons for withdrawals </w:t>
      </w:r>
    </w:p>
    <w:tbl>
      <w:tblPr>
        <w:tblW w:w="1247" w:type="pct"/>
        <w:tblLook w:val="04A0" w:firstRow="1" w:lastRow="0" w:firstColumn="1" w:lastColumn="0" w:noHBand="0" w:noVBand="1"/>
      </w:tblPr>
      <w:tblGrid>
        <w:gridCol w:w="2128"/>
        <w:gridCol w:w="536"/>
      </w:tblGrid>
      <w:tr w:rsidR="005A76F4" w:rsidRPr="005A76F4" w:rsidTr="005A76F4">
        <w:trPr>
          <w:trHeight w:val="255"/>
        </w:trPr>
        <w:tc>
          <w:tcPr>
            <w:tcW w:w="3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5A76F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Taking too much time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Computer problems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Too ill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Phone problems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A76F4" w:rsidRPr="005A76F4" w:rsidTr="005A76F4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6F4" w:rsidRPr="005A76F4" w:rsidRDefault="005A76F4" w:rsidP="002A5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6F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4E494D" w:rsidRPr="005A76F4" w:rsidRDefault="004E494D" w:rsidP="004E494D">
      <w:pPr>
        <w:rPr>
          <w:rFonts w:ascii="Arial" w:hAnsi="Arial" w:cs="Arial"/>
          <w:sz w:val="16"/>
          <w:szCs w:val="16"/>
        </w:rPr>
      </w:pPr>
    </w:p>
    <w:p w:rsidR="005A76F4" w:rsidRPr="005A76F4" w:rsidRDefault="005A76F4" w:rsidP="004E494D">
      <w:pPr>
        <w:rPr>
          <w:rFonts w:ascii="Arial" w:hAnsi="Arial" w:cs="Arial"/>
          <w:sz w:val="16"/>
          <w:szCs w:val="16"/>
        </w:rPr>
      </w:pPr>
      <w:r w:rsidRPr="005A76F4">
        <w:rPr>
          <w:rFonts w:ascii="Arial" w:hAnsi="Arial" w:cs="Arial"/>
          <w:sz w:val="20"/>
          <w:szCs w:val="20"/>
        </w:rPr>
        <w:t>A large proportion of the reasons selected were “other” and further details were given as: “Can't concentrate”, “Too much on”, “Tired”, “Annoying IVR voice”, Felt it was a waste of time”, “Not relevant any longer”, “Difficulty coping”, “Didn't like the questions”, “Burden”, “Couldn't hear voice on IVR”, “Treatment stopped” and “Too much on mind”.</w:t>
      </w:r>
    </w:p>
    <w:p w:rsidR="005A76F4" w:rsidRDefault="005A76F4" w:rsidP="005A76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</w:p>
    <w:p w:rsidR="004E494D" w:rsidRPr="005A76F4" w:rsidRDefault="00457FED" w:rsidP="005A76F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val="en" w:eastAsia="zh-CN"/>
        </w:rPr>
      </w:pPr>
      <w:r w:rsidRPr="00457FED">
        <w:rPr>
          <w:rFonts w:ascii="Arial" w:eastAsia="Times New Roman" w:hAnsi="Arial" w:cs="Arial"/>
          <w:i/>
          <w:iCs/>
          <w:lang w:val="en" w:eastAsia="zh-CN"/>
        </w:rPr>
        <w:t>Proportion of expect</w:t>
      </w:r>
      <w:r w:rsidR="005A76F4" w:rsidRPr="005A76F4">
        <w:rPr>
          <w:rFonts w:ascii="Arial" w:eastAsia="Times New Roman" w:hAnsi="Arial" w:cs="Arial"/>
          <w:i/>
          <w:iCs/>
          <w:lang w:val="en" w:eastAsia="zh-CN"/>
        </w:rPr>
        <w:t>ed weekly AE reports completed</w:t>
      </w:r>
    </w:p>
    <w:tbl>
      <w:tblPr>
        <w:tblW w:w="1063" w:type="pct"/>
        <w:tblLook w:val="04A0" w:firstRow="1" w:lastRow="0" w:firstColumn="1" w:lastColumn="0" w:noHBand="0" w:noVBand="1"/>
      </w:tblPr>
      <w:tblGrid>
        <w:gridCol w:w="739"/>
        <w:gridCol w:w="550"/>
        <w:gridCol w:w="550"/>
        <w:gridCol w:w="606"/>
      </w:tblGrid>
      <w:tr w:rsidR="00CA42B9" w:rsidRPr="00CA42B9" w:rsidTr="00CA42B9">
        <w:trPr>
          <w:trHeight w:val="255"/>
        </w:trPr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pct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Overall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42B9" w:rsidRPr="00CA42B9" w:rsidTr="00CA42B9">
        <w:trPr>
          <w:trHeight w:val="270"/>
        </w:trPr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93.2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79.8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78.8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76.6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72.6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74.6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75.8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66.8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70.9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71.9</w:t>
            </w:r>
          </w:p>
        </w:tc>
      </w:tr>
      <w:tr w:rsidR="00CA42B9" w:rsidRPr="00CA42B9" w:rsidTr="00CA42B9">
        <w:trPr>
          <w:trHeight w:val="255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69.1</w:t>
            </w:r>
          </w:p>
        </w:tc>
      </w:tr>
      <w:tr w:rsidR="00CA42B9" w:rsidRPr="00CA42B9" w:rsidTr="00CA42B9">
        <w:trPr>
          <w:trHeight w:val="270"/>
        </w:trPr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2B9" w:rsidRPr="00CA42B9" w:rsidRDefault="00CA42B9" w:rsidP="00294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2B9">
              <w:rPr>
                <w:rFonts w:ascii="Arial" w:hAnsi="Arial" w:cs="Arial"/>
                <w:color w:val="000000"/>
                <w:sz w:val="20"/>
                <w:szCs w:val="20"/>
              </w:rPr>
              <w:t>67.4</w:t>
            </w:r>
          </w:p>
        </w:tc>
      </w:tr>
    </w:tbl>
    <w:p w:rsidR="00457FED" w:rsidRPr="00457FED" w:rsidRDefault="00457FED" w:rsidP="004E494D">
      <w:pPr>
        <w:spacing w:after="0" w:line="360" w:lineRule="auto"/>
        <w:rPr>
          <w:rFonts w:ascii="Arial" w:hAnsi="Arial" w:cs="Arial"/>
          <w:b/>
          <w:bCs/>
          <w:iCs/>
          <w:lang w:val="en"/>
        </w:rPr>
      </w:pPr>
    </w:p>
    <w:p w:rsidR="00E70AF7" w:rsidRDefault="00E70AF7">
      <w:pPr>
        <w:spacing w:after="0" w:line="240" w:lineRule="auto"/>
        <w:rPr>
          <w:rFonts w:eastAsia="Times New Roman"/>
          <w:b/>
          <w:sz w:val="28"/>
          <w:szCs w:val="24"/>
          <w:lang w:eastAsia="fr-FR"/>
        </w:rPr>
      </w:pPr>
      <w:r>
        <w:rPr>
          <w:rFonts w:eastAsia="Times New Roman"/>
          <w:b/>
          <w:sz w:val="28"/>
          <w:szCs w:val="24"/>
          <w:lang w:eastAsia="fr-FR"/>
        </w:rPr>
        <w:br w:type="page"/>
      </w:r>
    </w:p>
    <w:p w:rsidR="00E70AF7" w:rsidRDefault="00E70AF7" w:rsidP="00E70AF7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4"/>
          <w:lang w:eastAsia="fr-FR"/>
        </w:rPr>
      </w:pPr>
      <w:r>
        <w:rPr>
          <w:rFonts w:eastAsia="Times New Roman"/>
          <w:b/>
          <w:sz w:val="28"/>
          <w:szCs w:val="24"/>
          <w:lang w:eastAsia="fr-FR"/>
        </w:rPr>
        <w:lastRenderedPageBreak/>
        <w:t>Adverse events</w:t>
      </w:r>
    </w:p>
    <w:p w:rsidR="005A76F4" w:rsidRPr="005A76F4" w:rsidRDefault="004E494D" w:rsidP="004E494D">
      <w:pPr>
        <w:spacing w:after="0" w:line="360" w:lineRule="auto"/>
        <w:rPr>
          <w:rFonts w:ascii="Arial" w:hAnsi="Arial" w:cs="Arial"/>
        </w:rPr>
      </w:pPr>
      <w:r w:rsidRPr="005A76F4">
        <w:rPr>
          <w:rFonts w:ascii="Arial" w:hAnsi="Arial" w:cs="Arial"/>
        </w:rPr>
        <w:t>There were no adverse events associated with this trial</w:t>
      </w:r>
      <w:r w:rsidR="005A76F4">
        <w:rPr>
          <w:rFonts w:ascii="Arial" w:hAnsi="Arial" w:cs="Arial"/>
        </w:rPr>
        <w:t>.</w:t>
      </w:r>
    </w:p>
    <w:sectPr w:rsidR="005A76F4" w:rsidRPr="005A76F4" w:rsidSect="005A76F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58" w:rsidRDefault="00294B58" w:rsidP="008F0826">
      <w:pPr>
        <w:spacing w:after="0" w:line="240" w:lineRule="auto"/>
      </w:pPr>
      <w:r>
        <w:separator/>
      </w:r>
    </w:p>
  </w:endnote>
  <w:endnote w:type="continuationSeparator" w:id="0">
    <w:p w:rsidR="00294B58" w:rsidRDefault="00294B58" w:rsidP="008F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7502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70AF7" w:rsidRDefault="00E70A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0826" w:rsidRDefault="008F0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58" w:rsidRDefault="00294B58" w:rsidP="008F0826">
      <w:pPr>
        <w:spacing w:after="0" w:line="240" w:lineRule="auto"/>
      </w:pPr>
      <w:r>
        <w:separator/>
      </w:r>
    </w:p>
  </w:footnote>
  <w:footnote w:type="continuationSeparator" w:id="0">
    <w:p w:rsidR="00294B58" w:rsidRDefault="00294B58" w:rsidP="008F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abstractNum w:abstractNumId="0">
    <w:nsid w:val="13A55241"/>
    <w:multiLevelType w:val="hybridMultilevel"/>
    <w:tmpl w:val="842A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C75B7"/>
    <w:multiLevelType w:val="hybridMultilevel"/>
    <w:tmpl w:val="6B0AECBE"/>
    <w:lvl w:ilvl="0" w:tplc="41801A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B7DE8"/>
    <w:multiLevelType w:val="hybridMultilevel"/>
    <w:tmpl w:val="5D20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F4717"/>
    <w:multiLevelType w:val="hybridMultilevel"/>
    <w:tmpl w:val="FC4ED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877D7"/>
    <w:multiLevelType w:val="hybridMultilevel"/>
    <w:tmpl w:val="4300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460FC"/>
    <w:multiLevelType w:val="hybridMultilevel"/>
    <w:tmpl w:val="52C84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6B"/>
    <w:rsid w:val="00007601"/>
    <w:rsid w:val="000F7CE2"/>
    <w:rsid w:val="00117671"/>
    <w:rsid w:val="00163ECF"/>
    <w:rsid w:val="00294B58"/>
    <w:rsid w:val="002A51A5"/>
    <w:rsid w:val="003A0B82"/>
    <w:rsid w:val="003A0E27"/>
    <w:rsid w:val="00457FED"/>
    <w:rsid w:val="0046369B"/>
    <w:rsid w:val="004755EF"/>
    <w:rsid w:val="004B4E2B"/>
    <w:rsid w:val="004E3350"/>
    <w:rsid w:val="004E494D"/>
    <w:rsid w:val="004E690A"/>
    <w:rsid w:val="00525C6B"/>
    <w:rsid w:val="005814DE"/>
    <w:rsid w:val="0058793D"/>
    <w:rsid w:val="005A76F4"/>
    <w:rsid w:val="00662D0C"/>
    <w:rsid w:val="006A3283"/>
    <w:rsid w:val="00713E28"/>
    <w:rsid w:val="00766495"/>
    <w:rsid w:val="00776FB4"/>
    <w:rsid w:val="007A1BC1"/>
    <w:rsid w:val="008617B6"/>
    <w:rsid w:val="008E4724"/>
    <w:rsid w:val="008F0826"/>
    <w:rsid w:val="008F152F"/>
    <w:rsid w:val="00913645"/>
    <w:rsid w:val="009D4C64"/>
    <w:rsid w:val="00BB662E"/>
    <w:rsid w:val="00BD4015"/>
    <w:rsid w:val="00C80D1A"/>
    <w:rsid w:val="00CA42B9"/>
    <w:rsid w:val="00DD3C7E"/>
    <w:rsid w:val="00DF4688"/>
    <w:rsid w:val="00E44111"/>
    <w:rsid w:val="00E70AF7"/>
    <w:rsid w:val="00EF1816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2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57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152F"/>
    <w:pPr>
      <w:tabs>
        <w:tab w:val="left" w:pos="1134"/>
        <w:tab w:val="left" w:pos="1701"/>
        <w:tab w:val="left" w:pos="2268"/>
        <w:tab w:val="left" w:pos="2835"/>
        <w:tab w:val="left" w:pos="7371"/>
      </w:tabs>
      <w:spacing w:before="120" w:after="0" w:line="240" w:lineRule="auto"/>
    </w:pPr>
    <w:rPr>
      <w:rFonts w:ascii="GillSans" w:eastAsia="Times New Roman" w:hAnsi="GillSans"/>
      <w:sz w:val="20"/>
      <w:szCs w:val="20"/>
    </w:rPr>
  </w:style>
  <w:style w:type="character" w:customStyle="1" w:styleId="BodyTextChar">
    <w:name w:val="Body Text Char"/>
    <w:link w:val="BodyText"/>
    <w:rsid w:val="008F152F"/>
    <w:rPr>
      <w:rFonts w:ascii="GillSans" w:eastAsia="Times New Roman" w:hAnsi="GillSans"/>
      <w:lang w:eastAsia="en-US"/>
    </w:rPr>
  </w:style>
  <w:style w:type="character" w:styleId="Hyperlink">
    <w:name w:val="Hyperlink"/>
    <w:uiPriority w:val="99"/>
    <w:unhideWhenUsed/>
    <w:rsid w:val="00BB662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8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08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08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0826"/>
    <w:rPr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DF4688"/>
    <w:pPr>
      <w:spacing w:after="0" w:line="240" w:lineRule="auto"/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45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llowedHyperlink">
    <w:name w:val="FollowedHyperlink"/>
    <w:uiPriority w:val="99"/>
    <w:semiHidden/>
    <w:unhideWhenUsed/>
    <w:rsid w:val="00457FE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457FED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57FED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4E494D"/>
    <w:pPr>
      <w:spacing w:after="0" w:line="240" w:lineRule="auto"/>
      <w:jc w:val="both"/>
    </w:pPr>
    <w:rPr>
      <w:rFonts w:ascii="Arial" w:eastAsia="Times New Roman" w:hAnsi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F7"/>
    <w:rPr>
      <w:rFonts w:ascii="Tahoma" w:hAnsi="Tahoma" w:cs="Tahoma"/>
      <w:sz w:val="16"/>
      <w:szCs w:val="16"/>
      <w:lang w:eastAsia="en-US"/>
    </w:rPr>
  </w:style>
  <w:style w:type="character" w:styleId="SubtleEmphasis">
    <w:name w:val="Subtle Emphasis"/>
    <w:basedOn w:val="DefaultParagraphFont"/>
    <w:uiPriority w:val="19"/>
    <w:qFormat/>
    <w:rsid w:val="00E70AF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2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57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152F"/>
    <w:pPr>
      <w:tabs>
        <w:tab w:val="left" w:pos="1134"/>
        <w:tab w:val="left" w:pos="1701"/>
        <w:tab w:val="left" w:pos="2268"/>
        <w:tab w:val="left" w:pos="2835"/>
        <w:tab w:val="left" w:pos="7371"/>
      </w:tabs>
      <w:spacing w:before="120" w:after="0" w:line="240" w:lineRule="auto"/>
    </w:pPr>
    <w:rPr>
      <w:rFonts w:ascii="GillSans" w:eastAsia="Times New Roman" w:hAnsi="GillSans"/>
      <w:sz w:val="20"/>
      <w:szCs w:val="20"/>
    </w:rPr>
  </w:style>
  <w:style w:type="character" w:customStyle="1" w:styleId="BodyTextChar">
    <w:name w:val="Body Text Char"/>
    <w:link w:val="BodyText"/>
    <w:rsid w:val="008F152F"/>
    <w:rPr>
      <w:rFonts w:ascii="GillSans" w:eastAsia="Times New Roman" w:hAnsi="GillSans"/>
      <w:lang w:eastAsia="en-US"/>
    </w:rPr>
  </w:style>
  <w:style w:type="character" w:styleId="Hyperlink">
    <w:name w:val="Hyperlink"/>
    <w:uiPriority w:val="99"/>
    <w:unhideWhenUsed/>
    <w:rsid w:val="00BB662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8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08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08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0826"/>
    <w:rPr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DF4688"/>
    <w:pPr>
      <w:spacing w:after="0" w:line="240" w:lineRule="auto"/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45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llowedHyperlink">
    <w:name w:val="FollowedHyperlink"/>
    <w:uiPriority w:val="99"/>
    <w:semiHidden/>
    <w:unhideWhenUsed/>
    <w:rsid w:val="00457FE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457FED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57FED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4E494D"/>
    <w:pPr>
      <w:spacing w:after="0" w:line="240" w:lineRule="auto"/>
      <w:jc w:val="both"/>
    </w:pPr>
    <w:rPr>
      <w:rFonts w:ascii="Arial" w:eastAsia="Times New Roman" w:hAnsi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F7"/>
    <w:rPr>
      <w:rFonts w:ascii="Tahoma" w:hAnsi="Tahoma" w:cs="Tahoma"/>
      <w:sz w:val="16"/>
      <w:szCs w:val="16"/>
      <w:lang w:eastAsia="en-US"/>
    </w:rPr>
  </w:style>
  <w:style w:type="character" w:styleId="SubtleEmphasis">
    <w:name w:val="Subtle Emphasis"/>
    <w:basedOn w:val="DefaultParagraphFont"/>
    <w:uiPriority w:val="19"/>
    <w:qFormat/>
    <w:rsid w:val="00E70AF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9473">
                          <w:marLeft w:val="107"/>
                          <w:marRight w:val="0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2691">
                          <w:marLeft w:val="107"/>
                          <w:marRight w:val="0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8C5EE5-147C-4BC8-A0BB-C873C9BED7F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062F137-929B-444E-878D-12583F55B6A5}">
      <dgm:prSet/>
      <dgm:spPr/>
      <dgm:t>
        <a:bodyPr/>
        <a:lstStyle/>
        <a:p>
          <a:pPr marR="0" algn="ctr" rtl="0"/>
          <a:r>
            <a:rPr lang="en-GB" b="1" i="0" u="none" strike="noStrike" baseline="0" smtClean="0">
              <a:latin typeface="Calibri"/>
            </a:rPr>
            <a:t>249 participants recruited</a:t>
          </a:r>
          <a:endParaRPr lang="en-GB" smtClean="0"/>
        </a:p>
      </dgm:t>
    </dgm:pt>
    <dgm:pt modelId="{F65A820D-4D5F-4E4B-B6D0-3F02B0B9CAF5}" type="parTrans" cxnId="{888BEA02-C91D-4AC3-9D8A-90CC97F66BD5}">
      <dgm:prSet/>
      <dgm:spPr/>
    </dgm:pt>
    <dgm:pt modelId="{4C4BA561-6588-48F8-AE15-50138FDB8F7F}" type="sibTrans" cxnId="{888BEA02-C91D-4AC3-9D8A-90CC97F66BD5}">
      <dgm:prSet/>
      <dgm:spPr/>
    </dgm:pt>
    <dgm:pt modelId="{51FF376F-C7A2-4141-90F9-F99BB96C6ACB}">
      <dgm:prSet/>
      <dgm:spPr/>
      <dgm:t>
        <a:bodyPr/>
        <a:lstStyle/>
        <a:p>
          <a:pPr marR="0" algn="ctr" rtl="0"/>
          <a:r>
            <a:rPr lang="en-GB" b="1" i="0" u="none" strike="noStrike" baseline="0" smtClean="0">
              <a:latin typeface="Calibri"/>
            </a:rPr>
            <a:t>13 withdrawals / 6 deaths</a:t>
          </a:r>
        </a:p>
        <a:p>
          <a:pPr marR="0" algn="ctr" rtl="0"/>
          <a:r>
            <a:rPr lang="en-GB" b="1" i="0" u="none" strike="noStrike" baseline="0" smtClean="0">
              <a:latin typeface="Calibri"/>
            </a:rPr>
            <a:t>230 participants remaining on study to end of 12 week study period</a:t>
          </a:r>
          <a:endParaRPr lang="en-GB" smtClean="0"/>
        </a:p>
      </dgm:t>
    </dgm:pt>
    <dgm:pt modelId="{893CF1C1-1CC1-4E04-9613-24DB099E5059}" type="parTrans" cxnId="{C93508C9-9639-481E-A3EA-AEFAE7CB7BD3}">
      <dgm:prSet/>
      <dgm:spPr/>
    </dgm:pt>
    <dgm:pt modelId="{E1275D6C-9B8F-4204-9503-5FA207E8AB9C}" type="sibTrans" cxnId="{C93508C9-9639-481E-A3EA-AEFAE7CB7BD3}">
      <dgm:prSet/>
      <dgm:spPr/>
    </dgm:pt>
    <dgm:pt modelId="{1835C941-76D4-4BD3-8EE6-B97A702A7755}">
      <dgm:prSet/>
      <dgm:spPr/>
      <dgm:t>
        <a:bodyPr/>
        <a:lstStyle/>
        <a:p>
          <a:pPr marR="0" algn="ctr" rtl="0"/>
          <a:r>
            <a:rPr lang="en-GB" b="1" i="0" u="none" strike="noStrike" baseline="0" smtClean="0">
              <a:latin typeface="Calibri"/>
            </a:rPr>
            <a:t>192 participants completed &amp; returned end-of-study questionnaire</a:t>
          </a:r>
          <a:endParaRPr lang="en-GB" smtClean="0"/>
        </a:p>
      </dgm:t>
    </dgm:pt>
    <dgm:pt modelId="{67A89281-FCFE-4B4D-AEFC-38043F710475}" type="parTrans" cxnId="{A33ED6DD-5507-4366-962C-C12AA49EEB27}">
      <dgm:prSet/>
      <dgm:spPr/>
    </dgm:pt>
    <dgm:pt modelId="{5B64944F-5E18-429C-B609-284A617DF2A7}" type="sibTrans" cxnId="{A33ED6DD-5507-4366-962C-C12AA49EEB27}">
      <dgm:prSet/>
      <dgm:spPr/>
    </dgm:pt>
    <dgm:pt modelId="{C0B7B355-6F4F-4D9D-BC04-5C68871A2B92}" type="pres">
      <dgm:prSet presAssocID="{E58C5EE5-147C-4BC8-A0BB-C873C9BED7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457157-BD21-40E6-91CA-1B747165FC76}" type="pres">
      <dgm:prSet presAssocID="{D062F137-929B-444E-878D-12583F55B6A5}" presName="hierRoot1" presStyleCnt="0">
        <dgm:presLayoutVars>
          <dgm:hierBranch/>
        </dgm:presLayoutVars>
      </dgm:prSet>
      <dgm:spPr/>
    </dgm:pt>
    <dgm:pt modelId="{5D7898FE-BE84-4CF5-98A7-C6D331BC5C5C}" type="pres">
      <dgm:prSet presAssocID="{D062F137-929B-444E-878D-12583F55B6A5}" presName="rootComposite1" presStyleCnt="0"/>
      <dgm:spPr/>
    </dgm:pt>
    <dgm:pt modelId="{F6494B04-D2D7-44FC-8A8C-CE9FE9B527EA}" type="pres">
      <dgm:prSet presAssocID="{D062F137-929B-444E-878D-12583F55B6A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65CFA90-6496-4D45-B506-4A79759AAB47}" type="pres">
      <dgm:prSet presAssocID="{D062F137-929B-444E-878D-12583F55B6A5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4ADCB86-F371-4AA7-A41F-2E5763814953}" type="pres">
      <dgm:prSet presAssocID="{D062F137-929B-444E-878D-12583F55B6A5}" presName="hierChild2" presStyleCnt="0"/>
      <dgm:spPr/>
    </dgm:pt>
    <dgm:pt modelId="{B472F713-0376-4781-A9E2-85ABE2A4431B}" type="pres">
      <dgm:prSet presAssocID="{893CF1C1-1CC1-4E04-9613-24DB099E5059}" presName="Name35" presStyleLbl="parChTrans1D2" presStyleIdx="0" presStyleCnt="1"/>
      <dgm:spPr/>
    </dgm:pt>
    <dgm:pt modelId="{821098C6-BF01-4DA7-B522-97DB784C79D6}" type="pres">
      <dgm:prSet presAssocID="{51FF376F-C7A2-4141-90F9-F99BB96C6ACB}" presName="hierRoot2" presStyleCnt="0">
        <dgm:presLayoutVars>
          <dgm:hierBranch/>
        </dgm:presLayoutVars>
      </dgm:prSet>
      <dgm:spPr/>
    </dgm:pt>
    <dgm:pt modelId="{03B53CC7-B0B7-48E0-8C6D-9333685A9AA8}" type="pres">
      <dgm:prSet presAssocID="{51FF376F-C7A2-4141-90F9-F99BB96C6ACB}" presName="rootComposite" presStyleCnt="0"/>
      <dgm:spPr/>
    </dgm:pt>
    <dgm:pt modelId="{7D32FE8F-F8C4-43E7-A82D-D5982EA73A6A}" type="pres">
      <dgm:prSet presAssocID="{51FF376F-C7A2-4141-90F9-F99BB96C6AC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98267E4-5889-48BE-AE2D-14C72855BD22}" type="pres">
      <dgm:prSet presAssocID="{51FF376F-C7A2-4141-90F9-F99BB96C6ACB}" presName="rootConnector" presStyleLbl="node2" presStyleIdx="0" presStyleCnt="1"/>
      <dgm:spPr/>
      <dgm:t>
        <a:bodyPr/>
        <a:lstStyle/>
        <a:p>
          <a:endParaRPr lang="en-GB"/>
        </a:p>
      </dgm:t>
    </dgm:pt>
    <dgm:pt modelId="{7C55BE78-A5E7-47D6-B129-B9BD6E337403}" type="pres">
      <dgm:prSet presAssocID="{51FF376F-C7A2-4141-90F9-F99BB96C6ACB}" presName="hierChild4" presStyleCnt="0"/>
      <dgm:spPr/>
    </dgm:pt>
    <dgm:pt modelId="{2DDEA603-C413-4822-A702-E05D8DF05A2B}" type="pres">
      <dgm:prSet presAssocID="{67A89281-FCFE-4B4D-AEFC-38043F710475}" presName="Name35" presStyleLbl="parChTrans1D3" presStyleIdx="0" presStyleCnt="1"/>
      <dgm:spPr/>
    </dgm:pt>
    <dgm:pt modelId="{529D4D2A-4999-4504-9D96-67C6404537E2}" type="pres">
      <dgm:prSet presAssocID="{1835C941-76D4-4BD3-8EE6-B97A702A7755}" presName="hierRoot2" presStyleCnt="0">
        <dgm:presLayoutVars>
          <dgm:hierBranch val="r"/>
        </dgm:presLayoutVars>
      </dgm:prSet>
      <dgm:spPr/>
    </dgm:pt>
    <dgm:pt modelId="{F5239FB0-2C9D-4EC2-8895-C267C5B841E6}" type="pres">
      <dgm:prSet presAssocID="{1835C941-76D4-4BD3-8EE6-B97A702A7755}" presName="rootComposite" presStyleCnt="0"/>
      <dgm:spPr/>
    </dgm:pt>
    <dgm:pt modelId="{68E93F4E-DF08-43DA-8060-8BB20C515845}" type="pres">
      <dgm:prSet presAssocID="{1835C941-76D4-4BD3-8EE6-B97A702A7755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539AECA-9BA7-4F78-8C82-B39C500EDEFA}" type="pres">
      <dgm:prSet presAssocID="{1835C941-76D4-4BD3-8EE6-B97A702A7755}" presName="rootConnector" presStyleLbl="node3" presStyleIdx="0" presStyleCnt="1"/>
      <dgm:spPr/>
      <dgm:t>
        <a:bodyPr/>
        <a:lstStyle/>
        <a:p>
          <a:endParaRPr lang="en-GB"/>
        </a:p>
      </dgm:t>
    </dgm:pt>
    <dgm:pt modelId="{82122951-0F06-4462-961C-F6F7E34A03C6}" type="pres">
      <dgm:prSet presAssocID="{1835C941-76D4-4BD3-8EE6-B97A702A7755}" presName="hierChild4" presStyleCnt="0"/>
      <dgm:spPr/>
    </dgm:pt>
    <dgm:pt modelId="{0D823D3C-20FD-4BA7-83BF-A60C8D2D3135}" type="pres">
      <dgm:prSet presAssocID="{1835C941-76D4-4BD3-8EE6-B97A702A7755}" presName="hierChild5" presStyleCnt="0"/>
      <dgm:spPr/>
    </dgm:pt>
    <dgm:pt modelId="{EC53C698-1113-4EAB-A11D-0F3FA1FDF7E4}" type="pres">
      <dgm:prSet presAssocID="{51FF376F-C7A2-4141-90F9-F99BB96C6ACB}" presName="hierChild5" presStyleCnt="0"/>
      <dgm:spPr/>
    </dgm:pt>
    <dgm:pt modelId="{6CE0255C-0355-4350-A1EC-D3AD8AEA59BF}" type="pres">
      <dgm:prSet presAssocID="{D062F137-929B-444E-878D-12583F55B6A5}" presName="hierChild3" presStyleCnt="0"/>
      <dgm:spPr/>
    </dgm:pt>
  </dgm:ptLst>
  <dgm:cxnLst>
    <dgm:cxn modelId="{8C417B0C-12E2-481B-B462-2F2985B53AB4}" type="presOf" srcId="{51FF376F-C7A2-4141-90F9-F99BB96C6ACB}" destId="{B98267E4-5889-48BE-AE2D-14C72855BD22}" srcOrd="1" destOrd="0" presId="urn:microsoft.com/office/officeart/2005/8/layout/orgChart1"/>
    <dgm:cxn modelId="{888BEA02-C91D-4AC3-9D8A-90CC97F66BD5}" srcId="{E58C5EE5-147C-4BC8-A0BB-C873C9BED7F0}" destId="{D062F137-929B-444E-878D-12583F55B6A5}" srcOrd="0" destOrd="0" parTransId="{F65A820D-4D5F-4E4B-B6D0-3F02B0B9CAF5}" sibTransId="{4C4BA561-6588-48F8-AE15-50138FDB8F7F}"/>
    <dgm:cxn modelId="{7F31B9B9-128F-41B5-96AA-859B49ED819C}" type="presOf" srcId="{1835C941-76D4-4BD3-8EE6-B97A702A7755}" destId="{68E93F4E-DF08-43DA-8060-8BB20C515845}" srcOrd="0" destOrd="0" presId="urn:microsoft.com/office/officeart/2005/8/layout/orgChart1"/>
    <dgm:cxn modelId="{2B9968FC-49AB-4ABD-AF90-DD557FCB40B7}" type="presOf" srcId="{51FF376F-C7A2-4141-90F9-F99BB96C6ACB}" destId="{7D32FE8F-F8C4-43E7-A82D-D5982EA73A6A}" srcOrd="0" destOrd="0" presId="urn:microsoft.com/office/officeart/2005/8/layout/orgChart1"/>
    <dgm:cxn modelId="{EAB5EE63-5711-4A99-AE8D-4ADB948146C8}" type="presOf" srcId="{D062F137-929B-444E-878D-12583F55B6A5}" destId="{F6494B04-D2D7-44FC-8A8C-CE9FE9B527EA}" srcOrd="0" destOrd="0" presId="urn:microsoft.com/office/officeart/2005/8/layout/orgChart1"/>
    <dgm:cxn modelId="{A33ED6DD-5507-4366-962C-C12AA49EEB27}" srcId="{51FF376F-C7A2-4141-90F9-F99BB96C6ACB}" destId="{1835C941-76D4-4BD3-8EE6-B97A702A7755}" srcOrd="0" destOrd="0" parTransId="{67A89281-FCFE-4B4D-AEFC-38043F710475}" sibTransId="{5B64944F-5E18-429C-B609-284A617DF2A7}"/>
    <dgm:cxn modelId="{C611823C-27A7-4B5B-8AF9-A06AAB3E44E6}" type="presOf" srcId="{893CF1C1-1CC1-4E04-9613-24DB099E5059}" destId="{B472F713-0376-4781-A9E2-85ABE2A4431B}" srcOrd="0" destOrd="0" presId="urn:microsoft.com/office/officeart/2005/8/layout/orgChart1"/>
    <dgm:cxn modelId="{14456B18-F104-442D-8644-FE490C468799}" type="presOf" srcId="{1835C941-76D4-4BD3-8EE6-B97A702A7755}" destId="{8539AECA-9BA7-4F78-8C82-B39C500EDEFA}" srcOrd="1" destOrd="0" presId="urn:microsoft.com/office/officeart/2005/8/layout/orgChart1"/>
    <dgm:cxn modelId="{87302057-7D53-4B8D-80C3-BF4A191D78EF}" type="presOf" srcId="{D062F137-929B-444E-878D-12583F55B6A5}" destId="{C65CFA90-6496-4D45-B506-4A79759AAB47}" srcOrd="1" destOrd="0" presId="urn:microsoft.com/office/officeart/2005/8/layout/orgChart1"/>
    <dgm:cxn modelId="{C93508C9-9639-481E-A3EA-AEFAE7CB7BD3}" srcId="{D062F137-929B-444E-878D-12583F55B6A5}" destId="{51FF376F-C7A2-4141-90F9-F99BB96C6ACB}" srcOrd="0" destOrd="0" parTransId="{893CF1C1-1CC1-4E04-9613-24DB099E5059}" sibTransId="{E1275D6C-9B8F-4204-9503-5FA207E8AB9C}"/>
    <dgm:cxn modelId="{97F61E2D-33C2-4C15-A5BD-61A6B6D6EB15}" type="presOf" srcId="{67A89281-FCFE-4B4D-AEFC-38043F710475}" destId="{2DDEA603-C413-4822-A702-E05D8DF05A2B}" srcOrd="0" destOrd="0" presId="urn:microsoft.com/office/officeart/2005/8/layout/orgChart1"/>
    <dgm:cxn modelId="{4201C552-4199-4D69-89AA-7FC660E92C70}" type="presOf" srcId="{E58C5EE5-147C-4BC8-A0BB-C873C9BED7F0}" destId="{C0B7B355-6F4F-4D9D-BC04-5C68871A2B92}" srcOrd="0" destOrd="0" presId="urn:microsoft.com/office/officeart/2005/8/layout/orgChart1"/>
    <dgm:cxn modelId="{249CC58A-2A80-458F-AEDF-0AC032C729F4}" type="presParOf" srcId="{C0B7B355-6F4F-4D9D-BC04-5C68871A2B92}" destId="{4E457157-BD21-40E6-91CA-1B747165FC76}" srcOrd="0" destOrd="0" presId="urn:microsoft.com/office/officeart/2005/8/layout/orgChart1"/>
    <dgm:cxn modelId="{0B258640-4050-4720-8E50-49E3418D4BFC}" type="presParOf" srcId="{4E457157-BD21-40E6-91CA-1B747165FC76}" destId="{5D7898FE-BE84-4CF5-98A7-C6D331BC5C5C}" srcOrd="0" destOrd="0" presId="urn:microsoft.com/office/officeart/2005/8/layout/orgChart1"/>
    <dgm:cxn modelId="{D06C2159-6BC0-4791-B8B9-EE35C8919F55}" type="presParOf" srcId="{5D7898FE-BE84-4CF5-98A7-C6D331BC5C5C}" destId="{F6494B04-D2D7-44FC-8A8C-CE9FE9B527EA}" srcOrd="0" destOrd="0" presId="urn:microsoft.com/office/officeart/2005/8/layout/orgChart1"/>
    <dgm:cxn modelId="{1CDB4858-BF78-4EC5-8BE3-03458A9BF215}" type="presParOf" srcId="{5D7898FE-BE84-4CF5-98A7-C6D331BC5C5C}" destId="{C65CFA90-6496-4D45-B506-4A79759AAB47}" srcOrd="1" destOrd="0" presId="urn:microsoft.com/office/officeart/2005/8/layout/orgChart1"/>
    <dgm:cxn modelId="{42F7D9FD-CB2B-49CA-A626-86AD44FC4329}" type="presParOf" srcId="{4E457157-BD21-40E6-91CA-1B747165FC76}" destId="{64ADCB86-F371-4AA7-A41F-2E5763814953}" srcOrd="1" destOrd="0" presId="urn:microsoft.com/office/officeart/2005/8/layout/orgChart1"/>
    <dgm:cxn modelId="{B0B66655-F4B8-436E-89AD-5FFDACD3C369}" type="presParOf" srcId="{64ADCB86-F371-4AA7-A41F-2E5763814953}" destId="{B472F713-0376-4781-A9E2-85ABE2A4431B}" srcOrd="0" destOrd="0" presId="urn:microsoft.com/office/officeart/2005/8/layout/orgChart1"/>
    <dgm:cxn modelId="{09ABC34C-A18A-4B13-A293-0D859CFAF9E8}" type="presParOf" srcId="{64ADCB86-F371-4AA7-A41F-2E5763814953}" destId="{821098C6-BF01-4DA7-B522-97DB784C79D6}" srcOrd="1" destOrd="0" presId="urn:microsoft.com/office/officeart/2005/8/layout/orgChart1"/>
    <dgm:cxn modelId="{C944098A-9269-45A2-B545-8BF6421D22A9}" type="presParOf" srcId="{821098C6-BF01-4DA7-B522-97DB784C79D6}" destId="{03B53CC7-B0B7-48E0-8C6D-9333685A9AA8}" srcOrd="0" destOrd="0" presId="urn:microsoft.com/office/officeart/2005/8/layout/orgChart1"/>
    <dgm:cxn modelId="{358BEAE7-5338-4337-8756-C055180A8D58}" type="presParOf" srcId="{03B53CC7-B0B7-48E0-8C6D-9333685A9AA8}" destId="{7D32FE8F-F8C4-43E7-A82D-D5982EA73A6A}" srcOrd="0" destOrd="0" presId="urn:microsoft.com/office/officeart/2005/8/layout/orgChart1"/>
    <dgm:cxn modelId="{5D6A91F5-03F0-4439-A247-065D0212C99C}" type="presParOf" srcId="{03B53CC7-B0B7-48E0-8C6D-9333685A9AA8}" destId="{B98267E4-5889-48BE-AE2D-14C72855BD22}" srcOrd="1" destOrd="0" presId="urn:microsoft.com/office/officeart/2005/8/layout/orgChart1"/>
    <dgm:cxn modelId="{ADFED9AF-157D-45C9-ADDE-8065454B9733}" type="presParOf" srcId="{821098C6-BF01-4DA7-B522-97DB784C79D6}" destId="{7C55BE78-A5E7-47D6-B129-B9BD6E337403}" srcOrd="1" destOrd="0" presId="urn:microsoft.com/office/officeart/2005/8/layout/orgChart1"/>
    <dgm:cxn modelId="{BFF25429-B9E0-4DFE-94B9-2358424BEF0E}" type="presParOf" srcId="{7C55BE78-A5E7-47D6-B129-B9BD6E337403}" destId="{2DDEA603-C413-4822-A702-E05D8DF05A2B}" srcOrd="0" destOrd="0" presId="urn:microsoft.com/office/officeart/2005/8/layout/orgChart1"/>
    <dgm:cxn modelId="{A42AFB98-87E9-4D39-8A4B-B8EFAEA133DF}" type="presParOf" srcId="{7C55BE78-A5E7-47D6-B129-B9BD6E337403}" destId="{529D4D2A-4999-4504-9D96-67C6404537E2}" srcOrd="1" destOrd="0" presId="urn:microsoft.com/office/officeart/2005/8/layout/orgChart1"/>
    <dgm:cxn modelId="{A672F434-FDB6-44D0-971C-9A3078800E58}" type="presParOf" srcId="{529D4D2A-4999-4504-9D96-67C6404537E2}" destId="{F5239FB0-2C9D-4EC2-8895-C267C5B841E6}" srcOrd="0" destOrd="0" presId="urn:microsoft.com/office/officeart/2005/8/layout/orgChart1"/>
    <dgm:cxn modelId="{E9296B89-4663-4219-B047-F1C9A4556621}" type="presParOf" srcId="{F5239FB0-2C9D-4EC2-8895-C267C5B841E6}" destId="{68E93F4E-DF08-43DA-8060-8BB20C515845}" srcOrd="0" destOrd="0" presId="urn:microsoft.com/office/officeart/2005/8/layout/orgChart1"/>
    <dgm:cxn modelId="{22E777D9-15EF-4DB7-9DF1-17AC7BC2AD65}" type="presParOf" srcId="{F5239FB0-2C9D-4EC2-8895-C267C5B841E6}" destId="{8539AECA-9BA7-4F78-8C82-B39C500EDEFA}" srcOrd="1" destOrd="0" presId="urn:microsoft.com/office/officeart/2005/8/layout/orgChart1"/>
    <dgm:cxn modelId="{DDCBD3DB-43A5-401E-9377-27869E7C08C2}" type="presParOf" srcId="{529D4D2A-4999-4504-9D96-67C6404537E2}" destId="{82122951-0F06-4462-961C-F6F7E34A03C6}" srcOrd="1" destOrd="0" presId="urn:microsoft.com/office/officeart/2005/8/layout/orgChart1"/>
    <dgm:cxn modelId="{16AF93AC-0288-40D8-BE96-50A3B7E46927}" type="presParOf" srcId="{529D4D2A-4999-4504-9D96-67C6404537E2}" destId="{0D823D3C-20FD-4BA7-83BF-A60C8D2D3135}" srcOrd="2" destOrd="0" presId="urn:microsoft.com/office/officeart/2005/8/layout/orgChart1"/>
    <dgm:cxn modelId="{E66F9EA8-401D-4908-88F8-C8C9F7D3FD56}" type="presParOf" srcId="{821098C6-BF01-4DA7-B522-97DB784C79D6}" destId="{EC53C698-1113-4EAB-A11D-0F3FA1FDF7E4}" srcOrd="2" destOrd="0" presId="urn:microsoft.com/office/officeart/2005/8/layout/orgChart1"/>
    <dgm:cxn modelId="{2ECB0675-F98C-463D-A9C7-2E9EE9BC0E56}" type="presParOf" srcId="{4E457157-BD21-40E6-91CA-1B747165FC76}" destId="{6CE0255C-0355-4350-A1EC-D3AD8AEA59B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DEA603-C413-4822-A702-E05D8DF05A2B}">
      <dsp:nvSpPr>
        <dsp:cNvPr id="0" name=""/>
        <dsp:cNvSpPr/>
      </dsp:nvSpPr>
      <dsp:spPr>
        <a:xfrm>
          <a:off x="2406967" y="1728634"/>
          <a:ext cx="91440" cy="2999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2F713-0376-4781-A9E2-85ABE2A4431B}">
      <dsp:nvSpPr>
        <dsp:cNvPr id="0" name=""/>
        <dsp:cNvSpPr/>
      </dsp:nvSpPr>
      <dsp:spPr>
        <a:xfrm>
          <a:off x="2406967" y="714655"/>
          <a:ext cx="91440" cy="2999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9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494B04-D2D7-44FC-8A8C-CE9FE9B527EA}">
      <dsp:nvSpPr>
        <dsp:cNvPr id="0" name=""/>
        <dsp:cNvSpPr/>
      </dsp:nvSpPr>
      <dsp:spPr>
        <a:xfrm>
          <a:off x="1738617" y="586"/>
          <a:ext cx="1428139" cy="714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i="0" u="none" strike="noStrike" kern="1200" baseline="0" smtClean="0">
              <a:latin typeface="Calibri"/>
            </a:rPr>
            <a:t>249 participants recruited</a:t>
          </a:r>
          <a:endParaRPr lang="en-GB" sz="1000" kern="1200" smtClean="0"/>
        </a:p>
      </dsp:txBody>
      <dsp:txXfrm>
        <a:off x="1738617" y="586"/>
        <a:ext cx="1428139" cy="714069"/>
      </dsp:txXfrm>
    </dsp:sp>
    <dsp:sp modelId="{7D32FE8F-F8C4-43E7-A82D-D5982EA73A6A}">
      <dsp:nvSpPr>
        <dsp:cNvPr id="0" name=""/>
        <dsp:cNvSpPr/>
      </dsp:nvSpPr>
      <dsp:spPr>
        <a:xfrm>
          <a:off x="1738617" y="1014565"/>
          <a:ext cx="1428139" cy="714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i="0" u="none" strike="noStrike" kern="1200" baseline="0" smtClean="0">
              <a:latin typeface="Calibri"/>
            </a:rPr>
            <a:t>13 withdrawals / 6 deaths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i="0" u="none" strike="noStrike" kern="1200" baseline="0" smtClean="0">
              <a:latin typeface="Calibri"/>
            </a:rPr>
            <a:t>230 participants remaining on study to end of 12 week study period</a:t>
          </a:r>
          <a:endParaRPr lang="en-GB" sz="1000" kern="1200" smtClean="0"/>
        </a:p>
      </dsp:txBody>
      <dsp:txXfrm>
        <a:off x="1738617" y="1014565"/>
        <a:ext cx="1428139" cy="714069"/>
      </dsp:txXfrm>
    </dsp:sp>
    <dsp:sp modelId="{68E93F4E-DF08-43DA-8060-8BB20C515845}">
      <dsp:nvSpPr>
        <dsp:cNvPr id="0" name=""/>
        <dsp:cNvSpPr/>
      </dsp:nvSpPr>
      <dsp:spPr>
        <a:xfrm>
          <a:off x="1738617" y="2028544"/>
          <a:ext cx="1428139" cy="714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i="0" u="none" strike="noStrike" kern="1200" baseline="0" smtClean="0">
              <a:latin typeface="Calibri"/>
            </a:rPr>
            <a:t>192 participants completed &amp; returned end-of-study questionnaire</a:t>
          </a:r>
          <a:endParaRPr lang="en-GB" sz="1000" kern="1200" smtClean="0"/>
        </a:p>
      </dsp:txBody>
      <dsp:txXfrm>
        <a:off x="1738617" y="2028544"/>
        <a:ext cx="1428139" cy="7140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F5F0-DC04-4BA9-A5E1-C4DDC93C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2517</CharactersWithSpaces>
  <SharedDoc>false</SharedDoc>
  <HLinks>
    <vt:vector size="6" baseType="variant">
      <vt:variant>
        <vt:i4>5963855</vt:i4>
      </vt:variant>
      <vt:variant>
        <vt:i4>0</vt:i4>
      </vt:variant>
      <vt:variant>
        <vt:i4>0</vt:i4>
      </vt:variant>
      <vt:variant>
        <vt:i4>5</vt:i4>
      </vt:variant>
      <vt:variant>
        <vt:lpwstr>http://www.isrctn.com/ISRCTN99171697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medklab</dc:creator>
  <cp:lastModifiedBy>Robin Packer, BioMed Central Ltd.</cp:lastModifiedBy>
  <cp:revision>3</cp:revision>
  <dcterms:created xsi:type="dcterms:W3CDTF">2017-03-02T15:59:00Z</dcterms:created>
  <dcterms:modified xsi:type="dcterms:W3CDTF">2017-03-03T10:16:00Z</dcterms:modified>
</cp:coreProperties>
</file>