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855EA" w14:textId="4D209EE2" w:rsidR="00475FDA" w:rsidRPr="00073666" w:rsidRDefault="003C7C88"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FF0000"/>
          <w:szCs w:val="22"/>
        </w:rPr>
      </w:pPr>
      <w:r w:rsidRPr="00073666">
        <w:rPr>
          <w:rFonts w:ascii="Calibri" w:hAnsi="Calibri" w:cs="Calibri"/>
          <w:noProof/>
          <w:sz w:val="23"/>
          <w:lang w:val="en-US"/>
        </w:rPr>
        <w:drawing>
          <wp:anchor distT="0" distB="0" distL="114300" distR="114300" simplePos="0" relativeHeight="251658240" behindDoc="0" locked="0" layoutInCell="1" allowOverlap="1" wp14:anchorId="1CB37191" wp14:editId="2B18869E">
            <wp:simplePos x="0" y="0"/>
            <wp:positionH relativeFrom="column">
              <wp:posOffset>4594860</wp:posOffset>
            </wp:positionH>
            <wp:positionV relativeFrom="paragraph">
              <wp:posOffset>-238125</wp:posOffset>
            </wp:positionV>
            <wp:extent cx="1816100" cy="6953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18161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666">
        <w:rPr>
          <w:rFonts w:ascii="Calibri" w:hAnsi="Calibri" w:cs="Calibri"/>
          <w:noProof/>
          <w:sz w:val="23"/>
          <w:lang w:val="en-US"/>
        </w:rPr>
        <w:drawing>
          <wp:inline distT="0" distB="0" distL="0" distR="0" wp14:anchorId="66F1250D" wp14:editId="4C2752C4">
            <wp:extent cx="2811780" cy="487680"/>
            <wp:effectExtent l="0" t="0" r="7620" b="7620"/>
            <wp:docPr id="107" name="Picture 1" descr="\&quot;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St"/>
                    <pic:cNvPicPr>
                      <a:picLocks noChangeAspect="1" noChangeArrowheads="1"/>
                    </pic:cNvPicPr>
                  </pic:nvPicPr>
                  <pic:blipFill>
                    <a:blip r:embed="rId9" r:link="rId10" cstate="email">
                      <a:extLst>
                        <a:ext uri="{28A0092B-C50C-407E-A947-70E740481C1C}">
                          <a14:useLocalDpi xmlns:a14="http://schemas.microsoft.com/office/drawing/2010/main"/>
                        </a:ext>
                      </a:extLst>
                    </a:blip>
                    <a:srcRect/>
                    <a:stretch>
                      <a:fillRect/>
                    </a:stretch>
                  </pic:blipFill>
                  <pic:spPr bwMode="auto">
                    <a:xfrm>
                      <a:off x="0" y="0"/>
                      <a:ext cx="2811780" cy="487680"/>
                    </a:xfrm>
                    <a:prstGeom prst="rect">
                      <a:avLst/>
                    </a:prstGeom>
                    <a:noFill/>
                    <a:ln>
                      <a:noFill/>
                    </a:ln>
                  </pic:spPr>
                </pic:pic>
              </a:graphicData>
            </a:graphic>
          </wp:inline>
        </w:drawing>
      </w:r>
    </w:p>
    <w:p w14:paraId="777C20DC" w14:textId="7005932D" w:rsidR="000C1827" w:rsidRPr="00073666" w:rsidRDefault="000C182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FF0000"/>
          <w:szCs w:val="22"/>
        </w:rPr>
      </w:pPr>
    </w:p>
    <w:p w14:paraId="20EC1DE9" w14:textId="77777777" w:rsidR="000C1827" w:rsidRPr="00073666" w:rsidRDefault="000C182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FF0000"/>
          <w:szCs w:val="22"/>
        </w:rPr>
      </w:pPr>
    </w:p>
    <w:tbl>
      <w:tblPr>
        <w:tblStyle w:val="TableGrid"/>
        <w:tblW w:w="0" w:type="auto"/>
        <w:tblLayout w:type="fixed"/>
        <w:tblLook w:val="04A0" w:firstRow="1" w:lastRow="0" w:firstColumn="1" w:lastColumn="0" w:noHBand="0" w:noVBand="1"/>
      </w:tblPr>
      <w:tblGrid>
        <w:gridCol w:w="5495"/>
        <w:gridCol w:w="4693"/>
      </w:tblGrid>
      <w:tr w:rsidR="003F1F6E" w:rsidRPr="00073666" w14:paraId="20A69735" w14:textId="77777777" w:rsidTr="003F1F6E">
        <w:trPr>
          <w:trHeight w:val="1005"/>
        </w:trPr>
        <w:tc>
          <w:tcPr>
            <w:tcW w:w="5495" w:type="dxa"/>
            <w:shd w:val="clear" w:color="auto" w:fill="auto"/>
          </w:tcPr>
          <w:p w14:paraId="4384BB10" w14:textId="77777777" w:rsidR="003F1F6E" w:rsidRPr="00073666" w:rsidRDefault="003F1F6E" w:rsidP="003F1F6E">
            <w:pPr>
              <w:rPr>
                <w:rFonts w:ascii="Calibri" w:hAnsi="Calibri" w:cs="Calibri"/>
                <w:b/>
                <w:szCs w:val="22"/>
              </w:rPr>
            </w:pPr>
          </w:p>
          <w:p w14:paraId="56093279" w14:textId="77777777" w:rsidR="003F1F6E" w:rsidRPr="00073666" w:rsidRDefault="003F1F6E" w:rsidP="003F1F6E">
            <w:pPr>
              <w:rPr>
                <w:rFonts w:ascii="Calibri" w:hAnsi="Calibri" w:cs="Calibri"/>
                <w:b/>
                <w:szCs w:val="22"/>
              </w:rPr>
            </w:pPr>
            <w:r w:rsidRPr="00073666">
              <w:rPr>
                <w:rFonts w:ascii="Calibri" w:hAnsi="Calibri" w:cs="Calibri"/>
                <w:b/>
                <w:szCs w:val="22"/>
              </w:rPr>
              <w:t>FULL/LONG TITLE OF THE STUDY</w:t>
            </w:r>
          </w:p>
          <w:p w14:paraId="39E227BF" w14:textId="77777777" w:rsidR="003F1F6E" w:rsidRPr="00073666" w:rsidRDefault="003F1F6E"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b/>
                <w:color w:val="0000FF"/>
                <w:szCs w:val="22"/>
              </w:rPr>
            </w:pPr>
          </w:p>
        </w:tc>
        <w:tc>
          <w:tcPr>
            <w:tcW w:w="4693" w:type="dxa"/>
            <w:shd w:val="clear" w:color="auto" w:fill="auto"/>
          </w:tcPr>
          <w:p w14:paraId="341B916B" w14:textId="1D44312A" w:rsidR="003F1F6E" w:rsidRPr="00691C0A" w:rsidRDefault="000C182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0000FF"/>
              </w:rPr>
            </w:pPr>
            <w:r w:rsidRPr="00691C0A">
              <w:rPr>
                <w:rFonts w:ascii="Calibri" w:hAnsi="Calibri" w:cs="Calibri"/>
                <w:bCs/>
                <w:color w:val="000000" w:themeColor="text1"/>
              </w:rPr>
              <w:t>Incidence and pathogenesis of Invasive Aspergillosis in Intensive care patients with severe Influenza</w:t>
            </w:r>
          </w:p>
        </w:tc>
      </w:tr>
      <w:tr w:rsidR="003F1F6E" w:rsidRPr="00073666" w14:paraId="4112ADA5" w14:textId="77777777" w:rsidTr="003F1F6E">
        <w:tc>
          <w:tcPr>
            <w:tcW w:w="5495" w:type="dxa"/>
            <w:shd w:val="clear" w:color="auto" w:fill="auto"/>
          </w:tcPr>
          <w:p w14:paraId="14BECB25" w14:textId="2F9C44E8" w:rsidR="003F1F6E" w:rsidRPr="00073666" w:rsidRDefault="003F1F6E" w:rsidP="000C1827">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b/>
                <w:szCs w:val="22"/>
              </w:rPr>
            </w:pPr>
            <w:r w:rsidRPr="00073666">
              <w:rPr>
                <w:rFonts w:ascii="Calibri" w:hAnsi="Calibri" w:cs="Calibri"/>
                <w:b/>
                <w:szCs w:val="22"/>
              </w:rPr>
              <w:t>SHORT STUDY TITLE / ACRONYM</w:t>
            </w:r>
          </w:p>
        </w:tc>
        <w:tc>
          <w:tcPr>
            <w:tcW w:w="4693" w:type="dxa"/>
            <w:shd w:val="clear" w:color="auto" w:fill="auto"/>
          </w:tcPr>
          <w:p w14:paraId="76840076" w14:textId="1078E3A5" w:rsidR="003F1F6E" w:rsidRPr="00691C0A" w:rsidRDefault="00B24D33"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0000FF"/>
              </w:rPr>
            </w:pPr>
            <w:r w:rsidRPr="00691C0A">
              <w:rPr>
                <w:rFonts w:ascii="Calibri" w:hAnsi="Calibri" w:cs="Calibri"/>
                <w:bCs/>
                <w:color w:val="000000" w:themeColor="text1"/>
              </w:rPr>
              <w:t>Aspergillosis in patients with severe influenza (</w:t>
            </w:r>
            <w:proofErr w:type="spellStart"/>
            <w:r w:rsidR="000C1827" w:rsidRPr="00691C0A">
              <w:rPr>
                <w:rFonts w:ascii="Calibri" w:hAnsi="Calibri" w:cs="Calibri"/>
                <w:bCs/>
                <w:color w:val="000000" w:themeColor="text1"/>
              </w:rPr>
              <w:t>AspiFlu</w:t>
            </w:r>
            <w:proofErr w:type="spellEnd"/>
            <w:r w:rsidRPr="00691C0A">
              <w:rPr>
                <w:rFonts w:ascii="Calibri" w:hAnsi="Calibri" w:cs="Calibri"/>
                <w:bCs/>
                <w:color w:val="000000" w:themeColor="text1"/>
              </w:rPr>
              <w:t>)</w:t>
            </w:r>
          </w:p>
        </w:tc>
      </w:tr>
      <w:tr w:rsidR="003F1F6E" w:rsidRPr="00073666" w14:paraId="4F632ED6" w14:textId="77777777" w:rsidTr="003F1F6E">
        <w:tc>
          <w:tcPr>
            <w:tcW w:w="5495" w:type="dxa"/>
            <w:shd w:val="clear" w:color="auto" w:fill="auto"/>
          </w:tcPr>
          <w:p w14:paraId="6226F65D" w14:textId="30F1D4AD" w:rsidR="003F1F6E" w:rsidRPr="00073666" w:rsidRDefault="003F1F6E" w:rsidP="000C1827">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b/>
                <w:szCs w:val="22"/>
              </w:rPr>
            </w:pPr>
            <w:r w:rsidRPr="00073666">
              <w:rPr>
                <w:rFonts w:ascii="Calibri" w:hAnsi="Calibri" w:cs="Calibri"/>
                <w:b/>
                <w:szCs w:val="22"/>
              </w:rPr>
              <w:t>PROTOCOL VERSION NUMBER AND DATE</w:t>
            </w:r>
          </w:p>
        </w:tc>
        <w:tc>
          <w:tcPr>
            <w:tcW w:w="4693" w:type="dxa"/>
            <w:shd w:val="clear" w:color="auto" w:fill="auto"/>
          </w:tcPr>
          <w:p w14:paraId="0BC63EC8" w14:textId="276D3272" w:rsidR="003F1F6E" w:rsidRPr="0001111D" w:rsidRDefault="0001111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b/>
                <w:color w:val="0000FF"/>
              </w:rPr>
            </w:pPr>
            <w:r w:rsidRPr="0001111D">
              <w:rPr>
                <w:rFonts w:ascii="Calibri" w:hAnsi="Calibri" w:cs="Calibri"/>
                <w:b/>
                <w:color w:val="000000" w:themeColor="text1"/>
                <w:highlight w:val="yellow"/>
              </w:rPr>
              <w:t>2</w:t>
            </w:r>
            <w:r w:rsidR="00691C0A" w:rsidRPr="0001111D">
              <w:rPr>
                <w:rFonts w:ascii="Calibri" w:hAnsi="Calibri" w:cs="Calibri"/>
                <w:b/>
                <w:color w:val="000000" w:themeColor="text1"/>
                <w:highlight w:val="yellow"/>
              </w:rPr>
              <w:t xml:space="preserve">.0, </w:t>
            </w:r>
            <w:r w:rsidR="00691C0A" w:rsidRPr="0001111D">
              <w:rPr>
                <w:rFonts w:ascii="Calibri" w:hAnsi="Calibri" w:cs="Calibri"/>
                <w:b/>
                <w:highlight w:val="yellow"/>
              </w:rPr>
              <w:t xml:space="preserve">Date </w:t>
            </w:r>
            <w:r w:rsidRPr="0001111D">
              <w:rPr>
                <w:rFonts w:ascii="Calibri" w:hAnsi="Calibri" w:cs="Calibri"/>
                <w:b/>
                <w:highlight w:val="yellow"/>
              </w:rPr>
              <w:t>26.11.19</w:t>
            </w:r>
          </w:p>
        </w:tc>
      </w:tr>
      <w:tr w:rsidR="003F1F6E" w:rsidRPr="00073666" w14:paraId="3B2FFD58" w14:textId="77777777" w:rsidTr="003F1F6E">
        <w:tc>
          <w:tcPr>
            <w:tcW w:w="5495" w:type="dxa"/>
            <w:shd w:val="clear" w:color="auto" w:fill="auto"/>
          </w:tcPr>
          <w:p w14:paraId="2B0899B7" w14:textId="77777777" w:rsidR="003F1F6E" w:rsidRPr="00073666" w:rsidRDefault="003F1F6E" w:rsidP="003F1F6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b/>
                <w:szCs w:val="22"/>
              </w:rPr>
            </w:pPr>
            <w:r w:rsidRPr="00073666">
              <w:rPr>
                <w:rFonts w:ascii="Calibri" w:hAnsi="Calibri" w:cs="Calibri"/>
                <w:b/>
                <w:szCs w:val="22"/>
              </w:rPr>
              <w:t>IRAS Number:</w:t>
            </w:r>
          </w:p>
        </w:tc>
        <w:tc>
          <w:tcPr>
            <w:tcW w:w="4693" w:type="dxa"/>
            <w:shd w:val="clear" w:color="auto" w:fill="auto"/>
          </w:tcPr>
          <w:p w14:paraId="03FDD062" w14:textId="11F05CB1" w:rsidR="003F1F6E" w:rsidRPr="00691C0A" w:rsidRDefault="000C1827" w:rsidP="003F1F6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0000FF"/>
              </w:rPr>
            </w:pPr>
            <w:r w:rsidRPr="00691C0A">
              <w:rPr>
                <w:rFonts w:ascii="Calibri" w:hAnsi="Calibri" w:cs="Calibri"/>
                <w:color w:val="000000" w:themeColor="text1"/>
                <w:shd w:val="clear" w:color="auto" w:fill="FFFFFF"/>
              </w:rPr>
              <w:t>271269</w:t>
            </w:r>
          </w:p>
        </w:tc>
      </w:tr>
      <w:tr w:rsidR="003F1F6E" w:rsidRPr="00073666" w14:paraId="015786C6" w14:textId="77777777" w:rsidTr="00691C0A">
        <w:trPr>
          <w:trHeight w:val="99"/>
        </w:trPr>
        <w:tc>
          <w:tcPr>
            <w:tcW w:w="5495" w:type="dxa"/>
            <w:shd w:val="clear" w:color="auto" w:fill="auto"/>
          </w:tcPr>
          <w:p w14:paraId="3B16E638" w14:textId="77777777" w:rsidR="003F1F6E" w:rsidRPr="00073666" w:rsidRDefault="003F1F6E" w:rsidP="003F1F6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b/>
                <w:szCs w:val="22"/>
              </w:rPr>
            </w:pPr>
            <w:r w:rsidRPr="00073666">
              <w:rPr>
                <w:rFonts w:ascii="Calibri" w:hAnsi="Calibri" w:cs="Calibri"/>
                <w:b/>
                <w:szCs w:val="22"/>
              </w:rPr>
              <w:t>JRES Reference Number</w:t>
            </w:r>
          </w:p>
        </w:tc>
        <w:tc>
          <w:tcPr>
            <w:tcW w:w="4693" w:type="dxa"/>
            <w:shd w:val="clear" w:color="auto" w:fill="auto"/>
          </w:tcPr>
          <w:p w14:paraId="788AD698" w14:textId="6E2B62CD" w:rsidR="003F1F6E" w:rsidRPr="00691C0A" w:rsidRDefault="008B3469" w:rsidP="003F1F6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0000FF"/>
                <w:szCs w:val="22"/>
              </w:rPr>
            </w:pPr>
            <w:r w:rsidRPr="00691C0A">
              <w:rPr>
                <w:rFonts w:ascii="Calibri" w:hAnsi="Calibri" w:cs="Calibri"/>
                <w:szCs w:val="22"/>
              </w:rPr>
              <w:t>2019.0295</w:t>
            </w:r>
          </w:p>
        </w:tc>
      </w:tr>
      <w:tr w:rsidR="003F1F6E" w:rsidRPr="00073666" w14:paraId="6EC74FC0" w14:textId="77777777" w:rsidTr="003F1F6E">
        <w:tc>
          <w:tcPr>
            <w:tcW w:w="5495" w:type="dxa"/>
            <w:shd w:val="clear" w:color="auto" w:fill="auto"/>
          </w:tcPr>
          <w:p w14:paraId="15DA0FA8" w14:textId="77777777" w:rsidR="003F1F6E" w:rsidRPr="00073666" w:rsidRDefault="003F1F6E" w:rsidP="003F1F6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b/>
                <w:color w:val="000000" w:themeColor="text1"/>
                <w:szCs w:val="22"/>
              </w:rPr>
            </w:pPr>
            <w:r w:rsidRPr="00073666">
              <w:rPr>
                <w:rFonts w:ascii="Calibri" w:hAnsi="Calibri" w:cs="Calibri"/>
                <w:b/>
                <w:color w:val="000000" w:themeColor="text1"/>
                <w:szCs w:val="22"/>
              </w:rPr>
              <w:t>Funder Reference Number:</w:t>
            </w:r>
          </w:p>
        </w:tc>
        <w:tc>
          <w:tcPr>
            <w:tcW w:w="4693" w:type="dxa"/>
            <w:shd w:val="clear" w:color="auto" w:fill="auto"/>
          </w:tcPr>
          <w:p w14:paraId="69975C93" w14:textId="2CD5A1C2" w:rsidR="003F1F6E" w:rsidRPr="00073666" w:rsidRDefault="00B24D33" w:rsidP="003F1F6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000000" w:themeColor="text1"/>
                <w:szCs w:val="22"/>
              </w:rPr>
            </w:pPr>
            <w:r w:rsidRPr="00073666">
              <w:rPr>
                <w:rFonts w:ascii="Calibri" w:hAnsi="Calibri" w:cs="Calibri"/>
                <w:color w:val="000000" w:themeColor="text1"/>
                <w:szCs w:val="22"/>
              </w:rPr>
              <w:t>Gilead Grant ID: 07512</w:t>
            </w:r>
          </w:p>
        </w:tc>
      </w:tr>
      <w:tr w:rsidR="003F1F6E" w:rsidRPr="00073666" w14:paraId="39D143FA" w14:textId="77777777" w:rsidTr="003C7C88">
        <w:trPr>
          <w:trHeight w:val="443"/>
        </w:trPr>
        <w:tc>
          <w:tcPr>
            <w:tcW w:w="10188" w:type="dxa"/>
            <w:gridSpan w:val="2"/>
            <w:shd w:val="clear" w:color="auto" w:fill="C0504D" w:themeFill="accent2"/>
          </w:tcPr>
          <w:p w14:paraId="6F4B60E6" w14:textId="77777777" w:rsidR="003F1F6E" w:rsidRPr="00073666" w:rsidRDefault="003F1F6E" w:rsidP="003F1F6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jc w:val="center"/>
              <w:rPr>
                <w:rFonts w:ascii="Calibri" w:hAnsi="Calibri" w:cs="Calibri"/>
                <w:b/>
                <w:color w:val="FFFFFF" w:themeColor="background1"/>
                <w:szCs w:val="22"/>
              </w:rPr>
            </w:pPr>
            <w:r w:rsidRPr="00073666">
              <w:rPr>
                <w:rFonts w:ascii="Calibri" w:hAnsi="Calibri" w:cs="Calibri"/>
                <w:b/>
                <w:color w:val="FFFFFF" w:themeColor="background1"/>
                <w:szCs w:val="22"/>
              </w:rPr>
              <w:t>This protocol has regard for the HRA guidance and order of content</w:t>
            </w:r>
          </w:p>
        </w:tc>
      </w:tr>
    </w:tbl>
    <w:p w14:paraId="54205AEE" w14:textId="5D697271" w:rsidR="004F0916" w:rsidRPr="00073666" w:rsidRDefault="004F0916" w:rsidP="000C1827">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b/>
          <w:color w:val="0000FF"/>
          <w:szCs w:val="22"/>
        </w:rPr>
      </w:pPr>
    </w:p>
    <w:p w14:paraId="27646751" w14:textId="77777777" w:rsidR="004F0916" w:rsidRPr="00073666" w:rsidRDefault="004F0916" w:rsidP="004F0916">
      <w:pPr>
        <w:rPr>
          <w:rFonts w:ascii="Calibri" w:hAnsi="Calibri" w:cs="Calibri"/>
          <w:szCs w:val="22"/>
        </w:rPr>
      </w:pPr>
    </w:p>
    <w:p w14:paraId="0E905647" w14:textId="77777777" w:rsidR="004F0916" w:rsidRPr="00073666" w:rsidRDefault="004F0916" w:rsidP="004F0916">
      <w:pPr>
        <w:rPr>
          <w:rFonts w:ascii="Calibri" w:hAnsi="Calibri" w:cs="Calibri"/>
          <w:szCs w:val="22"/>
        </w:rPr>
      </w:pPr>
    </w:p>
    <w:p w14:paraId="118F9247" w14:textId="77777777" w:rsidR="004F0916" w:rsidRPr="00073666" w:rsidRDefault="004F0916" w:rsidP="004F0916">
      <w:pPr>
        <w:rPr>
          <w:rFonts w:ascii="Calibri" w:hAnsi="Calibri" w:cs="Calibri"/>
          <w:szCs w:val="22"/>
        </w:rPr>
      </w:pPr>
    </w:p>
    <w:p w14:paraId="20726091" w14:textId="77777777" w:rsidR="004F0916" w:rsidRPr="00073666" w:rsidRDefault="004F0916" w:rsidP="004F0916">
      <w:pPr>
        <w:rPr>
          <w:rFonts w:ascii="Calibri" w:hAnsi="Calibri" w:cs="Calibri"/>
          <w:szCs w:val="22"/>
        </w:rPr>
      </w:pPr>
    </w:p>
    <w:p w14:paraId="218F9210" w14:textId="77777777" w:rsidR="004F0916" w:rsidRPr="00073666" w:rsidRDefault="004F0916" w:rsidP="004F0916">
      <w:pPr>
        <w:rPr>
          <w:rFonts w:ascii="Calibri" w:hAnsi="Calibri" w:cs="Calibri"/>
          <w:szCs w:val="22"/>
        </w:rPr>
      </w:pPr>
    </w:p>
    <w:p w14:paraId="73942223" w14:textId="77777777" w:rsidR="004F0916" w:rsidRPr="00073666" w:rsidRDefault="004F0916" w:rsidP="004F0916">
      <w:pPr>
        <w:rPr>
          <w:rFonts w:ascii="Calibri" w:hAnsi="Calibri" w:cs="Calibri"/>
          <w:szCs w:val="22"/>
        </w:rPr>
      </w:pPr>
    </w:p>
    <w:p w14:paraId="21367811" w14:textId="77777777" w:rsidR="004F0916" w:rsidRPr="00073666" w:rsidRDefault="004F0916" w:rsidP="004F0916">
      <w:pPr>
        <w:rPr>
          <w:rFonts w:ascii="Calibri" w:hAnsi="Calibri" w:cs="Calibri"/>
          <w:szCs w:val="22"/>
        </w:rPr>
      </w:pPr>
    </w:p>
    <w:p w14:paraId="09232847" w14:textId="77777777" w:rsidR="004F0916" w:rsidRPr="00073666" w:rsidRDefault="004F0916" w:rsidP="004F0916">
      <w:pPr>
        <w:rPr>
          <w:rFonts w:ascii="Calibri" w:hAnsi="Calibri" w:cs="Calibri"/>
          <w:szCs w:val="22"/>
        </w:rPr>
      </w:pPr>
    </w:p>
    <w:p w14:paraId="63DD3D62" w14:textId="77777777" w:rsidR="004F0916" w:rsidRPr="00073666" w:rsidRDefault="004F0916" w:rsidP="004F0916">
      <w:pPr>
        <w:rPr>
          <w:rFonts w:ascii="Calibri" w:hAnsi="Calibri" w:cs="Calibri"/>
          <w:szCs w:val="22"/>
        </w:rPr>
      </w:pPr>
    </w:p>
    <w:p w14:paraId="4C914674" w14:textId="77777777" w:rsidR="004F0916" w:rsidRPr="00073666" w:rsidRDefault="004F0916" w:rsidP="004F0916">
      <w:pPr>
        <w:rPr>
          <w:rFonts w:ascii="Calibri" w:hAnsi="Calibri" w:cs="Calibri"/>
          <w:szCs w:val="22"/>
        </w:rPr>
      </w:pPr>
    </w:p>
    <w:p w14:paraId="0D3A5680" w14:textId="77777777" w:rsidR="004F0916" w:rsidRPr="00073666" w:rsidRDefault="004F0916" w:rsidP="004F0916">
      <w:pPr>
        <w:rPr>
          <w:rFonts w:ascii="Calibri" w:hAnsi="Calibri" w:cs="Calibri"/>
          <w:szCs w:val="22"/>
        </w:rPr>
      </w:pPr>
    </w:p>
    <w:p w14:paraId="52F3A366" w14:textId="77777777" w:rsidR="004F0916" w:rsidRPr="00073666" w:rsidRDefault="004F0916" w:rsidP="004F0916">
      <w:pPr>
        <w:rPr>
          <w:rFonts w:ascii="Calibri" w:hAnsi="Calibri" w:cs="Calibri"/>
          <w:szCs w:val="22"/>
        </w:rPr>
      </w:pPr>
    </w:p>
    <w:p w14:paraId="43094A57" w14:textId="77777777" w:rsidR="004F0916" w:rsidRPr="00073666" w:rsidRDefault="004F0916" w:rsidP="004F0916">
      <w:pPr>
        <w:rPr>
          <w:rFonts w:ascii="Calibri" w:hAnsi="Calibri" w:cs="Calibri"/>
          <w:szCs w:val="22"/>
        </w:rPr>
      </w:pPr>
    </w:p>
    <w:p w14:paraId="00272C73" w14:textId="77777777" w:rsidR="004F0916" w:rsidRPr="00073666" w:rsidRDefault="004F0916" w:rsidP="004F0916">
      <w:pPr>
        <w:rPr>
          <w:rFonts w:ascii="Calibri" w:hAnsi="Calibri" w:cs="Calibri"/>
          <w:szCs w:val="22"/>
        </w:rPr>
      </w:pPr>
    </w:p>
    <w:p w14:paraId="46855914" w14:textId="77777777" w:rsidR="004F0916" w:rsidRPr="00073666" w:rsidRDefault="004F0916" w:rsidP="004F0916">
      <w:pPr>
        <w:rPr>
          <w:rFonts w:ascii="Calibri" w:hAnsi="Calibri" w:cs="Calibri"/>
          <w:szCs w:val="22"/>
        </w:rPr>
      </w:pPr>
    </w:p>
    <w:p w14:paraId="00FAE44C" w14:textId="77777777" w:rsidR="004F0916" w:rsidRPr="00073666" w:rsidRDefault="004F0916" w:rsidP="004F0916">
      <w:pPr>
        <w:rPr>
          <w:rFonts w:ascii="Calibri" w:hAnsi="Calibri" w:cs="Calibri"/>
          <w:szCs w:val="22"/>
        </w:rPr>
      </w:pPr>
    </w:p>
    <w:p w14:paraId="21467FC5" w14:textId="77777777" w:rsidR="004F0916" w:rsidRPr="00073666" w:rsidRDefault="004F0916" w:rsidP="004F0916">
      <w:pPr>
        <w:rPr>
          <w:rFonts w:ascii="Calibri" w:hAnsi="Calibri" w:cs="Calibri"/>
          <w:szCs w:val="22"/>
        </w:rPr>
      </w:pPr>
    </w:p>
    <w:p w14:paraId="2FF2BA50" w14:textId="77777777" w:rsidR="004F0916" w:rsidRPr="00073666" w:rsidRDefault="004F0916" w:rsidP="004F0916">
      <w:pPr>
        <w:rPr>
          <w:rFonts w:ascii="Calibri" w:hAnsi="Calibri" w:cs="Calibri"/>
          <w:szCs w:val="22"/>
        </w:rPr>
      </w:pPr>
    </w:p>
    <w:p w14:paraId="40FD91BE" w14:textId="77777777" w:rsidR="004F0916" w:rsidRPr="00073666" w:rsidRDefault="004F0916" w:rsidP="004F0916">
      <w:pPr>
        <w:rPr>
          <w:rFonts w:ascii="Calibri" w:hAnsi="Calibri" w:cs="Calibri"/>
          <w:szCs w:val="22"/>
        </w:rPr>
      </w:pPr>
    </w:p>
    <w:p w14:paraId="050C283C" w14:textId="77777777" w:rsidR="004F0916" w:rsidRPr="00073666" w:rsidRDefault="004F0916" w:rsidP="004F0916">
      <w:pPr>
        <w:rPr>
          <w:rFonts w:ascii="Calibri" w:hAnsi="Calibri" w:cs="Calibri"/>
          <w:szCs w:val="22"/>
        </w:rPr>
      </w:pPr>
    </w:p>
    <w:p w14:paraId="74CA67A6" w14:textId="77777777" w:rsidR="004F0916" w:rsidRPr="00073666" w:rsidRDefault="004F0916" w:rsidP="004F0916">
      <w:pPr>
        <w:rPr>
          <w:rFonts w:ascii="Calibri" w:hAnsi="Calibri" w:cs="Calibri"/>
          <w:szCs w:val="22"/>
        </w:rPr>
      </w:pPr>
    </w:p>
    <w:p w14:paraId="0D63F6A7" w14:textId="77777777" w:rsidR="004F0916" w:rsidRPr="00073666" w:rsidRDefault="004F0916" w:rsidP="004F0916">
      <w:pPr>
        <w:rPr>
          <w:rFonts w:ascii="Calibri" w:hAnsi="Calibri" w:cs="Calibri"/>
          <w:szCs w:val="22"/>
        </w:rPr>
      </w:pPr>
    </w:p>
    <w:p w14:paraId="6F0C4C1D" w14:textId="77777777" w:rsidR="004F0916" w:rsidRPr="00073666" w:rsidRDefault="004F0916" w:rsidP="004F0916">
      <w:pPr>
        <w:rPr>
          <w:rFonts w:ascii="Calibri" w:hAnsi="Calibri" w:cs="Calibri"/>
          <w:szCs w:val="22"/>
        </w:rPr>
      </w:pPr>
    </w:p>
    <w:p w14:paraId="7BEAECBF" w14:textId="77777777" w:rsidR="004F0916" w:rsidRPr="00073666" w:rsidRDefault="004F0916" w:rsidP="004F0916">
      <w:pPr>
        <w:rPr>
          <w:rFonts w:ascii="Calibri" w:hAnsi="Calibri" w:cs="Calibri"/>
          <w:szCs w:val="22"/>
        </w:rPr>
      </w:pPr>
    </w:p>
    <w:p w14:paraId="75F32887" w14:textId="77777777" w:rsidR="004F0916" w:rsidRPr="00073666" w:rsidRDefault="004F0916" w:rsidP="004F0916">
      <w:pPr>
        <w:rPr>
          <w:rFonts w:ascii="Calibri" w:hAnsi="Calibri" w:cs="Calibri"/>
          <w:szCs w:val="22"/>
        </w:rPr>
      </w:pPr>
    </w:p>
    <w:p w14:paraId="5DA21687" w14:textId="77777777" w:rsidR="004F0916" w:rsidRPr="00073666" w:rsidRDefault="004F0916" w:rsidP="004F0916">
      <w:pPr>
        <w:rPr>
          <w:rFonts w:ascii="Calibri" w:hAnsi="Calibri" w:cs="Calibri"/>
          <w:szCs w:val="22"/>
        </w:rPr>
      </w:pPr>
    </w:p>
    <w:p w14:paraId="7B133296" w14:textId="77777777" w:rsidR="004F0916" w:rsidRPr="00073666" w:rsidRDefault="004F0916" w:rsidP="004F0916">
      <w:pPr>
        <w:rPr>
          <w:rFonts w:ascii="Calibri" w:hAnsi="Calibri" w:cs="Calibri"/>
          <w:szCs w:val="22"/>
        </w:rPr>
      </w:pPr>
    </w:p>
    <w:p w14:paraId="31583B82" w14:textId="2A888F31" w:rsidR="004F0916" w:rsidRPr="00073666" w:rsidRDefault="004F0916" w:rsidP="000C1827">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p>
    <w:p w14:paraId="4FAB98E2" w14:textId="37CDD523" w:rsidR="004F0916" w:rsidRPr="00073666" w:rsidRDefault="004F0916" w:rsidP="004F0916">
      <w:pPr>
        <w:tabs>
          <w:tab w:val="left" w:pos="8280"/>
        </w:tabs>
        <w:suppressAutoHyphens/>
        <w:rPr>
          <w:rFonts w:ascii="Calibri" w:hAnsi="Calibri" w:cs="Calibri"/>
          <w:szCs w:val="22"/>
        </w:rPr>
      </w:pPr>
      <w:r w:rsidRPr="00073666">
        <w:rPr>
          <w:rFonts w:ascii="Calibri" w:hAnsi="Calibri" w:cs="Calibri"/>
          <w:szCs w:val="22"/>
        </w:rPr>
        <w:tab/>
      </w:r>
    </w:p>
    <w:p w14:paraId="1F1B772E" w14:textId="73D83587" w:rsidR="00760261" w:rsidRPr="00073666" w:rsidRDefault="00475FDA">
      <w:pPr>
        <w:rPr>
          <w:rFonts w:ascii="Calibri" w:hAnsi="Calibri" w:cs="Calibri"/>
          <w:szCs w:val="22"/>
        </w:rPr>
      </w:pPr>
      <w:r w:rsidRPr="00073666">
        <w:rPr>
          <w:rFonts w:ascii="Calibri" w:hAnsi="Calibri" w:cs="Calibri"/>
          <w:szCs w:val="22"/>
        </w:rPr>
        <w:br w:type="page"/>
      </w:r>
      <w:bookmarkStart w:id="0" w:name="_Toc354567215"/>
      <w:r w:rsidR="000429A5">
        <w:rPr>
          <w:rFonts w:ascii="Calibri" w:hAnsi="Calibri" w:cs="Calibri"/>
          <w:noProof/>
          <w:szCs w:val="22"/>
        </w:rPr>
        <w:lastRenderedPageBreak/>
        <w:pict w14:anchorId="73FF5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sers/mda06jy/Desktop/Aspiflu protocol sig page 04Oct2019.pdf" style="width:534pt;height:756.75pt;mso-width-percent:0;mso-height-percent:0;mso-width-percent:0;mso-height-percent:0"/>
        </w:pict>
      </w:r>
    </w:p>
    <w:tbl>
      <w:tblPr>
        <w:tblStyle w:val="TableGrid"/>
        <w:tblW w:w="10419" w:type="dxa"/>
        <w:tblLook w:val="04A0" w:firstRow="1" w:lastRow="0" w:firstColumn="1" w:lastColumn="0" w:noHBand="0" w:noVBand="1"/>
      </w:tblPr>
      <w:tblGrid>
        <w:gridCol w:w="9128"/>
        <w:gridCol w:w="1291"/>
      </w:tblGrid>
      <w:tr w:rsidR="00760261" w:rsidRPr="00073666" w14:paraId="1A9E5461" w14:textId="77777777" w:rsidTr="00B468ED">
        <w:tc>
          <w:tcPr>
            <w:tcW w:w="9128" w:type="dxa"/>
            <w:shd w:val="clear" w:color="auto" w:fill="C0504D" w:themeFill="accent2"/>
            <w:vAlign w:val="center"/>
          </w:tcPr>
          <w:p w14:paraId="65811ED8" w14:textId="77777777" w:rsidR="00760261" w:rsidRPr="00073666" w:rsidRDefault="00760261" w:rsidP="00B468ED">
            <w:pPr>
              <w:spacing w:before="60" w:after="60"/>
              <w:rPr>
                <w:rFonts w:ascii="Calibri" w:hAnsi="Calibri" w:cs="Calibri"/>
                <w:b/>
                <w:color w:val="FFFFFF" w:themeColor="background1"/>
                <w:szCs w:val="22"/>
              </w:rPr>
            </w:pPr>
            <w:r w:rsidRPr="00073666">
              <w:rPr>
                <w:rFonts w:ascii="Calibri" w:hAnsi="Calibri" w:cs="Calibri"/>
                <w:b/>
                <w:color w:val="FFFFFF" w:themeColor="background1"/>
                <w:szCs w:val="22"/>
              </w:rPr>
              <w:lastRenderedPageBreak/>
              <w:t>LIST of CONTENTS</w:t>
            </w:r>
          </w:p>
        </w:tc>
        <w:tc>
          <w:tcPr>
            <w:tcW w:w="1291" w:type="dxa"/>
            <w:shd w:val="clear" w:color="auto" w:fill="C0504D" w:themeFill="accent2"/>
            <w:vAlign w:val="center"/>
          </w:tcPr>
          <w:p w14:paraId="25892D5F" w14:textId="77777777" w:rsidR="00760261" w:rsidRPr="00073666" w:rsidRDefault="00760261" w:rsidP="00B468ED">
            <w:pPr>
              <w:spacing w:before="60" w:after="60"/>
              <w:rPr>
                <w:rFonts w:ascii="Calibri" w:hAnsi="Calibri" w:cs="Calibri"/>
                <w:b/>
                <w:color w:val="FFFFFF" w:themeColor="background1"/>
                <w:szCs w:val="22"/>
              </w:rPr>
            </w:pPr>
            <w:r w:rsidRPr="00073666">
              <w:rPr>
                <w:rFonts w:ascii="Calibri" w:hAnsi="Calibri" w:cs="Calibri"/>
                <w:b/>
                <w:color w:val="FFFFFF" w:themeColor="background1"/>
                <w:szCs w:val="22"/>
              </w:rPr>
              <w:t>Page No.</w:t>
            </w:r>
          </w:p>
        </w:tc>
      </w:tr>
      <w:tr w:rsidR="00760261" w:rsidRPr="00073666" w14:paraId="7E20EF5C" w14:textId="77777777" w:rsidTr="00B468ED">
        <w:tc>
          <w:tcPr>
            <w:tcW w:w="9128" w:type="dxa"/>
            <w:vAlign w:val="center"/>
          </w:tcPr>
          <w:p w14:paraId="4717CFED" w14:textId="672731F2" w:rsidR="00760261" w:rsidRPr="00073666" w:rsidRDefault="00C7188C" w:rsidP="00B468ED">
            <w:pPr>
              <w:spacing w:before="60" w:after="60"/>
              <w:rPr>
                <w:rFonts w:ascii="Calibri" w:hAnsi="Calibri" w:cs="Calibri"/>
                <w:szCs w:val="22"/>
              </w:rPr>
            </w:pPr>
            <w:r w:rsidRPr="00073666">
              <w:rPr>
                <w:rFonts w:ascii="Calibri" w:hAnsi="Calibri" w:cs="Calibri"/>
                <w:szCs w:val="22"/>
              </w:rPr>
              <w:t>TITLE PAGE</w:t>
            </w:r>
            <w:r w:rsidRPr="00073666">
              <w:rPr>
                <w:rFonts w:ascii="Calibri" w:hAnsi="Calibri" w:cs="Calibri"/>
                <w:szCs w:val="22"/>
              </w:rPr>
              <w:tab/>
            </w:r>
          </w:p>
        </w:tc>
        <w:tc>
          <w:tcPr>
            <w:tcW w:w="1291" w:type="dxa"/>
            <w:vAlign w:val="center"/>
          </w:tcPr>
          <w:p w14:paraId="779083E5" w14:textId="45A2F8DC" w:rsidR="00760261" w:rsidRPr="00073666" w:rsidRDefault="00C7188C" w:rsidP="00B468ED">
            <w:pPr>
              <w:spacing w:before="60" w:after="60"/>
              <w:rPr>
                <w:rFonts w:ascii="Calibri" w:hAnsi="Calibri" w:cs="Calibri"/>
                <w:szCs w:val="22"/>
              </w:rPr>
            </w:pPr>
            <w:r w:rsidRPr="00073666">
              <w:rPr>
                <w:rFonts w:ascii="Calibri" w:hAnsi="Calibri" w:cs="Calibri"/>
                <w:szCs w:val="22"/>
              </w:rPr>
              <w:t>1</w:t>
            </w:r>
          </w:p>
        </w:tc>
      </w:tr>
      <w:tr w:rsidR="00760261" w:rsidRPr="00073666" w14:paraId="2F824FB7" w14:textId="77777777" w:rsidTr="00B468ED">
        <w:tc>
          <w:tcPr>
            <w:tcW w:w="9128" w:type="dxa"/>
            <w:vAlign w:val="center"/>
          </w:tcPr>
          <w:p w14:paraId="6487535C" w14:textId="77777777" w:rsidR="00760261" w:rsidRPr="00073666" w:rsidRDefault="00760261" w:rsidP="00B468ED">
            <w:pPr>
              <w:spacing w:before="60" w:after="60"/>
              <w:rPr>
                <w:rFonts w:ascii="Calibri" w:hAnsi="Calibri" w:cs="Calibri"/>
                <w:szCs w:val="22"/>
              </w:rPr>
            </w:pPr>
            <w:r w:rsidRPr="00073666">
              <w:rPr>
                <w:rFonts w:ascii="Calibri" w:hAnsi="Calibri" w:cs="Calibri"/>
                <w:szCs w:val="22"/>
              </w:rPr>
              <w:t>RESEARCH REFERENCE NUMBERS</w:t>
            </w:r>
            <w:r w:rsidRPr="00073666">
              <w:rPr>
                <w:rFonts w:ascii="Calibri" w:hAnsi="Calibri" w:cs="Calibri"/>
                <w:szCs w:val="22"/>
              </w:rPr>
              <w:tab/>
            </w:r>
          </w:p>
        </w:tc>
        <w:tc>
          <w:tcPr>
            <w:tcW w:w="1291" w:type="dxa"/>
            <w:vAlign w:val="center"/>
          </w:tcPr>
          <w:p w14:paraId="3695E516" w14:textId="42CCB396" w:rsidR="00760261" w:rsidRPr="00073666" w:rsidRDefault="00C7188C" w:rsidP="00B468ED">
            <w:pPr>
              <w:spacing w:before="60" w:after="60"/>
              <w:rPr>
                <w:rFonts w:ascii="Calibri" w:hAnsi="Calibri" w:cs="Calibri"/>
                <w:szCs w:val="22"/>
              </w:rPr>
            </w:pPr>
            <w:r w:rsidRPr="00073666">
              <w:rPr>
                <w:rFonts w:ascii="Calibri" w:hAnsi="Calibri" w:cs="Calibri"/>
                <w:szCs w:val="22"/>
              </w:rPr>
              <w:t>1</w:t>
            </w:r>
          </w:p>
        </w:tc>
      </w:tr>
      <w:tr w:rsidR="00760261" w:rsidRPr="00073666" w14:paraId="6BCC927F" w14:textId="77777777" w:rsidTr="00B468ED">
        <w:tc>
          <w:tcPr>
            <w:tcW w:w="9128" w:type="dxa"/>
            <w:vAlign w:val="center"/>
          </w:tcPr>
          <w:p w14:paraId="3538E756" w14:textId="77777777" w:rsidR="00760261" w:rsidRPr="00073666" w:rsidRDefault="00760261" w:rsidP="00B468ED">
            <w:pPr>
              <w:spacing w:before="60" w:after="60"/>
              <w:rPr>
                <w:rFonts w:ascii="Calibri" w:hAnsi="Calibri" w:cs="Calibri"/>
                <w:szCs w:val="22"/>
              </w:rPr>
            </w:pPr>
            <w:r w:rsidRPr="00073666">
              <w:rPr>
                <w:rFonts w:ascii="Calibri" w:hAnsi="Calibri" w:cs="Calibri"/>
                <w:szCs w:val="22"/>
              </w:rPr>
              <w:t>SIGNATURE PAGE</w:t>
            </w:r>
          </w:p>
        </w:tc>
        <w:tc>
          <w:tcPr>
            <w:tcW w:w="1291" w:type="dxa"/>
            <w:vAlign w:val="center"/>
          </w:tcPr>
          <w:p w14:paraId="630FAF7F" w14:textId="55BCB085" w:rsidR="00760261" w:rsidRPr="00073666" w:rsidRDefault="00C7188C" w:rsidP="00B468ED">
            <w:pPr>
              <w:spacing w:before="60" w:after="60"/>
              <w:rPr>
                <w:rFonts w:ascii="Calibri" w:hAnsi="Calibri" w:cs="Calibri"/>
                <w:szCs w:val="22"/>
              </w:rPr>
            </w:pPr>
            <w:r w:rsidRPr="00073666">
              <w:rPr>
                <w:rFonts w:ascii="Calibri" w:hAnsi="Calibri" w:cs="Calibri"/>
                <w:szCs w:val="22"/>
              </w:rPr>
              <w:t>2</w:t>
            </w:r>
          </w:p>
        </w:tc>
      </w:tr>
      <w:tr w:rsidR="00760261" w:rsidRPr="00073666" w14:paraId="6210445F" w14:textId="77777777" w:rsidTr="00B468ED">
        <w:tc>
          <w:tcPr>
            <w:tcW w:w="9128" w:type="dxa"/>
            <w:vAlign w:val="center"/>
          </w:tcPr>
          <w:p w14:paraId="221CF98A" w14:textId="77777777" w:rsidR="00760261" w:rsidRPr="00073666" w:rsidRDefault="00760261" w:rsidP="00B468ED">
            <w:pPr>
              <w:spacing w:before="60" w:after="60"/>
              <w:rPr>
                <w:rFonts w:ascii="Calibri" w:hAnsi="Calibri" w:cs="Calibri"/>
                <w:szCs w:val="22"/>
              </w:rPr>
            </w:pPr>
            <w:r w:rsidRPr="00073666">
              <w:rPr>
                <w:rFonts w:ascii="Calibri" w:hAnsi="Calibri" w:cs="Calibri"/>
                <w:szCs w:val="22"/>
              </w:rPr>
              <w:t>LIST OF CONTENTS</w:t>
            </w:r>
            <w:r w:rsidRPr="00073666">
              <w:rPr>
                <w:rFonts w:ascii="Calibri" w:hAnsi="Calibri" w:cs="Calibri"/>
                <w:szCs w:val="22"/>
              </w:rPr>
              <w:tab/>
            </w:r>
          </w:p>
        </w:tc>
        <w:tc>
          <w:tcPr>
            <w:tcW w:w="1291" w:type="dxa"/>
            <w:vAlign w:val="center"/>
          </w:tcPr>
          <w:p w14:paraId="4C9DF015" w14:textId="4BE4E667" w:rsidR="00760261" w:rsidRPr="00073666" w:rsidRDefault="00C7188C" w:rsidP="00B468ED">
            <w:pPr>
              <w:spacing w:before="60" w:after="60"/>
              <w:rPr>
                <w:rFonts w:ascii="Calibri" w:hAnsi="Calibri" w:cs="Calibri"/>
                <w:szCs w:val="22"/>
              </w:rPr>
            </w:pPr>
            <w:r w:rsidRPr="00073666">
              <w:rPr>
                <w:rFonts w:ascii="Calibri" w:hAnsi="Calibri" w:cs="Calibri"/>
                <w:szCs w:val="22"/>
              </w:rPr>
              <w:t>3</w:t>
            </w:r>
          </w:p>
        </w:tc>
      </w:tr>
      <w:tr w:rsidR="00760261" w:rsidRPr="00073666" w14:paraId="3DA75184" w14:textId="77777777" w:rsidTr="00B468ED">
        <w:tc>
          <w:tcPr>
            <w:tcW w:w="9128" w:type="dxa"/>
            <w:vAlign w:val="center"/>
          </w:tcPr>
          <w:p w14:paraId="251BDC30" w14:textId="77777777" w:rsidR="00760261" w:rsidRPr="00073666" w:rsidRDefault="00760261" w:rsidP="00B468ED">
            <w:pPr>
              <w:spacing w:before="60" w:after="60"/>
              <w:rPr>
                <w:rFonts w:ascii="Calibri" w:hAnsi="Calibri" w:cs="Calibri"/>
                <w:szCs w:val="22"/>
              </w:rPr>
            </w:pPr>
            <w:r w:rsidRPr="00073666">
              <w:rPr>
                <w:rFonts w:ascii="Calibri" w:hAnsi="Calibri" w:cs="Calibri"/>
                <w:szCs w:val="22"/>
              </w:rPr>
              <w:t>KEY STUDY CONTACTS</w:t>
            </w:r>
          </w:p>
        </w:tc>
        <w:tc>
          <w:tcPr>
            <w:tcW w:w="1291" w:type="dxa"/>
            <w:vAlign w:val="center"/>
          </w:tcPr>
          <w:p w14:paraId="38DAD197" w14:textId="2767D755" w:rsidR="00760261" w:rsidRPr="00073666" w:rsidRDefault="00C7188C" w:rsidP="00B468ED">
            <w:pPr>
              <w:spacing w:before="60" w:after="60"/>
              <w:rPr>
                <w:rFonts w:ascii="Calibri" w:hAnsi="Calibri" w:cs="Calibri"/>
                <w:szCs w:val="22"/>
              </w:rPr>
            </w:pPr>
            <w:r w:rsidRPr="00073666">
              <w:rPr>
                <w:rFonts w:ascii="Calibri" w:hAnsi="Calibri" w:cs="Calibri"/>
                <w:szCs w:val="22"/>
              </w:rPr>
              <w:t>4</w:t>
            </w:r>
          </w:p>
        </w:tc>
      </w:tr>
      <w:tr w:rsidR="00760261" w:rsidRPr="00073666" w14:paraId="52EE960F" w14:textId="77777777" w:rsidTr="00B468ED">
        <w:tc>
          <w:tcPr>
            <w:tcW w:w="9128" w:type="dxa"/>
            <w:vAlign w:val="center"/>
          </w:tcPr>
          <w:p w14:paraId="56EF0F9E" w14:textId="77777777" w:rsidR="00760261" w:rsidRPr="00073666" w:rsidRDefault="00760261" w:rsidP="00B468ED">
            <w:pPr>
              <w:spacing w:before="60" w:after="60"/>
              <w:rPr>
                <w:rFonts w:ascii="Calibri" w:hAnsi="Calibri" w:cs="Calibri"/>
                <w:szCs w:val="22"/>
              </w:rPr>
            </w:pPr>
            <w:r w:rsidRPr="00073666">
              <w:rPr>
                <w:rFonts w:ascii="Calibri" w:hAnsi="Calibri" w:cs="Calibri"/>
                <w:szCs w:val="22"/>
              </w:rPr>
              <w:t>STUDY SUMMARY</w:t>
            </w:r>
          </w:p>
        </w:tc>
        <w:tc>
          <w:tcPr>
            <w:tcW w:w="1291" w:type="dxa"/>
            <w:vAlign w:val="center"/>
          </w:tcPr>
          <w:p w14:paraId="2C36F1FF" w14:textId="42125018" w:rsidR="00760261" w:rsidRPr="00073666" w:rsidRDefault="00C7188C" w:rsidP="00B468ED">
            <w:pPr>
              <w:spacing w:before="60" w:after="60"/>
              <w:rPr>
                <w:rFonts w:ascii="Calibri" w:hAnsi="Calibri" w:cs="Calibri"/>
                <w:szCs w:val="22"/>
              </w:rPr>
            </w:pPr>
            <w:r w:rsidRPr="00073666">
              <w:rPr>
                <w:rFonts w:ascii="Calibri" w:hAnsi="Calibri" w:cs="Calibri"/>
                <w:szCs w:val="22"/>
              </w:rPr>
              <w:t>5</w:t>
            </w:r>
          </w:p>
        </w:tc>
      </w:tr>
      <w:tr w:rsidR="00760261" w:rsidRPr="00073666" w14:paraId="1CE89AE9" w14:textId="77777777" w:rsidTr="00B468ED">
        <w:tc>
          <w:tcPr>
            <w:tcW w:w="9128" w:type="dxa"/>
            <w:vAlign w:val="center"/>
          </w:tcPr>
          <w:p w14:paraId="25FF8FCC" w14:textId="77777777" w:rsidR="00760261" w:rsidRPr="00073666" w:rsidRDefault="00760261" w:rsidP="00B468ED">
            <w:pPr>
              <w:spacing w:before="60" w:after="60"/>
              <w:rPr>
                <w:rFonts w:ascii="Calibri" w:hAnsi="Calibri" w:cs="Calibri"/>
                <w:szCs w:val="22"/>
              </w:rPr>
            </w:pPr>
            <w:r w:rsidRPr="00073666">
              <w:rPr>
                <w:rFonts w:ascii="Calibri" w:hAnsi="Calibri" w:cs="Calibri"/>
                <w:szCs w:val="22"/>
              </w:rPr>
              <w:t>FUNDING</w:t>
            </w:r>
            <w:r w:rsidRPr="00073666">
              <w:rPr>
                <w:rFonts w:ascii="Calibri" w:hAnsi="Calibri" w:cs="Calibri"/>
                <w:szCs w:val="22"/>
              </w:rPr>
              <w:tab/>
            </w:r>
          </w:p>
        </w:tc>
        <w:tc>
          <w:tcPr>
            <w:tcW w:w="1291" w:type="dxa"/>
            <w:vAlign w:val="center"/>
          </w:tcPr>
          <w:p w14:paraId="583C507C" w14:textId="4C3B6DD8" w:rsidR="00760261" w:rsidRPr="00073666" w:rsidRDefault="00C7188C" w:rsidP="00B468ED">
            <w:pPr>
              <w:spacing w:before="60" w:after="60"/>
              <w:rPr>
                <w:rFonts w:ascii="Calibri" w:hAnsi="Calibri" w:cs="Calibri"/>
                <w:szCs w:val="22"/>
              </w:rPr>
            </w:pPr>
            <w:r w:rsidRPr="00073666">
              <w:rPr>
                <w:rFonts w:ascii="Calibri" w:hAnsi="Calibri" w:cs="Calibri"/>
                <w:szCs w:val="22"/>
              </w:rPr>
              <w:t>7</w:t>
            </w:r>
          </w:p>
        </w:tc>
      </w:tr>
      <w:tr w:rsidR="00760261" w:rsidRPr="00073666" w14:paraId="05DF962F" w14:textId="77777777" w:rsidTr="00B468ED">
        <w:tc>
          <w:tcPr>
            <w:tcW w:w="9128" w:type="dxa"/>
            <w:vAlign w:val="center"/>
          </w:tcPr>
          <w:p w14:paraId="0A0BDF08" w14:textId="77777777" w:rsidR="00760261" w:rsidRPr="00073666" w:rsidRDefault="00760261" w:rsidP="00B468ED">
            <w:pPr>
              <w:spacing w:before="60" w:after="60"/>
              <w:rPr>
                <w:rFonts w:ascii="Calibri" w:hAnsi="Calibri" w:cs="Calibri"/>
                <w:szCs w:val="22"/>
              </w:rPr>
            </w:pPr>
            <w:r w:rsidRPr="00073666">
              <w:rPr>
                <w:rFonts w:ascii="Calibri" w:hAnsi="Calibri" w:cs="Calibri"/>
                <w:szCs w:val="22"/>
              </w:rPr>
              <w:t xml:space="preserve">ROLES &amp; RESPONSIBILITIES OF STUDY STEERING GROUPS AND INDIVIDUALS </w:t>
            </w:r>
            <w:r w:rsidRPr="00073666">
              <w:rPr>
                <w:rFonts w:ascii="Calibri" w:hAnsi="Calibri" w:cs="Calibri"/>
                <w:szCs w:val="22"/>
              </w:rPr>
              <w:tab/>
            </w:r>
          </w:p>
        </w:tc>
        <w:tc>
          <w:tcPr>
            <w:tcW w:w="1291" w:type="dxa"/>
            <w:vAlign w:val="center"/>
          </w:tcPr>
          <w:p w14:paraId="0477E02B" w14:textId="1EF1E0E5" w:rsidR="00760261" w:rsidRPr="00073666" w:rsidRDefault="00C7188C" w:rsidP="00B468ED">
            <w:pPr>
              <w:spacing w:before="60" w:after="60"/>
              <w:rPr>
                <w:rFonts w:ascii="Calibri" w:hAnsi="Calibri" w:cs="Calibri"/>
                <w:szCs w:val="22"/>
              </w:rPr>
            </w:pPr>
            <w:r w:rsidRPr="00073666">
              <w:rPr>
                <w:rFonts w:ascii="Calibri" w:hAnsi="Calibri" w:cs="Calibri"/>
                <w:szCs w:val="22"/>
              </w:rPr>
              <w:t>8</w:t>
            </w:r>
          </w:p>
        </w:tc>
      </w:tr>
      <w:tr w:rsidR="00C7188C" w:rsidRPr="00073666" w14:paraId="694FED6F" w14:textId="77777777" w:rsidTr="00B468ED">
        <w:tc>
          <w:tcPr>
            <w:tcW w:w="9128" w:type="dxa"/>
            <w:vAlign w:val="center"/>
          </w:tcPr>
          <w:p w14:paraId="4120D9BF" w14:textId="2FF21B08" w:rsidR="00C7188C" w:rsidRPr="00073666" w:rsidRDefault="00C7188C" w:rsidP="00C7188C">
            <w:pPr>
              <w:spacing w:before="60" w:after="60"/>
              <w:rPr>
                <w:rFonts w:ascii="Calibri" w:hAnsi="Calibri" w:cs="Calibri"/>
                <w:szCs w:val="22"/>
              </w:rPr>
            </w:pPr>
            <w:r w:rsidRPr="00073666">
              <w:rPr>
                <w:rFonts w:ascii="Calibri" w:hAnsi="Calibri" w:cs="Calibri"/>
                <w:szCs w:val="22"/>
              </w:rPr>
              <w:t>ROLE OF SPONSOR AND FUNDER</w:t>
            </w:r>
          </w:p>
        </w:tc>
        <w:tc>
          <w:tcPr>
            <w:tcW w:w="1291" w:type="dxa"/>
            <w:vAlign w:val="center"/>
          </w:tcPr>
          <w:p w14:paraId="244E423D" w14:textId="6B5E7220" w:rsidR="00C7188C" w:rsidRPr="00073666" w:rsidRDefault="00C7188C" w:rsidP="00C7188C">
            <w:pPr>
              <w:spacing w:before="60" w:after="60"/>
              <w:rPr>
                <w:rFonts w:ascii="Calibri" w:hAnsi="Calibri" w:cs="Calibri"/>
                <w:szCs w:val="22"/>
              </w:rPr>
            </w:pPr>
            <w:r w:rsidRPr="00073666">
              <w:rPr>
                <w:rFonts w:ascii="Calibri" w:hAnsi="Calibri" w:cs="Calibri"/>
                <w:szCs w:val="22"/>
              </w:rPr>
              <w:t>9</w:t>
            </w:r>
          </w:p>
        </w:tc>
      </w:tr>
      <w:tr w:rsidR="00C7188C" w:rsidRPr="00073666" w14:paraId="6318CB64" w14:textId="77777777" w:rsidTr="00B468ED">
        <w:tc>
          <w:tcPr>
            <w:tcW w:w="9128" w:type="dxa"/>
            <w:vAlign w:val="center"/>
          </w:tcPr>
          <w:p w14:paraId="6D914444"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STUDY FLOW CHART</w:t>
            </w:r>
            <w:r w:rsidRPr="00073666">
              <w:rPr>
                <w:rFonts w:ascii="Calibri" w:hAnsi="Calibri" w:cs="Calibri"/>
                <w:szCs w:val="22"/>
              </w:rPr>
              <w:tab/>
            </w:r>
          </w:p>
        </w:tc>
        <w:tc>
          <w:tcPr>
            <w:tcW w:w="1291" w:type="dxa"/>
            <w:vAlign w:val="center"/>
          </w:tcPr>
          <w:p w14:paraId="78F4D192" w14:textId="428A3452" w:rsidR="00C7188C" w:rsidRPr="00073666" w:rsidRDefault="00C7188C" w:rsidP="00C7188C">
            <w:pPr>
              <w:spacing w:before="60" w:after="60"/>
              <w:rPr>
                <w:rFonts w:ascii="Calibri" w:hAnsi="Calibri" w:cs="Calibri"/>
                <w:szCs w:val="22"/>
              </w:rPr>
            </w:pPr>
            <w:r w:rsidRPr="00073666">
              <w:rPr>
                <w:rFonts w:ascii="Calibri" w:hAnsi="Calibri" w:cs="Calibri"/>
                <w:szCs w:val="22"/>
              </w:rPr>
              <w:t>10</w:t>
            </w:r>
          </w:p>
        </w:tc>
      </w:tr>
      <w:tr w:rsidR="00C7188C" w:rsidRPr="00073666" w14:paraId="3278BFD3" w14:textId="77777777" w:rsidTr="00B468ED">
        <w:tc>
          <w:tcPr>
            <w:tcW w:w="9128" w:type="dxa"/>
            <w:vAlign w:val="center"/>
          </w:tcPr>
          <w:p w14:paraId="6350EC18" w14:textId="4268FDED" w:rsidR="00C7188C" w:rsidRPr="00073666" w:rsidRDefault="00C7188C" w:rsidP="00C7188C">
            <w:pPr>
              <w:spacing w:before="60" w:after="60"/>
              <w:rPr>
                <w:rFonts w:ascii="Calibri" w:hAnsi="Calibri" w:cs="Calibri"/>
                <w:szCs w:val="22"/>
              </w:rPr>
            </w:pPr>
            <w:r w:rsidRPr="00073666">
              <w:rPr>
                <w:rFonts w:ascii="Calibri" w:hAnsi="Calibri" w:cs="Calibri"/>
                <w:szCs w:val="22"/>
              </w:rPr>
              <w:t>STUDY TIMELINES</w:t>
            </w:r>
          </w:p>
        </w:tc>
        <w:tc>
          <w:tcPr>
            <w:tcW w:w="1291" w:type="dxa"/>
            <w:vAlign w:val="center"/>
          </w:tcPr>
          <w:p w14:paraId="327E4DBB" w14:textId="10F0F795" w:rsidR="00C7188C" w:rsidRPr="00073666" w:rsidRDefault="00C7188C" w:rsidP="00C7188C">
            <w:pPr>
              <w:spacing w:before="60" w:after="60"/>
              <w:rPr>
                <w:rFonts w:ascii="Calibri" w:hAnsi="Calibri" w:cs="Calibri"/>
                <w:szCs w:val="22"/>
              </w:rPr>
            </w:pPr>
            <w:r w:rsidRPr="00073666">
              <w:rPr>
                <w:rFonts w:ascii="Calibri" w:hAnsi="Calibri" w:cs="Calibri"/>
                <w:szCs w:val="22"/>
              </w:rPr>
              <w:t>11</w:t>
            </w:r>
          </w:p>
        </w:tc>
      </w:tr>
      <w:tr w:rsidR="00C7188C" w:rsidRPr="00073666" w14:paraId="62BD0EAE" w14:textId="77777777" w:rsidTr="00B468ED">
        <w:tc>
          <w:tcPr>
            <w:tcW w:w="9128" w:type="dxa"/>
            <w:vAlign w:val="center"/>
          </w:tcPr>
          <w:p w14:paraId="7CA5F047" w14:textId="39DF6FC4" w:rsidR="00C7188C" w:rsidRPr="00073666" w:rsidRDefault="00C7188C" w:rsidP="00C7188C">
            <w:pPr>
              <w:spacing w:before="60" w:after="60"/>
              <w:rPr>
                <w:rFonts w:ascii="Calibri" w:hAnsi="Calibri" w:cs="Calibri"/>
                <w:szCs w:val="22"/>
              </w:rPr>
            </w:pPr>
            <w:r w:rsidRPr="00073666">
              <w:rPr>
                <w:rFonts w:ascii="Calibri" w:hAnsi="Calibri" w:cs="Calibri"/>
                <w:szCs w:val="22"/>
              </w:rPr>
              <w:t>LAY SUMMARY</w:t>
            </w:r>
          </w:p>
        </w:tc>
        <w:tc>
          <w:tcPr>
            <w:tcW w:w="1291" w:type="dxa"/>
            <w:vAlign w:val="center"/>
          </w:tcPr>
          <w:p w14:paraId="04FFC1DE" w14:textId="2FCF3FEF" w:rsidR="00C7188C" w:rsidRPr="00073666" w:rsidRDefault="00C7188C" w:rsidP="00C7188C">
            <w:pPr>
              <w:spacing w:before="60" w:after="60"/>
              <w:rPr>
                <w:rFonts w:ascii="Calibri" w:hAnsi="Calibri" w:cs="Calibri"/>
                <w:szCs w:val="22"/>
              </w:rPr>
            </w:pPr>
            <w:r w:rsidRPr="00073666">
              <w:rPr>
                <w:rFonts w:ascii="Calibri" w:hAnsi="Calibri" w:cs="Calibri"/>
                <w:szCs w:val="22"/>
              </w:rPr>
              <w:t>12</w:t>
            </w:r>
          </w:p>
        </w:tc>
      </w:tr>
      <w:tr w:rsidR="00C7188C" w:rsidRPr="00073666" w14:paraId="7CD634FE" w14:textId="77777777" w:rsidTr="00B468ED">
        <w:tc>
          <w:tcPr>
            <w:tcW w:w="9128" w:type="dxa"/>
            <w:vAlign w:val="center"/>
          </w:tcPr>
          <w:p w14:paraId="493FB72F"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ABBREVIATIONS</w:t>
            </w:r>
          </w:p>
        </w:tc>
        <w:tc>
          <w:tcPr>
            <w:tcW w:w="1291" w:type="dxa"/>
            <w:vAlign w:val="center"/>
          </w:tcPr>
          <w:p w14:paraId="2C636995" w14:textId="3ED320E2" w:rsidR="00C7188C" w:rsidRPr="00073666" w:rsidRDefault="00C7188C" w:rsidP="00C7188C">
            <w:pPr>
              <w:spacing w:before="60" w:after="60"/>
              <w:rPr>
                <w:rFonts w:ascii="Calibri" w:hAnsi="Calibri" w:cs="Calibri"/>
                <w:szCs w:val="22"/>
              </w:rPr>
            </w:pPr>
            <w:r w:rsidRPr="00073666">
              <w:rPr>
                <w:rFonts w:ascii="Calibri" w:hAnsi="Calibri" w:cs="Calibri"/>
                <w:szCs w:val="22"/>
              </w:rPr>
              <w:t>13</w:t>
            </w:r>
          </w:p>
        </w:tc>
      </w:tr>
      <w:tr w:rsidR="00C7188C" w:rsidRPr="00073666" w14:paraId="125F0915" w14:textId="77777777" w:rsidTr="00B468ED">
        <w:tc>
          <w:tcPr>
            <w:tcW w:w="9128" w:type="dxa"/>
            <w:vAlign w:val="center"/>
          </w:tcPr>
          <w:p w14:paraId="40BBF97F"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1. BACKGROUND</w:t>
            </w:r>
            <w:r w:rsidRPr="00073666">
              <w:rPr>
                <w:rFonts w:ascii="Calibri" w:hAnsi="Calibri" w:cs="Calibri"/>
                <w:szCs w:val="22"/>
              </w:rPr>
              <w:tab/>
            </w:r>
          </w:p>
        </w:tc>
        <w:tc>
          <w:tcPr>
            <w:tcW w:w="1291" w:type="dxa"/>
            <w:vAlign w:val="center"/>
          </w:tcPr>
          <w:p w14:paraId="065F557B" w14:textId="01D6740D" w:rsidR="00C7188C" w:rsidRPr="00073666" w:rsidRDefault="00C7188C" w:rsidP="00C7188C">
            <w:pPr>
              <w:spacing w:before="60" w:after="60"/>
              <w:rPr>
                <w:rFonts w:ascii="Calibri" w:hAnsi="Calibri" w:cs="Calibri"/>
                <w:szCs w:val="22"/>
              </w:rPr>
            </w:pPr>
            <w:r w:rsidRPr="00073666">
              <w:rPr>
                <w:rFonts w:ascii="Calibri" w:hAnsi="Calibri" w:cs="Calibri"/>
                <w:szCs w:val="22"/>
              </w:rPr>
              <w:t>14</w:t>
            </w:r>
          </w:p>
        </w:tc>
      </w:tr>
      <w:tr w:rsidR="00C7188C" w:rsidRPr="00073666" w14:paraId="77D8136B" w14:textId="77777777" w:rsidTr="00B468ED">
        <w:tc>
          <w:tcPr>
            <w:tcW w:w="9128" w:type="dxa"/>
            <w:vAlign w:val="center"/>
          </w:tcPr>
          <w:p w14:paraId="62EC2359"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2. RATIONALE</w:t>
            </w:r>
            <w:r w:rsidRPr="00073666">
              <w:rPr>
                <w:rFonts w:ascii="Calibri" w:hAnsi="Calibri" w:cs="Calibri"/>
                <w:szCs w:val="22"/>
              </w:rPr>
              <w:tab/>
            </w:r>
          </w:p>
        </w:tc>
        <w:tc>
          <w:tcPr>
            <w:tcW w:w="1291" w:type="dxa"/>
            <w:vAlign w:val="center"/>
          </w:tcPr>
          <w:p w14:paraId="1814FA6E" w14:textId="7F0207D5" w:rsidR="00C7188C" w:rsidRPr="00073666" w:rsidRDefault="00C7188C" w:rsidP="00C7188C">
            <w:pPr>
              <w:spacing w:before="60" w:after="60"/>
              <w:rPr>
                <w:rFonts w:ascii="Calibri" w:hAnsi="Calibri" w:cs="Calibri"/>
                <w:szCs w:val="22"/>
              </w:rPr>
            </w:pPr>
            <w:r w:rsidRPr="00073666">
              <w:rPr>
                <w:rFonts w:ascii="Calibri" w:hAnsi="Calibri" w:cs="Calibri"/>
                <w:szCs w:val="22"/>
              </w:rPr>
              <w:t>23</w:t>
            </w:r>
          </w:p>
        </w:tc>
      </w:tr>
      <w:tr w:rsidR="00C7188C" w:rsidRPr="00073666" w14:paraId="7565B331" w14:textId="77777777" w:rsidTr="00B468ED">
        <w:tc>
          <w:tcPr>
            <w:tcW w:w="9128" w:type="dxa"/>
            <w:vAlign w:val="center"/>
          </w:tcPr>
          <w:p w14:paraId="376DD852"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3. THEORETICAL FRAMEWORK</w:t>
            </w:r>
          </w:p>
        </w:tc>
        <w:tc>
          <w:tcPr>
            <w:tcW w:w="1291" w:type="dxa"/>
            <w:vAlign w:val="center"/>
          </w:tcPr>
          <w:p w14:paraId="0C10A3B9" w14:textId="7DB0F02B" w:rsidR="00C7188C" w:rsidRPr="00073666" w:rsidRDefault="00C7188C" w:rsidP="00C7188C">
            <w:pPr>
              <w:spacing w:before="60" w:after="60"/>
              <w:rPr>
                <w:rFonts w:ascii="Calibri" w:hAnsi="Calibri" w:cs="Calibri"/>
                <w:szCs w:val="22"/>
              </w:rPr>
            </w:pPr>
            <w:r w:rsidRPr="00073666">
              <w:rPr>
                <w:rFonts w:ascii="Calibri" w:hAnsi="Calibri" w:cs="Calibri"/>
                <w:szCs w:val="22"/>
              </w:rPr>
              <w:t>24</w:t>
            </w:r>
          </w:p>
        </w:tc>
      </w:tr>
      <w:tr w:rsidR="00C7188C" w:rsidRPr="00073666" w14:paraId="50FEDFDC" w14:textId="77777777" w:rsidTr="00B468ED">
        <w:tc>
          <w:tcPr>
            <w:tcW w:w="9128" w:type="dxa"/>
            <w:vAlign w:val="center"/>
          </w:tcPr>
          <w:p w14:paraId="59984779"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 xml:space="preserve">4. RESEARCH QUESTION/AIM(S) </w:t>
            </w:r>
          </w:p>
        </w:tc>
        <w:tc>
          <w:tcPr>
            <w:tcW w:w="1291" w:type="dxa"/>
            <w:vAlign w:val="center"/>
          </w:tcPr>
          <w:p w14:paraId="41FAE3B8" w14:textId="07770A8A" w:rsidR="00C7188C" w:rsidRPr="00073666" w:rsidRDefault="00C7188C" w:rsidP="00C7188C">
            <w:pPr>
              <w:spacing w:before="60" w:after="60"/>
              <w:rPr>
                <w:rFonts w:ascii="Calibri" w:hAnsi="Calibri" w:cs="Calibri"/>
                <w:szCs w:val="22"/>
              </w:rPr>
            </w:pPr>
            <w:r w:rsidRPr="00073666">
              <w:rPr>
                <w:rFonts w:ascii="Calibri" w:hAnsi="Calibri" w:cs="Calibri"/>
                <w:szCs w:val="22"/>
              </w:rPr>
              <w:t>25</w:t>
            </w:r>
          </w:p>
        </w:tc>
      </w:tr>
      <w:tr w:rsidR="00C7188C" w:rsidRPr="00073666" w14:paraId="42116BAD" w14:textId="77777777" w:rsidTr="00B468ED">
        <w:tc>
          <w:tcPr>
            <w:tcW w:w="9128" w:type="dxa"/>
            <w:vAlign w:val="center"/>
          </w:tcPr>
          <w:p w14:paraId="5CDEE8D7"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5. STUDY DESIGN/METHODS</w:t>
            </w:r>
          </w:p>
        </w:tc>
        <w:tc>
          <w:tcPr>
            <w:tcW w:w="1291" w:type="dxa"/>
            <w:vAlign w:val="center"/>
          </w:tcPr>
          <w:p w14:paraId="6E976BDA" w14:textId="5EEFD382" w:rsidR="00C7188C" w:rsidRPr="00073666" w:rsidRDefault="00C7188C" w:rsidP="00C7188C">
            <w:pPr>
              <w:spacing w:before="60" w:after="60"/>
              <w:rPr>
                <w:rFonts w:ascii="Calibri" w:hAnsi="Calibri" w:cs="Calibri"/>
                <w:szCs w:val="22"/>
              </w:rPr>
            </w:pPr>
            <w:r w:rsidRPr="00073666">
              <w:rPr>
                <w:rFonts w:ascii="Calibri" w:hAnsi="Calibri" w:cs="Calibri"/>
                <w:szCs w:val="22"/>
              </w:rPr>
              <w:t>27</w:t>
            </w:r>
          </w:p>
        </w:tc>
      </w:tr>
      <w:tr w:rsidR="00C7188C" w:rsidRPr="00073666" w14:paraId="54C49659" w14:textId="77777777" w:rsidTr="00B468ED">
        <w:tc>
          <w:tcPr>
            <w:tcW w:w="9128" w:type="dxa"/>
            <w:vAlign w:val="center"/>
          </w:tcPr>
          <w:p w14:paraId="315CB1D4"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6. STUDY SETTING</w:t>
            </w:r>
          </w:p>
        </w:tc>
        <w:tc>
          <w:tcPr>
            <w:tcW w:w="1291" w:type="dxa"/>
            <w:vAlign w:val="center"/>
          </w:tcPr>
          <w:p w14:paraId="4C1ECDA8" w14:textId="3A9E3253" w:rsidR="00C7188C" w:rsidRPr="00073666" w:rsidRDefault="00C7188C" w:rsidP="00C7188C">
            <w:pPr>
              <w:spacing w:before="60" w:after="60"/>
              <w:rPr>
                <w:rFonts w:ascii="Calibri" w:hAnsi="Calibri" w:cs="Calibri"/>
                <w:szCs w:val="22"/>
              </w:rPr>
            </w:pPr>
            <w:r w:rsidRPr="00073666">
              <w:rPr>
                <w:rFonts w:ascii="Calibri" w:hAnsi="Calibri" w:cs="Calibri"/>
                <w:szCs w:val="22"/>
              </w:rPr>
              <w:t>32</w:t>
            </w:r>
          </w:p>
        </w:tc>
      </w:tr>
      <w:tr w:rsidR="00C7188C" w:rsidRPr="00073666" w14:paraId="3824EFC9" w14:textId="77777777" w:rsidTr="00B468ED">
        <w:tc>
          <w:tcPr>
            <w:tcW w:w="9128" w:type="dxa"/>
            <w:vAlign w:val="center"/>
          </w:tcPr>
          <w:p w14:paraId="14C8B8E4"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7. SAMPLE AND RECRUITMENT</w:t>
            </w:r>
          </w:p>
        </w:tc>
        <w:tc>
          <w:tcPr>
            <w:tcW w:w="1291" w:type="dxa"/>
            <w:vAlign w:val="center"/>
          </w:tcPr>
          <w:p w14:paraId="7369AD29" w14:textId="5FDFBD4E" w:rsidR="00C7188C" w:rsidRPr="00073666" w:rsidRDefault="00C7188C" w:rsidP="00C7188C">
            <w:pPr>
              <w:spacing w:before="60" w:after="60"/>
              <w:rPr>
                <w:rFonts w:ascii="Calibri" w:hAnsi="Calibri" w:cs="Calibri"/>
                <w:szCs w:val="22"/>
              </w:rPr>
            </w:pPr>
            <w:r w:rsidRPr="00073666">
              <w:rPr>
                <w:rFonts w:ascii="Calibri" w:hAnsi="Calibri" w:cs="Calibri"/>
                <w:szCs w:val="22"/>
              </w:rPr>
              <w:t>33</w:t>
            </w:r>
          </w:p>
        </w:tc>
      </w:tr>
      <w:tr w:rsidR="00C7188C" w:rsidRPr="00073666" w14:paraId="7A14E382" w14:textId="77777777" w:rsidTr="00B468ED">
        <w:tc>
          <w:tcPr>
            <w:tcW w:w="9128" w:type="dxa"/>
            <w:vAlign w:val="center"/>
          </w:tcPr>
          <w:p w14:paraId="7C0FCF74"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8. ETHICAL AND REGULATORY COMPLIANCE</w:t>
            </w:r>
          </w:p>
        </w:tc>
        <w:tc>
          <w:tcPr>
            <w:tcW w:w="1291" w:type="dxa"/>
            <w:vAlign w:val="center"/>
          </w:tcPr>
          <w:p w14:paraId="05968264" w14:textId="66AA21E9" w:rsidR="00C7188C" w:rsidRPr="00073666" w:rsidRDefault="00C7188C" w:rsidP="00C7188C">
            <w:pPr>
              <w:spacing w:before="60" w:after="60"/>
              <w:rPr>
                <w:rFonts w:ascii="Calibri" w:hAnsi="Calibri" w:cs="Calibri"/>
                <w:szCs w:val="22"/>
              </w:rPr>
            </w:pPr>
            <w:r w:rsidRPr="00073666">
              <w:rPr>
                <w:rFonts w:ascii="Calibri" w:hAnsi="Calibri" w:cs="Calibri"/>
                <w:szCs w:val="22"/>
              </w:rPr>
              <w:t>37</w:t>
            </w:r>
          </w:p>
        </w:tc>
      </w:tr>
      <w:tr w:rsidR="00C7188C" w:rsidRPr="00073666" w14:paraId="57042B55" w14:textId="77777777" w:rsidTr="00B468ED">
        <w:tc>
          <w:tcPr>
            <w:tcW w:w="9128" w:type="dxa"/>
            <w:vAlign w:val="center"/>
          </w:tcPr>
          <w:p w14:paraId="0E68E060"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 xml:space="preserve">9. </w:t>
            </w:r>
            <w:proofErr w:type="gramStart"/>
            <w:r w:rsidRPr="00073666">
              <w:rPr>
                <w:rFonts w:ascii="Calibri" w:hAnsi="Calibri" w:cs="Calibri"/>
                <w:szCs w:val="22"/>
              </w:rPr>
              <w:t>DISSEMINATION  POLICY</w:t>
            </w:r>
            <w:proofErr w:type="gramEnd"/>
          </w:p>
        </w:tc>
        <w:tc>
          <w:tcPr>
            <w:tcW w:w="1291" w:type="dxa"/>
            <w:vAlign w:val="center"/>
          </w:tcPr>
          <w:p w14:paraId="687476F3" w14:textId="5E4AF2A3" w:rsidR="00C7188C" w:rsidRPr="00073666" w:rsidRDefault="00C7188C" w:rsidP="00C7188C">
            <w:pPr>
              <w:spacing w:before="60" w:after="60"/>
              <w:rPr>
                <w:rFonts w:ascii="Calibri" w:hAnsi="Calibri" w:cs="Calibri"/>
                <w:color w:val="000000" w:themeColor="text1"/>
                <w:szCs w:val="22"/>
              </w:rPr>
            </w:pPr>
            <w:r w:rsidRPr="00073666">
              <w:rPr>
                <w:rFonts w:ascii="Calibri" w:hAnsi="Calibri" w:cs="Calibri"/>
                <w:color w:val="000000" w:themeColor="text1"/>
                <w:szCs w:val="22"/>
              </w:rPr>
              <w:t>42</w:t>
            </w:r>
          </w:p>
        </w:tc>
      </w:tr>
      <w:tr w:rsidR="00C7188C" w:rsidRPr="00073666" w14:paraId="604DDF20" w14:textId="77777777" w:rsidTr="00B468ED">
        <w:tc>
          <w:tcPr>
            <w:tcW w:w="9128" w:type="dxa"/>
            <w:vAlign w:val="center"/>
          </w:tcPr>
          <w:p w14:paraId="55FF3AAA"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10. REFERENCES</w:t>
            </w:r>
          </w:p>
        </w:tc>
        <w:tc>
          <w:tcPr>
            <w:tcW w:w="1291" w:type="dxa"/>
            <w:vAlign w:val="center"/>
          </w:tcPr>
          <w:p w14:paraId="3B7A5CFB" w14:textId="55C34C31" w:rsidR="00C7188C" w:rsidRPr="00073666" w:rsidRDefault="00C7188C" w:rsidP="00C7188C">
            <w:pPr>
              <w:spacing w:before="60" w:after="60"/>
              <w:rPr>
                <w:rFonts w:ascii="Calibri" w:hAnsi="Calibri" w:cs="Calibri"/>
                <w:color w:val="000000" w:themeColor="text1"/>
                <w:szCs w:val="22"/>
              </w:rPr>
            </w:pPr>
            <w:r w:rsidRPr="00073666">
              <w:rPr>
                <w:rFonts w:ascii="Calibri" w:hAnsi="Calibri" w:cs="Calibri"/>
                <w:color w:val="000000" w:themeColor="text1"/>
                <w:szCs w:val="22"/>
              </w:rPr>
              <w:t>44</w:t>
            </w:r>
          </w:p>
        </w:tc>
      </w:tr>
      <w:tr w:rsidR="00C7188C" w:rsidRPr="00073666" w14:paraId="4B81102C" w14:textId="77777777" w:rsidTr="00B468ED">
        <w:tc>
          <w:tcPr>
            <w:tcW w:w="9128" w:type="dxa"/>
            <w:vAlign w:val="center"/>
          </w:tcPr>
          <w:p w14:paraId="2675B594" w14:textId="77777777" w:rsidR="00C7188C" w:rsidRPr="00073666" w:rsidRDefault="00C7188C" w:rsidP="00C7188C">
            <w:pPr>
              <w:spacing w:before="60" w:after="60"/>
              <w:rPr>
                <w:rFonts w:ascii="Calibri" w:hAnsi="Calibri" w:cs="Calibri"/>
                <w:szCs w:val="22"/>
              </w:rPr>
            </w:pPr>
            <w:r w:rsidRPr="00073666">
              <w:rPr>
                <w:rFonts w:ascii="Calibri" w:hAnsi="Calibri" w:cs="Calibri"/>
                <w:szCs w:val="22"/>
              </w:rPr>
              <w:t>11. APPENDICES</w:t>
            </w:r>
          </w:p>
        </w:tc>
        <w:tc>
          <w:tcPr>
            <w:tcW w:w="1291" w:type="dxa"/>
            <w:vAlign w:val="center"/>
          </w:tcPr>
          <w:p w14:paraId="0CC3B846" w14:textId="6CD620A6" w:rsidR="00C7188C" w:rsidRPr="00073666" w:rsidRDefault="00C7188C" w:rsidP="00C7188C">
            <w:pPr>
              <w:spacing w:before="60" w:after="60"/>
              <w:rPr>
                <w:rFonts w:ascii="Calibri" w:hAnsi="Calibri" w:cs="Calibri"/>
                <w:color w:val="000000" w:themeColor="text1"/>
                <w:szCs w:val="22"/>
              </w:rPr>
            </w:pPr>
            <w:r w:rsidRPr="00073666">
              <w:rPr>
                <w:rFonts w:ascii="Calibri" w:hAnsi="Calibri" w:cs="Calibri"/>
                <w:color w:val="000000" w:themeColor="text1"/>
                <w:szCs w:val="22"/>
              </w:rPr>
              <w:t>47</w:t>
            </w:r>
          </w:p>
        </w:tc>
      </w:tr>
    </w:tbl>
    <w:p w14:paraId="12511143" w14:textId="5DEB1898" w:rsidR="00475FDA" w:rsidRPr="00073666" w:rsidRDefault="00093582" w:rsidP="003045D3">
      <w:pPr>
        <w:rPr>
          <w:rFonts w:ascii="Calibri" w:eastAsiaTheme="majorEastAsia" w:hAnsi="Calibri" w:cs="Calibri"/>
          <w:b/>
          <w:bCs/>
          <w:color w:val="3B0083"/>
          <w:szCs w:val="22"/>
        </w:rPr>
      </w:pPr>
      <w:r w:rsidRPr="00073666">
        <w:rPr>
          <w:rFonts w:ascii="Calibri" w:hAnsi="Calibri" w:cs="Calibri"/>
          <w:szCs w:val="22"/>
        </w:rPr>
        <w:br w:type="page"/>
      </w:r>
      <w:bookmarkEnd w:id="0"/>
    </w:p>
    <w:tbl>
      <w:tblPr>
        <w:tblStyle w:val="TableGrid"/>
        <w:tblW w:w="0" w:type="auto"/>
        <w:tblLook w:val="04A0" w:firstRow="1" w:lastRow="0" w:firstColumn="1" w:lastColumn="0" w:noHBand="0" w:noVBand="1"/>
      </w:tblPr>
      <w:tblGrid>
        <w:gridCol w:w="3830"/>
        <w:gridCol w:w="6132"/>
      </w:tblGrid>
      <w:tr w:rsidR="003C7C88" w:rsidRPr="00073666" w14:paraId="3B1AD7D5" w14:textId="77777777" w:rsidTr="003045D3">
        <w:tc>
          <w:tcPr>
            <w:tcW w:w="10089" w:type="dxa"/>
            <w:gridSpan w:val="2"/>
            <w:shd w:val="clear" w:color="auto" w:fill="C0504D" w:themeFill="accent2"/>
          </w:tcPr>
          <w:p w14:paraId="4B0FE040" w14:textId="77777777" w:rsidR="003C7C88" w:rsidRPr="00073666" w:rsidRDefault="003C7C88" w:rsidP="003C7C88">
            <w:pPr>
              <w:pStyle w:val="Heading1"/>
              <w:spacing w:before="0" w:after="120"/>
              <w:rPr>
                <w:rFonts w:ascii="Calibri" w:hAnsi="Calibri" w:cs="Calibri"/>
                <w:color w:val="FFFFFF" w:themeColor="background1"/>
                <w:szCs w:val="22"/>
              </w:rPr>
            </w:pPr>
            <w:r w:rsidRPr="00073666">
              <w:rPr>
                <w:rFonts w:ascii="Calibri" w:hAnsi="Calibri" w:cs="Calibri"/>
                <w:color w:val="FFFFFF" w:themeColor="background1"/>
                <w:sz w:val="22"/>
                <w:szCs w:val="22"/>
              </w:rPr>
              <w:lastRenderedPageBreak/>
              <w:t>KEY STUDY CONTACTS</w:t>
            </w:r>
          </w:p>
        </w:tc>
      </w:tr>
      <w:tr w:rsidR="003C7C88" w:rsidRPr="00073666" w14:paraId="03D67B4D" w14:textId="77777777" w:rsidTr="003045D3">
        <w:tc>
          <w:tcPr>
            <w:tcW w:w="3889" w:type="dxa"/>
          </w:tcPr>
          <w:p w14:paraId="0FD6E564" w14:textId="77777777" w:rsidR="003C7C88" w:rsidRPr="00073666" w:rsidRDefault="003C7C88" w:rsidP="003C7C88">
            <w:pPr>
              <w:rPr>
                <w:rFonts w:ascii="Calibri" w:hAnsi="Calibri" w:cs="Calibri"/>
              </w:rPr>
            </w:pPr>
            <w:r w:rsidRPr="00073666">
              <w:rPr>
                <w:rFonts w:ascii="Calibri" w:hAnsi="Calibri" w:cs="Calibri"/>
              </w:rPr>
              <w:t>Chief Investigator</w:t>
            </w:r>
          </w:p>
        </w:tc>
        <w:tc>
          <w:tcPr>
            <w:tcW w:w="6200" w:type="dxa"/>
          </w:tcPr>
          <w:p w14:paraId="71601987" w14:textId="77777777" w:rsidR="003045D3" w:rsidRPr="00073666" w:rsidRDefault="003045D3" w:rsidP="003045D3">
            <w:pPr>
              <w:rPr>
                <w:rFonts w:ascii="Calibri" w:hAnsi="Calibri" w:cs="Calibri"/>
                <w:color w:val="000000" w:themeColor="text1"/>
                <w:szCs w:val="22"/>
              </w:rPr>
            </w:pPr>
            <w:r w:rsidRPr="00073666">
              <w:rPr>
                <w:rFonts w:ascii="Calibri" w:hAnsi="Calibri" w:cs="Calibri"/>
                <w:color w:val="000000" w:themeColor="text1"/>
                <w:szCs w:val="22"/>
              </w:rPr>
              <w:t>Tihana Bicanic</w:t>
            </w:r>
          </w:p>
          <w:p w14:paraId="0EC037D2" w14:textId="77777777" w:rsidR="003045D3" w:rsidRPr="00073666" w:rsidRDefault="003045D3" w:rsidP="003045D3">
            <w:pPr>
              <w:rPr>
                <w:rFonts w:ascii="Calibri" w:hAnsi="Calibri" w:cs="Calibri"/>
                <w:color w:val="000000" w:themeColor="text1"/>
                <w:szCs w:val="22"/>
              </w:rPr>
            </w:pPr>
            <w:r w:rsidRPr="00073666">
              <w:rPr>
                <w:rFonts w:ascii="Calibri" w:hAnsi="Calibri" w:cs="Calibri"/>
                <w:color w:val="000000" w:themeColor="text1"/>
                <w:szCs w:val="22"/>
                <w:shd w:val="clear" w:color="auto" w:fill="FFFFFF"/>
              </w:rPr>
              <w:t>Reader and honorary Consultant in infectious diseases</w:t>
            </w:r>
          </w:p>
          <w:p w14:paraId="7F2A3CCA" w14:textId="396610CA" w:rsidR="003045D3" w:rsidRPr="00073666" w:rsidRDefault="003045D3" w:rsidP="003045D3">
            <w:pPr>
              <w:rPr>
                <w:rFonts w:ascii="Calibri" w:hAnsi="Calibri" w:cs="Calibri"/>
                <w:color w:val="000000" w:themeColor="text1"/>
                <w:szCs w:val="22"/>
              </w:rPr>
            </w:pPr>
            <w:r w:rsidRPr="00073666">
              <w:rPr>
                <w:rFonts w:ascii="Calibri" w:hAnsi="Calibri" w:cs="Calibri"/>
                <w:color w:val="000000" w:themeColor="text1"/>
                <w:szCs w:val="22"/>
              </w:rPr>
              <w:t xml:space="preserve">Institute of Infection and Immunity, St Georges University of London. </w:t>
            </w:r>
            <w:r w:rsidRPr="00073666">
              <w:rPr>
                <w:rFonts w:ascii="Calibri" w:hAnsi="Calibri" w:cs="Calibri"/>
                <w:color w:val="000000" w:themeColor="text1"/>
                <w:szCs w:val="22"/>
                <w:shd w:val="clear" w:color="auto" w:fill="FFFFFF"/>
              </w:rPr>
              <w:t>Cranmer Terra</w:t>
            </w:r>
            <w:r w:rsidR="006F7B1D" w:rsidRPr="00073666">
              <w:rPr>
                <w:rFonts w:ascii="Calibri" w:hAnsi="Calibri" w:cs="Calibri"/>
                <w:color w:val="000000" w:themeColor="text1"/>
                <w:szCs w:val="22"/>
                <w:shd w:val="clear" w:color="auto" w:fill="FFFFFF"/>
              </w:rPr>
              <w:t>ce,</w:t>
            </w:r>
            <w:r w:rsidRPr="00073666">
              <w:rPr>
                <w:rFonts w:ascii="Calibri" w:hAnsi="Calibri" w:cs="Calibri"/>
                <w:color w:val="000000" w:themeColor="text1"/>
                <w:szCs w:val="22"/>
                <w:shd w:val="clear" w:color="auto" w:fill="FFFFFF"/>
              </w:rPr>
              <w:t xml:space="preserve"> London SW17 0RE</w:t>
            </w:r>
            <w:r w:rsidRPr="00073666">
              <w:rPr>
                <w:rFonts w:ascii="Calibri" w:hAnsi="Calibri" w:cs="Calibri"/>
                <w:color w:val="000000" w:themeColor="text1"/>
                <w:szCs w:val="22"/>
              </w:rPr>
              <w:t xml:space="preserve"> </w:t>
            </w:r>
          </w:p>
          <w:p w14:paraId="126B18DB" w14:textId="77777777" w:rsidR="003045D3" w:rsidRPr="00073666" w:rsidRDefault="003045D3" w:rsidP="003045D3">
            <w:pPr>
              <w:rPr>
                <w:rFonts w:ascii="Calibri" w:hAnsi="Calibri" w:cs="Calibri"/>
                <w:b/>
                <w:color w:val="000000" w:themeColor="text1"/>
                <w:szCs w:val="22"/>
              </w:rPr>
            </w:pPr>
            <w:r w:rsidRPr="00073666">
              <w:rPr>
                <w:rStyle w:val="Strong"/>
                <w:rFonts w:ascii="Calibri" w:hAnsi="Calibri" w:cs="Calibri"/>
                <w:b w:val="0"/>
                <w:color w:val="000000" w:themeColor="text1"/>
                <w:szCs w:val="22"/>
              </w:rPr>
              <w:t>Tel: 0208 725 5828</w:t>
            </w:r>
          </w:p>
          <w:p w14:paraId="1CEF02AE" w14:textId="1B84024F" w:rsidR="003C7C88" w:rsidRPr="00073666" w:rsidRDefault="003045D3" w:rsidP="003045D3">
            <w:pPr>
              <w:rPr>
                <w:rFonts w:ascii="Calibri" w:hAnsi="Calibri" w:cs="Calibri"/>
                <w:color w:val="000000" w:themeColor="text1"/>
                <w:szCs w:val="22"/>
              </w:rPr>
            </w:pPr>
            <w:r w:rsidRPr="00073666">
              <w:rPr>
                <w:rFonts w:ascii="Calibri" w:hAnsi="Calibri" w:cs="Calibri"/>
                <w:color w:val="000000" w:themeColor="text1"/>
                <w:szCs w:val="22"/>
              </w:rPr>
              <w:t xml:space="preserve">Email: </w:t>
            </w:r>
            <w:hyperlink r:id="rId11" w:history="1">
              <w:r w:rsidR="00D3782B" w:rsidRPr="00073666">
                <w:rPr>
                  <w:rStyle w:val="Hyperlink"/>
                  <w:rFonts w:ascii="Calibri" w:hAnsi="Calibri" w:cs="Calibri"/>
                  <w:szCs w:val="22"/>
                </w:rPr>
                <w:t>tbicanic@sgul.ac.uk</w:t>
              </w:r>
            </w:hyperlink>
          </w:p>
          <w:p w14:paraId="422AED18" w14:textId="31A54C9F" w:rsidR="00D3782B" w:rsidRPr="00073666" w:rsidRDefault="00D3782B" w:rsidP="003045D3">
            <w:pPr>
              <w:rPr>
                <w:rFonts w:ascii="Calibri" w:hAnsi="Calibri" w:cs="Calibri"/>
                <w:color w:val="0000FF"/>
                <w:szCs w:val="22"/>
              </w:rPr>
            </w:pPr>
          </w:p>
        </w:tc>
      </w:tr>
      <w:tr w:rsidR="003C7C88" w:rsidRPr="00073666" w14:paraId="7592B164" w14:textId="77777777" w:rsidTr="003045D3">
        <w:tc>
          <w:tcPr>
            <w:tcW w:w="3889" w:type="dxa"/>
          </w:tcPr>
          <w:p w14:paraId="5644FAAF" w14:textId="246D693E" w:rsidR="003C7C88" w:rsidRPr="00073666" w:rsidRDefault="006F7B1D" w:rsidP="003C7C88">
            <w:pPr>
              <w:rPr>
                <w:rFonts w:ascii="Calibri" w:hAnsi="Calibri" w:cs="Calibri"/>
                <w:color w:val="0000FF"/>
                <w:szCs w:val="22"/>
              </w:rPr>
            </w:pPr>
            <w:r w:rsidRPr="00073666">
              <w:rPr>
                <w:rFonts w:ascii="Calibri" w:hAnsi="Calibri" w:cs="Calibri"/>
              </w:rPr>
              <w:t>Study co-ordinator/ clinical research fellow</w:t>
            </w:r>
          </w:p>
        </w:tc>
        <w:tc>
          <w:tcPr>
            <w:tcW w:w="6200" w:type="dxa"/>
          </w:tcPr>
          <w:p w14:paraId="6F580EA9" w14:textId="77777777" w:rsidR="003C7C88" w:rsidRPr="00073666" w:rsidRDefault="006F7B1D" w:rsidP="003C7C88">
            <w:pPr>
              <w:rPr>
                <w:rFonts w:ascii="Calibri" w:hAnsi="Calibri" w:cs="Calibri"/>
                <w:szCs w:val="22"/>
              </w:rPr>
            </w:pPr>
            <w:r w:rsidRPr="00073666">
              <w:rPr>
                <w:rFonts w:ascii="Calibri" w:hAnsi="Calibri" w:cs="Calibri"/>
                <w:szCs w:val="22"/>
              </w:rPr>
              <w:t>Jonathan Youngs</w:t>
            </w:r>
          </w:p>
          <w:p w14:paraId="4760825C" w14:textId="3A92C7C2" w:rsidR="006F7B1D" w:rsidRPr="00073666" w:rsidRDefault="006F7B1D" w:rsidP="006F7B1D">
            <w:pPr>
              <w:rPr>
                <w:rFonts w:ascii="Calibri" w:hAnsi="Calibri" w:cs="Calibri"/>
                <w:color w:val="000000" w:themeColor="text1"/>
                <w:szCs w:val="22"/>
              </w:rPr>
            </w:pPr>
            <w:r w:rsidRPr="00073666">
              <w:rPr>
                <w:rFonts w:ascii="Calibri" w:hAnsi="Calibri" w:cs="Calibri"/>
                <w:color w:val="000000" w:themeColor="text1"/>
                <w:szCs w:val="22"/>
              </w:rPr>
              <w:t xml:space="preserve">Institute of Infection and Immunity, St Georges University of London, </w:t>
            </w:r>
            <w:r w:rsidRPr="00073666">
              <w:rPr>
                <w:rFonts w:ascii="Calibri" w:hAnsi="Calibri" w:cs="Calibri"/>
                <w:color w:val="000000" w:themeColor="text1"/>
                <w:szCs w:val="22"/>
                <w:shd w:val="clear" w:color="auto" w:fill="FFFFFF"/>
              </w:rPr>
              <w:t>Cranmer Terrace, London SW17 0RE</w:t>
            </w:r>
            <w:r w:rsidRPr="00073666">
              <w:rPr>
                <w:rFonts w:ascii="Calibri" w:hAnsi="Calibri" w:cs="Calibri"/>
                <w:color w:val="000000" w:themeColor="text1"/>
                <w:szCs w:val="22"/>
              </w:rPr>
              <w:t xml:space="preserve"> </w:t>
            </w:r>
          </w:p>
          <w:p w14:paraId="5C75ED5E" w14:textId="77777777" w:rsidR="006F7B1D" w:rsidRPr="00073666" w:rsidRDefault="006F7B1D" w:rsidP="006F7B1D">
            <w:pPr>
              <w:rPr>
                <w:rFonts w:ascii="Calibri" w:hAnsi="Calibri" w:cs="Calibri"/>
                <w:b/>
                <w:color w:val="000000" w:themeColor="text1"/>
                <w:szCs w:val="22"/>
              </w:rPr>
            </w:pPr>
            <w:r w:rsidRPr="00073666">
              <w:rPr>
                <w:rStyle w:val="Strong"/>
                <w:rFonts w:ascii="Calibri" w:hAnsi="Calibri" w:cs="Calibri"/>
                <w:b w:val="0"/>
                <w:color w:val="000000" w:themeColor="text1"/>
                <w:szCs w:val="22"/>
              </w:rPr>
              <w:t>Tel: 0208 725 5828</w:t>
            </w:r>
          </w:p>
          <w:p w14:paraId="43EFCC7F" w14:textId="29ABD88A" w:rsidR="006F7B1D" w:rsidRPr="00073666" w:rsidRDefault="00D3782B" w:rsidP="006F7B1D">
            <w:pPr>
              <w:rPr>
                <w:rFonts w:ascii="Calibri" w:hAnsi="Calibri" w:cs="Calibri"/>
                <w:color w:val="0000FF"/>
                <w:szCs w:val="22"/>
              </w:rPr>
            </w:pPr>
            <w:r w:rsidRPr="00073666">
              <w:rPr>
                <w:rFonts w:ascii="Calibri" w:hAnsi="Calibri" w:cs="Calibri"/>
                <w:color w:val="000000" w:themeColor="text1"/>
                <w:szCs w:val="22"/>
              </w:rPr>
              <w:t>Email: youngs.jonathan@gmail.com</w:t>
            </w:r>
          </w:p>
          <w:p w14:paraId="2F51F0E1" w14:textId="2E90B37D" w:rsidR="006F7B1D" w:rsidRPr="00073666" w:rsidRDefault="006F7B1D" w:rsidP="003C7C88">
            <w:pPr>
              <w:rPr>
                <w:rFonts w:ascii="Calibri" w:hAnsi="Calibri" w:cs="Calibri"/>
                <w:color w:val="0000FF"/>
                <w:szCs w:val="22"/>
              </w:rPr>
            </w:pPr>
          </w:p>
        </w:tc>
      </w:tr>
      <w:tr w:rsidR="003C7C88" w:rsidRPr="00073666" w14:paraId="0546E176" w14:textId="77777777" w:rsidTr="003045D3">
        <w:tc>
          <w:tcPr>
            <w:tcW w:w="3889" w:type="dxa"/>
          </w:tcPr>
          <w:p w14:paraId="17AC3860" w14:textId="77777777" w:rsidR="003C7C88" w:rsidRPr="00073666" w:rsidRDefault="003C7C88" w:rsidP="003C7C88">
            <w:pPr>
              <w:rPr>
                <w:rFonts w:ascii="Calibri" w:hAnsi="Calibri" w:cs="Calibri"/>
                <w:color w:val="0000FF"/>
                <w:szCs w:val="22"/>
              </w:rPr>
            </w:pPr>
            <w:r w:rsidRPr="00073666">
              <w:rPr>
                <w:rFonts w:ascii="Calibri" w:hAnsi="Calibri" w:cs="Calibri"/>
              </w:rPr>
              <w:t>Sponsor</w:t>
            </w:r>
          </w:p>
        </w:tc>
        <w:tc>
          <w:tcPr>
            <w:tcW w:w="6200" w:type="dxa"/>
          </w:tcPr>
          <w:p w14:paraId="134A07B6" w14:textId="7A6C71D4" w:rsidR="003C7C88" w:rsidRPr="00073666" w:rsidRDefault="003C7C88" w:rsidP="003C7C88">
            <w:pPr>
              <w:rPr>
                <w:rFonts w:ascii="Calibri" w:hAnsi="Calibri" w:cs="Calibri"/>
                <w:color w:val="000000" w:themeColor="text1"/>
                <w:szCs w:val="22"/>
              </w:rPr>
            </w:pPr>
            <w:r w:rsidRPr="00073666">
              <w:rPr>
                <w:rFonts w:ascii="Calibri" w:hAnsi="Calibri" w:cs="Calibri"/>
                <w:color w:val="000000" w:themeColor="text1"/>
                <w:szCs w:val="22"/>
              </w:rPr>
              <w:t>St Georges</w:t>
            </w:r>
            <w:r w:rsidR="00D3782B" w:rsidRPr="00073666">
              <w:rPr>
                <w:rFonts w:ascii="Calibri" w:hAnsi="Calibri" w:cs="Calibri"/>
                <w:color w:val="000000" w:themeColor="text1"/>
                <w:szCs w:val="22"/>
              </w:rPr>
              <w:t>’</w:t>
            </w:r>
            <w:r w:rsidRPr="00073666">
              <w:rPr>
                <w:rFonts w:ascii="Calibri" w:hAnsi="Calibri" w:cs="Calibri"/>
                <w:color w:val="000000" w:themeColor="text1"/>
                <w:szCs w:val="22"/>
              </w:rPr>
              <w:t xml:space="preserve"> University of London</w:t>
            </w:r>
          </w:p>
          <w:p w14:paraId="1A169CF2" w14:textId="114B7FB8" w:rsidR="003C7C88" w:rsidRPr="00073666" w:rsidRDefault="00D3782B" w:rsidP="003C7C88">
            <w:pPr>
              <w:rPr>
                <w:rFonts w:ascii="Calibri" w:hAnsi="Calibri" w:cs="Calibri"/>
                <w:color w:val="000000" w:themeColor="text1"/>
                <w:szCs w:val="22"/>
              </w:rPr>
            </w:pPr>
            <w:r w:rsidRPr="00073666">
              <w:rPr>
                <w:rFonts w:ascii="Calibri" w:hAnsi="Calibri" w:cs="Calibri"/>
                <w:color w:val="000000" w:themeColor="text1"/>
                <w:szCs w:val="22"/>
              </w:rPr>
              <w:t>Contact</w:t>
            </w:r>
            <w:r w:rsidR="003C7C88" w:rsidRPr="00073666">
              <w:rPr>
                <w:rFonts w:ascii="Calibri" w:hAnsi="Calibri" w:cs="Calibri"/>
                <w:color w:val="000000" w:themeColor="text1"/>
                <w:szCs w:val="22"/>
              </w:rPr>
              <w:t>:</w:t>
            </w:r>
            <w:r w:rsidR="003045D3" w:rsidRPr="00073666">
              <w:rPr>
                <w:rFonts w:ascii="Calibri" w:hAnsi="Calibri" w:cs="Calibri"/>
                <w:color w:val="000000" w:themeColor="text1"/>
                <w:szCs w:val="22"/>
              </w:rPr>
              <w:t xml:space="preserve"> Subhir Bedi</w:t>
            </w:r>
          </w:p>
          <w:p w14:paraId="708FC2DB" w14:textId="2D57D0B9" w:rsidR="003C7C88" w:rsidRPr="00073666" w:rsidRDefault="003045D3" w:rsidP="003C7C88">
            <w:pPr>
              <w:rPr>
                <w:rFonts w:ascii="Calibri" w:hAnsi="Calibri" w:cs="Calibri"/>
                <w:color w:val="000000" w:themeColor="text1"/>
                <w:szCs w:val="22"/>
              </w:rPr>
            </w:pPr>
            <w:r w:rsidRPr="00073666">
              <w:rPr>
                <w:rFonts w:ascii="Calibri" w:hAnsi="Calibri" w:cs="Calibri"/>
                <w:color w:val="000000" w:themeColor="text1"/>
                <w:szCs w:val="22"/>
              </w:rPr>
              <w:t>Head of Research Governance and Delivery </w:t>
            </w:r>
            <w:r w:rsidRPr="00073666">
              <w:rPr>
                <w:rFonts w:ascii="Calibri" w:hAnsi="Calibri" w:cs="Calibri"/>
                <w:color w:val="000000" w:themeColor="text1"/>
                <w:szCs w:val="22"/>
              </w:rPr>
              <w:br/>
              <w:t>Joint Research and Enterprise Services</w:t>
            </w:r>
            <w:r w:rsidR="00D3782B" w:rsidRPr="00073666">
              <w:rPr>
                <w:rFonts w:ascii="Calibri" w:hAnsi="Calibri" w:cs="Calibri"/>
                <w:color w:val="000000" w:themeColor="text1"/>
                <w:szCs w:val="22"/>
              </w:rPr>
              <w:t xml:space="preserve"> (address as above)</w:t>
            </w:r>
          </w:p>
          <w:p w14:paraId="32595988" w14:textId="7C263743" w:rsidR="003C7C88" w:rsidRPr="00073666" w:rsidRDefault="003C7C88" w:rsidP="003C7C88">
            <w:pPr>
              <w:rPr>
                <w:rFonts w:ascii="Calibri" w:hAnsi="Calibri" w:cs="Calibri"/>
                <w:color w:val="000000" w:themeColor="text1"/>
                <w:szCs w:val="22"/>
              </w:rPr>
            </w:pPr>
            <w:r w:rsidRPr="00073666">
              <w:rPr>
                <w:rFonts w:ascii="Calibri" w:hAnsi="Calibri" w:cs="Calibri"/>
                <w:color w:val="000000" w:themeColor="text1"/>
                <w:szCs w:val="22"/>
              </w:rPr>
              <w:t xml:space="preserve">Email: </w:t>
            </w:r>
            <w:r w:rsidR="00D3782B" w:rsidRPr="00073666">
              <w:rPr>
                <w:rFonts w:ascii="Calibri" w:hAnsi="Calibri" w:cs="Calibri"/>
                <w:color w:val="000000" w:themeColor="text1"/>
                <w:szCs w:val="22"/>
              </w:rPr>
              <w:t xml:space="preserve">  </w:t>
            </w:r>
            <w:hyperlink r:id="rId12" w:history="1">
              <w:r w:rsidR="00D3782B" w:rsidRPr="00073666">
                <w:rPr>
                  <w:rStyle w:val="Hyperlink"/>
                  <w:rFonts w:ascii="Calibri" w:hAnsi="Calibri" w:cs="Calibri"/>
                  <w:szCs w:val="22"/>
                </w:rPr>
                <w:t>researchgovernance@sgul.ac.uk</w:t>
              </w:r>
            </w:hyperlink>
          </w:p>
          <w:p w14:paraId="095E649F" w14:textId="0C9F9200" w:rsidR="00D3782B" w:rsidRPr="00073666" w:rsidRDefault="00D3782B" w:rsidP="003C7C88">
            <w:pPr>
              <w:rPr>
                <w:rFonts w:ascii="Calibri" w:hAnsi="Calibri" w:cs="Calibri"/>
                <w:color w:val="000000" w:themeColor="text1"/>
                <w:szCs w:val="22"/>
              </w:rPr>
            </w:pPr>
          </w:p>
        </w:tc>
      </w:tr>
      <w:tr w:rsidR="003C7C88" w:rsidRPr="00073666" w14:paraId="6CDC2C9E" w14:textId="77777777" w:rsidTr="003045D3">
        <w:tc>
          <w:tcPr>
            <w:tcW w:w="3889" w:type="dxa"/>
          </w:tcPr>
          <w:p w14:paraId="0B441A1A" w14:textId="77777777" w:rsidR="003C7C88" w:rsidRPr="00073666" w:rsidRDefault="003C7C88" w:rsidP="003C7C88">
            <w:pPr>
              <w:rPr>
                <w:rFonts w:ascii="Calibri" w:hAnsi="Calibri" w:cs="Calibri"/>
                <w:color w:val="0000FF"/>
                <w:szCs w:val="22"/>
              </w:rPr>
            </w:pPr>
            <w:r w:rsidRPr="00073666">
              <w:rPr>
                <w:rFonts w:ascii="Calibri" w:hAnsi="Calibri" w:cs="Calibri"/>
              </w:rPr>
              <w:t>Funder(s)</w:t>
            </w:r>
          </w:p>
        </w:tc>
        <w:tc>
          <w:tcPr>
            <w:tcW w:w="6200" w:type="dxa"/>
          </w:tcPr>
          <w:p w14:paraId="0D844F6D" w14:textId="77777777" w:rsidR="003045D3" w:rsidRPr="00073666" w:rsidRDefault="003045D3" w:rsidP="003045D3">
            <w:pPr>
              <w:rPr>
                <w:rFonts w:ascii="Calibri" w:hAnsi="Calibri" w:cs="Calibri"/>
                <w:color w:val="000000" w:themeColor="text1"/>
                <w:szCs w:val="22"/>
              </w:rPr>
            </w:pPr>
            <w:r w:rsidRPr="00073666">
              <w:rPr>
                <w:rFonts w:ascii="Calibri" w:hAnsi="Calibri" w:cs="Calibri"/>
                <w:color w:val="000000" w:themeColor="text1"/>
                <w:szCs w:val="22"/>
              </w:rPr>
              <w:t>Gilead UK &amp; Ireland invasive fungal disease fellowship</w:t>
            </w:r>
          </w:p>
          <w:p w14:paraId="5B33ED8D" w14:textId="77777777" w:rsidR="00D3782B" w:rsidRPr="00073666" w:rsidRDefault="003045D3" w:rsidP="003045D3">
            <w:pPr>
              <w:rPr>
                <w:rStyle w:val="Hyperlink"/>
              </w:rPr>
            </w:pPr>
            <w:r w:rsidRPr="00073666">
              <w:rPr>
                <w:rFonts w:ascii="Calibri" w:hAnsi="Calibri" w:cs="Calibri"/>
                <w:color w:val="000000" w:themeColor="text1"/>
                <w:szCs w:val="22"/>
              </w:rPr>
              <w:t xml:space="preserve">Email: </w:t>
            </w:r>
            <w:hyperlink r:id="rId13" w:history="1">
              <w:r w:rsidR="00D3782B" w:rsidRPr="00073666">
                <w:rPr>
                  <w:rStyle w:val="Hyperlink"/>
                  <w:rFonts w:ascii="Calibri" w:hAnsi="Calibri" w:cs="Calibri"/>
                  <w:szCs w:val="22"/>
                </w:rPr>
                <w:t>tanya.roberts@gilead.com</w:t>
              </w:r>
            </w:hyperlink>
          </w:p>
          <w:p w14:paraId="4EAA0DB1" w14:textId="7619EA06" w:rsidR="00521345" w:rsidRPr="00073666" w:rsidRDefault="00521345" w:rsidP="003045D3">
            <w:pPr>
              <w:rPr>
                <w:rFonts w:ascii="Calibri" w:hAnsi="Calibri" w:cs="Calibri"/>
                <w:color w:val="000000" w:themeColor="text1"/>
                <w:szCs w:val="22"/>
              </w:rPr>
            </w:pPr>
          </w:p>
        </w:tc>
      </w:tr>
      <w:tr w:rsidR="003C7C88" w:rsidRPr="00073666" w14:paraId="2C510DC4" w14:textId="77777777" w:rsidTr="003045D3">
        <w:tc>
          <w:tcPr>
            <w:tcW w:w="3889" w:type="dxa"/>
          </w:tcPr>
          <w:p w14:paraId="55A8AA20" w14:textId="48C16FB9" w:rsidR="003C7C88" w:rsidRPr="00073666" w:rsidRDefault="00FF0C3E" w:rsidP="003C7C88">
            <w:pPr>
              <w:rPr>
                <w:rFonts w:ascii="Calibri" w:hAnsi="Calibri" w:cs="Calibri"/>
                <w:color w:val="0000FF"/>
                <w:szCs w:val="22"/>
              </w:rPr>
            </w:pPr>
            <w:r w:rsidRPr="00073666">
              <w:rPr>
                <w:rFonts w:ascii="Calibri" w:hAnsi="Calibri" w:cs="Calibri"/>
              </w:rPr>
              <w:t>Site P</w:t>
            </w:r>
            <w:r w:rsidR="00D3782B" w:rsidRPr="00073666">
              <w:rPr>
                <w:rFonts w:ascii="Calibri" w:hAnsi="Calibri"/>
              </w:rPr>
              <w:t>rincipal</w:t>
            </w:r>
            <w:r w:rsidRPr="00073666">
              <w:rPr>
                <w:rFonts w:ascii="Calibri" w:hAnsi="Calibri"/>
              </w:rPr>
              <w:t xml:space="preserve"> Investigators</w:t>
            </w:r>
          </w:p>
        </w:tc>
        <w:tc>
          <w:tcPr>
            <w:tcW w:w="6200" w:type="dxa"/>
          </w:tcPr>
          <w:p w14:paraId="00F9318B" w14:textId="33B10A7B" w:rsidR="00FF0C3E" w:rsidRPr="00073666" w:rsidRDefault="00FF0C3E" w:rsidP="00FF0C3E">
            <w:pPr>
              <w:rPr>
                <w:rFonts w:ascii="Calibri" w:hAnsi="Calibri" w:cs="Calibri"/>
                <w:color w:val="000000" w:themeColor="text1"/>
              </w:rPr>
            </w:pPr>
            <w:r w:rsidRPr="00073666">
              <w:rPr>
                <w:rFonts w:ascii="Calibri" w:hAnsi="Calibri" w:cs="Calibri"/>
                <w:color w:val="000000" w:themeColor="text1"/>
              </w:rPr>
              <w:t xml:space="preserve">St George’s Hospital - Jonathan Ball, </w:t>
            </w:r>
            <w:sdt>
              <w:sdtPr>
                <w:rPr>
                  <w:rFonts w:ascii="Calibri" w:hAnsi="Calibri" w:cs="Calibri"/>
                  <w:color w:val="000000" w:themeColor="text1"/>
                </w:rPr>
                <w:alias w:val="Contact's Post"/>
                <w:tag w:val="Contact's Post"/>
                <w:id w:val="1006792275"/>
                <w:placeholder>
                  <w:docPart w:val="0BEA81D3E499FC45B9552BFB7C820DC9"/>
                </w:placeholder>
              </w:sdtPr>
              <w:sdtEndPr>
                <w:rPr>
                  <w:lang w:eastAsia="en-GB"/>
                </w:rPr>
              </w:sdtEndPr>
              <w:sdtContent>
                <w:r w:rsidRPr="00073666">
                  <w:rPr>
                    <w:rFonts w:ascii="Calibri" w:hAnsi="Calibri" w:cs="Calibri"/>
                    <w:color w:val="000000" w:themeColor="text1"/>
                  </w:rPr>
                  <w:t>Consultant in Intensive Care</w:t>
                </w:r>
              </w:sdtContent>
            </w:sdt>
            <w:r w:rsidRPr="00073666">
              <w:rPr>
                <w:rFonts w:ascii="Calibri" w:hAnsi="Calibri" w:cs="Calibri"/>
                <w:color w:val="000000" w:themeColor="text1"/>
                <w:lang w:eastAsia="en-GB"/>
              </w:rPr>
              <w:t xml:space="preserve"> Medicine </w:t>
            </w:r>
          </w:p>
          <w:p w14:paraId="44870111" w14:textId="4F8FE83C" w:rsidR="00FF0C3E" w:rsidRPr="00073666" w:rsidRDefault="00FF0C3E" w:rsidP="00FF0C3E">
            <w:pPr>
              <w:rPr>
                <w:rFonts w:ascii="Calibri" w:hAnsi="Calibri" w:cs="Calibri"/>
                <w:color w:val="000000" w:themeColor="text1"/>
              </w:rPr>
            </w:pPr>
            <w:r w:rsidRPr="00073666">
              <w:rPr>
                <w:rFonts w:ascii="Calibri" w:hAnsi="Calibri" w:cs="Calibri"/>
                <w:color w:val="000000" w:themeColor="text1"/>
              </w:rPr>
              <w:t xml:space="preserve">Email: </w:t>
            </w:r>
            <w:sdt>
              <w:sdtPr>
                <w:rPr>
                  <w:rFonts w:ascii="Calibri" w:hAnsi="Calibri" w:cs="Calibri"/>
                  <w:color w:val="000000" w:themeColor="text1"/>
                </w:rPr>
                <w:alias w:val="Contact's Email Address"/>
                <w:tag w:val="Contact's Email Address"/>
                <w:id w:val="2042088502"/>
                <w:placeholder>
                  <w:docPart w:val="9B576394F71D9049A99E590D104DAB55"/>
                </w:placeholder>
              </w:sdtPr>
              <w:sdtEndPr>
                <w:rPr>
                  <w:lang w:eastAsia="en-GB"/>
                </w:rPr>
              </w:sdtEndPr>
              <w:sdtContent>
                <w:hyperlink r:id="rId14" w:history="1">
                  <w:r w:rsidRPr="00073666">
                    <w:rPr>
                      <w:rStyle w:val="Hyperlink"/>
                      <w:rFonts w:ascii="Calibri" w:hAnsi="Calibri" w:cs="Calibri"/>
                      <w:color w:val="000000" w:themeColor="text1"/>
                      <w:u w:val="none"/>
                      <w:lang w:val="en-US"/>
                    </w:rPr>
                    <w:t>jonathan.ball2@nhs.net</w:t>
                  </w:r>
                </w:hyperlink>
              </w:sdtContent>
            </w:sdt>
            <w:r w:rsidRPr="00073666">
              <w:rPr>
                <w:rFonts w:ascii="Calibri" w:hAnsi="Calibri" w:cs="Calibri"/>
                <w:color w:val="000000" w:themeColor="text1"/>
              </w:rPr>
              <w:t xml:space="preserve"> </w:t>
            </w:r>
          </w:p>
          <w:sdt>
            <w:sdtPr>
              <w:rPr>
                <w:rFonts w:ascii="Calibri" w:hAnsi="Calibri" w:cs="Calibri"/>
                <w:color w:val="000000" w:themeColor="text1"/>
              </w:rPr>
              <w:alias w:val="Contact's Telephone"/>
              <w:tag w:val="Contact's Telephone"/>
              <w:id w:val="1890993353"/>
              <w:placeholder>
                <w:docPart w:val="71014ECD9838644BBF67FB5CEC4519F5"/>
              </w:placeholder>
            </w:sdtPr>
            <w:sdtEndPr>
              <w:rPr>
                <w:lang w:eastAsia="en-GB"/>
              </w:rPr>
            </w:sdtEndPr>
            <w:sdtContent>
              <w:p w14:paraId="29E09F62" w14:textId="77777777" w:rsidR="007C7BFC" w:rsidRPr="00073666" w:rsidRDefault="00FF0C3E" w:rsidP="00FF0C3E">
                <w:pPr>
                  <w:rPr>
                    <w:rFonts w:ascii="Calibri" w:hAnsi="Calibri" w:cs="Calibri"/>
                    <w:color w:val="000000" w:themeColor="text1"/>
                  </w:rPr>
                </w:pPr>
                <w:r w:rsidRPr="00073666">
                  <w:rPr>
                    <w:rFonts w:ascii="Calibri" w:hAnsi="Calibri" w:cs="Calibri"/>
                    <w:color w:val="000000" w:themeColor="text1"/>
                  </w:rPr>
                  <w:t>Tel 02087250878</w:t>
                </w:r>
              </w:p>
              <w:p w14:paraId="2BCEF723" w14:textId="2CADFD71" w:rsidR="00FF0C3E" w:rsidRPr="00073666" w:rsidRDefault="000429A5" w:rsidP="00FF0C3E">
                <w:pPr>
                  <w:rPr>
                    <w:rFonts w:ascii="Calibri" w:hAnsi="Calibri" w:cs="Calibri"/>
                    <w:color w:val="000000" w:themeColor="text1"/>
                  </w:rPr>
                </w:pPr>
              </w:p>
            </w:sdtContent>
          </w:sdt>
          <w:p w14:paraId="295CE2FC" w14:textId="2636A33C" w:rsidR="0001111D" w:rsidRPr="0001111D" w:rsidRDefault="0001111D" w:rsidP="00FF0C3E">
            <w:pPr>
              <w:autoSpaceDE w:val="0"/>
              <w:autoSpaceDN w:val="0"/>
              <w:adjustRightInd w:val="0"/>
              <w:spacing w:afterLines="20" w:after="48"/>
              <w:rPr>
                <w:rFonts w:ascii="Calibri Light" w:hAnsi="Calibri Light" w:cs="Calibri Light"/>
                <w:highlight w:val="yellow"/>
              </w:rPr>
            </w:pPr>
            <w:r w:rsidRPr="0001111D">
              <w:rPr>
                <w:rFonts w:ascii="Calibri Light" w:hAnsi="Calibri Light" w:cs="Calibri Light"/>
                <w:highlight w:val="yellow"/>
              </w:rPr>
              <w:t>Manchester University NHS Foundation Trust – Timothy Felton, Consultant in Intensive Care and Respiratory Medicine</w:t>
            </w:r>
          </w:p>
          <w:p w14:paraId="2C2740D5" w14:textId="4B820EA4" w:rsidR="0001111D" w:rsidRPr="0001111D" w:rsidRDefault="0001111D" w:rsidP="00FF0C3E">
            <w:pPr>
              <w:autoSpaceDE w:val="0"/>
              <w:autoSpaceDN w:val="0"/>
              <w:adjustRightInd w:val="0"/>
              <w:spacing w:afterLines="20" w:after="48"/>
              <w:rPr>
                <w:rFonts w:ascii="Calibri Light" w:hAnsi="Calibri Light" w:cs="Calibri Light"/>
              </w:rPr>
            </w:pPr>
            <w:r w:rsidRPr="0001111D">
              <w:rPr>
                <w:rFonts w:ascii="Calibri Light" w:hAnsi="Calibri Light" w:cs="Calibri Light"/>
                <w:highlight w:val="yellow"/>
              </w:rPr>
              <w:t xml:space="preserve">Email: </w:t>
            </w:r>
            <w:hyperlink r:id="rId15" w:history="1">
              <w:r w:rsidRPr="0001111D">
                <w:rPr>
                  <w:rStyle w:val="Hyperlink"/>
                  <w:rFonts w:ascii="Calibri Light" w:hAnsi="Calibri Light" w:cs="Calibri Light"/>
                  <w:color w:val="auto"/>
                  <w:highlight w:val="yellow"/>
                </w:rPr>
                <w:t>tim.felton@manchester.ac.uk</w:t>
              </w:r>
            </w:hyperlink>
            <w:r w:rsidRPr="0001111D">
              <w:rPr>
                <w:rFonts w:ascii="Calibri Light" w:hAnsi="Calibri Light" w:cs="Calibri Light"/>
                <w:highlight w:val="yellow"/>
              </w:rPr>
              <w:br/>
              <w:t>Tel: 07966057151</w:t>
            </w:r>
          </w:p>
          <w:p w14:paraId="2A26E78D" w14:textId="77777777" w:rsidR="0001111D" w:rsidRDefault="0001111D" w:rsidP="00FF0C3E">
            <w:pPr>
              <w:autoSpaceDE w:val="0"/>
              <w:autoSpaceDN w:val="0"/>
              <w:adjustRightInd w:val="0"/>
              <w:spacing w:afterLines="20" w:after="48"/>
              <w:rPr>
                <w:rFonts w:ascii="Calibri" w:hAnsi="Calibri" w:cs="Calibri"/>
                <w:color w:val="000000" w:themeColor="text1"/>
              </w:rPr>
            </w:pPr>
          </w:p>
          <w:p w14:paraId="612472E0" w14:textId="6B7CB489" w:rsidR="00FF0C3E" w:rsidRPr="00073666" w:rsidRDefault="00FF0C3E" w:rsidP="00FF0C3E">
            <w:pPr>
              <w:autoSpaceDE w:val="0"/>
              <w:autoSpaceDN w:val="0"/>
              <w:adjustRightInd w:val="0"/>
              <w:spacing w:afterLines="20" w:after="48"/>
              <w:rPr>
                <w:rFonts w:ascii="Calibri" w:hAnsi="Calibri" w:cs="Calibri"/>
                <w:color w:val="000000" w:themeColor="text1"/>
              </w:rPr>
            </w:pPr>
            <w:r w:rsidRPr="00073666">
              <w:rPr>
                <w:rFonts w:ascii="Calibri" w:hAnsi="Calibri" w:cs="Calibri"/>
                <w:color w:val="000000" w:themeColor="text1"/>
              </w:rPr>
              <w:t xml:space="preserve">Guys and St Thomas’ - Duncan Wyncoll, </w:t>
            </w:r>
            <w:sdt>
              <w:sdtPr>
                <w:rPr>
                  <w:rFonts w:ascii="Calibri" w:hAnsi="Calibri" w:cs="Calibri"/>
                  <w:color w:val="000000" w:themeColor="text1"/>
                </w:rPr>
                <w:alias w:val="Contact's Post"/>
                <w:tag w:val="Contact's Post"/>
                <w:id w:val="-991641055"/>
                <w:placeholder>
                  <w:docPart w:val="89000FB1D5B8924AB1868EF564B32526"/>
                </w:placeholder>
              </w:sdtPr>
              <w:sdtEndPr>
                <w:rPr>
                  <w:lang w:eastAsia="en-GB"/>
                </w:rPr>
              </w:sdtEndPr>
              <w:sdtContent>
                <w:r w:rsidRPr="00073666">
                  <w:rPr>
                    <w:rFonts w:ascii="Calibri" w:hAnsi="Calibri" w:cs="Calibri"/>
                    <w:color w:val="000000" w:themeColor="text1"/>
                  </w:rPr>
                  <w:t>Consultant in Critical Care Medicine</w:t>
                </w:r>
              </w:sdtContent>
            </w:sdt>
          </w:p>
          <w:p w14:paraId="7337E7DE" w14:textId="58AA5A0C" w:rsidR="00FF0C3E" w:rsidRPr="00073666" w:rsidRDefault="00FF0C3E" w:rsidP="00FF0C3E">
            <w:pPr>
              <w:autoSpaceDE w:val="0"/>
              <w:autoSpaceDN w:val="0"/>
              <w:adjustRightInd w:val="0"/>
              <w:spacing w:afterLines="20" w:after="48"/>
              <w:rPr>
                <w:rFonts w:ascii="Calibri" w:hAnsi="Calibri" w:cs="Calibri"/>
                <w:color w:val="000000" w:themeColor="text1"/>
                <w:lang w:eastAsia="en-GB"/>
              </w:rPr>
            </w:pPr>
            <w:r w:rsidRPr="00073666">
              <w:rPr>
                <w:rFonts w:ascii="Calibri" w:hAnsi="Calibri" w:cs="Calibri"/>
                <w:color w:val="000000" w:themeColor="text1"/>
              </w:rPr>
              <w:t xml:space="preserve">Email: </w:t>
            </w:r>
            <w:sdt>
              <w:sdtPr>
                <w:rPr>
                  <w:rFonts w:ascii="Calibri" w:hAnsi="Calibri" w:cs="Calibri"/>
                  <w:color w:val="000000" w:themeColor="text1"/>
                </w:rPr>
                <w:alias w:val="Contact's Email Address"/>
                <w:tag w:val="Contact's Email Address"/>
                <w:id w:val="-1963251996"/>
                <w:placeholder>
                  <w:docPart w:val="83F922281ADAB74789A71A8192FC637A"/>
                </w:placeholder>
              </w:sdtPr>
              <w:sdtEndPr>
                <w:rPr>
                  <w:lang w:eastAsia="en-GB"/>
                </w:rPr>
              </w:sdtEndPr>
              <w:sdtContent>
                <w:hyperlink r:id="rId16" w:tooltip="duncan.wyncoll@gstt.nhs.uk" w:history="1">
                  <w:r w:rsidRPr="00073666">
                    <w:rPr>
                      <w:rStyle w:val="Hyperlink"/>
                      <w:rFonts w:ascii="Calibri" w:hAnsi="Calibri" w:cs="Calibri"/>
                      <w:color w:val="000000" w:themeColor="text1"/>
                      <w:u w:val="none"/>
                    </w:rPr>
                    <w:t>duncan.wyncoll@gstt.nhs.uk</w:t>
                  </w:r>
                </w:hyperlink>
              </w:sdtContent>
            </w:sdt>
          </w:p>
          <w:p w14:paraId="452E4794" w14:textId="1AB95623" w:rsidR="007C7BFC" w:rsidRDefault="00FF0C3E" w:rsidP="007C7BFC">
            <w:pPr>
              <w:tabs>
                <w:tab w:val="left" w:pos="2366"/>
              </w:tabs>
              <w:autoSpaceDE w:val="0"/>
              <w:autoSpaceDN w:val="0"/>
              <w:adjustRightInd w:val="0"/>
              <w:spacing w:afterLines="20" w:after="48"/>
              <w:rPr>
                <w:rFonts w:ascii="Calibri" w:hAnsi="Calibri" w:cs="Calibri"/>
                <w:color w:val="000000" w:themeColor="text1"/>
                <w:lang w:eastAsia="en-GB"/>
              </w:rPr>
            </w:pPr>
            <w:r w:rsidRPr="00073666">
              <w:rPr>
                <w:rFonts w:ascii="Calibri" w:hAnsi="Calibri" w:cs="Calibri"/>
                <w:color w:val="000000" w:themeColor="text1"/>
                <w:lang w:eastAsia="en-GB"/>
              </w:rPr>
              <w:t>Tel:</w:t>
            </w:r>
            <w:r w:rsidRPr="00073666">
              <w:rPr>
                <w:rFonts w:ascii="Calibri" w:hAnsi="Calibri" w:cs="Calibri"/>
                <w:color w:val="000000" w:themeColor="text1"/>
              </w:rPr>
              <w:t xml:space="preserve"> </w:t>
            </w:r>
            <w:sdt>
              <w:sdtPr>
                <w:rPr>
                  <w:rFonts w:ascii="Calibri" w:hAnsi="Calibri" w:cs="Calibri"/>
                  <w:color w:val="000000" w:themeColor="text1"/>
                </w:rPr>
                <w:alias w:val="Contact's Telephone"/>
                <w:tag w:val="Contact's Telephone"/>
                <w:id w:val="1006871574"/>
                <w:placeholder>
                  <w:docPart w:val="B182FB5E0F620845889BA240B79480D8"/>
                </w:placeholder>
              </w:sdtPr>
              <w:sdtEndPr>
                <w:rPr>
                  <w:lang w:eastAsia="en-GB"/>
                </w:rPr>
              </w:sdtEndPr>
              <w:sdtContent>
                <w:r w:rsidRPr="00073666">
                  <w:rPr>
                    <w:rFonts w:ascii="Calibri" w:hAnsi="Calibri" w:cs="Calibri"/>
                    <w:color w:val="000000" w:themeColor="text1"/>
                  </w:rPr>
                  <w:t>02071883044</w:t>
                </w:r>
              </w:sdtContent>
            </w:sdt>
            <w:r w:rsidR="007C7BFC" w:rsidRPr="00073666">
              <w:rPr>
                <w:rFonts w:ascii="Calibri" w:hAnsi="Calibri" w:cs="Calibri"/>
                <w:color w:val="000000" w:themeColor="text1"/>
                <w:lang w:eastAsia="en-GB"/>
              </w:rPr>
              <w:tab/>
            </w:r>
          </w:p>
          <w:p w14:paraId="532A2A45" w14:textId="77777777" w:rsidR="0001111D" w:rsidRPr="00073666" w:rsidRDefault="0001111D" w:rsidP="007C7BFC">
            <w:pPr>
              <w:tabs>
                <w:tab w:val="left" w:pos="2366"/>
              </w:tabs>
              <w:autoSpaceDE w:val="0"/>
              <w:autoSpaceDN w:val="0"/>
              <w:adjustRightInd w:val="0"/>
              <w:spacing w:afterLines="20" w:after="48"/>
              <w:rPr>
                <w:rFonts w:ascii="Calibri" w:hAnsi="Calibri" w:cs="Calibri"/>
                <w:color w:val="000000" w:themeColor="text1"/>
                <w:lang w:eastAsia="en-GB"/>
              </w:rPr>
            </w:pPr>
          </w:p>
          <w:p w14:paraId="59411D36" w14:textId="7261E18B" w:rsidR="00FF0C3E" w:rsidRPr="00073666" w:rsidRDefault="00FF0C3E" w:rsidP="00FF0C3E">
            <w:pPr>
              <w:rPr>
                <w:rFonts w:ascii="Calibri" w:hAnsi="Calibri" w:cs="Calibri"/>
                <w:color w:val="000000" w:themeColor="text1"/>
              </w:rPr>
            </w:pPr>
            <w:r w:rsidRPr="00073666">
              <w:rPr>
                <w:rFonts w:ascii="Calibri" w:hAnsi="Calibri" w:cs="Calibri"/>
                <w:color w:val="000000" w:themeColor="text1"/>
              </w:rPr>
              <w:t xml:space="preserve">King’s College Hospital Philip Hopkins, </w:t>
            </w:r>
            <w:sdt>
              <w:sdtPr>
                <w:rPr>
                  <w:rFonts w:ascii="Calibri" w:hAnsi="Calibri" w:cs="Calibri"/>
                  <w:color w:val="000000" w:themeColor="text1"/>
                </w:rPr>
                <w:alias w:val="Contact's Post"/>
                <w:tag w:val="Contact's Post"/>
                <w:id w:val="1954200337"/>
                <w:placeholder>
                  <w:docPart w:val="324D16AC0C4CCA47BEEC531BBB2F7CDF"/>
                </w:placeholder>
              </w:sdtPr>
              <w:sdtEndPr>
                <w:rPr>
                  <w:lang w:eastAsia="en-GB"/>
                </w:rPr>
              </w:sdtEndPr>
              <w:sdtContent>
                <w:r w:rsidRPr="00073666">
                  <w:rPr>
                    <w:rFonts w:ascii="Calibri" w:hAnsi="Calibri" w:cs="Calibri"/>
                    <w:color w:val="000000" w:themeColor="text1"/>
                  </w:rPr>
                  <w:t>Consultant in Intensive Care Medicine</w:t>
                </w:r>
              </w:sdtContent>
            </w:sdt>
          </w:p>
          <w:p w14:paraId="572725EA" w14:textId="2628F816" w:rsidR="00FF0C3E" w:rsidRPr="00073666" w:rsidRDefault="00FF0C3E" w:rsidP="00FF0C3E">
            <w:pPr>
              <w:rPr>
                <w:rFonts w:ascii="Calibri" w:hAnsi="Calibri" w:cs="Calibri"/>
                <w:color w:val="000000" w:themeColor="text1"/>
                <w:lang w:eastAsia="en-GB"/>
              </w:rPr>
            </w:pPr>
            <w:r w:rsidRPr="00073666">
              <w:rPr>
                <w:rFonts w:ascii="Calibri" w:hAnsi="Calibri" w:cs="Calibri"/>
                <w:color w:val="000000" w:themeColor="text1"/>
              </w:rPr>
              <w:t xml:space="preserve">Email: </w:t>
            </w:r>
            <w:sdt>
              <w:sdtPr>
                <w:rPr>
                  <w:rFonts w:ascii="Calibri" w:hAnsi="Calibri" w:cs="Calibri"/>
                  <w:color w:val="000000" w:themeColor="text1"/>
                </w:rPr>
                <w:alias w:val="Contact's Email Address"/>
                <w:tag w:val="Contact's Email Address"/>
                <w:id w:val="-272406873"/>
                <w:placeholder>
                  <w:docPart w:val="A275EE65585A7D4A82F59440969FEF15"/>
                </w:placeholder>
              </w:sdtPr>
              <w:sdtEndPr>
                <w:rPr>
                  <w:lang w:eastAsia="en-GB"/>
                </w:rPr>
              </w:sdtEndPr>
              <w:sdtContent>
                <w:hyperlink r:id="rId17" w:history="1">
                  <w:r w:rsidRPr="00073666">
                    <w:rPr>
                      <w:rStyle w:val="Hyperlink"/>
                      <w:rFonts w:ascii="Calibri" w:hAnsi="Calibri" w:cs="Calibri"/>
                      <w:bCs/>
                      <w:color w:val="000000" w:themeColor="text1"/>
                      <w:u w:val="none"/>
                    </w:rPr>
                    <w:t>p.hopkins@nhs.net</w:t>
                  </w:r>
                </w:hyperlink>
              </w:sdtContent>
            </w:sdt>
            <w:r w:rsidRPr="00073666">
              <w:rPr>
                <w:rFonts w:ascii="Calibri" w:hAnsi="Calibri" w:cs="Calibri"/>
                <w:color w:val="000000" w:themeColor="text1"/>
                <w:lang w:eastAsia="en-GB"/>
              </w:rPr>
              <w:t xml:space="preserve"> </w:t>
            </w:r>
          </w:p>
          <w:sdt>
            <w:sdtPr>
              <w:rPr>
                <w:rFonts w:ascii="Calibri" w:hAnsi="Calibri" w:cs="Calibri"/>
                <w:color w:val="000000" w:themeColor="text1"/>
              </w:rPr>
              <w:alias w:val="Contact's Telephone"/>
              <w:tag w:val="Contact's Telephone"/>
              <w:id w:val="-1775232898"/>
              <w:placeholder>
                <w:docPart w:val="B95E67FD0F49054D927B932B2ED0E136"/>
              </w:placeholder>
            </w:sdtPr>
            <w:sdtEndPr>
              <w:rPr>
                <w:lang w:eastAsia="en-GB"/>
              </w:rPr>
            </w:sdtEndPr>
            <w:sdtContent>
              <w:p w14:paraId="429369DD" w14:textId="734F5320" w:rsidR="003C7C88" w:rsidRPr="00073666" w:rsidRDefault="00FF0C3E" w:rsidP="00FF0C3E">
                <w:pPr>
                  <w:rPr>
                    <w:rFonts w:ascii="Calibri" w:hAnsi="Calibri" w:cs="Calibri"/>
                    <w:color w:val="000000" w:themeColor="text1"/>
                    <w:lang w:val="en"/>
                  </w:rPr>
                </w:pPr>
                <w:r w:rsidRPr="00073666">
                  <w:rPr>
                    <w:rFonts w:ascii="Calibri" w:hAnsi="Calibri" w:cs="Calibri"/>
                    <w:color w:val="000000" w:themeColor="text1"/>
                  </w:rPr>
                  <w:t xml:space="preserve">Tel: </w:t>
                </w:r>
                <w:r w:rsidR="00D3782B" w:rsidRPr="00073666">
                  <w:rPr>
                    <w:rFonts w:ascii="Calibri" w:hAnsi="Calibri" w:cs="Calibri"/>
                    <w:color w:val="000000" w:themeColor="text1"/>
                    <w:lang w:val="en"/>
                  </w:rPr>
                  <w:t>0203</w:t>
                </w:r>
                <w:r w:rsidRPr="00073666">
                  <w:rPr>
                    <w:rFonts w:ascii="Calibri" w:hAnsi="Calibri" w:cs="Calibri"/>
                    <w:color w:val="000000" w:themeColor="text1"/>
                    <w:lang w:val="en"/>
                  </w:rPr>
                  <w:t>2991038</w:t>
                </w:r>
              </w:p>
            </w:sdtContent>
          </w:sdt>
        </w:tc>
      </w:tr>
      <w:tr w:rsidR="003045D3" w:rsidRPr="00073666" w14:paraId="056D8591" w14:textId="77777777" w:rsidTr="00FF0C3E">
        <w:trPr>
          <w:trHeight w:val="2073"/>
        </w:trPr>
        <w:tc>
          <w:tcPr>
            <w:tcW w:w="3889" w:type="dxa"/>
          </w:tcPr>
          <w:p w14:paraId="2944EC0F" w14:textId="522ED218" w:rsidR="003045D3" w:rsidRPr="00073666" w:rsidRDefault="003045D3" w:rsidP="003045D3">
            <w:pPr>
              <w:rPr>
                <w:rFonts w:ascii="Calibri" w:hAnsi="Calibri" w:cs="Calibri"/>
              </w:rPr>
            </w:pPr>
            <w:r w:rsidRPr="00073666">
              <w:rPr>
                <w:rFonts w:ascii="Calibri" w:hAnsi="Calibri" w:cs="Calibri"/>
              </w:rPr>
              <w:lastRenderedPageBreak/>
              <w:t>Statistician</w:t>
            </w:r>
          </w:p>
        </w:tc>
        <w:tc>
          <w:tcPr>
            <w:tcW w:w="6200" w:type="dxa"/>
          </w:tcPr>
          <w:p w14:paraId="024D25FA" w14:textId="77777777" w:rsidR="003045D3" w:rsidRPr="00073666" w:rsidRDefault="003045D3" w:rsidP="003045D3">
            <w:pPr>
              <w:ind w:right="120"/>
              <w:rPr>
                <w:rFonts w:ascii="Calibri" w:hAnsi="Calibri" w:cs="Calibri"/>
                <w:color w:val="000000" w:themeColor="text1"/>
                <w:szCs w:val="22"/>
              </w:rPr>
            </w:pPr>
            <w:r w:rsidRPr="00073666">
              <w:rPr>
                <w:rFonts w:ascii="Calibri" w:hAnsi="Calibri" w:cs="Calibri"/>
                <w:color w:val="000000" w:themeColor="text1"/>
                <w:szCs w:val="22"/>
              </w:rPr>
              <w:t>Sile Molloy</w:t>
            </w:r>
          </w:p>
          <w:p w14:paraId="64B6A496" w14:textId="5DFA7213" w:rsidR="003045D3" w:rsidRPr="00073666" w:rsidRDefault="003045D3" w:rsidP="003045D3">
            <w:pPr>
              <w:ind w:right="120"/>
              <w:rPr>
                <w:rFonts w:ascii="Calibri" w:hAnsi="Calibri" w:cs="Calibri"/>
                <w:color w:val="000000"/>
                <w:szCs w:val="22"/>
                <w:lang w:eastAsia="en-GB"/>
              </w:rPr>
            </w:pPr>
            <w:r w:rsidRPr="00073666">
              <w:rPr>
                <w:rFonts w:ascii="Calibri" w:hAnsi="Calibri" w:cs="Calibri"/>
                <w:color w:val="000000" w:themeColor="text1"/>
                <w:szCs w:val="22"/>
              </w:rPr>
              <w:t xml:space="preserve">PhD, Lecturer in Epidemiology, </w:t>
            </w:r>
            <w:r w:rsidRPr="00073666">
              <w:rPr>
                <w:rFonts w:ascii="Calibri" w:hAnsi="Calibri" w:cs="Calibri"/>
                <w:color w:val="000000"/>
                <w:szCs w:val="22"/>
                <w:lang w:eastAsia="en-GB"/>
              </w:rPr>
              <w:t>Centre for Global Health, Institute for Infection and Immunity</w:t>
            </w:r>
            <w:r w:rsidR="00E729A8" w:rsidRPr="00073666">
              <w:rPr>
                <w:rFonts w:ascii="Calibri" w:hAnsi="Calibri" w:cs="Calibri"/>
                <w:color w:val="000000"/>
                <w:szCs w:val="22"/>
                <w:lang w:eastAsia="en-GB"/>
              </w:rPr>
              <w:t>,</w:t>
            </w:r>
            <w:r w:rsidRPr="00073666">
              <w:rPr>
                <w:rFonts w:ascii="Calibri" w:hAnsi="Calibri" w:cs="Calibri"/>
                <w:color w:val="000000" w:themeColor="text1"/>
                <w:szCs w:val="22"/>
              </w:rPr>
              <w:t xml:space="preserve"> </w:t>
            </w:r>
            <w:r w:rsidRPr="00073666">
              <w:rPr>
                <w:rFonts w:ascii="Calibri" w:hAnsi="Calibri" w:cs="Calibri"/>
                <w:color w:val="000000"/>
                <w:szCs w:val="22"/>
                <w:lang w:eastAsia="en-GB"/>
              </w:rPr>
              <w:t>St George’s University of London</w:t>
            </w:r>
            <w:r w:rsidR="00E729A8" w:rsidRPr="00073666">
              <w:rPr>
                <w:rFonts w:ascii="Calibri" w:hAnsi="Calibri" w:cs="Calibri"/>
                <w:color w:val="000000"/>
                <w:szCs w:val="22"/>
                <w:lang w:eastAsia="en-GB"/>
              </w:rPr>
              <w:t>,</w:t>
            </w:r>
            <w:r w:rsidRPr="00073666">
              <w:rPr>
                <w:rFonts w:ascii="Calibri" w:hAnsi="Calibri" w:cs="Calibri"/>
                <w:color w:val="000000"/>
                <w:szCs w:val="22"/>
                <w:lang w:eastAsia="en-GB"/>
              </w:rPr>
              <w:br/>
            </w:r>
            <w:r w:rsidRPr="00073666">
              <w:rPr>
                <w:rFonts w:ascii="Calibri" w:hAnsi="Calibri" w:cs="Calibri"/>
                <w:color w:val="000000" w:themeColor="text1"/>
                <w:szCs w:val="22"/>
                <w:shd w:val="clear" w:color="auto" w:fill="FFFFFF"/>
              </w:rPr>
              <w:t>Cranmer Terrace, Tooting, London SW17 0RE</w:t>
            </w:r>
            <w:r w:rsidR="00D3782B" w:rsidRPr="00073666">
              <w:rPr>
                <w:rFonts w:ascii="Calibri" w:hAnsi="Calibri" w:cs="Calibri"/>
                <w:color w:val="000000"/>
                <w:szCs w:val="22"/>
                <w:lang w:eastAsia="en-GB"/>
              </w:rPr>
              <w:br/>
              <w:t>Tel: 0</w:t>
            </w:r>
            <w:r w:rsidRPr="00073666">
              <w:rPr>
                <w:rFonts w:ascii="Calibri" w:hAnsi="Calibri" w:cs="Calibri"/>
                <w:color w:val="000000"/>
                <w:szCs w:val="22"/>
                <w:lang w:eastAsia="en-GB"/>
              </w:rPr>
              <w:t>20</w:t>
            </w:r>
            <w:r w:rsidR="00D3782B" w:rsidRPr="00073666">
              <w:rPr>
                <w:rFonts w:ascii="Calibri" w:hAnsi="Calibri" w:cs="Calibri"/>
                <w:color w:val="000000"/>
                <w:szCs w:val="22"/>
                <w:lang w:eastAsia="en-GB"/>
              </w:rPr>
              <w:t>8725</w:t>
            </w:r>
            <w:r w:rsidRPr="00073666">
              <w:rPr>
                <w:rFonts w:ascii="Calibri" w:hAnsi="Calibri" w:cs="Calibri"/>
                <w:color w:val="000000"/>
                <w:szCs w:val="22"/>
                <w:lang w:eastAsia="en-GB"/>
              </w:rPr>
              <w:t>5613</w:t>
            </w:r>
          </w:p>
          <w:p w14:paraId="39F132FE" w14:textId="6E1511E9" w:rsidR="003045D3" w:rsidRPr="00073666" w:rsidRDefault="003045D3" w:rsidP="003045D3">
            <w:pPr>
              <w:rPr>
                <w:rFonts w:ascii="Calibri" w:eastAsiaTheme="majorEastAsia" w:hAnsi="Calibri" w:cs="Calibri"/>
                <w:szCs w:val="22"/>
              </w:rPr>
            </w:pPr>
            <w:r w:rsidRPr="00073666">
              <w:rPr>
                <w:rFonts w:ascii="Calibri" w:hAnsi="Calibri" w:cs="Calibri"/>
                <w:szCs w:val="22"/>
              </w:rPr>
              <w:t xml:space="preserve">Email: </w:t>
            </w:r>
            <w:hyperlink r:id="rId18" w:history="1">
              <w:r w:rsidR="00D3782B" w:rsidRPr="00073666">
                <w:rPr>
                  <w:rStyle w:val="Hyperlink"/>
                  <w:rFonts w:ascii="Calibri" w:eastAsiaTheme="majorEastAsia" w:hAnsi="Calibri" w:cs="Calibri"/>
                  <w:szCs w:val="22"/>
                </w:rPr>
                <w:t>smolloy@sgul.ac.uk</w:t>
              </w:r>
            </w:hyperlink>
          </w:p>
          <w:p w14:paraId="5420B285" w14:textId="4DD4F43F" w:rsidR="00D3782B" w:rsidRPr="00073666" w:rsidRDefault="00D3782B" w:rsidP="003045D3">
            <w:pPr>
              <w:rPr>
                <w:rFonts w:ascii="Calibri" w:hAnsi="Calibri" w:cs="Calibri"/>
                <w:color w:val="0000FF"/>
                <w:szCs w:val="22"/>
              </w:rPr>
            </w:pPr>
          </w:p>
        </w:tc>
      </w:tr>
    </w:tbl>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3118"/>
        <w:gridCol w:w="3119"/>
      </w:tblGrid>
      <w:tr w:rsidR="003C7C88" w:rsidRPr="00073666" w14:paraId="7970C072" w14:textId="77777777" w:rsidTr="003C7C88">
        <w:trPr>
          <w:trHeight w:val="385"/>
        </w:trPr>
        <w:tc>
          <w:tcPr>
            <w:tcW w:w="10173" w:type="dxa"/>
            <w:gridSpan w:val="3"/>
            <w:shd w:val="clear" w:color="auto" w:fill="C0504D" w:themeFill="accent2"/>
          </w:tcPr>
          <w:p w14:paraId="67B3D7F5" w14:textId="77777777" w:rsidR="003C7C88" w:rsidRPr="00073666" w:rsidRDefault="003C7C88" w:rsidP="003802A1">
            <w:pPr>
              <w:rPr>
                <w:rFonts w:ascii="Calibri" w:hAnsi="Calibri" w:cs="Calibri"/>
                <w:color w:val="FFFFFF" w:themeColor="background1"/>
                <w:szCs w:val="22"/>
              </w:rPr>
            </w:pPr>
            <w:r w:rsidRPr="00073666">
              <w:rPr>
                <w:rFonts w:ascii="Calibri" w:hAnsi="Calibri" w:cs="Calibri"/>
                <w:b/>
                <w:color w:val="FFFFFF" w:themeColor="background1"/>
                <w:szCs w:val="22"/>
              </w:rPr>
              <w:t>STUDY SUMMARY</w:t>
            </w:r>
          </w:p>
        </w:tc>
      </w:tr>
      <w:tr w:rsidR="003045D3" w:rsidRPr="00073666" w14:paraId="09A65E87" w14:textId="77777777" w:rsidTr="001D1F95">
        <w:trPr>
          <w:trHeight w:val="385"/>
        </w:trPr>
        <w:tc>
          <w:tcPr>
            <w:tcW w:w="3936" w:type="dxa"/>
          </w:tcPr>
          <w:p w14:paraId="7593CB93" w14:textId="77777777" w:rsidR="003045D3" w:rsidRPr="00073666" w:rsidRDefault="003045D3" w:rsidP="003045D3">
            <w:pPr>
              <w:rPr>
                <w:rFonts w:ascii="Calibri" w:hAnsi="Calibri" w:cs="Calibri"/>
                <w:szCs w:val="22"/>
              </w:rPr>
            </w:pPr>
            <w:r w:rsidRPr="00073666">
              <w:rPr>
                <w:rFonts w:ascii="Calibri" w:hAnsi="Calibri" w:cs="Calibri"/>
                <w:szCs w:val="22"/>
              </w:rPr>
              <w:t>Study Title</w:t>
            </w:r>
          </w:p>
        </w:tc>
        <w:tc>
          <w:tcPr>
            <w:tcW w:w="6237" w:type="dxa"/>
            <w:gridSpan w:val="2"/>
          </w:tcPr>
          <w:p w14:paraId="7E33A275" w14:textId="77777777" w:rsidR="003045D3" w:rsidRPr="00073666" w:rsidRDefault="003045D3" w:rsidP="003045D3">
            <w:pPr>
              <w:rPr>
                <w:rFonts w:ascii="Calibri" w:hAnsi="Calibri" w:cs="Calibri"/>
                <w:bCs/>
                <w:color w:val="000000" w:themeColor="text1"/>
                <w:szCs w:val="22"/>
              </w:rPr>
            </w:pPr>
            <w:r w:rsidRPr="00073666">
              <w:rPr>
                <w:rFonts w:ascii="Calibri" w:hAnsi="Calibri" w:cs="Calibri"/>
                <w:bCs/>
                <w:color w:val="000000" w:themeColor="text1"/>
                <w:szCs w:val="22"/>
              </w:rPr>
              <w:t xml:space="preserve">Incidence and pathogenesis of Invasive Aspergillosis in Intensive care patients with severe Influenza </w:t>
            </w:r>
          </w:p>
          <w:p w14:paraId="41F5B17A" w14:textId="26C0BC3C" w:rsidR="001C3978" w:rsidRPr="00073666" w:rsidRDefault="001C3978" w:rsidP="003045D3">
            <w:pPr>
              <w:rPr>
                <w:rFonts w:ascii="Calibri" w:hAnsi="Calibri" w:cs="Calibri"/>
                <w:color w:val="0000FF"/>
                <w:szCs w:val="22"/>
              </w:rPr>
            </w:pPr>
          </w:p>
        </w:tc>
      </w:tr>
      <w:tr w:rsidR="003045D3" w:rsidRPr="00073666" w14:paraId="3BE2E263" w14:textId="77777777" w:rsidTr="001D1F95">
        <w:trPr>
          <w:trHeight w:val="385"/>
        </w:trPr>
        <w:tc>
          <w:tcPr>
            <w:tcW w:w="3936" w:type="dxa"/>
          </w:tcPr>
          <w:p w14:paraId="4E852647" w14:textId="77777777" w:rsidR="003045D3" w:rsidRPr="00073666" w:rsidRDefault="003045D3" w:rsidP="003045D3">
            <w:pPr>
              <w:rPr>
                <w:rFonts w:ascii="Calibri" w:hAnsi="Calibri" w:cs="Calibri"/>
                <w:szCs w:val="22"/>
              </w:rPr>
            </w:pPr>
            <w:r w:rsidRPr="00073666">
              <w:rPr>
                <w:rFonts w:ascii="Calibri" w:hAnsi="Calibri" w:cs="Calibri"/>
                <w:szCs w:val="22"/>
              </w:rPr>
              <w:t>Internal ref. no. (or short title)</w:t>
            </w:r>
          </w:p>
        </w:tc>
        <w:tc>
          <w:tcPr>
            <w:tcW w:w="6237" w:type="dxa"/>
            <w:gridSpan w:val="2"/>
          </w:tcPr>
          <w:p w14:paraId="1DEC5FF0" w14:textId="77777777" w:rsidR="003045D3" w:rsidRPr="00073666" w:rsidRDefault="00B4169C" w:rsidP="003045D3">
            <w:pPr>
              <w:rPr>
                <w:rFonts w:ascii="Calibri" w:hAnsi="Calibri" w:cs="Calibri"/>
                <w:bCs/>
                <w:color w:val="000000" w:themeColor="text1"/>
                <w:szCs w:val="22"/>
              </w:rPr>
            </w:pPr>
            <w:r w:rsidRPr="00073666">
              <w:rPr>
                <w:rFonts w:ascii="Calibri" w:hAnsi="Calibri" w:cs="Calibri"/>
                <w:bCs/>
                <w:color w:val="000000" w:themeColor="text1"/>
                <w:szCs w:val="22"/>
              </w:rPr>
              <w:t>Aspergillosis in patients with severe influenza (</w:t>
            </w:r>
            <w:proofErr w:type="spellStart"/>
            <w:r w:rsidR="003045D3" w:rsidRPr="00073666">
              <w:rPr>
                <w:rFonts w:ascii="Calibri" w:hAnsi="Calibri" w:cs="Calibri"/>
                <w:bCs/>
                <w:color w:val="000000" w:themeColor="text1"/>
                <w:szCs w:val="22"/>
              </w:rPr>
              <w:t>AspiFlu</w:t>
            </w:r>
            <w:proofErr w:type="spellEnd"/>
            <w:r w:rsidRPr="00073666">
              <w:rPr>
                <w:rFonts w:ascii="Calibri" w:hAnsi="Calibri" w:cs="Calibri"/>
                <w:bCs/>
                <w:color w:val="000000" w:themeColor="text1"/>
                <w:szCs w:val="22"/>
              </w:rPr>
              <w:t>)</w:t>
            </w:r>
          </w:p>
          <w:p w14:paraId="651A4556" w14:textId="2B4BDACD" w:rsidR="001C3978" w:rsidRPr="00073666" w:rsidRDefault="001C3978" w:rsidP="003045D3">
            <w:pPr>
              <w:rPr>
                <w:rFonts w:ascii="Calibri" w:hAnsi="Calibri" w:cs="Calibri"/>
                <w:color w:val="0000FF"/>
                <w:szCs w:val="22"/>
              </w:rPr>
            </w:pPr>
          </w:p>
        </w:tc>
      </w:tr>
      <w:tr w:rsidR="00AD1173" w:rsidRPr="00073666" w14:paraId="2C2329F0" w14:textId="77777777" w:rsidTr="001D1F95">
        <w:trPr>
          <w:trHeight w:val="385"/>
        </w:trPr>
        <w:tc>
          <w:tcPr>
            <w:tcW w:w="3936" w:type="dxa"/>
          </w:tcPr>
          <w:p w14:paraId="5BCCB8CE" w14:textId="77777777" w:rsidR="00AD1173" w:rsidRPr="00073666" w:rsidRDefault="00AD1173" w:rsidP="00AD1173">
            <w:pPr>
              <w:rPr>
                <w:rFonts w:ascii="Calibri" w:hAnsi="Calibri" w:cs="Calibri"/>
                <w:szCs w:val="22"/>
              </w:rPr>
            </w:pPr>
            <w:r w:rsidRPr="00073666">
              <w:rPr>
                <w:rFonts w:ascii="Calibri" w:hAnsi="Calibri" w:cs="Calibri"/>
                <w:szCs w:val="22"/>
              </w:rPr>
              <w:t>Research Question/Aim(s)</w:t>
            </w:r>
          </w:p>
          <w:p w14:paraId="2B4CC378" w14:textId="77777777" w:rsidR="00AD1173" w:rsidRPr="00073666" w:rsidRDefault="00AD1173" w:rsidP="00AD1173">
            <w:pPr>
              <w:rPr>
                <w:rFonts w:ascii="Calibri" w:hAnsi="Calibri" w:cs="Calibri"/>
                <w:szCs w:val="22"/>
              </w:rPr>
            </w:pPr>
          </w:p>
        </w:tc>
        <w:tc>
          <w:tcPr>
            <w:tcW w:w="6237" w:type="dxa"/>
            <w:gridSpan w:val="2"/>
          </w:tcPr>
          <w:p w14:paraId="529CCD6A" w14:textId="77777777" w:rsidR="001C3978" w:rsidRPr="00073666" w:rsidRDefault="00AD1173" w:rsidP="00D95123">
            <w:pPr>
              <w:spacing w:after="160" w:line="259" w:lineRule="auto"/>
              <w:rPr>
                <w:rFonts w:ascii="Calibri" w:hAnsi="Calibri" w:cs="Calibri"/>
                <w:b/>
                <w:color w:val="000000" w:themeColor="text1"/>
                <w:szCs w:val="22"/>
              </w:rPr>
            </w:pPr>
            <w:r w:rsidRPr="00073666">
              <w:rPr>
                <w:rFonts w:ascii="Calibri" w:hAnsi="Calibri" w:cs="Calibri"/>
                <w:b/>
                <w:color w:val="000000" w:themeColor="text1"/>
                <w:szCs w:val="22"/>
              </w:rPr>
              <w:t>Primary:</w:t>
            </w:r>
          </w:p>
          <w:p w14:paraId="0FA8C78B" w14:textId="64813738" w:rsidR="00D95123" w:rsidRPr="00073666" w:rsidRDefault="00D95123" w:rsidP="00D95123">
            <w:pPr>
              <w:spacing w:after="160" w:line="259" w:lineRule="auto"/>
              <w:rPr>
                <w:rFonts w:ascii="Calibri" w:hAnsi="Calibri" w:cs="Calibri"/>
                <w:b/>
                <w:color w:val="000000" w:themeColor="text1"/>
                <w:szCs w:val="22"/>
              </w:rPr>
            </w:pPr>
            <w:r w:rsidRPr="00073666">
              <w:rPr>
                <w:rFonts w:ascii="Calibri" w:hAnsi="Calibri" w:cs="Calibri"/>
                <w:color w:val="000000" w:themeColor="text1"/>
                <w:szCs w:val="22"/>
              </w:rPr>
              <w:t xml:space="preserve">Estimate </w:t>
            </w:r>
            <w:r w:rsidRPr="00073666">
              <w:rPr>
                <w:rFonts w:ascii="Calibri" w:hAnsi="Calibri" w:cs="Calibri"/>
                <w:bCs/>
                <w:color w:val="000000" w:themeColor="text1"/>
                <w:szCs w:val="22"/>
              </w:rPr>
              <w:t>incidence of influenza-associated invasive aspergillosis (IAA) in critically ill inpatients in London and identify risk factors for infection</w:t>
            </w:r>
          </w:p>
          <w:p w14:paraId="79364864" w14:textId="77777777" w:rsidR="00D95123" w:rsidRPr="00073666" w:rsidRDefault="00D95123" w:rsidP="00AD1173">
            <w:pPr>
              <w:spacing w:after="160" w:line="259" w:lineRule="auto"/>
              <w:rPr>
                <w:rFonts w:ascii="Calibri" w:hAnsi="Calibri" w:cs="Calibri"/>
                <w:bCs/>
                <w:color w:val="000000" w:themeColor="text1"/>
                <w:szCs w:val="22"/>
              </w:rPr>
            </w:pPr>
          </w:p>
          <w:p w14:paraId="40ADF687" w14:textId="77777777" w:rsidR="00AD1173" w:rsidRPr="00073666" w:rsidRDefault="00AD1173" w:rsidP="00AD1173">
            <w:pPr>
              <w:spacing w:after="160" w:line="259" w:lineRule="auto"/>
              <w:rPr>
                <w:rFonts w:ascii="Calibri" w:hAnsi="Calibri" w:cs="Calibri"/>
                <w:b/>
                <w:bCs/>
                <w:color w:val="000000" w:themeColor="text1"/>
                <w:szCs w:val="22"/>
              </w:rPr>
            </w:pPr>
            <w:r w:rsidRPr="00073666">
              <w:rPr>
                <w:rFonts w:ascii="Calibri" w:hAnsi="Calibri" w:cs="Calibri"/>
                <w:b/>
                <w:bCs/>
                <w:color w:val="000000" w:themeColor="text1"/>
                <w:szCs w:val="22"/>
              </w:rPr>
              <w:t>Secondary:</w:t>
            </w:r>
          </w:p>
          <w:p w14:paraId="6CD77607" w14:textId="77777777" w:rsidR="00AD1173" w:rsidRPr="00073666" w:rsidRDefault="00AD1173" w:rsidP="004A650C">
            <w:pPr>
              <w:pStyle w:val="ListParagraph"/>
              <w:numPr>
                <w:ilvl w:val="0"/>
                <w:numId w:val="22"/>
              </w:numPr>
              <w:spacing w:after="160" w:line="259" w:lineRule="auto"/>
              <w:rPr>
                <w:rFonts w:ascii="Calibri" w:hAnsi="Calibri" w:cs="Calibri"/>
                <w:color w:val="000000" w:themeColor="text1"/>
              </w:rPr>
            </w:pPr>
            <w:r w:rsidRPr="00073666">
              <w:rPr>
                <w:rFonts w:ascii="Calibri" w:hAnsi="Calibri" w:cs="Calibri"/>
                <w:bCs/>
                <w:color w:val="000000" w:themeColor="text1"/>
              </w:rPr>
              <w:t>Determine morbidity and mortality of IAA</w:t>
            </w:r>
          </w:p>
          <w:p w14:paraId="20D7D458" w14:textId="77777777" w:rsidR="00AD1173" w:rsidRPr="00073666" w:rsidRDefault="00AD1173" w:rsidP="004A650C">
            <w:pPr>
              <w:pStyle w:val="ListParagraph"/>
              <w:numPr>
                <w:ilvl w:val="0"/>
                <w:numId w:val="22"/>
              </w:numPr>
              <w:spacing w:after="160" w:line="259" w:lineRule="auto"/>
              <w:rPr>
                <w:rFonts w:ascii="Calibri" w:hAnsi="Calibri" w:cs="Calibri"/>
                <w:color w:val="000000" w:themeColor="text1"/>
              </w:rPr>
            </w:pPr>
            <w:r w:rsidRPr="00073666">
              <w:rPr>
                <w:rFonts w:ascii="Calibri" w:hAnsi="Calibri" w:cs="Calibri"/>
                <w:bCs/>
                <w:color w:val="000000" w:themeColor="text1"/>
              </w:rPr>
              <w:t xml:space="preserve">Evaluate utility of </w:t>
            </w:r>
            <w:proofErr w:type="spellStart"/>
            <w:r w:rsidRPr="00073666">
              <w:rPr>
                <w:rFonts w:ascii="Calibri" w:hAnsi="Calibri" w:cs="Calibri"/>
                <w:bCs/>
                <w:color w:val="000000" w:themeColor="text1"/>
              </w:rPr>
              <w:t>AspLFD</w:t>
            </w:r>
            <w:proofErr w:type="spellEnd"/>
            <w:r w:rsidRPr="00073666">
              <w:rPr>
                <w:rFonts w:ascii="Calibri" w:hAnsi="Calibri" w:cs="Calibri"/>
                <w:bCs/>
                <w:color w:val="000000" w:themeColor="text1"/>
              </w:rPr>
              <w:t xml:space="preserve"> device for diagnosis of IAA </w:t>
            </w:r>
          </w:p>
          <w:p w14:paraId="6EB8BFBD" w14:textId="77777777" w:rsidR="001C3978" w:rsidRPr="00073666" w:rsidRDefault="001C3978" w:rsidP="001C3978">
            <w:pPr>
              <w:spacing w:after="160" w:line="259" w:lineRule="auto"/>
              <w:rPr>
                <w:rFonts w:ascii="Calibri" w:hAnsi="Calibri" w:cs="Calibri"/>
                <w:b/>
                <w:color w:val="000000" w:themeColor="text1"/>
                <w:szCs w:val="22"/>
              </w:rPr>
            </w:pPr>
          </w:p>
          <w:p w14:paraId="72F17C04" w14:textId="77777777" w:rsidR="001C3978" w:rsidRPr="00073666" w:rsidRDefault="001C3978" w:rsidP="001C3978">
            <w:pPr>
              <w:spacing w:after="160" w:line="259" w:lineRule="auto"/>
              <w:rPr>
                <w:rFonts w:ascii="Calibri" w:hAnsi="Calibri" w:cs="Calibri"/>
                <w:b/>
                <w:color w:val="000000" w:themeColor="text1"/>
                <w:szCs w:val="22"/>
              </w:rPr>
            </w:pPr>
            <w:r w:rsidRPr="00073666">
              <w:rPr>
                <w:rFonts w:ascii="Calibri" w:hAnsi="Calibri" w:cs="Calibri"/>
                <w:b/>
                <w:color w:val="000000" w:themeColor="text1"/>
                <w:szCs w:val="22"/>
              </w:rPr>
              <w:t>Sub-studies:</w:t>
            </w:r>
          </w:p>
          <w:p w14:paraId="45F6B066" w14:textId="352FA369" w:rsidR="00AD1173" w:rsidRPr="00073666" w:rsidRDefault="00AD1173" w:rsidP="001C3978">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 xml:space="preserve">Improve understanding of immunopathogenesis of IAA through </w:t>
            </w:r>
            <w:r w:rsidRPr="00073666">
              <w:rPr>
                <w:rFonts w:ascii="Calibri" w:hAnsi="Calibri" w:cs="Calibri"/>
                <w:i/>
                <w:color w:val="000000" w:themeColor="text1"/>
                <w:szCs w:val="22"/>
              </w:rPr>
              <w:t>ex vivo</w:t>
            </w:r>
            <w:r w:rsidRPr="00073666">
              <w:rPr>
                <w:rFonts w:ascii="Calibri" w:hAnsi="Calibri" w:cs="Calibri"/>
                <w:color w:val="000000" w:themeColor="text1"/>
                <w:szCs w:val="22"/>
              </w:rPr>
              <w:t xml:space="preserve"> PBMC analysis, measurement of serum and bronchoalveolar lavage (BAL) cytokines and targeted immune gene sequencing </w:t>
            </w:r>
          </w:p>
          <w:p w14:paraId="3AF38ADE" w14:textId="3F155CB4" w:rsidR="001C3978" w:rsidRPr="00073666" w:rsidRDefault="001C3978" w:rsidP="00AD1173">
            <w:pPr>
              <w:rPr>
                <w:rFonts w:ascii="Calibri" w:hAnsi="Calibri" w:cs="Calibri"/>
                <w:szCs w:val="22"/>
              </w:rPr>
            </w:pPr>
          </w:p>
        </w:tc>
      </w:tr>
      <w:tr w:rsidR="00AD1173" w:rsidRPr="00073666" w14:paraId="07B390F7" w14:textId="77777777" w:rsidTr="001D1F95">
        <w:trPr>
          <w:trHeight w:val="371"/>
        </w:trPr>
        <w:tc>
          <w:tcPr>
            <w:tcW w:w="3936" w:type="dxa"/>
          </w:tcPr>
          <w:p w14:paraId="0A13CA42" w14:textId="77777777" w:rsidR="00AD1173" w:rsidRPr="00073666" w:rsidRDefault="00AD1173" w:rsidP="00AD1173">
            <w:pPr>
              <w:rPr>
                <w:rFonts w:ascii="Calibri" w:hAnsi="Calibri" w:cs="Calibri"/>
                <w:szCs w:val="22"/>
              </w:rPr>
            </w:pPr>
            <w:r w:rsidRPr="00073666">
              <w:rPr>
                <w:rFonts w:ascii="Calibri" w:hAnsi="Calibri" w:cs="Calibri"/>
                <w:szCs w:val="22"/>
              </w:rPr>
              <w:t>Study Design</w:t>
            </w:r>
          </w:p>
        </w:tc>
        <w:tc>
          <w:tcPr>
            <w:tcW w:w="6237" w:type="dxa"/>
            <w:gridSpan w:val="2"/>
          </w:tcPr>
          <w:p w14:paraId="05BD8B83" w14:textId="77777777" w:rsidR="00AD1173" w:rsidRPr="00073666" w:rsidRDefault="00AD1173" w:rsidP="00AD1173">
            <w:pPr>
              <w:spacing w:after="160" w:line="259" w:lineRule="auto"/>
              <w:jc w:val="both"/>
              <w:rPr>
                <w:rFonts w:ascii="Calibri" w:hAnsi="Calibri" w:cs="Calibri"/>
                <w:color w:val="000000" w:themeColor="text1"/>
                <w:szCs w:val="22"/>
              </w:rPr>
            </w:pPr>
            <w:r w:rsidRPr="00073666">
              <w:rPr>
                <w:rFonts w:ascii="Calibri" w:hAnsi="Calibri" w:cs="Calibri"/>
                <w:color w:val="000000" w:themeColor="text1"/>
                <w:szCs w:val="22"/>
              </w:rPr>
              <w:t>Prospective observational cohort</w:t>
            </w:r>
          </w:p>
          <w:p w14:paraId="7F9CB3A7" w14:textId="77777777" w:rsidR="00AD1173" w:rsidRPr="00073666" w:rsidRDefault="00AD1173" w:rsidP="00AD1173">
            <w:pPr>
              <w:rPr>
                <w:rFonts w:ascii="Calibri" w:hAnsi="Calibri" w:cs="Calibri"/>
                <w:color w:val="000000" w:themeColor="text1"/>
                <w:szCs w:val="22"/>
              </w:rPr>
            </w:pPr>
            <w:r w:rsidRPr="00073666">
              <w:rPr>
                <w:rFonts w:ascii="Calibri" w:hAnsi="Calibri" w:cs="Calibri"/>
                <w:bCs/>
                <w:color w:val="000000" w:themeColor="text1"/>
                <w:szCs w:val="22"/>
              </w:rPr>
              <w:t xml:space="preserve">Retrospective </w:t>
            </w:r>
            <w:r w:rsidRPr="00073666">
              <w:rPr>
                <w:rFonts w:ascii="Calibri" w:hAnsi="Calibri" w:cs="Calibri"/>
                <w:color w:val="000000" w:themeColor="text1"/>
                <w:szCs w:val="22"/>
              </w:rPr>
              <w:t>diagnostic evaluation and immunologic research using stored samples</w:t>
            </w:r>
          </w:p>
          <w:p w14:paraId="3442F4BC" w14:textId="539DD9D6" w:rsidR="001C3978" w:rsidRPr="00073666" w:rsidRDefault="001C3978" w:rsidP="00AD1173">
            <w:pPr>
              <w:rPr>
                <w:rFonts w:ascii="Calibri" w:hAnsi="Calibri" w:cs="Calibri"/>
                <w:color w:val="0000FF"/>
                <w:szCs w:val="22"/>
              </w:rPr>
            </w:pPr>
          </w:p>
        </w:tc>
      </w:tr>
      <w:tr w:rsidR="00AD1173" w:rsidRPr="00073666" w14:paraId="2D453F07" w14:textId="77777777" w:rsidTr="001D1F95">
        <w:trPr>
          <w:trHeight w:val="371"/>
        </w:trPr>
        <w:tc>
          <w:tcPr>
            <w:tcW w:w="3936" w:type="dxa"/>
          </w:tcPr>
          <w:p w14:paraId="1B928672" w14:textId="687DFDAE" w:rsidR="00AD1173" w:rsidRPr="00073666" w:rsidRDefault="00AD1173" w:rsidP="00AD1173">
            <w:pPr>
              <w:rPr>
                <w:rFonts w:ascii="Calibri" w:hAnsi="Calibri" w:cs="Calibri"/>
                <w:szCs w:val="22"/>
              </w:rPr>
            </w:pPr>
            <w:r w:rsidRPr="00073666">
              <w:rPr>
                <w:rFonts w:ascii="Calibri" w:hAnsi="Calibri" w:cs="Calibri"/>
                <w:szCs w:val="22"/>
              </w:rPr>
              <w:t>Study Setting</w:t>
            </w:r>
          </w:p>
        </w:tc>
        <w:tc>
          <w:tcPr>
            <w:tcW w:w="6237" w:type="dxa"/>
            <w:gridSpan w:val="2"/>
          </w:tcPr>
          <w:p w14:paraId="4F2F901E" w14:textId="0771F329" w:rsidR="001C3978" w:rsidRPr="00073666" w:rsidRDefault="00132689" w:rsidP="00132689">
            <w:pPr>
              <w:spacing w:after="160" w:line="259" w:lineRule="auto"/>
              <w:rPr>
                <w:rFonts w:ascii="Calibri" w:hAnsi="Calibri" w:cs="Calibri"/>
                <w:color w:val="000000" w:themeColor="text1"/>
              </w:rPr>
            </w:pPr>
            <w:r w:rsidRPr="00073666">
              <w:rPr>
                <w:rFonts w:ascii="Calibri" w:hAnsi="Calibri" w:cs="Calibri"/>
                <w:color w:val="000000" w:themeColor="text1"/>
              </w:rPr>
              <w:t xml:space="preserve">Intensive care units </w:t>
            </w:r>
            <w:r w:rsidR="00FC36FE" w:rsidRPr="00FC36FE">
              <w:rPr>
                <w:rFonts w:ascii="Calibri" w:hAnsi="Calibri" w:cs="Calibri"/>
                <w:color w:val="000000" w:themeColor="text1"/>
                <w:highlight w:val="yellow"/>
              </w:rPr>
              <w:t>across four</w:t>
            </w:r>
            <w:r w:rsidRPr="00FC36FE">
              <w:rPr>
                <w:rFonts w:ascii="Calibri" w:hAnsi="Calibri" w:cs="Calibri"/>
                <w:color w:val="000000" w:themeColor="text1"/>
                <w:highlight w:val="yellow"/>
              </w:rPr>
              <w:t xml:space="preserve"> NHS Trusts:</w:t>
            </w:r>
          </w:p>
          <w:p w14:paraId="6238E8C8" w14:textId="13590521" w:rsidR="00AD1173" w:rsidRPr="00073666" w:rsidRDefault="00AD1173" w:rsidP="004A650C">
            <w:pPr>
              <w:pStyle w:val="ListParagraph"/>
              <w:numPr>
                <w:ilvl w:val="0"/>
                <w:numId w:val="23"/>
              </w:numPr>
              <w:spacing w:after="160" w:line="259" w:lineRule="auto"/>
              <w:rPr>
                <w:rFonts w:ascii="Calibri" w:hAnsi="Calibri" w:cs="Calibri"/>
                <w:color w:val="000000" w:themeColor="text1"/>
              </w:rPr>
            </w:pPr>
            <w:r w:rsidRPr="00073666">
              <w:rPr>
                <w:rFonts w:ascii="Calibri" w:hAnsi="Calibri" w:cs="Calibri"/>
                <w:color w:val="000000" w:themeColor="text1"/>
              </w:rPr>
              <w:t>Guy's and St Thomas' Hospital NHS Foundation Trust</w:t>
            </w:r>
            <w:r w:rsidR="00132689" w:rsidRPr="00073666">
              <w:rPr>
                <w:rFonts w:ascii="Calibri" w:hAnsi="Calibri" w:cs="Calibri"/>
                <w:color w:val="000000" w:themeColor="text1"/>
              </w:rPr>
              <w:t xml:space="preserve"> (GSTT)</w:t>
            </w:r>
          </w:p>
          <w:p w14:paraId="3C471D91" w14:textId="561233C6" w:rsidR="00AD1173" w:rsidRPr="00073666" w:rsidRDefault="00AD1173" w:rsidP="004A650C">
            <w:pPr>
              <w:pStyle w:val="ListParagraph"/>
              <w:numPr>
                <w:ilvl w:val="0"/>
                <w:numId w:val="23"/>
              </w:numPr>
              <w:spacing w:after="160" w:line="259" w:lineRule="auto"/>
              <w:rPr>
                <w:rFonts w:ascii="Calibri" w:hAnsi="Calibri" w:cs="Calibri"/>
                <w:color w:val="000000" w:themeColor="text1"/>
              </w:rPr>
            </w:pPr>
            <w:r w:rsidRPr="00073666">
              <w:rPr>
                <w:rFonts w:ascii="Calibri" w:hAnsi="Calibri" w:cs="Calibri"/>
                <w:color w:val="000000" w:themeColor="text1"/>
              </w:rPr>
              <w:t>St Georges University Hospitals NHS Found</w:t>
            </w:r>
            <w:r w:rsidR="00132689" w:rsidRPr="00073666">
              <w:rPr>
                <w:rFonts w:ascii="Calibri" w:hAnsi="Calibri" w:cs="Calibri"/>
                <w:color w:val="000000" w:themeColor="text1"/>
              </w:rPr>
              <w:t>ation Trust (SGH</w:t>
            </w:r>
            <w:r w:rsidRPr="00073666">
              <w:rPr>
                <w:rFonts w:ascii="Calibri" w:hAnsi="Calibri" w:cs="Calibri"/>
                <w:color w:val="000000" w:themeColor="text1"/>
              </w:rPr>
              <w:t>)</w:t>
            </w:r>
          </w:p>
          <w:p w14:paraId="5B5012D3" w14:textId="77777777" w:rsidR="00A41AED" w:rsidRDefault="00AD1173" w:rsidP="00017CBF">
            <w:pPr>
              <w:pStyle w:val="ListParagraph"/>
              <w:numPr>
                <w:ilvl w:val="0"/>
                <w:numId w:val="23"/>
              </w:numPr>
              <w:spacing w:after="160" w:line="259" w:lineRule="auto"/>
              <w:rPr>
                <w:rFonts w:ascii="Calibri" w:hAnsi="Calibri" w:cs="Calibri"/>
                <w:color w:val="000000" w:themeColor="text1"/>
              </w:rPr>
            </w:pPr>
            <w:r w:rsidRPr="00073666">
              <w:rPr>
                <w:rFonts w:ascii="Calibri" w:hAnsi="Calibri" w:cs="Calibri"/>
                <w:color w:val="000000" w:themeColor="text1"/>
              </w:rPr>
              <w:t>King’s College Hospital NHS Foundatio</w:t>
            </w:r>
            <w:r w:rsidR="00132689" w:rsidRPr="00073666">
              <w:rPr>
                <w:rFonts w:ascii="Calibri" w:hAnsi="Calibri" w:cs="Calibri"/>
                <w:color w:val="000000" w:themeColor="text1"/>
              </w:rPr>
              <w:t>n Trust (KCH</w:t>
            </w:r>
            <w:r w:rsidRPr="00073666">
              <w:rPr>
                <w:rFonts w:ascii="Calibri" w:hAnsi="Calibri" w:cs="Calibri"/>
                <w:color w:val="000000" w:themeColor="text1"/>
              </w:rPr>
              <w:t>)</w:t>
            </w:r>
          </w:p>
          <w:p w14:paraId="5F3C7444" w14:textId="6712D983" w:rsidR="00FC36FE" w:rsidRPr="00017CBF" w:rsidRDefault="00FC36FE" w:rsidP="00017CBF">
            <w:pPr>
              <w:pStyle w:val="ListParagraph"/>
              <w:numPr>
                <w:ilvl w:val="0"/>
                <w:numId w:val="23"/>
              </w:numPr>
              <w:spacing w:after="160" w:line="259" w:lineRule="auto"/>
              <w:rPr>
                <w:rFonts w:ascii="Calibri" w:hAnsi="Calibri" w:cs="Calibri"/>
                <w:color w:val="000000" w:themeColor="text1"/>
              </w:rPr>
            </w:pPr>
            <w:r w:rsidRPr="00FC36FE">
              <w:rPr>
                <w:rFonts w:ascii="Calibri" w:hAnsi="Calibri" w:cs="Calibri"/>
                <w:highlight w:val="yellow"/>
              </w:rPr>
              <w:lastRenderedPageBreak/>
              <w:t>Manchester University NHS Foundation Trust</w:t>
            </w:r>
          </w:p>
        </w:tc>
      </w:tr>
      <w:tr w:rsidR="00AD1173" w:rsidRPr="00073666" w14:paraId="644AA227" w14:textId="77777777" w:rsidTr="00AD1173">
        <w:trPr>
          <w:trHeight w:val="421"/>
        </w:trPr>
        <w:tc>
          <w:tcPr>
            <w:tcW w:w="3936" w:type="dxa"/>
          </w:tcPr>
          <w:p w14:paraId="0ECCFDD8" w14:textId="77777777" w:rsidR="00AD1173" w:rsidRPr="00073666" w:rsidRDefault="00AD1173" w:rsidP="00AD1173">
            <w:pPr>
              <w:rPr>
                <w:rFonts w:ascii="Calibri" w:hAnsi="Calibri" w:cs="Calibri"/>
                <w:szCs w:val="22"/>
              </w:rPr>
            </w:pPr>
            <w:r w:rsidRPr="00073666">
              <w:rPr>
                <w:rFonts w:ascii="Calibri" w:hAnsi="Calibri" w:cs="Calibri"/>
                <w:szCs w:val="22"/>
              </w:rPr>
              <w:lastRenderedPageBreak/>
              <w:t>Study Participants</w:t>
            </w:r>
          </w:p>
        </w:tc>
        <w:tc>
          <w:tcPr>
            <w:tcW w:w="6237" w:type="dxa"/>
            <w:gridSpan w:val="2"/>
          </w:tcPr>
          <w:p w14:paraId="23DA0662" w14:textId="77777777" w:rsidR="00AD1173" w:rsidRPr="00073666" w:rsidRDefault="00AD1173" w:rsidP="00AD1173">
            <w:pPr>
              <w:rPr>
                <w:rFonts w:ascii="Calibri" w:hAnsi="Calibri" w:cs="Calibri"/>
                <w:color w:val="000000" w:themeColor="text1"/>
                <w:szCs w:val="22"/>
              </w:rPr>
            </w:pPr>
            <w:r w:rsidRPr="00073666">
              <w:rPr>
                <w:rFonts w:ascii="Calibri" w:hAnsi="Calibri" w:cs="Calibri"/>
                <w:color w:val="000000" w:themeColor="text1"/>
                <w:szCs w:val="22"/>
              </w:rPr>
              <w:t>Intubated adults admitted to intensive care</w:t>
            </w:r>
            <w:r w:rsidR="001C3978" w:rsidRPr="00073666">
              <w:rPr>
                <w:rFonts w:ascii="Calibri" w:hAnsi="Calibri" w:cs="Calibri"/>
                <w:color w:val="000000" w:themeColor="text1"/>
                <w:szCs w:val="22"/>
              </w:rPr>
              <w:t xml:space="preserve"> (ICU)</w:t>
            </w:r>
            <w:r w:rsidRPr="00073666">
              <w:rPr>
                <w:rFonts w:ascii="Calibri" w:hAnsi="Calibri" w:cs="Calibri"/>
                <w:color w:val="000000" w:themeColor="text1"/>
                <w:szCs w:val="22"/>
              </w:rPr>
              <w:t xml:space="preserve"> with severe influenza</w:t>
            </w:r>
          </w:p>
          <w:p w14:paraId="6932FE17" w14:textId="74796B5C" w:rsidR="001C3978" w:rsidRPr="00073666" w:rsidRDefault="001C3978" w:rsidP="00AD1173">
            <w:pPr>
              <w:rPr>
                <w:rFonts w:ascii="Calibri" w:hAnsi="Calibri" w:cs="Calibri"/>
                <w:color w:val="000000" w:themeColor="text1"/>
                <w:szCs w:val="22"/>
              </w:rPr>
            </w:pPr>
          </w:p>
        </w:tc>
      </w:tr>
      <w:tr w:rsidR="00AD1173" w:rsidRPr="00073666" w14:paraId="4ADD5F0D" w14:textId="77777777" w:rsidTr="001D1F95">
        <w:trPr>
          <w:trHeight w:val="703"/>
        </w:trPr>
        <w:tc>
          <w:tcPr>
            <w:tcW w:w="3936" w:type="dxa"/>
          </w:tcPr>
          <w:p w14:paraId="7A5D5512" w14:textId="77777777" w:rsidR="001C3978" w:rsidRPr="00073666" w:rsidRDefault="001C3978" w:rsidP="00AD1173">
            <w:pPr>
              <w:rPr>
                <w:rFonts w:ascii="Calibri" w:hAnsi="Calibri" w:cs="Calibri"/>
                <w:szCs w:val="22"/>
              </w:rPr>
            </w:pPr>
          </w:p>
          <w:p w14:paraId="69958B6C" w14:textId="77777777" w:rsidR="001C3978" w:rsidRPr="00073666" w:rsidRDefault="001C3978" w:rsidP="00AD1173">
            <w:pPr>
              <w:rPr>
                <w:rFonts w:ascii="Calibri" w:hAnsi="Calibri" w:cs="Calibri"/>
                <w:szCs w:val="22"/>
              </w:rPr>
            </w:pPr>
          </w:p>
          <w:p w14:paraId="5C21C681" w14:textId="7FC834B6" w:rsidR="00760261" w:rsidRPr="00073666" w:rsidRDefault="00760261" w:rsidP="00AD1173">
            <w:pPr>
              <w:rPr>
                <w:rFonts w:ascii="Calibri" w:hAnsi="Calibri" w:cs="Calibri"/>
                <w:szCs w:val="22"/>
              </w:rPr>
            </w:pPr>
          </w:p>
          <w:p w14:paraId="3E9B22C1" w14:textId="77777777" w:rsidR="00521345" w:rsidRPr="00073666" w:rsidRDefault="00521345" w:rsidP="00AD1173">
            <w:pPr>
              <w:rPr>
                <w:rFonts w:ascii="Calibri" w:hAnsi="Calibri" w:cs="Calibri"/>
                <w:szCs w:val="22"/>
              </w:rPr>
            </w:pPr>
          </w:p>
          <w:p w14:paraId="04DD0991" w14:textId="04A070D7" w:rsidR="00AD1173" w:rsidRPr="00073666" w:rsidRDefault="00AD1173" w:rsidP="00AD1173">
            <w:pPr>
              <w:rPr>
                <w:rFonts w:ascii="Calibri" w:hAnsi="Calibri" w:cs="Calibri"/>
                <w:szCs w:val="22"/>
              </w:rPr>
            </w:pPr>
            <w:r w:rsidRPr="00073666">
              <w:rPr>
                <w:rFonts w:ascii="Calibri" w:hAnsi="Calibri" w:cs="Calibri"/>
                <w:szCs w:val="22"/>
              </w:rPr>
              <w:t>Inclusion/Exclusion criteria</w:t>
            </w:r>
          </w:p>
        </w:tc>
        <w:tc>
          <w:tcPr>
            <w:tcW w:w="6237" w:type="dxa"/>
            <w:gridSpan w:val="2"/>
          </w:tcPr>
          <w:p w14:paraId="6704131B" w14:textId="77777777" w:rsidR="001C3978" w:rsidRPr="00073666" w:rsidRDefault="001C3978" w:rsidP="00AD1173">
            <w:pPr>
              <w:spacing w:after="160" w:line="259" w:lineRule="auto"/>
              <w:rPr>
                <w:rFonts w:ascii="Calibri" w:hAnsi="Calibri" w:cs="Calibri"/>
                <w:color w:val="000000" w:themeColor="text1"/>
              </w:rPr>
            </w:pPr>
          </w:p>
          <w:p w14:paraId="225DEDFE" w14:textId="77777777" w:rsidR="001C3978" w:rsidRPr="00073666" w:rsidRDefault="001C3978" w:rsidP="00AD1173">
            <w:pPr>
              <w:spacing w:after="160" w:line="259" w:lineRule="auto"/>
              <w:rPr>
                <w:rFonts w:ascii="Calibri" w:hAnsi="Calibri" w:cs="Calibri"/>
                <w:color w:val="000000" w:themeColor="text1"/>
              </w:rPr>
            </w:pPr>
          </w:p>
          <w:p w14:paraId="1C0BF58E" w14:textId="3537B806" w:rsidR="00AD1173" w:rsidRPr="00073666" w:rsidRDefault="00AD1173" w:rsidP="00AD1173">
            <w:pPr>
              <w:spacing w:after="160" w:line="259" w:lineRule="auto"/>
              <w:rPr>
                <w:rFonts w:ascii="Calibri" w:hAnsi="Calibri" w:cs="Calibri"/>
                <w:color w:val="000000" w:themeColor="text1"/>
              </w:rPr>
            </w:pPr>
            <w:r w:rsidRPr="00073666">
              <w:rPr>
                <w:rFonts w:ascii="Calibri" w:hAnsi="Calibri" w:cs="Calibri"/>
                <w:color w:val="000000" w:themeColor="text1"/>
              </w:rPr>
              <w:t>Inclusion:</w:t>
            </w:r>
          </w:p>
          <w:p w14:paraId="6561755C" w14:textId="6FD36664" w:rsidR="00AD1173" w:rsidRPr="00073666" w:rsidRDefault="00AD1173" w:rsidP="004A650C">
            <w:pPr>
              <w:pStyle w:val="ListParagraph"/>
              <w:numPr>
                <w:ilvl w:val="0"/>
                <w:numId w:val="24"/>
              </w:numPr>
              <w:spacing w:after="160" w:line="259" w:lineRule="auto"/>
              <w:rPr>
                <w:rFonts w:ascii="Calibri" w:hAnsi="Calibri" w:cs="Calibri"/>
                <w:color w:val="000000" w:themeColor="text1"/>
              </w:rPr>
            </w:pPr>
            <w:r w:rsidRPr="00073666">
              <w:rPr>
                <w:rFonts w:ascii="Calibri" w:hAnsi="Calibri" w:cs="Calibri"/>
                <w:color w:val="000000" w:themeColor="text1"/>
              </w:rPr>
              <w:t xml:space="preserve">Adults </w:t>
            </w:r>
            <w:r w:rsidRPr="00073666">
              <w:rPr>
                <w:rFonts w:ascii="Calibri" w:hAnsi="Calibri" w:cs="Calibri"/>
                <w:color w:val="000000" w:themeColor="text1"/>
                <w:u w:val="single"/>
              </w:rPr>
              <w:t>&gt;</w:t>
            </w:r>
            <w:r w:rsidRPr="00073666">
              <w:rPr>
                <w:rFonts w:ascii="Calibri" w:hAnsi="Calibri" w:cs="Calibri"/>
                <w:color w:val="000000" w:themeColor="text1"/>
              </w:rPr>
              <w:t xml:space="preserve"> 18 years</w:t>
            </w:r>
          </w:p>
          <w:p w14:paraId="2CDCFFAB" w14:textId="38454192" w:rsidR="009A0ACD" w:rsidRPr="00073666" w:rsidRDefault="001C3978" w:rsidP="009A0ACD">
            <w:pPr>
              <w:pStyle w:val="ListParagraph"/>
              <w:numPr>
                <w:ilvl w:val="0"/>
                <w:numId w:val="24"/>
              </w:numPr>
              <w:spacing w:after="160" w:line="259" w:lineRule="auto"/>
              <w:rPr>
                <w:rFonts w:ascii="Calibri" w:hAnsi="Calibri" w:cs="Calibri"/>
                <w:color w:val="000000" w:themeColor="text1"/>
              </w:rPr>
            </w:pPr>
            <w:r w:rsidRPr="00073666">
              <w:rPr>
                <w:rFonts w:ascii="Calibri" w:hAnsi="Calibri" w:cs="Calibri"/>
                <w:color w:val="000000" w:themeColor="text1"/>
              </w:rPr>
              <w:t>Admitted to ICU</w:t>
            </w:r>
            <w:r w:rsidR="00AD1173" w:rsidRPr="00073666">
              <w:rPr>
                <w:rFonts w:ascii="Calibri" w:hAnsi="Calibri" w:cs="Calibri"/>
                <w:color w:val="000000" w:themeColor="text1"/>
              </w:rPr>
              <w:t xml:space="preserve"> for respiratory support requiring intubation and ventilation for </w:t>
            </w:r>
            <w:r w:rsidR="00AD1173" w:rsidRPr="00073666">
              <w:rPr>
                <w:rFonts w:ascii="Calibri" w:hAnsi="Calibri" w:cs="Calibri"/>
                <w:color w:val="000000" w:themeColor="text1"/>
                <w:u w:val="single"/>
              </w:rPr>
              <w:t>&gt;</w:t>
            </w:r>
            <w:r w:rsidR="00AD1173" w:rsidRPr="00073666">
              <w:rPr>
                <w:rFonts w:ascii="Calibri" w:hAnsi="Calibri" w:cs="Calibri"/>
                <w:color w:val="000000" w:themeColor="text1"/>
              </w:rPr>
              <w:t>24h</w:t>
            </w:r>
          </w:p>
          <w:p w14:paraId="0FEAAFDE" w14:textId="166DA46A" w:rsidR="009A0ACD" w:rsidRPr="00073666" w:rsidRDefault="009A0ACD" w:rsidP="009A0ACD">
            <w:pPr>
              <w:spacing w:after="160" w:line="259" w:lineRule="auto"/>
              <w:ind w:left="360"/>
              <w:rPr>
                <w:rFonts w:ascii="Calibri" w:hAnsi="Calibri" w:cs="Calibri"/>
                <w:b/>
                <w:color w:val="000000" w:themeColor="text1"/>
              </w:rPr>
            </w:pPr>
            <w:r w:rsidRPr="00073666">
              <w:rPr>
                <w:rFonts w:ascii="Calibri" w:hAnsi="Calibri" w:cs="Calibri"/>
                <w:b/>
                <w:color w:val="000000" w:themeColor="text1"/>
              </w:rPr>
              <w:t>AND EITHER:</w:t>
            </w:r>
          </w:p>
          <w:p w14:paraId="41EA06F6" w14:textId="6BE7CE5E" w:rsidR="00A261A2" w:rsidRPr="00073666" w:rsidRDefault="00AD1173" w:rsidP="009A0ACD">
            <w:pPr>
              <w:pStyle w:val="ListParagraph"/>
              <w:numPr>
                <w:ilvl w:val="0"/>
                <w:numId w:val="24"/>
              </w:numPr>
              <w:spacing w:after="160" w:line="259" w:lineRule="auto"/>
              <w:rPr>
                <w:rFonts w:ascii="Calibri" w:hAnsi="Calibri" w:cs="Calibri"/>
                <w:color w:val="000000" w:themeColor="text1"/>
              </w:rPr>
            </w:pPr>
            <w:r w:rsidRPr="00073666">
              <w:rPr>
                <w:rFonts w:ascii="Calibri" w:hAnsi="Calibri" w:cs="Calibri"/>
                <w:color w:val="000000" w:themeColor="text1"/>
              </w:rPr>
              <w:t xml:space="preserve">Positive influenza PCR </w:t>
            </w:r>
            <w:r w:rsidR="005A7459" w:rsidRPr="00073666">
              <w:rPr>
                <w:rFonts w:ascii="Calibri" w:hAnsi="Calibri" w:cs="Calibri"/>
                <w:color w:val="000000" w:themeColor="text1"/>
              </w:rPr>
              <w:t xml:space="preserve">from </w:t>
            </w:r>
            <w:r w:rsidR="009A0ACD" w:rsidRPr="00073666">
              <w:rPr>
                <w:rFonts w:ascii="Calibri" w:hAnsi="Calibri" w:cs="Calibri"/>
                <w:color w:val="000000" w:themeColor="text1"/>
              </w:rPr>
              <w:t>nasal, throat swab, BAL or other respiratory specimen</w:t>
            </w:r>
            <w:r w:rsidR="005A7459" w:rsidRPr="00073666">
              <w:rPr>
                <w:rFonts w:ascii="Calibri" w:hAnsi="Calibri" w:cs="Calibri"/>
                <w:color w:val="000000" w:themeColor="text1"/>
              </w:rPr>
              <w:t xml:space="preserve"> taken </w:t>
            </w:r>
            <w:r w:rsidRPr="00073666">
              <w:rPr>
                <w:rFonts w:ascii="Calibri" w:hAnsi="Calibri" w:cs="Calibri"/>
                <w:color w:val="000000" w:themeColor="text1"/>
              </w:rPr>
              <w:t xml:space="preserve">within </w:t>
            </w:r>
            <w:r w:rsidR="00FF0C3E" w:rsidRPr="00073666">
              <w:rPr>
                <w:rFonts w:ascii="Calibri" w:hAnsi="Calibri" w:cs="Calibri"/>
                <w:color w:val="000000" w:themeColor="text1"/>
              </w:rPr>
              <w:t>72</w:t>
            </w:r>
            <w:r w:rsidRPr="00073666">
              <w:rPr>
                <w:rFonts w:ascii="Calibri" w:hAnsi="Calibri" w:cs="Calibri"/>
                <w:color w:val="000000" w:themeColor="text1"/>
              </w:rPr>
              <w:t xml:space="preserve"> hours</w:t>
            </w:r>
            <w:r w:rsidR="009A0ACD" w:rsidRPr="00073666">
              <w:rPr>
                <w:rFonts w:ascii="Calibri" w:hAnsi="Calibri" w:cs="Calibri"/>
                <w:color w:val="000000" w:themeColor="text1"/>
              </w:rPr>
              <w:t xml:space="preserve"> (of </w:t>
            </w:r>
            <w:r w:rsidRPr="00073666">
              <w:rPr>
                <w:rFonts w:ascii="Calibri" w:hAnsi="Calibri" w:cs="Calibri"/>
                <w:color w:val="000000" w:themeColor="text1"/>
              </w:rPr>
              <w:t>admission to ICU</w:t>
            </w:r>
            <w:r w:rsidR="001C3978" w:rsidRPr="00073666">
              <w:rPr>
                <w:rFonts w:ascii="Calibri" w:hAnsi="Calibri" w:cs="Calibri"/>
                <w:color w:val="000000" w:themeColor="text1"/>
              </w:rPr>
              <w:t xml:space="preserve"> – pre or post)</w:t>
            </w:r>
          </w:p>
          <w:p w14:paraId="48F7CCFA" w14:textId="5ADAFA48" w:rsidR="001C3978" w:rsidRPr="00073666" w:rsidRDefault="001C3978" w:rsidP="001C3978">
            <w:pPr>
              <w:spacing w:after="160" w:line="259" w:lineRule="auto"/>
              <w:rPr>
                <w:rFonts w:ascii="Calibri" w:hAnsi="Calibri" w:cs="Calibri"/>
                <w:b/>
                <w:color w:val="000000" w:themeColor="text1"/>
              </w:rPr>
            </w:pPr>
            <w:r w:rsidRPr="00073666">
              <w:rPr>
                <w:rFonts w:ascii="Calibri" w:hAnsi="Calibri" w:cs="Calibri"/>
                <w:b/>
                <w:color w:val="000000" w:themeColor="text1"/>
              </w:rPr>
              <w:t xml:space="preserve">      </w:t>
            </w:r>
            <w:r w:rsidR="009A0ACD" w:rsidRPr="00073666">
              <w:rPr>
                <w:rFonts w:ascii="Calibri" w:hAnsi="Calibri" w:cs="Calibri"/>
                <w:b/>
                <w:color w:val="000000" w:themeColor="text1"/>
              </w:rPr>
              <w:t>OR</w:t>
            </w:r>
          </w:p>
          <w:p w14:paraId="0E9151DF" w14:textId="369CE4A0" w:rsidR="00A261A2" w:rsidRPr="00073666" w:rsidRDefault="00A261A2" w:rsidP="004A650C">
            <w:pPr>
              <w:pStyle w:val="ListParagraph"/>
              <w:numPr>
                <w:ilvl w:val="0"/>
                <w:numId w:val="24"/>
              </w:numPr>
              <w:spacing w:after="160" w:line="259" w:lineRule="auto"/>
              <w:rPr>
                <w:rFonts w:ascii="Calibri" w:hAnsi="Calibri" w:cs="Calibri"/>
                <w:color w:val="000000" w:themeColor="text1"/>
              </w:rPr>
            </w:pPr>
            <w:r w:rsidRPr="00073666">
              <w:rPr>
                <w:rFonts w:ascii="Calibri" w:hAnsi="Calibri" w:cs="Calibri"/>
                <w:color w:val="000000" w:themeColor="text1"/>
              </w:rPr>
              <w:t>Influenza suspected but influenza PCR result</w:t>
            </w:r>
            <w:r w:rsidR="005A7459" w:rsidRPr="00073666">
              <w:rPr>
                <w:rFonts w:ascii="Calibri" w:hAnsi="Calibri" w:cs="Calibri"/>
                <w:color w:val="000000" w:themeColor="text1"/>
              </w:rPr>
              <w:t>s</w:t>
            </w:r>
            <w:r w:rsidRPr="00073666">
              <w:rPr>
                <w:rFonts w:ascii="Calibri" w:hAnsi="Calibri" w:cs="Calibri"/>
                <w:color w:val="000000" w:themeColor="text1"/>
              </w:rPr>
              <w:t xml:space="preserve"> awaited – under these circumstances the patient can be provisionally enrolled, but later excluded if</w:t>
            </w:r>
            <w:r w:rsidR="005A7459" w:rsidRPr="00073666">
              <w:rPr>
                <w:rFonts w:ascii="Calibri" w:hAnsi="Calibri" w:cs="Calibri"/>
                <w:color w:val="000000" w:themeColor="text1"/>
              </w:rPr>
              <w:t xml:space="preserve"> </w:t>
            </w:r>
            <w:r w:rsidR="009A0ACD" w:rsidRPr="00073666">
              <w:rPr>
                <w:rFonts w:ascii="Calibri" w:hAnsi="Calibri" w:cs="Calibri"/>
                <w:color w:val="000000" w:themeColor="text1"/>
              </w:rPr>
              <w:t xml:space="preserve">no </w:t>
            </w:r>
            <w:r w:rsidR="005A7459" w:rsidRPr="00073666">
              <w:rPr>
                <w:rFonts w:ascii="Calibri" w:hAnsi="Calibri" w:cs="Calibri"/>
                <w:color w:val="000000" w:themeColor="text1"/>
              </w:rPr>
              <w:t xml:space="preserve">specimens taken within </w:t>
            </w:r>
            <w:r w:rsidR="00FF0C3E" w:rsidRPr="00073666">
              <w:rPr>
                <w:rFonts w:ascii="Calibri" w:hAnsi="Calibri" w:cs="Calibri"/>
                <w:color w:val="000000" w:themeColor="text1"/>
              </w:rPr>
              <w:t>72</w:t>
            </w:r>
            <w:r w:rsidR="005A7459" w:rsidRPr="00073666">
              <w:rPr>
                <w:rFonts w:ascii="Calibri" w:hAnsi="Calibri" w:cs="Calibri"/>
                <w:color w:val="000000" w:themeColor="text1"/>
              </w:rPr>
              <w:t xml:space="preserve"> hours pre/post admission to ICU </w:t>
            </w:r>
            <w:r w:rsidR="009A0ACD" w:rsidRPr="00073666">
              <w:rPr>
                <w:rFonts w:ascii="Calibri" w:hAnsi="Calibri" w:cs="Calibri"/>
                <w:color w:val="000000" w:themeColor="text1"/>
              </w:rPr>
              <w:t>is positive as above.</w:t>
            </w:r>
          </w:p>
          <w:p w14:paraId="29C3715D" w14:textId="1A0C4EE8" w:rsidR="00AD1173" w:rsidRPr="00073666" w:rsidRDefault="00AD1173" w:rsidP="00AD1173">
            <w:pPr>
              <w:rPr>
                <w:rFonts w:ascii="Calibri" w:hAnsi="Calibri" w:cs="Calibri"/>
                <w:color w:val="000000" w:themeColor="text1"/>
                <w:szCs w:val="22"/>
              </w:rPr>
            </w:pPr>
            <w:r w:rsidRPr="00073666">
              <w:rPr>
                <w:rFonts w:ascii="Calibri" w:hAnsi="Calibri" w:cs="Calibri"/>
                <w:color w:val="000000" w:themeColor="text1"/>
                <w:szCs w:val="22"/>
              </w:rPr>
              <w:t>Exclusion:</w:t>
            </w:r>
          </w:p>
          <w:p w14:paraId="6FB30A31" w14:textId="77777777" w:rsidR="00AD1173" w:rsidRPr="00073666" w:rsidRDefault="00AD1173" w:rsidP="004A650C">
            <w:pPr>
              <w:pStyle w:val="ListParagraph"/>
              <w:numPr>
                <w:ilvl w:val="0"/>
                <w:numId w:val="25"/>
              </w:numPr>
              <w:spacing w:after="160" w:line="259" w:lineRule="auto"/>
              <w:rPr>
                <w:rFonts w:ascii="Calibri" w:hAnsi="Calibri" w:cs="Calibri"/>
                <w:color w:val="000000" w:themeColor="text1"/>
              </w:rPr>
            </w:pPr>
            <w:r w:rsidRPr="00073666">
              <w:rPr>
                <w:rFonts w:ascii="Calibri" w:hAnsi="Calibri" w:cs="Calibri"/>
                <w:color w:val="000000" w:themeColor="text1"/>
              </w:rPr>
              <w:t xml:space="preserve">Respiratory failure not the primary reason for ICU admission </w:t>
            </w:r>
          </w:p>
          <w:p w14:paraId="2EC4B195" w14:textId="576F9BA6" w:rsidR="00AD1173" w:rsidRPr="00073666" w:rsidRDefault="00AD1173" w:rsidP="004A650C">
            <w:pPr>
              <w:pStyle w:val="ListParagraph"/>
              <w:numPr>
                <w:ilvl w:val="0"/>
                <w:numId w:val="25"/>
              </w:numPr>
              <w:spacing w:after="160" w:line="259" w:lineRule="auto"/>
              <w:rPr>
                <w:rFonts w:ascii="Calibri" w:hAnsi="Calibri" w:cs="Calibri"/>
                <w:color w:val="000000" w:themeColor="text1"/>
              </w:rPr>
            </w:pPr>
            <w:r w:rsidRPr="00073666">
              <w:rPr>
                <w:rFonts w:ascii="Calibri" w:hAnsi="Calibri" w:cs="Calibri"/>
                <w:color w:val="000000" w:themeColor="text1"/>
              </w:rPr>
              <w:t>History of proven/ probable invasive pulmonary aspergillosis</w:t>
            </w:r>
          </w:p>
        </w:tc>
      </w:tr>
      <w:tr w:rsidR="00AD1173" w:rsidRPr="00073666" w14:paraId="4AE0C67F" w14:textId="77777777" w:rsidTr="001D1F95">
        <w:trPr>
          <w:trHeight w:val="703"/>
        </w:trPr>
        <w:tc>
          <w:tcPr>
            <w:tcW w:w="3936" w:type="dxa"/>
          </w:tcPr>
          <w:p w14:paraId="7B8C0594" w14:textId="59585318" w:rsidR="00AD1173" w:rsidRPr="00073666" w:rsidRDefault="00AD1173" w:rsidP="00AD1173">
            <w:pPr>
              <w:rPr>
                <w:rFonts w:ascii="Calibri" w:hAnsi="Calibri" w:cs="Calibri"/>
                <w:szCs w:val="22"/>
              </w:rPr>
            </w:pPr>
            <w:r w:rsidRPr="00073666">
              <w:rPr>
                <w:rFonts w:ascii="Calibri" w:hAnsi="Calibri" w:cs="Calibri"/>
                <w:szCs w:val="22"/>
              </w:rPr>
              <w:t>Interventions</w:t>
            </w:r>
          </w:p>
        </w:tc>
        <w:tc>
          <w:tcPr>
            <w:tcW w:w="6237" w:type="dxa"/>
            <w:gridSpan w:val="2"/>
          </w:tcPr>
          <w:p w14:paraId="2C789E21" w14:textId="77777777" w:rsidR="00AD1173" w:rsidRPr="00073666" w:rsidRDefault="00AD1173" w:rsidP="00AD1173">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Blood draw and storage of additional 30ml blood volume at enrolment for sub-studies</w:t>
            </w:r>
          </w:p>
          <w:p w14:paraId="45BEFC45" w14:textId="03FCB264" w:rsidR="00AD1173" w:rsidRPr="00073666" w:rsidRDefault="00460E41" w:rsidP="00AD1173">
            <w:pPr>
              <w:spacing w:after="160" w:line="259" w:lineRule="auto"/>
              <w:rPr>
                <w:rFonts w:ascii="Calibri" w:hAnsi="Calibri" w:cs="Calibri"/>
                <w:color w:val="000000" w:themeColor="text1"/>
              </w:rPr>
            </w:pPr>
            <w:r w:rsidRPr="00073666">
              <w:rPr>
                <w:rFonts w:ascii="Calibri" w:hAnsi="Calibri" w:cs="Calibri"/>
                <w:color w:val="000000" w:themeColor="text1"/>
                <w:szCs w:val="22"/>
              </w:rPr>
              <w:t xml:space="preserve">Surplus </w:t>
            </w:r>
            <w:r w:rsidR="00AD1173" w:rsidRPr="00073666">
              <w:rPr>
                <w:rFonts w:ascii="Calibri" w:hAnsi="Calibri" w:cs="Calibri"/>
                <w:color w:val="000000" w:themeColor="text1"/>
                <w:szCs w:val="22"/>
              </w:rPr>
              <w:t xml:space="preserve">BAL sample </w:t>
            </w:r>
            <w:r w:rsidRPr="00073666">
              <w:rPr>
                <w:rFonts w:ascii="Calibri" w:hAnsi="Calibri" w:cs="Calibri"/>
                <w:color w:val="000000" w:themeColor="text1"/>
                <w:szCs w:val="22"/>
              </w:rPr>
              <w:t>from bronchoscopy performed as part of</w:t>
            </w:r>
            <w:r w:rsidR="00AD1173" w:rsidRPr="00073666">
              <w:rPr>
                <w:rFonts w:ascii="Calibri" w:hAnsi="Calibri" w:cs="Calibri"/>
                <w:color w:val="000000" w:themeColor="text1"/>
                <w:szCs w:val="22"/>
              </w:rPr>
              <w:t xml:space="preserve"> routine clinical care will be saved for subsequent analysis</w:t>
            </w:r>
          </w:p>
        </w:tc>
      </w:tr>
      <w:tr w:rsidR="00AD1173" w:rsidRPr="00073666" w14:paraId="238DE1C5" w14:textId="77777777" w:rsidTr="00AD1173">
        <w:trPr>
          <w:trHeight w:val="377"/>
        </w:trPr>
        <w:tc>
          <w:tcPr>
            <w:tcW w:w="3936" w:type="dxa"/>
          </w:tcPr>
          <w:p w14:paraId="1E3B9E4B" w14:textId="693233B6" w:rsidR="00AD1173" w:rsidRPr="00073666" w:rsidRDefault="00AD1173" w:rsidP="001C3978">
            <w:pPr>
              <w:rPr>
                <w:rFonts w:ascii="Calibri" w:hAnsi="Calibri" w:cs="Calibri"/>
                <w:szCs w:val="22"/>
              </w:rPr>
            </w:pPr>
            <w:r w:rsidRPr="00073666">
              <w:rPr>
                <w:rFonts w:ascii="Calibri" w:hAnsi="Calibri" w:cs="Calibri"/>
                <w:szCs w:val="22"/>
              </w:rPr>
              <w:t xml:space="preserve">Planned </w:t>
            </w:r>
            <w:r w:rsidR="001C3978" w:rsidRPr="00073666">
              <w:rPr>
                <w:rFonts w:ascii="Calibri" w:hAnsi="Calibri" w:cs="Calibri"/>
                <w:szCs w:val="22"/>
              </w:rPr>
              <w:t>sample size</w:t>
            </w:r>
          </w:p>
        </w:tc>
        <w:tc>
          <w:tcPr>
            <w:tcW w:w="6237" w:type="dxa"/>
            <w:gridSpan w:val="2"/>
          </w:tcPr>
          <w:p w14:paraId="70345AD7" w14:textId="2F3984B4" w:rsidR="00AD1173" w:rsidRPr="00073666" w:rsidRDefault="00AD1173" w:rsidP="00AD1173">
            <w:pPr>
              <w:rPr>
                <w:rFonts w:ascii="Calibri" w:hAnsi="Calibri" w:cs="Calibri"/>
                <w:color w:val="000000" w:themeColor="text1"/>
                <w:szCs w:val="22"/>
              </w:rPr>
            </w:pPr>
            <w:r w:rsidRPr="00FC36FE">
              <w:rPr>
                <w:rFonts w:ascii="Calibri" w:hAnsi="Calibri" w:cs="Calibri"/>
                <w:color w:val="000000" w:themeColor="text1"/>
                <w:szCs w:val="22"/>
                <w:highlight w:val="yellow"/>
              </w:rPr>
              <w:t>n=7</w:t>
            </w:r>
            <w:r w:rsidR="00A615BF">
              <w:rPr>
                <w:rFonts w:ascii="Calibri" w:hAnsi="Calibri" w:cs="Calibri"/>
                <w:color w:val="000000" w:themeColor="text1"/>
                <w:szCs w:val="22"/>
                <w:highlight w:val="yellow"/>
              </w:rPr>
              <w:t>5</w:t>
            </w:r>
            <w:r w:rsidRPr="00FC36FE">
              <w:rPr>
                <w:rFonts w:ascii="Calibri" w:hAnsi="Calibri" w:cs="Calibri"/>
                <w:color w:val="000000" w:themeColor="text1"/>
                <w:szCs w:val="22"/>
                <w:highlight w:val="yellow"/>
              </w:rPr>
              <w:t>-</w:t>
            </w:r>
            <w:r w:rsidR="00A615BF">
              <w:rPr>
                <w:rFonts w:ascii="Calibri" w:hAnsi="Calibri" w:cs="Calibri"/>
                <w:color w:val="000000" w:themeColor="text1"/>
                <w:szCs w:val="22"/>
                <w:highlight w:val="yellow"/>
              </w:rPr>
              <w:t>95</w:t>
            </w:r>
          </w:p>
        </w:tc>
      </w:tr>
      <w:tr w:rsidR="00AD1173" w:rsidRPr="00073666" w14:paraId="752C33DE" w14:textId="77777777" w:rsidTr="00AD1173">
        <w:trPr>
          <w:trHeight w:val="404"/>
        </w:trPr>
        <w:tc>
          <w:tcPr>
            <w:tcW w:w="3936" w:type="dxa"/>
            <w:vMerge w:val="restart"/>
          </w:tcPr>
          <w:p w14:paraId="47E330A2" w14:textId="7E2D9628" w:rsidR="00AD1173" w:rsidRPr="00073666" w:rsidRDefault="00AD1173" w:rsidP="00AD1173">
            <w:pPr>
              <w:rPr>
                <w:rFonts w:ascii="Calibri" w:hAnsi="Calibri" w:cs="Calibri"/>
                <w:szCs w:val="22"/>
              </w:rPr>
            </w:pPr>
            <w:r w:rsidRPr="00073666">
              <w:rPr>
                <w:rFonts w:ascii="Calibri" w:hAnsi="Calibri" w:cs="Calibri"/>
                <w:szCs w:val="22"/>
              </w:rPr>
              <w:t>Objectives/Outcome Measures</w:t>
            </w:r>
          </w:p>
        </w:tc>
        <w:tc>
          <w:tcPr>
            <w:tcW w:w="3118" w:type="dxa"/>
          </w:tcPr>
          <w:p w14:paraId="020967FC" w14:textId="104087A9" w:rsidR="00AD1173" w:rsidRPr="00073666" w:rsidRDefault="00AD1173" w:rsidP="00AD1173">
            <w:pPr>
              <w:rPr>
                <w:rFonts w:ascii="Calibri" w:hAnsi="Calibri" w:cs="Calibri"/>
                <w:color w:val="000000" w:themeColor="text1"/>
                <w:szCs w:val="22"/>
              </w:rPr>
            </w:pPr>
            <w:r w:rsidRPr="00073666">
              <w:rPr>
                <w:rFonts w:ascii="Calibri" w:hAnsi="Calibri" w:cs="Calibri"/>
                <w:b/>
                <w:color w:val="000000" w:themeColor="text1"/>
                <w:szCs w:val="22"/>
              </w:rPr>
              <w:t>Objectives</w:t>
            </w:r>
          </w:p>
        </w:tc>
        <w:tc>
          <w:tcPr>
            <w:tcW w:w="3119" w:type="dxa"/>
          </w:tcPr>
          <w:p w14:paraId="71CD89CB" w14:textId="3C8567E5" w:rsidR="00AD1173" w:rsidRPr="00073666" w:rsidRDefault="00AD1173" w:rsidP="00AD1173">
            <w:pPr>
              <w:spacing w:before="60" w:after="60"/>
              <w:jc w:val="center"/>
              <w:rPr>
                <w:rFonts w:ascii="Calibri" w:hAnsi="Calibri" w:cs="Calibri"/>
                <w:b/>
                <w:color w:val="000000" w:themeColor="text1"/>
                <w:szCs w:val="22"/>
              </w:rPr>
            </w:pPr>
            <w:r w:rsidRPr="00073666">
              <w:rPr>
                <w:rFonts w:ascii="Calibri" w:hAnsi="Calibri" w:cs="Calibri"/>
                <w:b/>
                <w:color w:val="000000" w:themeColor="text1"/>
                <w:szCs w:val="22"/>
              </w:rPr>
              <w:t>Outcome Measures</w:t>
            </w:r>
          </w:p>
        </w:tc>
      </w:tr>
      <w:tr w:rsidR="00D95123" w:rsidRPr="00073666" w14:paraId="5DC57E4C" w14:textId="77777777" w:rsidTr="007E648C">
        <w:trPr>
          <w:trHeight w:val="385"/>
        </w:trPr>
        <w:tc>
          <w:tcPr>
            <w:tcW w:w="3936" w:type="dxa"/>
            <w:vMerge/>
          </w:tcPr>
          <w:p w14:paraId="0EA1464F" w14:textId="77777777" w:rsidR="00D95123" w:rsidRPr="00073666" w:rsidRDefault="00D95123" w:rsidP="00D95123">
            <w:pPr>
              <w:rPr>
                <w:rFonts w:ascii="Calibri" w:hAnsi="Calibri" w:cs="Calibri"/>
                <w:szCs w:val="22"/>
              </w:rPr>
            </w:pPr>
          </w:p>
        </w:tc>
        <w:tc>
          <w:tcPr>
            <w:tcW w:w="3118" w:type="dxa"/>
          </w:tcPr>
          <w:p w14:paraId="5C12F76D" w14:textId="1CACC8C6" w:rsidR="00D95123" w:rsidRPr="00073666" w:rsidRDefault="00D95123" w:rsidP="00D95123">
            <w:pPr>
              <w:rPr>
                <w:rFonts w:ascii="Calibri" w:hAnsi="Calibri" w:cs="Calibri"/>
                <w:color w:val="000000" w:themeColor="text1"/>
                <w:szCs w:val="22"/>
              </w:rPr>
            </w:pPr>
            <w:r w:rsidRPr="00073666">
              <w:rPr>
                <w:rFonts w:ascii="Calibri" w:hAnsi="Calibri" w:cs="Calibri"/>
                <w:color w:val="000000" w:themeColor="text1"/>
                <w:szCs w:val="22"/>
              </w:rPr>
              <w:t>Estimate incidence and risk factors for IAA</w:t>
            </w:r>
          </w:p>
        </w:tc>
        <w:tc>
          <w:tcPr>
            <w:tcW w:w="3119" w:type="dxa"/>
          </w:tcPr>
          <w:p w14:paraId="5EAAE950" w14:textId="3FA3FE45" w:rsidR="00D95123" w:rsidRPr="00073666" w:rsidRDefault="00D95123" w:rsidP="00D95123">
            <w:pPr>
              <w:rPr>
                <w:rFonts w:ascii="Calibri" w:hAnsi="Calibri" w:cs="Calibri"/>
                <w:color w:val="000000" w:themeColor="text1"/>
                <w:szCs w:val="22"/>
              </w:rPr>
            </w:pPr>
            <w:r w:rsidRPr="00073666">
              <w:rPr>
                <w:rFonts w:ascii="Calibri" w:hAnsi="Calibri" w:cs="Calibri"/>
                <w:color w:val="000000" w:themeColor="text1"/>
                <w:szCs w:val="22"/>
              </w:rPr>
              <w:t xml:space="preserve">Incidence and diagnostic classification of IAA during ICU admission as per modified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incorporating serum galactomannan; BAL fungal culture and galactomannan (mycologic criteria); also </w:t>
            </w:r>
            <w:r w:rsidRPr="00073666">
              <w:rPr>
                <w:rFonts w:ascii="Calibri" w:hAnsi="Calibri" w:cs="Calibri"/>
                <w:color w:val="000000" w:themeColor="text1"/>
                <w:szCs w:val="22"/>
              </w:rPr>
              <w:lastRenderedPageBreak/>
              <w:t>incorporating tracheobronchitis at bronchoscopy (as per clinical EORTC/MSG criteria).</w:t>
            </w:r>
            <w:r w:rsidR="002020FC" w:rsidRPr="00073666">
              <w:rPr>
                <w:rFonts w:ascii="Calibri" w:hAnsi="Calibri" w:cs="Calibri"/>
                <w:color w:val="000000" w:themeColor="text1"/>
                <w:szCs w:val="22"/>
              </w:rPr>
              <w:t xml:space="preserve"> Risk factors to be elicited from</w:t>
            </w:r>
            <w:r w:rsidR="00F73D07" w:rsidRPr="00073666">
              <w:rPr>
                <w:rFonts w:ascii="Calibri" w:hAnsi="Calibri" w:cs="Calibri"/>
                <w:color w:val="000000" w:themeColor="text1"/>
                <w:szCs w:val="22"/>
              </w:rPr>
              <w:t xml:space="preserve"> baseline</w:t>
            </w:r>
            <w:r w:rsidR="002020FC" w:rsidRPr="00073666">
              <w:rPr>
                <w:rFonts w:ascii="Calibri" w:hAnsi="Calibri" w:cs="Calibri"/>
                <w:color w:val="000000" w:themeColor="text1"/>
                <w:szCs w:val="22"/>
              </w:rPr>
              <w:t xml:space="preserve"> collected clinical data points.</w:t>
            </w:r>
          </w:p>
        </w:tc>
      </w:tr>
      <w:tr w:rsidR="00D95123" w:rsidRPr="00073666" w14:paraId="70A4CAFA" w14:textId="77777777" w:rsidTr="007E648C">
        <w:trPr>
          <w:trHeight w:val="385"/>
        </w:trPr>
        <w:tc>
          <w:tcPr>
            <w:tcW w:w="3936" w:type="dxa"/>
            <w:vMerge/>
          </w:tcPr>
          <w:p w14:paraId="33F9A22D" w14:textId="77777777" w:rsidR="00D95123" w:rsidRPr="00073666" w:rsidRDefault="00D95123" w:rsidP="00D95123">
            <w:pPr>
              <w:rPr>
                <w:rFonts w:ascii="Calibri" w:hAnsi="Calibri" w:cs="Calibri"/>
                <w:szCs w:val="22"/>
              </w:rPr>
            </w:pPr>
          </w:p>
        </w:tc>
        <w:tc>
          <w:tcPr>
            <w:tcW w:w="3118" w:type="dxa"/>
          </w:tcPr>
          <w:p w14:paraId="0ACF6C6C" w14:textId="10EE7B4F" w:rsidR="00D95123" w:rsidRPr="00073666" w:rsidRDefault="00D95123" w:rsidP="00D95123">
            <w:pPr>
              <w:rPr>
                <w:rFonts w:ascii="Calibri" w:hAnsi="Calibri" w:cs="Calibri"/>
                <w:color w:val="000000" w:themeColor="text1"/>
                <w:szCs w:val="22"/>
              </w:rPr>
            </w:pPr>
            <w:r w:rsidRPr="00073666">
              <w:rPr>
                <w:rFonts w:ascii="Calibri" w:hAnsi="Calibri" w:cs="Calibri"/>
                <w:color w:val="000000" w:themeColor="text1"/>
                <w:szCs w:val="22"/>
              </w:rPr>
              <w:t>Estimate morbidity and mortality associated with IAA</w:t>
            </w:r>
          </w:p>
        </w:tc>
        <w:tc>
          <w:tcPr>
            <w:tcW w:w="3119" w:type="dxa"/>
          </w:tcPr>
          <w:p w14:paraId="6B7DB85F" w14:textId="77777777" w:rsidR="00D95123" w:rsidRPr="00073666" w:rsidRDefault="00D95123" w:rsidP="00D95123">
            <w:pPr>
              <w:spacing w:before="60" w:after="60"/>
              <w:rPr>
                <w:rFonts w:ascii="Calibri" w:hAnsi="Calibri" w:cs="Calibri"/>
                <w:color w:val="000000" w:themeColor="text1"/>
                <w:szCs w:val="22"/>
              </w:rPr>
            </w:pPr>
            <w:r w:rsidRPr="00073666">
              <w:rPr>
                <w:rFonts w:ascii="Calibri" w:hAnsi="Calibri" w:cs="Calibri"/>
                <w:color w:val="000000" w:themeColor="text1"/>
                <w:szCs w:val="22"/>
              </w:rPr>
              <w:t xml:space="preserve">Duration of mechanical ventilation, length of ICU </w:t>
            </w:r>
            <w:proofErr w:type="gramStart"/>
            <w:r w:rsidRPr="00073666">
              <w:rPr>
                <w:rFonts w:ascii="Calibri" w:hAnsi="Calibri" w:cs="Calibri"/>
                <w:color w:val="000000" w:themeColor="text1"/>
                <w:szCs w:val="22"/>
              </w:rPr>
              <w:t>stay</w:t>
            </w:r>
            <w:proofErr w:type="gramEnd"/>
            <w:r w:rsidRPr="00073666">
              <w:rPr>
                <w:rFonts w:ascii="Calibri" w:hAnsi="Calibri" w:cs="Calibri"/>
                <w:color w:val="000000" w:themeColor="text1"/>
                <w:szCs w:val="22"/>
              </w:rPr>
              <w:t>, length of hospital stay</w:t>
            </w:r>
          </w:p>
          <w:p w14:paraId="5116F9E4" w14:textId="77777777" w:rsidR="00D95123" w:rsidRPr="00073666" w:rsidRDefault="00D95123" w:rsidP="00D95123">
            <w:pPr>
              <w:spacing w:before="60" w:after="60"/>
              <w:rPr>
                <w:rFonts w:ascii="Calibri" w:hAnsi="Calibri" w:cs="Calibri"/>
                <w:color w:val="000000" w:themeColor="text1"/>
                <w:szCs w:val="22"/>
              </w:rPr>
            </w:pPr>
          </w:p>
          <w:p w14:paraId="797D7086" w14:textId="379FA853" w:rsidR="00D95123" w:rsidRPr="00073666" w:rsidRDefault="00D95123" w:rsidP="00D95123">
            <w:pPr>
              <w:rPr>
                <w:rFonts w:ascii="Calibri" w:hAnsi="Calibri" w:cs="Calibri"/>
                <w:color w:val="000000" w:themeColor="text1"/>
                <w:szCs w:val="22"/>
              </w:rPr>
            </w:pPr>
            <w:r w:rsidRPr="00073666">
              <w:rPr>
                <w:rFonts w:ascii="Calibri" w:hAnsi="Calibri" w:cs="Calibri"/>
                <w:color w:val="000000" w:themeColor="text1"/>
                <w:szCs w:val="22"/>
              </w:rPr>
              <w:t>ICU all-cause mortality; inpatient all-cause mortality; 90-day all-cause mortality</w:t>
            </w:r>
          </w:p>
          <w:p w14:paraId="527F1711" w14:textId="295692C6" w:rsidR="00D95123" w:rsidRPr="00073666" w:rsidRDefault="00D95123" w:rsidP="00D95123">
            <w:pPr>
              <w:rPr>
                <w:rFonts w:ascii="Calibri" w:hAnsi="Calibri" w:cs="Calibri"/>
                <w:color w:val="000000" w:themeColor="text1"/>
                <w:szCs w:val="22"/>
              </w:rPr>
            </w:pPr>
            <w:r w:rsidRPr="00073666">
              <w:rPr>
                <w:rFonts w:ascii="Calibri" w:hAnsi="Calibri" w:cs="Calibri"/>
                <w:color w:val="000000" w:themeColor="text1"/>
                <w:szCs w:val="22"/>
              </w:rPr>
              <w:t>Survival analysis: Time to death</w:t>
            </w:r>
            <w:r w:rsidR="00F73D07" w:rsidRPr="00073666">
              <w:rPr>
                <w:rFonts w:ascii="Calibri" w:hAnsi="Calibri" w:cs="Calibri"/>
                <w:color w:val="000000" w:themeColor="text1"/>
                <w:szCs w:val="22"/>
              </w:rPr>
              <w:t xml:space="preserve"> (all-cause mortality)</w:t>
            </w:r>
            <w:r w:rsidRPr="00073666">
              <w:rPr>
                <w:rFonts w:ascii="Calibri" w:hAnsi="Calibri" w:cs="Calibri"/>
                <w:color w:val="000000" w:themeColor="text1"/>
                <w:szCs w:val="22"/>
              </w:rPr>
              <w:t xml:space="preserve"> for </w:t>
            </w:r>
            <w:r w:rsidR="00F73D07" w:rsidRPr="00073666">
              <w:rPr>
                <w:rFonts w:ascii="Calibri" w:hAnsi="Calibri" w:cs="Calibri"/>
                <w:color w:val="000000" w:themeColor="text1"/>
                <w:szCs w:val="22"/>
              </w:rPr>
              <w:t>all patients</w:t>
            </w:r>
          </w:p>
        </w:tc>
      </w:tr>
      <w:tr w:rsidR="002020FC" w:rsidRPr="00073666" w14:paraId="35A698A1" w14:textId="77777777" w:rsidTr="007E648C">
        <w:trPr>
          <w:trHeight w:val="385"/>
        </w:trPr>
        <w:tc>
          <w:tcPr>
            <w:tcW w:w="3936" w:type="dxa"/>
            <w:vMerge/>
          </w:tcPr>
          <w:p w14:paraId="065398D7" w14:textId="77777777" w:rsidR="002020FC" w:rsidRPr="00073666" w:rsidRDefault="002020FC" w:rsidP="002020FC">
            <w:pPr>
              <w:rPr>
                <w:rFonts w:ascii="Calibri" w:hAnsi="Calibri" w:cs="Calibri"/>
                <w:szCs w:val="22"/>
              </w:rPr>
            </w:pPr>
          </w:p>
        </w:tc>
        <w:tc>
          <w:tcPr>
            <w:tcW w:w="3118" w:type="dxa"/>
          </w:tcPr>
          <w:p w14:paraId="501B230E" w14:textId="3C9AC9A8" w:rsidR="002020FC" w:rsidRPr="00073666" w:rsidRDefault="002020FC" w:rsidP="002020FC">
            <w:pPr>
              <w:rPr>
                <w:rFonts w:ascii="Calibri" w:hAnsi="Calibri" w:cs="Calibri"/>
                <w:color w:val="000000" w:themeColor="text1"/>
                <w:szCs w:val="22"/>
              </w:rPr>
            </w:pPr>
            <w:r w:rsidRPr="00073666">
              <w:rPr>
                <w:rFonts w:ascii="Calibri" w:hAnsi="Calibri" w:cs="Calibri"/>
                <w:bCs/>
                <w:color w:val="000000" w:themeColor="text1"/>
                <w:szCs w:val="22"/>
              </w:rPr>
              <w:t xml:space="preserve">Evaluation of </w:t>
            </w:r>
            <w:proofErr w:type="spellStart"/>
            <w:r w:rsidRPr="00073666">
              <w:rPr>
                <w:rFonts w:ascii="Calibri" w:hAnsi="Calibri" w:cs="Calibri"/>
                <w:bCs/>
                <w:color w:val="000000" w:themeColor="text1"/>
                <w:szCs w:val="22"/>
              </w:rPr>
              <w:t>AspLFD</w:t>
            </w:r>
            <w:proofErr w:type="spellEnd"/>
          </w:p>
        </w:tc>
        <w:tc>
          <w:tcPr>
            <w:tcW w:w="3119" w:type="dxa"/>
          </w:tcPr>
          <w:p w14:paraId="3C1CBDB5" w14:textId="084E83F9" w:rsidR="002020FC" w:rsidRPr="00073666" w:rsidRDefault="002020FC" w:rsidP="002020FC">
            <w:pPr>
              <w:rPr>
                <w:rFonts w:ascii="Calibri" w:hAnsi="Calibri" w:cs="Calibri"/>
                <w:color w:val="000000" w:themeColor="text1"/>
                <w:szCs w:val="22"/>
              </w:rPr>
            </w:pPr>
            <w:r w:rsidRPr="00073666">
              <w:rPr>
                <w:rFonts w:ascii="Calibri" w:hAnsi="Calibri" w:cs="Calibri"/>
                <w:color w:val="000000" w:themeColor="text1"/>
                <w:szCs w:val="22"/>
              </w:rPr>
              <w:t xml:space="preserve">Sensitivity, specificity, positive predictive value (PPV) and negative predictive value (NPV) of </w:t>
            </w:r>
            <w:proofErr w:type="spellStart"/>
            <w:r w:rsidRPr="00073666">
              <w:rPr>
                <w:rFonts w:ascii="Calibri" w:hAnsi="Calibri" w:cs="Calibri"/>
                <w:color w:val="000000" w:themeColor="text1"/>
                <w:szCs w:val="22"/>
              </w:rPr>
              <w:t>AspLFD</w:t>
            </w:r>
            <w:proofErr w:type="spellEnd"/>
            <w:r w:rsidRPr="00073666">
              <w:rPr>
                <w:rFonts w:ascii="Calibri" w:hAnsi="Calibri" w:cs="Calibri"/>
                <w:color w:val="000000" w:themeColor="text1"/>
                <w:szCs w:val="22"/>
              </w:rPr>
              <w:t xml:space="preserve"> for the diagnosis of IPA using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w:t>
            </w:r>
          </w:p>
        </w:tc>
      </w:tr>
      <w:tr w:rsidR="002020FC" w:rsidRPr="00073666" w14:paraId="7C79152F" w14:textId="77777777" w:rsidTr="007E648C">
        <w:trPr>
          <w:trHeight w:val="385"/>
        </w:trPr>
        <w:tc>
          <w:tcPr>
            <w:tcW w:w="3936" w:type="dxa"/>
            <w:vMerge/>
          </w:tcPr>
          <w:p w14:paraId="2C1D382C" w14:textId="77777777" w:rsidR="002020FC" w:rsidRPr="00073666" w:rsidRDefault="002020FC" w:rsidP="002020FC">
            <w:pPr>
              <w:rPr>
                <w:rFonts w:ascii="Calibri" w:hAnsi="Calibri" w:cs="Calibri"/>
                <w:szCs w:val="22"/>
              </w:rPr>
            </w:pPr>
          </w:p>
        </w:tc>
        <w:tc>
          <w:tcPr>
            <w:tcW w:w="3118" w:type="dxa"/>
          </w:tcPr>
          <w:p w14:paraId="7800C2A1" w14:textId="6CE99D0C" w:rsidR="002020FC" w:rsidRPr="00073666" w:rsidRDefault="002020FC" w:rsidP="002020FC">
            <w:pPr>
              <w:rPr>
                <w:rFonts w:ascii="Calibri" w:hAnsi="Calibri" w:cs="Calibri"/>
                <w:color w:val="000000" w:themeColor="text1"/>
                <w:szCs w:val="22"/>
              </w:rPr>
            </w:pPr>
            <w:r w:rsidRPr="00073666">
              <w:rPr>
                <w:rFonts w:ascii="Calibri" w:hAnsi="Calibri" w:cs="Calibri"/>
                <w:color w:val="000000" w:themeColor="text1"/>
                <w:szCs w:val="22"/>
              </w:rPr>
              <w:t>Immunopathogenesis of IAA</w:t>
            </w:r>
          </w:p>
        </w:tc>
        <w:tc>
          <w:tcPr>
            <w:tcW w:w="3119" w:type="dxa"/>
          </w:tcPr>
          <w:p w14:paraId="503781BD" w14:textId="593ACA2C" w:rsidR="002020FC" w:rsidRPr="00073666" w:rsidRDefault="002020FC" w:rsidP="002020FC">
            <w:pPr>
              <w:rPr>
                <w:rFonts w:ascii="Calibri" w:hAnsi="Calibri" w:cs="Calibri"/>
                <w:color w:val="000000" w:themeColor="text1"/>
                <w:szCs w:val="22"/>
              </w:rPr>
            </w:pPr>
            <w:r w:rsidRPr="00073666">
              <w:rPr>
                <w:rFonts w:ascii="Calibri" w:hAnsi="Calibri" w:cs="Calibri"/>
                <w:color w:val="000000" w:themeColor="text1"/>
                <w:szCs w:val="22"/>
              </w:rPr>
              <w:t>Cytokine/chemokine measurements, ex vivo profiling and stimulation studies and targeted genetic analyses of stored serum, BAL, PBMCs, and DNA samples respectively</w:t>
            </w:r>
          </w:p>
        </w:tc>
      </w:tr>
      <w:tr w:rsidR="002020FC" w:rsidRPr="00073666" w14:paraId="392DABD5" w14:textId="77777777" w:rsidTr="007E648C">
        <w:trPr>
          <w:trHeight w:val="385"/>
        </w:trPr>
        <w:tc>
          <w:tcPr>
            <w:tcW w:w="3936" w:type="dxa"/>
          </w:tcPr>
          <w:p w14:paraId="73042AF0" w14:textId="0F352EE5" w:rsidR="002020FC" w:rsidRPr="00073666" w:rsidRDefault="002020FC" w:rsidP="00132689">
            <w:pPr>
              <w:rPr>
                <w:rFonts w:ascii="Calibri" w:hAnsi="Calibri" w:cs="Calibri"/>
                <w:szCs w:val="22"/>
              </w:rPr>
            </w:pPr>
            <w:r w:rsidRPr="00073666">
              <w:rPr>
                <w:rFonts w:ascii="Calibri" w:hAnsi="Calibri" w:cs="Calibri"/>
                <w:szCs w:val="22"/>
              </w:rPr>
              <w:t xml:space="preserve">Follow up duration </w:t>
            </w:r>
          </w:p>
        </w:tc>
        <w:tc>
          <w:tcPr>
            <w:tcW w:w="6237" w:type="dxa"/>
            <w:gridSpan w:val="2"/>
          </w:tcPr>
          <w:p w14:paraId="73951403" w14:textId="730C3FDF" w:rsidR="002020FC" w:rsidRPr="00073666" w:rsidRDefault="002020FC" w:rsidP="002020FC">
            <w:pPr>
              <w:rPr>
                <w:rFonts w:ascii="Calibri" w:hAnsi="Calibri" w:cs="Calibri"/>
                <w:color w:val="000000" w:themeColor="text1"/>
                <w:szCs w:val="22"/>
              </w:rPr>
            </w:pPr>
            <w:r w:rsidRPr="00073666">
              <w:rPr>
                <w:rFonts w:ascii="Calibri" w:hAnsi="Calibri" w:cs="Calibri"/>
                <w:color w:val="000000" w:themeColor="text1"/>
                <w:szCs w:val="22"/>
              </w:rPr>
              <w:t>90 days</w:t>
            </w:r>
          </w:p>
        </w:tc>
      </w:tr>
      <w:tr w:rsidR="002020FC" w:rsidRPr="00073666" w14:paraId="1B42CB43" w14:textId="77777777" w:rsidTr="001D1F95">
        <w:trPr>
          <w:trHeight w:val="385"/>
        </w:trPr>
        <w:tc>
          <w:tcPr>
            <w:tcW w:w="3936" w:type="dxa"/>
          </w:tcPr>
          <w:p w14:paraId="2982CA55" w14:textId="77777777" w:rsidR="002020FC" w:rsidRPr="00073666" w:rsidRDefault="002020FC" w:rsidP="002020FC">
            <w:pPr>
              <w:rPr>
                <w:rFonts w:ascii="Calibri" w:hAnsi="Calibri" w:cs="Calibri"/>
                <w:szCs w:val="22"/>
              </w:rPr>
            </w:pPr>
            <w:r w:rsidRPr="00073666">
              <w:rPr>
                <w:rFonts w:ascii="Calibri" w:hAnsi="Calibri" w:cs="Calibri"/>
                <w:szCs w:val="22"/>
              </w:rPr>
              <w:t>Planned Study Period</w:t>
            </w:r>
          </w:p>
        </w:tc>
        <w:tc>
          <w:tcPr>
            <w:tcW w:w="6237" w:type="dxa"/>
            <w:gridSpan w:val="2"/>
          </w:tcPr>
          <w:p w14:paraId="37D19250" w14:textId="77777777" w:rsidR="002020FC" w:rsidRPr="00073666" w:rsidRDefault="002020FC" w:rsidP="002020FC">
            <w:pPr>
              <w:pStyle w:val="ListParagraph"/>
              <w:numPr>
                <w:ilvl w:val="0"/>
                <w:numId w:val="21"/>
              </w:numPr>
              <w:spacing w:before="60" w:after="60" w:line="240" w:lineRule="auto"/>
              <w:rPr>
                <w:rFonts w:ascii="Calibri" w:hAnsi="Calibri" w:cs="Calibri"/>
                <w:color w:val="000000" w:themeColor="text1"/>
              </w:rPr>
            </w:pPr>
            <w:r w:rsidRPr="00073666">
              <w:rPr>
                <w:rFonts w:ascii="Calibri" w:hAnsi="Calibri" w:cs="Calibri"/>
                <w:color w:val="000000" w:themeColor="text1"/>
              </w:rPr>
              <w:t>1</w:t>
            </w:r>
            <w:r w:rsidRPr="00073666">
              <w:rPr>
                <w:rFonts w:ascii="Calibri" w:hAnsi="Calibri" w:cs="Calibri"/>
                <w:color w:val="000000" w:themeColor="text1"/>
                <w:vertAlign w:val="superscript"/>
              </w:rPr>
              <w:t>st</w:t>
            </w:r>
            <w:r w:rsidRPr="00073666">
              <w:rPr>
                <w:rFonts w:ascii="Calibri" w:hAnsi="Calibri" w:cs="Calibri"/>
                <w:color w:val="000000" w:themeColor="text1"/>
              </w:rPr>
              <w:t xml:space="preserve"> November 2019 – 31</w:t>
            </w:r>
            <w:r w:rsidRPr="00073666">
              <w:rPr>
                <w:rFonts w:ascii="Calibri" w:hAnsi="Calibri" w:cs="Calibri"/>
                <w:color w:val="000000" w:themeColor="text1"/>
                <w:vertAlign w:val="superscript"/>
              </w:rPr>
              <w:t>st</w:t>
            </w:r>
            <w:r w:rsidRPr="00073666">
              <w:rPr>
                <w:rFonts w:ascii="Calibri" w:hAnsi="Calibri" w:cs="Calibri"/>
                <w:color w:val="000000" w:themeColor="text1"/>
              </w:rPr>
              <w:t xml:space="preserve"> March 2020: patient enrolment, prospective clinical data and sample collection</w:t>
            </w:r>
          </w:p>
          <w:p w14:paraId="712674B7" w14:textId="77777777" w:rsidR="002020FC" w:rsidRPr="00073666" w:rsidRDefault="002020FC" w:rsidP="002020FC">
            <w:pPr>
              <w:pStyle w:val="ListParagraph"/>
              <w:numPr>
                <w:ilvl w:val="0"/>
                <w:numId w:val="21"/>
              </w:numPr>
              <w:spacing w:before="60" w:after="60" w:line="240" w:lineRule="auto"/>
              <w:rPr>
                <w:rFonts w:ascii="Calibri" w:hAnsi="Calibri" w:cs="Calibri"/>
                <w:color w:val="000000" w:themeColor="text1"/>
              </w:rPr>
            </w:pPr>
            <w:r w:rsidRPr="00073666">
              <w:rPr>
                <w:rFonts w:ascii="Calibri" w:hAnsi="Calibri" w:cs="Calibri"/>
                <w:color w:val="000000" w:themeColor="text1"/>
              </w:rPr>
              <w:t>31</w:t>
            </w:r>
            <w:r w:rsidRPr="00073666">
              <w:rPr>
                <w:rFonts w:ascii="Calibri" w:hAnsi="Calibri" w:cs="Calibri"/>
                <w:color w:val="000000" w:themeColor="text1"/>
                <w:vertAlign w:val="superscript"/>
              </w:rPr>
              <w:t>st</w:t>
            </w:r>
            <w:r w:rsidRPr="00073666">
              <w:rPr>
                <w:rFonts w:ascii="Calibri" w:hAnsi="Calibri" w:cs="Calibri"/>
                <w:color w:val="000000" w:themeColor="text1"/>
              </w:rPr>
              <w:t xml:space="preserve"> March 2020-1</w:t>
            </w:r>
            <w:r w:rsidRPr="00073666">
              <w:rPr>
                <w:rFonts w:ascii="Calibri" w:hAnsi="Calibri" w:cs="Calibri"/>
                <w:color w:val="000000" w:themeColor="text1"/>
                <w:vertAlign w:val="superscript"/>
              </w:rPr>
              <w:t>st</w:t>
            </w:r>
            <w:r w:rsidRPr="00073666">
              <w:rPr>
                <w:rFonts w:ascii="Calibri" w:hAnsi="Calibri" w:cs="Calibri"/>
                <w:color w:val="000000" w:themeColor="text1"/>
              </w:rPr>
              <w:t xml:space="preserve"> August 2020: Data analysis and evaluation of </w:t>
            </w:r>
            <w:proofErr w:type="spellStart"/>
            <w:r w:rsidRPr="00073666">
              <w:rPr>
                <w:rFonts w:ascii="Calibri" w:hAnsi="Calibri" w:cs="Calibri"/>
                <w:color w:val="000000" w:themeColor="text1"/>
              </w:rPr>
              <w:t>AspLFD</w:t>
            </w:r>
            <w:proofErr w:type="spellEnd"/>
            <w:r w:rsidRPr="00073666">
              <w:rPr>
                <w:rFonts w:ascii="Calibri" w:hAnsi="Calibri" w:cs="Calibri"/>
                <w:color w:val="000000" w:themeColor="text1"/>
              </w:rPr>
              <w:t xml:space="preserve"> using stored BAL samples.</w:t>
            </w:r>
          </w:p>
          <w:p w14:paraId="1998F02E" w14:textId="3766786B" w:rsidR="002020FC" w:rsidRPr="00073666" w:rsidRDefault="002020FC" w:rsidP="002020FC">
            <w:pPr>
              <w:pStyle w:val="ListParagraph"/>
              <w:numPr>
                <w:ilvl w:val="0"/>
                <w:numId w:val="21"/>
              </w:numPr>
              <w:spacing w:before="60" w:after="60" w:line="240" w:lineRule="auto"/>
              <w:rPr>
                <w:rFonts w:ascii="Calibri" w:hAnsi="Calibri" w:cs="Calibri"/>
                <w:color w:val="000000" w:themeColor="text1"/>
              </w:rPr>
            </w:pPr>
            <w:r w:rsidRPr="00073666">
              <w:rPr>
                <w:rFonts w:ascii="Calibri" w:hAnsi="Calibri" w:cs="Calibri"/>
                <w:color w:val="000000" w:themeColor="text1"/>
              </w:rPr>
              <w:t>1</w:t>
            </w:r>
            <w:r w:rsidRPr="00073666">
              <w:rPr>
                <w:rFonts w:ascii="Calibri" w:hAnsi="Calibri" w:cs="Calibri"/>
                <w:color w:val="000000" w:themeColor="text1"/>
                <w:vertAlign w:val="superscript"/>
              </w:rPr>
              <w:t>st</w:t>
            </w:r>
            <w:r w:rsidRPr="00073666">
              <w:rPr>
                <w:rFonts w:ascii="Calibri" w:hAnsi="Calibri" w:cs="Calibri"/>
                <w:color w:val="000000" w:themeColor="text1"/>
              </w:rPr>
              <w:t xml:space="preserve"> August 2020-1</w:t>
            </w:r>
            <w:r w:rsidRPr="00073666">
              <w:rPr>
                <w:rFonts w:ascii="Calibri" w:hAnsi="Calibri" w:cs="Calibri"/>
                <w:color w:val="000000" w:themeColor="text1"/>
                <w:vertAlign w:val="superscript"/>
              </w:rPr>
              <w:t>st</w:t>
            </w:r>
            <w:r w:rsidRPr="00073666">
              <w:rPr>
                <w:rFonts w:ascii="Calibri" w:hAnsi="Calibri" w:cs="Calibri"/>
                <w:color w:val="000000" w:themeColor="text1"/>
              </w:rPr>
              <w:t xml:space="preserve"> August 2022: Immunopathogenesis research using stored blood and BAL samples</w:t>
            </w:r>
          </w:p>
        </w:tc>
      </w:tr>
    </w:tbl>
    <w:p w14:paraId="0EA08BC5" w14:textId="77777777" w:rsidR="00093582" w:rsidRPr="00073666" w:rsidRDefault="00093582" w:rsidP="00093582">
      <w:pPr>
        <w:rPr>
          <w:rFonts w:ascii="Calibri" w:hAnsi="Calibri" w:cs="Calibri"/>
        </w:rPr>
      </w:pPr>
    </w:p>
    <w:p w14:paraId="6D532450" w14:textId="77777777" w:rsidR="00042EF4" w:rsidRPr="00073666" w:rsidRDefault="00042EF4" w:rsidP="00FC7B57">
      <w:pPr>
        <w:autoSpaceDE w:val="0"/>
        <w:autoSpaceDN w:val="0"/>
        <w:adjustRightInd w:val="0"/>
        <w:rPr>
          <w:rFonts w:ascii="Calibri" w:hAnsi="Calibri" w:cs="Calibri"/>
          <w:b/>
        </w:rPr>
      </w:pPr>
    </w:p>
    <w:tbl>
      <w:tblPr>
        <w:tblStyle w:val="TableGrid"/>
        <w:tblpPr w:leftFromText="180" w:rightFromText="180" w:vertAnchor="text" w:horzAnchor="margin" w:tblpY="-90"/>
        <w:tblW w:w="0" w:type="auto"/>
        <w:tblLook w:val="04A0" w:firstRow="1" w:lastRow="0" w:firstColumn="1" w:lastColumn="0" w:noHBand="0" w:noVBand="1"/>
      </w:tblPr>
      <w:tblGrid>
        <w:gridCol w:w="4971"/>
        <w:gridCol w:w="4991"/>
      </w:tblGrid>
      <w:tr w:rsidR="00042EF4" w:rsidRPr="00073666" w14:paraId="35D7E4F8" w14:textId="77777777" w:rsidTr="00042EF4">
        <w:tc>
          <w:tcPr>
            <w:tcW w:w="10089" w:type="dxa"/>
            <w:gridSpan w:val="2"/>
            <w:shd w:val="clear" w:color="auto" w:fill="C0504D" w:themeFill="accent2"/>
          </w:tcPr>
          <w:p w14:paraId="65096E43" w14:textId="77777777" w:rsidR="00042EF4" w:rsidRPr="00073666" w:rsidRDefault="00042EF4" w:rsidP="00042EF4">
            <w:pPr>
              <w:rPr>
                <w:rFonts w:ascii="Calibri" w:hAnsi="Calibri" w:cs="Calibri"/>
                <w:b/>
                <w:color w:val="FFFFFF" w:themeColor="background1"/>
                <w:szCs w:val="22"/>
              </w:rPr>
            </w:pPr>
            <w:r w:rsidRPr="00073666">
              <w:rPr>
                <w:rFonts w:ascii="Calibri" w:hAnsi="Calibri" w:cs="Calibri"/>
                <w:b/>
                <w:color w:val="FFFFFF" w:themeColor="background1"/>
                <w:szCs w:val="22"/>
              </w:rPr>
              <w:lastRenderedPageBreak/>
              <w:t xml:space="preserve">FUNDING AND SUPPORT </w:t>
            </w:r>
          </w:p>
        </w:tc>
      </w:tr>
      <w:tr w:rsidR="00042EF4" w:rsidRPr="00073666" w14:paraId="558F1563" w14:textId="77777777" w:rsidTr="00042EF4">
        <w:tc>
          <w:tcPr>
            <w:tcW w:w="5037" w:type="dxa"/>
          </w:tcPr>
          <w:p w14:paraId="2E50613F" w14:textId="002A8564" w:rsidR="00042EF4" w:rsidRPr="00073666" w:rsidRDefault="00042EF4" w:rsidP="00042EF4">
            <w:pPr>
              <w:rPr>
                <w:rFonts w:ascii="Calibri" w:hAnsi="Calibri" w:cs="Calibri"/>
                <w:b/>
                <w:szCs w:val="22"/>
              </w:rPr>
            </w:pPr>
            <w:r w:rsidRPr="00073666">
              <w:rPr>
                <w:rFonts w:ascii="Calibri" w:hAnsi="Calibri" w:cs="Calibri"/>
                <w:b/>
                <w:szCs w:val="22"/>
              </w:rPr>
              <w:t>FUNDER</w:t>
            </w:r>
          </w:p>
        </w:tc>
        <w:tc>
          <w:tcPr>
            <w:tcW w:w="5052" w:type="dxa"/>
          </w:tcPr>
          <w:p w14:paraId="5CAF8BB2" w14:textId="0654CAEE" w:rsidR="00042EF4" w:rsidRPr="00073666" w:rsidRDefault="00042EF4" w:rsidP="00042EF4">
            <w:pPr>
              <w:rPr>
                <w:rFonts w:ascii="Calibri" w:hAnsi="Calibri" w:cs="Calibri"/>
              </w:rPr>
            </w:pPr>
            <w:r w:rsidRPr="00073666">
              <w:rPr>
                <w:rFonts w:ascii="Calibri" w:hAnsi="Calibri" w:cs="Calibri"/>
                <w:b/>
                <w:szCs w:val="22"/>
              </w:rPr>
              <w:t xml:space="preserve">FINANCIAL AND </w:t>
            </w:r>
            <w:proofErr w:type="gramStart"/>
            <w:r w:rsidRPr="00073666">
              <w:rPr>
                <w:rFonts w:ascii="Calibri" w:hAnsi="Calibri" w:cs="Calibri"/>
                <w:b/>
                <w:szCs w:val="22"/>
              </w:rPr>
              <w:t>NON FINANCIAL</w:t>
            </w:r>
            <w:proofErr w:type="gramEnd"/>
            <w:r w:rsidR="00132689" w:rsidRPr="00073666">
              <w:rPr>
                <w:rFonts w:ascii="Calibri" w:hAnsi="Calibri" w:cs="Calibri"/>
                <w:b/>
                <w:szCs w:val="22"/>
              </w:rPr>
              <w:t xml:space="preserve"> </w:t>
            </w:r>
            <w:r w:rsidRPr="00073666">
              <w:rPr>
                <w:rFonts w:ascii="Calibri" w:hAnsi="Calibri" w:cs="Calibri"/>
                <w:b/>
                <w:szCs w:val="22"/>
              </w:rPr>
              <w:t>SUPPORT GIVEN</w:t>
            </w:r>
          </w:p>
        </w:tc>
      </w:tr>
      <w:tr w:rsidR="00042EF4" w:rsidRPr="00073666" w14:paraId="0ECA8A2F" w14:textId="77777777" w:rsidTr="00042EF4">
        <w:tc>
          <w:tcPr>
            <w:tcW w:w="5037" w:type="dxa"/>
          </w:tcPr>
          <w:p w14:paraId="6D345C1E" w14:textId="77777777" w:rsidR="00042EF4" w:rsidRPr="00073666" w:rsidRDefault="00042EF4" w:rsidP="00042EF4">
            <w:pPr>
              <w:rPr>
                <w:rFonts w:ascii="Calibri" w:hAnsi="Calibri" w:cs="Calibri"/>
                <w:color w:val="000000" w:themeColor="text1"/>
                <w:szCs w:val="22"/>
              </w:rPr>
            </w:pPr>
            <w:r w:rsidRPr="00073666">
              <w:rPr>
                <w:rFonts w:ascii="Calibri" w:hAnsi="Calibri" w:cs="Calibri"/>
                <w:color w:val="000000" w:themeColor="text1"/>
                <w:szCs w:val="22"/>
              </w:rPr>
              <w:t>Gilead UK &amp; Ireland invasive fungal disease fellowship</w:t>
            </w:r>
          </w:p>
        </w:tc>
        <w:tc>
          <w:tcPr>
            <w:tcW w:w="5052" w:type="dxa"/>
          </w:tcPr>
          <w:p w14:paraId="76B27F83" w14:textId="6C649B48" w:rsidR="00132689" w:rsidRPr="00073666" w:rsidRDefault="00042EF4" w:rsidP="00132689">
            <w:pPr>
              <w:rPr>
                <w:rFonts w:ascii="Calibri" w:hAnsi="Calibri" w:cs="Calibri"/>
                <w:color w:val="000000" w:themeColor="text1"/>
                <w:szCs w:val="22"/>
              </w:rPr>
            </w:pPr>
            <w:r w:rsidRPr="00073666">
              <w:rPr>
                <w:rFonts w:ascii="Calibri" w:hAnsi="Calibri" w:cs="Calibri"/>
                <w:color w:val="000000" w:themeColor="text1"/>
                <w:szCs w:val="22"/>
              </w:rPr>
              <w:t>This</w:t>
            </w:r>
            <w:r w:rsidR="00132689" w:rsidRPr="00073666">
              <w:rPr>
                <w:rFonts w:ascii="Calibri" w:hAnsi="Calibri" w:cs="Calibri"/>
                <w:color w:val="000000" w:themeColor="text1"/>
                <w:szCs w:val="22"/>
              </w:rPr>
              <w:t xml:space="preserve"> competitively awarded, peer-reviewed grant</w:t>
            </w:r>
            <w:r w:rsidRPr="00073666">
              <w:rPr>
                <w:rFonts w:ascii="Calibri" w:hAnsi="Calibri" w:cs="Calibri"/>
                <w:color w:val="000000" w:themeColor="text1"/>
                <w:szCs w:val="22"/>
              </w:rPr>
              <w:t xml:space="preserve"> will pay the salary of a </w:t>
            </w:r>
            <w:proofErr w:type="gramStart"/>
            <w:r w:rsidRPr="00073666">
              <w:rPr>
                <w:rFonts w:ascii="Calibri" w:hAnsi="Calibri" w:cs="Calibri"/>
                <w:color w:val="000000" w:themeColor="text1"/>
                <w:szCs w:val="22"/>
              </w:rPr>
              <w:t>full time</w:t>
            </w:r>
            <w:proofErr w:type="gramEnd"/>
            <w:r w:rsidRPr="00073666">
              <w:rPr>
                <w:rFonts w:ascii="Calibri" w:hAnsi="Calibri" w:cs="Calibri"/>
                <w:color w:val="000000" w:themeColor="text1"/>
                <w:szCs w:val="22"/>
              </w:rPr>
              <w:t xml:space="preserve"> </w:t>
            </w:r>
            <w:r w:rsidR="00132689" w:rsidRPr="00073666">
              <w:rPr>
                <w:rFonts w:ascii="Calibri" w:hAnsi="Calibri" w:cs="Calibri"/>
                <w:color w:val="000000" w:themeColor="text1"/>
                <w:szCs w:val="22"/>
              </w:rPr>
              <w:t>clinical fellow and consumables (total £65K) for 9 months from Nov 2019- Aug 2020 (primary and secondary aims).</w:t>
            </w:r>
          </w:p>
          <w:p w14:paraId="0CBECCFC" w14:textId="06A1130D" w:rsidR="00042EF4" w:rsidRPr="00073666" w:rsidRDefault="00132689" w:rsidP="00132689">
            <w:pPr>
              <w:rPr>
                <w:rFonts w:ascii="Calibri" w:hAnsi="Calibri" w:cs="Calibri"/>
                <w:color w:val="000000" w:themeColor="text1"/>
                <w:szCs w:val="22"/>
              </w:rPr>
            </w:pPr>
            <w:r w:rsidRPr="00073666">
              <w:rPr>
                <w:rFonts w:ascii="Calibri" w:hAnsi="Calibri" w:cs="Calibri"/>
                <w:color w:val="000000" w:themeColor="text1"/>
                <w:szCs w:val="22"/>
              </w:rPr>
              <w:t xml:space="preserve">The sub-studies will be contingent upon successful PhD </w:t>
            </w:r>
            <w:r w:rsidR="00042EF4" w:rsidRPr="00073666">
              <w:rPr>
                <w:rFonts w:ascii="Calibri" w:hAnsi="Calibri" w:cs="Calibri"/>
                <w:color w:val="000000" w:themeColor="text1"/>
                <w:szCs w:val="22"/>
              </w:rPr>
              <w:t>funding applic</w:t>
            </w:r>
            <w:r w:rsidRPr="00073666">
              <w:rPr>
                <w:rFonts w:ascii="Calibri" w:hAnsi="Calibri" w:cs="Calibri"/>
                <w:color w:val="000000" w:themeColor="text1"/>
                <w:szCs w:val="22"/>
              </w:rPr>
              <w:t xml:space="preserve">ations to the MRC or NIHR for further clinical fellow support </w:t>
            </w:r>
          </w:p>
        </w:tc>
      </w:tr>
    </w:tbl>
    <w:p w14:paraId="5FFD684A" w14:textId="38D2AC11" w:rsidR="00042EF4" w:rsidRPr="00073666" w:rsidRDefault="00042EF4" w:rsidP="00FC7B57">
      <w:pPr>
        <w:autoSpaceDE w:val="0"/>
        <w:autoSpaceDN w:val="0"/>
        <w:adjustRightInd w:val="0"/>
        <w:rPr>
          <w:rFonts w:ascii="Calibri" w:hAnsi="Calibri" w:cs="Calibri"/>
          <w:b/>
        </w:rPr>
      </w:pPr>
    </w:p>
    <w:p w14:paraId="03641056" w14:textId="5699A936" w:rsidR="00475FDA" w:rsidRPr="00073666" w:rsidRDefault="00475FDA" w:rsidP="00FC7B57">
      <w:pPr>
        <w:autoSpaceDE w:val="0"/>
        <w:autoSpaceDN w:val="0"/>
        <w:adjustRightInd w:val="0"/>
        <w:rPr>
          <w:rFonts w:ascii="Calibri" w:hAnsi="Calibri" w:cs="Calibri"/>
          <w:b/>
        </w:rPr>
      </w:pPr>
      <w:r w:rsidRPr="00073666">
        <w:rPr>
          <w:rFonts w:ascii="Calibri" w:hAnsi="Calibri" w:cs="Calibri"/>
          <w:b/>
        </w:rPr>
        <w:t xml:space="preserve">ROLES AND RESPONSIBILITIES OF </w:t>
      </w:r>
      <w:r w:rsidR="000A4DA5" w:rsidRPr="00073666">
        <w:rPr>
          <w:rFonts w:ascii="Calibri" w:hAnsi="Calibri" w:cs="Calibri"/>
          <w:b/>
        </w:rPr>
        <w:t>STUDY</w:t>
      </w:r>
      <w:r w:rsidRPr="00073666">
        <w:rPr>
          <w:rFonts w:ascii="Calibri" w:hAnsi="Calibri" w:cs="Calibri"/>
          <w:b/>
        </w:rPr>
        <w:t xml:space="preserve"> MANAGEMENT COMMITEES/GROUPS &amp; INDIVIDUALS</w:t>
      </w:r>
    </w:p>
    <w:tbl>
      <w:tblPr>
        <w:tblStyle w:val="TableGrid"/>
        <w:tblW w:w="0" w:type="auto"/>
        <w:tblLook w:val="04A0" w:firstRow="1" w:lastRow="0" w:firstColumn="1" w:lastColumn="0" w:noHBand="0" w:noVBand="1"/>
      </w:tblPr>
      <w:tblGrid>
        <w:gridCol w:w="2486"/>
        <w:gridCol w:w="7476"/>
      </w:tblGrid>
      <w:tr w:rsidR="003C7C88" w:rsidRPr="00073666" w14:paraId="39187284" w14:textId="77777777" w:rsidTr="00521345">
        <w:tc>
          <w:tcPr>
            <w:tcW w:w="9962" w:type="dxa"/>
            <w:gridSpan w:val="2"/>
            <w:shd w:val="clear" w:color="auto" w:fill="C0504D" w:themeFill="accent2"/>
          </w:tcPr>
          <w:p w14:paraId="30D366B8" w14:textId="32A03764" w:rsidR="001068D5" w:rsidRPr="00073666" w:rsidRDefault="001068D5">
            <w:pPr>
              <w:rPr>
                <w:rFonts w:ascii="Calibri" w:hAnsi="Calibri" w:cs="Calibri"/>
                <w:b/>
                <w:color w:val="FFFFFF" w:themeColor="background1"/>
                <w:szCs w:val="22"/>
              </w:rPr>
            </w:pPr>
            <w:r w:rsidRPr="00073666">
              <w:rPr>
                <w:rFonts w:ascii="Calibri" w:hAnsi="Calibri" w:cs="Calibri"/>
                <w:b/>
                <w:color w:val="FFFFFF" w:themeColor="background1"/>
                <w:szCs w:val="22"/>
              </w:rPr>
              <w:t>Steering Group</w:t>
            </w:r>
          </w:p>
        </w:tc>
      </w:tr>
      <w:tr w:rsidR="001068D5" w:rsidRPr="00073666" w14:paraId="7E3F32EA" w14:textId="77777777" w:rsidTr="00521345">
        <w:tc>
          <w:tcPr>
            <w:tcW w:w="2486" w:type="dxa"/>
          </w:tcPr>
          <w:p w14:paraId="79EE0B57" w14:textId="0DC3C4D8" w:rsidR="001068D5" w:rsidRPr="00073666" w:rsidRDefault="00FC7B57">
            <w:pPr>
              <w:rPr>
                <w:rFonts w:ascii="Calibri" w:hAnsi="Calibri" w:cs="Calibri"/>
                <w:b/>
                <w:color w:val="000000" w:themeColor="text1"/>
                <w:szCs w:val="22"/>
              </w:rPr>
            </w:pPr>
            <w:r w:rsidRPr="00073666">
              <w:rPr>
                <w:rFonts w:ascii="Calibri" w:hAnsi="Calibri" w:cs="Calibri"/>
                <w:b/>
                <w:color w:val="000000" w:themeColor="text1"/>
                <w:szCs w:val="22"/>
              </w:rPr>
              <w:t>Chief Investigator</w:t>
            </w:r>
          </w:p>
        </w:tc>
        <w:tc>
          <w:tcPr>
            <w:tcW w:w="7476" w:type="dxa"/>
          </w:tcPr>
          <w:p w14:paraId="3C35FD32" w14:textId="3D5986F8" w:rsidR="001068D5" w:rsidRPr="00073666" w:rsidRDefault="00FC7B57" w:rsidP="00FC7B57">
            <w:pPr>
              <w:rPr>
                <w:rFonts w:ascii="Calibri" w:hAnsi="Calibri" w:cs="Calibri"/>
                <w:color w:val="000000" w:themeColor="text1"/>
                <w:szCs w:val="22"/>
              </w:rPr>
            </w:pPr>
            <w:r w:rsidRPr="00073666">
              <w:rPr>
                <w:rFonts w:ascii="Calibri" w:hAnsi="Calibri" w:cs="Calibri"/>
                <w:color w:val="000000" w:themeColor="text1"/>
                <w:szCs w:val="22"/>
              </w:rPr>
              <w:t>Tihana Bicanic, Consultant in Infectious Diseases (St. George’s NHS Foundation Trust and University of London)</w:t>
            </w:r>
          </w:p>
        </w:tc>
      </w:tr>
      <w:tr w:rsidR="001068D5" w:rsidRPr="00073666" w14:paraId="6C00223D" w14:textId="77777777" w:rsidTr="00521345">
        <w:tc>
          <w:tcPr>
            <w:tcW w:w="2486" w:type="dxa"/>
          </w:tcPr>
          <w:p w14:paraId="59912D59" w14:textId="7DA5D6D5" w:rsidR="001068D5" w:rsidRPr="00073666" w:rsidRDefault="00FC7B57">
            <w:pPr>
              <w:rPr>
                <w:rFonts w:ascii="Calibri" w:hAnsi="Calibri" w:cs="Calibri"/>
                <w:b/>
                <w:color w:val="000000" w:themeColor="text1"/>
                <w:szCs w:val="22"/>
              </w:rPr>
            </w:pPr>
            <w:r w:rsidRPr="00073666">
              <w:rPr>
                <w:rFonts w:ascii="Calibri" w:hAnsi="Calibri" w:cs="Calibri"/>
                <w:b/>
                <w:color w:val="000000" w:themeColor="text1"/>
                <w:szCs w:val="22"/>
              </w:rPr>
              <w:t>Site Principal Investigator</w:t>
            </w:r>
          </w:p>
        </w:tc>
        <w:tc>
          <w:tcPr>
            <w:tcW w:w="7476" w:type="dxa"/>
          </w:tcPr>
          <w:p w14:paraId="3185905E" w14:textId="00C8D484" w:rsidR="001068D5" w:rsidRPr="00073666" w:rsidRDefault="00FC7B57">
            <w:pPr>
              <w:rPr>
                <w:rFonts w:ascii="Calibri" w:hAnsi="Calibri" w:cs="Calibri"/>
                <w:color w:val="000000" w:themeColor="text1"/>
                <w:szCs w:val="22"/>
              </w:rPr>
            </w:pPr>
            <w:r w:rsidRPr="00073666">
              <w:rPr>
                <w:rFonts w:ascii="Calibri" w:hAnsi="Calibri" w:cs="Calibri"/>
                <w:color w:val="000000" w:themeColor="text1"/>
                <w:szCs w:val="22"/>
              </w:rPr>
              <w:t>Jonathan Ball, Consultant Intensivist, St George’</w:t>
            </w:r>
            <w:r w:rsidR="00132689" w:rsidRPr="00073666">
              <w:rPr>
                <w:rFonts w:ascii="Calibri" w:hAnsi="Calibri" w:cs="Calibri"/>
                <w:color w:val="000000" w:themeColor="text1"/>
                <w:szCs w:val="22"/>
              </w:rPr>
              <w:t>s Hospital NHS Foundation Trust</w:t>
            </w:r>
          </w:p>
        </w:tc>
      </w:tr>
      <w:tr w:rsidR="001068D5" w:rsidRPr="00073666" w14:paraId="205DA2EB" w14:textId="77777777" w:rsidTr="00521345">
        <w:tc>
          <w:tcPr>
            <w:tcW w:w="2486" w:type="dxa"/>
          </w:tcPr>
          <w:p w14:paraId="5C2E71EC" w14:textId="2D35922B" w:rsidR="001068D5" w:rsidRPr="00073666" w:rsidRDefault="00FC7B57">
            <w:pPr>
              <w:rPr>
                <w:rFonts w:ascii="Calibri" w:hAnsi="Calibri" w:cs="Calibri"/>
                <w:b/>
                <w:color w:val="000000" w:themeColor="text1"/>
                <w:szCs w:val="22"/>
              </w:rPr>
            </w:pPr>
            <w:r w:rsidRPr="00073666">
              <w:rPr>
                <w:rFonts w:ascii="Calibri" w:hAnsi="Calibri" w:cs="Calibri"/>
                <w:b/>
                <w:color w:val="000000" w:themeColor="text1"/>
                <w:szCs w:val="22"/>
              </w:rPr>
              <w:t>Site Principal Investigator</w:t>
            </w:r>
          </w:p>
        </w:tc>
        <w:tc>
          <w:tcPr>
            <w:tcW w:w="7476" w:type="dxa"/>
          </w:tcPr>
          <w:p w14:paraId="7CD55CFF" w14:textId="14D217D6" w:rsidR="001068D5" w:rsidRPr="00073666" w:rsidRDefault="00FC7B57" w:rsidP="00FC7B57">
            <w:pPr>
              <w:rPr>
                <w:rFonts w:ascii="Calibri" w:hAnsi="Calibri" w:cs="Calibri"/>
                <w:color w:val="000000" w:themeColor="text1"/>
                <w:szCs w:val="22"/>
              </w:rPr>
            </w:pPr>
            <w:r w:rsidRPr="00073666">
              <w:rPr>
                <w:rFonts w:ascii="Calibri" w:hAnsi="Calibri" w:cs="Calibri"/>
                <w:color w:val="000000" w:themeColor="text1"/>
                <w:szCs w:val="22"/>
              </w:rPr>
              <w:t>Duncan Wyncoll, Consultant Intensivist, Guys and St Thomas’ NHS Foundation Trust</w:t>
            </w:r>
          </w:p>
        </w:tc>
      </w:tr>
      <w:tr w:rsidR="001068D5" w:rsidRPr="00073666" w14:paraId="6DBAB200" w14:textId="77777777" w:rsidTr="00521345">
        <w:tc>
          <w:tcPr>
            <w:tcW w:w="2486" w:type="dxa"/>
          </w:tcPr>
          <w:p w14:paraId="433FC3A6" w14:textId="3922A41C" w:rsidR="001068D5" w:rsidRPr="00073666" w:rsidRDefault="00FC7B57">
            <w:pPr>
              <w:rPr>
                <w:rFonts w:ascii="Calibri" w:hAnsi="Calibri" w:cs="Calibri"/>
                <w:b/>
                <w:color w:val="000000" w:themeColor="text1"/>
                <w:szCs w:val="22"/>
              </w:rPr>
            </w:pPr>
            <w:r w:rsidRPr="00073666">
              <w:rPr>
                <w:rFonts w:ascii="Calibri" w:hAnsi="Calibri" w:cs="Calibri"/>
                <w:b/>
                <w:color w:val="000000" w:themeColor="text1"/>
                <w:szCs w:val="22"/>
              </w:rPr>
              <w:t>Site Principal Investigator</w:t>
            </w:r>
          </w:p>
        </w:tc>
        <w:tc>
          <w:tcPr>
            <w:tcW w:w="7476" w:type="dxa"/>
          </w:tcPr>
          <w:p w14:paraId="00418C94" w14:textId="0C52ECD2" w:rsidR="001068D5" w:rsidRPr="00073666" w:rsidRDefault="00FC7B57" w:rsidP="00FC7B57">
            <w:pPr>
              <w:rPr>
                <w:rFonts w:ascii="Calibri" w:hAnsi="Calibri" w:cs="Calibri"/>
                <w:color w:val="000000" w:themeColor="text1"/>
                <w:szCs w:val="22"/>
              </w:rPr>
            </w:pPr>
            <w:r w:rsidRPr="00073666">
              <w:rPr>
                <w:rFonts w:ascii="Calibri" w:hAnsi="Calibri" w:cs="Calibri"/>
                <w:color w:val="000000" w:themeColor="text1"/>
                <w:szCs w:val="22"/>
              </w:rPr>
              <w:t>Philip Hopkins, Consultant Intensivist, King’s College Hospital NHS Foundation Trust)</w:t>
            </w:r>
          </w:p>
        </w:tc>
      </w:tr>
      <w:tr w:rsidR="00FC36FE" w:rsidRPr="00073666" w14:paraId="6342D162" w14:textId="77777777" w:rsidTr="00521345">
        <w:tc>
          <w:tcPr>
            <w:tcW w:w="2486" w:type="dxa"/>
          </w:tcPr>
          <w:p w14:paraId="4A3FF085" w14:textId="4A754428" w:rsidR="00FC36FE" w:rsidRPr="00073666" w:rsidRDefault="00FC36FE">
            <w:pPr>
              <w:rPr>
                <w:rFonts w:ascii="Calibri" w:hAnsi="Calibri" w:cs="Calibri"/>
                <w:b/>
                <w:color w:val="000000" w:themeColor="text1"/>
                <w:szCs w:val="22"/>
              </w:rPr>
            </w:pPr>
            <w:r w:rsidRPr="00073666">
              <w:rPr>
                <w:rFonts w:ascii="Calibri" w:hAnsi="Calibri" w:cs="Calibri"/>
                <w:b/>
                <w:color w:val="000000" w:themeColor="text1"/>
                <w:szCs w:val="22"/>
              </w:rPr>
              <w:t>Site Principal Investigator</w:t>
            </w:r>
          </w:p>
        </w:tc>
        <w:tc>
          <w:tcPr>
            <w:tcW w:w="7476" w:type="dxa"/>
          </w:tcPr>
          <w:p w14:paraId="11FAF2D7" w14:textId="3643752D" w:rsidR="00FC36FE" w:rsidRPr="00FC36FE" w:rsidRDefault="00FC36FE" w:rsidP="00FC36FE">
            <w:pPr>
              <w:autoSpaceDE w:val="0"/>
              <w:autoSpaceDN w:val="0"/>
              <w:adjustRightInd w:val="0"/>
              <w:spacing w:afterLines="20" w:after="48"/>
              <w:rPr>
                <w:rFonts w:ascii="Calibri Light" w:hAnsi="Calibri Light" w:cs="Calibri Light"/>
                <w:highlight w:val="yellow"/>
              </w:rPr>
            </w:pPr>
            <w:r w:rsidRPr="0001111D">
              <w:rPr>
                <w:rFonts w:ascii="Calibri Light" w:hAnsi="Calibri Light" w:cs="Calibri Light"/>
                <w:highlight w:val="yellow"/>
              </w:rPr>
              <w:t>Timothy Felton, Consultant in Intensive Care and Respiratory Medicine</w:t>
            </w:r>
            <w:r>
              <w:rPr>
                <w:rFonts w:ascii="Calibri Light" w:hAnsi="Calibri Light" w:cs="Calibri Light"/>
                <w:highlight w:val="yellow"/>
              </w:rPr>
              <w:t xml:space="preserve">, </w:t>
            </w:r>
            <w:r w:rsidRPr="0001111D">
              <w:rPr>
                <w:rFonts w:ascii="Calibri Light" w:hAnsi="Calibri Light" w:cs="Calibri Light"/>
                <w:highlight w:val="yellow"/>
              </w:rPr>
              <w:t>Manchester University NHS Foundation Trust</w:t>
            </w:r>
          </w:p>
        </w:tc>
      </w:tr>
      <w:tr w:rsidR="00521345" w:rsidRPr="00073666" w14:paraId="7FF357E1" w14:textId="77777777" w:rsidTr="00521345">
        <w:tc>
          <w:tcPr>
            <w:tcW w:w="2486" w:type="dxa"/>
          </w:tcPr>
          <w:p w14:paraId="6FA078F5" w14:textId="1FC06DFB" w:rsidR="00521345" w:rsidRPr="00073666" w:rsidRDefault="00521345" w:rsidP="00521345">
            <w:pPr>
              <w:rPr>
                <w:rFonts w:ascii="Calibri" w:hAnsi="Calibri" w:cs="Calibri"/>
                <w:b/>
                <w:color w:val="000000" w:themeColor="text1"/>
                <w:szCs w:val="22"/>
              </w:rPr>
            </w:pPr>
            <w:r w:rsidRPr="00073666">
              <w:rPr>
                <w:rFonts w:ascii="Calibri" w:hAnsi="Calibri" w:cs="Calibri"/>
                <w:b/>
              </w:rPr>
              <w:t xml:space="preserve">Study co-ordinator </w:t>
            </w:r>
          </w:p>
        </w:tc>
        <w:tc>
          <w:tcPr>
            <w:tcW w:w="7476" w:type="dxa"/>
          </w:tcPr>
          <w:p w14:paraId="7A4D3B92" w14:textId="50BAC2E4" w:rsidR="00521345" w:rsidRPr="00073666" w:rsidRDefault="00521345" w:rsidP="00521345">
            <w:pPr>
              <w:rPr>
                <w:rFonts w:ascii="Calibri" w:hAnsi="Calibri" w:cs="Calibri"/>
              </w:rPr>
            </w:pPr>
            <w:r w:rsidRPr="00073666">
              <w:rPr>
                <w:rFonts w:ascii="Calibri" w:hAnsi="Calibri" w:cs="Calibri"/>
              </w:rPr>
              <w:t xml:space="preserve">Jonathan Youngs, Clinical research fellow/Infection Specialist Registrar, </w:t>
            </w:r>
            <w:r w:rsidRPr="00073666">
              <w:rPr>
                <w:rFonts w:ascii="Calibri" w:hAnsi="Calibri" w:cs="Calibri"/>
                <w:color w:val="000000" w:themeColor="text1"/>
              </w:rPr>
              <w:t>St Georges University of London</w:t>
            </w:r>
          </w:p>
        </w:tc>
      </w:tr>
      <w:tr w:rsidR="00521345" w:rsidRPr="00073666" w14:paraId="16F623E5" w14:textId="77777777" w:rsidTr="00521345">
        <w:tc>
          <w:tcPr>
            <w:tcW w:w="2486" w:type="dxa"/>
            <w:vMerge w:val="restart"/>
          </w:tcPr>
          <w:p w14:paraId="4B2655B3" w14:textId="4DEBB0FA" w:rsidR="00521345" w:rsidRPr="00073666" w:rsidRDefault="00521345" w:rsidP="00521345">
            <w:pPr>
              <w:rPr>
                <w:rFonts w:ascii="Calibri" w:hAnsi="Calibri" w:cs="Calibri"/>
                <w:b/>
                <w:color w:val="000000" w:themeColor="text1"/>
                <w:szCs w:val="22"/>
              </w:rPr>
            </w:pPr>
            <w:r w:rsidRPr="00073666">
              <w:rPr>
                <w:rFonts w:ascii="Calibri" w:hAnsi="Calibri" w:cs="Calibri"/>
                <w:b/>
                <w:color w:val="000000" w:themeColor="text1"/>
                <w:szCs w:val="22"/>
              </w:rPr>
              <w:t>Co-investigators</w:t>
            </w:r>
          </w:p>
        </w:tc>
        <w:tc>
          <w:tcPr>
            <w:tcW w:w="7476" w:type="dxa"/>
          </w:tcPr>
          <w:p w14:paraId="18B29B22" w14:textId="316A712E" w:rsidR="00521345" w:rsidRPr="00073666" w:rsidRDefault="00521345" w:rsidP="00521345">
            <w:pPr>
              <w:rPr>
                <w:rFonts w:ascii="Calibri" w:hAnsi="Calibri" w:cs="Calibri"/>
                <w:color w:val="000000" w:themeColor="text1"/>
              </w:rPr>
            </w:pPr>
            <w:r w:rsidRPr="00073666">
              <w:rPr>
                <w:rFonts w:ascii="Calibri" w:hAnsi="Calibri" w:cs="Calibri"/>
                <w:color w:val="000000" w:themeColor="text1"/>
              </w:rPr>
              <w:t>Carolyn Hemsley; Jonathan Edgeworth: Consultants in Microbiology, Guys and St Thomas’ NHS Foundation Trust</w:t>
            </w:r>
          </w:p>
        </w:tc>
      </w:tr>
      <w:tr w:rsidR="00521345" w:rsidRPr="00073666" w14:paraId="59C9113A" w14:textId="77777777" w:rsidTr="00521345">
        <w:tc>
          <w:tcPr>
            <w:tcW w:w="2486" w:type="dxa"/>
            <w:vMerge/>
          </w:tcPr>
          <w:p w14:paraId="2B7FEF8A" w14:textId="77777777" w:rsidR="00521345" w:rsidRPr="00073666" w:rsidRDefault="00521345" w:rsidP="00521345">
            <w:pPr>
              <w:rPr>
                <w:rFonts w:ascii="Calibri" w:hAnsi="Calibri" w:cs="Calibri"/>
                <w:b/>
                <w:color w:val="000000" w:themeColor="text1"/>
                <w:szCs w:val="22"/>
              </w:rPr>
            </w:pPr>
          </w:p>
        </w:tc>
        <w:tc>
          <w:tcPr>
            <w:tcW w:w="7476" w:type="dxa"/>
          </w:tcPr>
          <w:p w14:paraId="66154A1C" w14:textId="0BA1E528" w:rsidR="00521345" w:rsidRPr="00073666" w:rsidRDefault="00521345" w:rsidP="00521345">
            <w:pPr>
              <w:rPr>
                <w:rFonts w:ascii="Calibri" w:hAnsi="Calibri" w:cs="Calibri"/>
                <w:color w:val="000000" w:themeColor="text1"/>
              </w:rPr>
            </w:pPr>
            <w:r w:rsidRPr="00073666">
              <w:rPr>
                <w:rFonts w:ascii="Calibri" w:hAnsi="Calibri" w:cs="Calibri"/>
                <w:color w:val="000000" w:themeColor="text1"/>
              </w:rPr>
              <w:t xml:space="preserve">Meera Chand, </w:t>
            </w:r>
            <w:r w:rsidRPr="00073666">
              <w:rPr>
                <w:rFonts w:ascii="Calibri" w:hAnsi="Calibri" w:cs="Calibri"/>
              </w:rPr>
              <w:t>Consultant Microbiologist Public Health England / Guy's &amp; St Thomas' NHS Foundation Trust</w:t>
            </w:r>
          </w:p>
        </w:tc>
      </w:tr>
      <w:tr w:rsidR="00FC36FE" w:rsidRPr="00073666" w14:paraId="1F0F262B" w14:textId="77777777" w:rsidTr="00521345">
        <w:tc>
          <w:tcPr>
            <w:tcW w:w="2486" w:type="dxa"/>
            <w:vMerge/>
          </w:tcPr>
          <w:p w14:paraId="31934E13" w14:textId="77777777" w:rsidR="00FC36FE" w:rsidRPr="00073666" w:rsidRDefault="00FC36FE" w:rsidP="00521345">
            <w:pPr>
              <w:rPr>
                <w:rFonts w:ascii="Calibri" w:hAnsi="Calibri" w:cs="Calibri"/>
                <w:b/>
                <w:color w:val="000000" w:themeColor="text1"/>
                <w:szCs w:val="22"/>
              </w:rPr>
            </w:pPr>
          </w:p>
        </w:tc>
        <w:tc>
          <w:tcPr>
            <w:tcW w:w="7476" w:type="dxa"/>
          </w:tcPr>
          <w:p w14:paraId="7B26EAEB" w14:textId="41BAF735" w:rsidR="00FC36FE" w:rsidRPr="00FC36FE" w:rsidRDefault="00FC36FE" w:rsidP="0069444B">
            <w:pPr>
              <w:rPr>
                <w:rFonts w:ascii="Calibri" w:hAnsi="Calibri" w:cs="Calibri"/>
                <w:color w:val="000000" w:themeColor="text1"/>
                <w:highlight w:val="yellow"/>
              </w:rPr>
            </w:pPr>
            <w:r w:rsidRPr="00FC36FE">
              <w:rPr>
                <w:rFonts w:ascii="Calibri" w:hAnsi="Calibri" w:cs="Calibri"/>
                <w:color w:val="000000" w:themeColor="text1"/>
                <w:highlight w:val="yellow"/>
              </w:rPr>
              <w:t>Malcolm Richardson and Caroline Moore</w:t>
            </w:r>
            <w:r w:rsidR="0069444B">
              <w:rPr>
                <w:rFonts w:ascii="Calibri" w:hAnsi="Calibri" w:cs="Calibri"/>
                <w:color w:val="000000" w:themeColor="text1"/>
                <w:highlight w:val="yellow"/>
              </w:rPr>
              <w:t>, Principal Clinical Scientists</w:t>
            </w:r>
            <w:r w:rsidRPr="00FC36FE">
              <w:rPr>
                <w:rFonts w:ascii="Calibri" w:hAnsi="Calibri" w:cs="Calibri"/>
                <w:color w:val="000000" w:themeColor="text1"/>
                <w:highlight w:val="yellow"/>
              </w:rPr>
              <w:t xml:space="preserve"> (Mycology Reference Lab), </w:t>
            </w:r>
            <w:r w:rsidRPr="00FC36FE">
              <w:rPr>
                <w:rFonts w:ascii="Calibri Light" w:hAnsi="Calibri Light" w:cs="Calibri Light"/>
                <w:highlight w:val="yellow"/>
              </w:rPr>
              <w:t>Manchester University NHS Foundation Trust</w:t>
            </w:r>
          </w:p>
        </w:tc>
      </w:tr>
      <w:tr w:rsidR="00521345" w:rsidRPr="00073666" w14:paraId="7B523D5C" w14:textId="77777777" w:rsidTr="00521345">
        <w:tc>
          <w:tcPr>
            <w:tcW w:w="2486" w:type="dxa"/>
            <w:vMerge/>
          </w:tcPr>
          <w:p w14:paraId="41A2C7F3" w14:textId="77777777" w:rsidR="00521345" w:rsidRPr="00073666" w:rsidRDefault="00521345" w:rsidP="00521345">
            <w:pPr>
              <w:rPr>
                <w:rFonts w:ascii="Calibri" w:hAnsi="Calibri" w:cs="Calibri"/>
                <w:b/>
                <w:color w:val="000000" w:themeColor="text1"/>
                <w:szCs w:val="22"/>
              </w:rPr>
            </w:pPr>
          </w:p>
        </w:tc>
        <w:tc>
          <w:tcPr>
            <w:tcW w:w="7476" w:type="dxa"/>
          </w:tcPr>
          <w:p w14:paraId="1CDD92B7" w14:textId="3ABC5209" w:rsidR="00521345" w:rsidRPr="00073666" w:rsidRDefault="00521345" w:rsidP="00521345">
            <w:pPr>
              <w:pStyle w:val="PlainText"/>
              <w:rPr>
                <w:rFonts w:cs="Calibri"/>
                <w:sz w:val="24"/>
                <w:szCs w:val="24"/>
              </w:rPr>
            </w:pPr>
            <w:r w:rsidRPr="00073666">
              <w:rPr>
                <w:rFonts w:cs="Calibri"/>
                <w:color w:val="000000" w:themeColor="text1"/>
                <w:sz w:val="24"/>
                <w:szCs w:val="24"/>
              </w:rPr>
              <w:t xml:space="preserve">Amanda Fife; Silke </w:t>
            </w:r>
            <w:proofErr w:type="spellStart"/>
            <w:r w:rsidRPr="00073666">
              <w:rPr>
                <w:rFonts w:cs="Calibri"/>
                <w:color w:val="000000" w:themeColor="text1"/>
                <w:sz w:val="24"/>
                <w:szCs w:val="24"/>
              </w:rPr>
              <w:t>Schelenz</w:t>
            </w:r>
            <w:proofErr w:type="spellEnd"/>
            <w:r w:rsidRPr="00073666">
              <w:rPr>
                <w:rFonts w:cs="Calibri"/>
                <w:color w:val="000000" w:themeColor="text1"/>
                <w:sz w:val="24"/>
                <w:szCs w:val="24"/>
              </w:rPr>
              <w:t>, Consultants in Microbiology (King’s College Hospital NHS Foundation Trust)</w:t>
            </w:r>
          </w:p>
        </w:tc>
      </w:tr>
      <w:tr w:rsidR="00521345" w:rsidRPr="00073666" w14:paraId="42B4D7FB" w14:textId="77777777" w:rsidTr="00521345">
        <w:tc>
          <w:tcPr>
            <w:tcW w:w="2486" w:type="dxa"/>
            <w:vMerge/>
          </w:tcPr>
          <w:p w14:paraId="3CE10F65" w14:textId="77777777" w:rsidR="00521345" w:rsidRPr="00073666" w:rsidRDefault="00521345" w:rsidP="00521345">
            <w:pPr>
              <w:rPr>
                <w:rFonts w:ascii="Calibri" w:hAnsi="Calibri" w:cs="Calibri"/>
                <w:b/>
                <w:color w:val="000000" w:themeColor="text1"/>
                <w:szCs w:val="22"/>
              </w:rPr>
            </w:pPr>
          </w:p>
        </w:tc>
        <w:tc>
          <w:tcPr>
            <w:tcW w:w="7476" w:type="dxa"/>
          </w:tcPr>
          <w:p w14:paraId="211877B3" w14:textId="60515FE9" w:rsidR="00521345" w:rsidRPr="00073666" w:rsidRDefault="00521345" w:rsidP="00521345">
            <w:pPr>
              <w:rPr>
                <w:rFonts w:ascii="Calibri" w:hAnsi="Calibri" w:cs="Calibri"/>
                <w:color w:val="000000" w:themeColor="text1"/>
              </w:rPr>
            </w:pPr>
            <w:r w:rsidRPr="00073666">
              <w:rPr>
                <w:rFonts w:ascii="Calibri" w:hAnsi="Calibri" w:cs="Calibri"/>
                <w:color w:val="000000" w:themeColor="text1"/>
              </w:rPr>
              <w:t>Maximilian Habibi; Derek Macallan (Consultants in Infection), St. George’s University of London &amp; St. Georges Hospitals NHS Foundation Trust</w:t>
            </w:r>
          </w:p>
        </w:tc>
      </w:tr>
      <w:tr w:rsidR="00521345" w:rsidRPr="00073666" w14:paraId="3FF72C38" w14:textId="77777777" w:rsidTr="00521345">
        <w:tc>
          <w:tcPr>
            <w:tcW w:w="2486" w:type="dxa"/>
            <w:vMerge/>
          </w:tcPr>
          <w:p w14:paraId="5CF98B84" w14:textId="77777777" w:rsidR="00521345" w:rsidRPr="00073666" w:rsidRDefault="00521345" w:rsidP="00521345">
            <w:pPr>
              <w:rPr>
                <w:rFonts w:ascii="Calibri" w:hAnsi="Calibri" w:cs="Calibri"/>
                <w:b/>
                <w:color w:val="000000" w:themeColor="text1"/>
                <w:szCs w:val="22"/>
              </w:rPr>
            </w:pPr>
          </w:p>
        </w:tc>
        <w:tc>
          <w:tcPr>
            <w:tcW w:w="7476" w:type="dxa"/>
          </w:tcPr>
          <w:p w14:paraId="6C6A2AC1" w14:textId="2802616D" w:rsidR="00521345" w:rsidRPr="00073666" w:rsidRDefault="00521345" w:rsidP="00521345">
            <w:pPr>
              <w:rPr>
                <w:rFonts w:ascii="Calibri" w:hAnsi="Calibri" w:cs="Calibri"/>
                <w:color w:val="000000" w:themeColor="text1"/>
              </w:rPr>
            </w:pPr>
            <w:r w:rsidRPr="00073666">
              <w:rPr>
                <w:rFonts w:ascii="Calibri" w:hAnsi="Calibri" w:cs="Calibri"/>
                <w:color w:val="000000" w:themeColor="text1"/>
              </w:rPr>
              <w:t>Jonathan Youngs; Clare Logan (clinical research fellows) St. George’s University of London</w:t>
            </w:r>
          </w:p>
        </w:tc>
      </w:tr>
      <w:tr w:rsidR="00521345" w:rsidRPr="00073666" w14:paraId="28CC6245" w14:textId="77777777" w:rsidTr="00521345">
        <w:tc>
          <w:tcPr>
            <w:tcW w:w="2486" w:type="dxa"/>
          </w:tcPr>
          <w:p w14:paraId="1A831CC1" w14:textId="33A12E12" w:rsidR="00521345" w:rsidRPr="00073666" w:rsidRDefault="00521345" w:rsidP="00521345">
            <w:pPr>
              <w:rPr>
                <w:rFonts w:ascii="Calibri" w:hAnsi="Calibri" w:cs="Calibri"/>
                <w:b/>
                <w:color w:val="000000" w:themeColor="text1"/>
                <w:szCs w:val="22"/>
              </w:rPr>
            </w:pPr>
            <w:r w:rsidRPr="00073666">
              <w:rPr>
                <w:rFonts w:ascii="Calibri" w:hAnsi="Calibri" w:cs="Calibri"/>
                <w:b/>
                <w:color w:val="000000" w:themeColor="text1"/>
                <w:szCs w:val="22"/>
              </w:rPr>
              <w:t>Statistician</w:t>
            </w:r>
          </w:p>
        </w:tc>
        <w:tc>
          <w:tcPr>
            <w:tcW w:w="7476" w:type="dxa"/>
          </w:tcPr>
          <w:p w14:paraId="32F2D46F" w14:textId="61B4C6C5" w:rsidR="00521345" w:rsidRPr="00073666" w:rsidRDefault="00521345" w:rsidP="00521345">
            <w:pPr>
              <w:ind w:right="120"/>
              <w:rPr>
                <w:rFonts w:ascii="Calibri" w:hAnsi="Calibri" w:cs="Calibri"/>
                <w:color w:val="000000" w:themeColor="text1"/>
                <w:szCs w:val="22"/>
              </w:rPr>
            </w:pPr>
            <w:r w:rsidRPr="00073666">
              <w:rPr>
                <w:rFonts w:ascii="Calibri" w:hAnsi="Calibri" w:cs="Calibri"/>
                <w:color w:val="000000" w:themeColor="text1"/>
                <w:szCs w:val="22"/>
              </w:rPr>
              <w:t xml:space="preserve">Sile Molloy, Lecturer in Epidemiology, </w:t>
            </w:r>
            <w:r w:rsidRPr="00073666">
              <w:rPr>
                <w:rFonts w:ascii="Calibri" w:hAnsi="Calibri" w:cs="Calibri"/>
                <w:color w:val="000000"/>
                <w:szCs w:val="22"/>
                <w:lang w:eastAsia="en-GB"/>
              </w:rPr>
              <w:t>St George’s, University of London</w:t>
            </w:r>
          </w:p>
        </w:tc>
      </w:tr>
    </w:tbl>
    <w:p w14:paraId="77E6651F" w14:textId="407A9ECC" w:rsidR="00FC7B57" w:rsidRPr="00073666" w:rsidRDefault="00FC7B57">
      <w:pPr>
        <w:rPr>
          <w:rFonts w:ascii="Calibri" w:hAnsi="Calibri" w:cs="Calibri"/>
          <w:b/>
          <w:color w:val="0000FF"/>
          <w:szCs w:val="22"/>
        </w:rPr>
      </w:pPr>
    </w:p>
    <w:tbl>
      <w:tblPr>
        <w:tblStyle w:val="TableGrid"/>
        <w:tblW w:w="0" w:type="auto"/>
        <w:tblLook w:val="04A0" w:firstRow="1" w:lastRow="0" w:firstColumn="1" w:lastColumn="0" w:noHBand="0" w:noVBand="1"/>
      </w:tblPr>
      <w:tblGrid>
        <w:gridCol w:w="2483"/>
        <w:gridCol w:w="7479"/>
      </w:tblGrid>
      <w:tr w:rsidR="00FC7B57" w:rsidRPr="00073666" w14:paraId="234E6981" w14:textId="77777777" w:rsidTr="00B678F7">
        <w:tc>
          <w:tcPr>
            <w:tcW w:w="9962" w:type="dxa"/>
            <w:gridSpan w:val="2"/>
            <w:shd w:val="clear" w:color="auto" w:fill="C0504D" w:themeFill="accent2"/>
          </w:tcPr>
          <w:p w14:paraId="5CC24142" w14:textId="78A730B6" w:rsidR="00FC7B57" w:rsidRPr="00073666" w:rsidRDefault="00FC7B57" w:rsidP="007E648C">
            <w:pPr>
              <w:rPr>
                <w:rFonts w:ascii="Calibri" w:hAnsi="Calibri" w:cs="Calibri"/>
                <w:b/>
                <w:color w:val="FFFFFF" w:themeColor="background1"/>
                <w:szCs w:val="22"/>
              </w:rPr>
            </w:pPr>
            <w:r w:rsidRPr="00073666">
              <w:rPr>
                <w:rFonts w:ascii="Calibri" w:hAnsi="Calibri" w:cs="Calibri"/>
                <w:b/>
                <w:color w:val="FFFFFF" w:themeColor="background1"/>
                <w:szCs w:val="22"/>
              </w:rPr>
              <w:t>Patient &amp; Public Involvement</w:t>
            </w:r>
          </w:p>
        </w:tc>
      </w:tr>
      <w:tr w:rsidR="00B24D33" w:rsidRPr="00073666" w14:paraId="753581B0" w14:textId="77777777" w:rsidTr="00B678F7">
        <w:trPr>
          <w:trHeight w:val="1003"/>
        </w:trPr>
        <w:tc>
          <w:tcPr>
            <w:tcW w:w="2483" w:type="dxa"/>
          </w:tcPr>
          <w:p w14:paraId="5F85B474" w14:textId="1FF077BB" w:rsidR="00B24D33" w:rsidRPr="00073666" w:rsidRDefault="00B24D33" w:rsidP="007E648C">
            <w:pPr>
              <w:rPr>
                <w:rFonts w:ascii="Calibri" w:hAnsi="Calibri" w:cs="Calibri"/>
                <w:color w:val="000000" w:themeColor="text1"/>
                <w:szCs w:val="22"/>
                <w:lang w:val="en-US" w:eastAsia="en-GB"/>
              </w:rPr>
            </w:pPr>
            <w:r w:rsidRPr="00073666">
              <w:rPr>
                <w:rFonts w:ascii="Calibri" w:hAnsi="Calibri" w:cs="Calibri"/>
                <w:color w:val="000000" w:themeColor="text1"/>
                <w:szCs w:val="22"/>
                <w:lang w:val="en-US" w:eastAsia="en-GB"/>
              </w:rPr>
              <w:t>St Thomas’ Hospital ECMO patient group</w:t>
            </w:r>
          </w:p>
        </w:tc>
        <w:tc>
          <w:tcPr>
            <w:tcW w:w="7479" w:type="dxa"/>
          </w:tcPr>
          <w:p w14:paraId="2768A959" w14:textId="3EBB136E" w:rsidR="00B678F7" w:rsidRPr="00073666" w:rsidRDefault="00BF580A" w:rsidP="00A540B6">
            <w:pPr>
              <w:rPr>
                <w:rFonts w:ascii="Calibri" w:eastAsia="Calibri" w:hAnsi="Calibri" w:cs="Calibri"/>
                <w:color w:val="000000"/>
                <w:u w:color="000000"/>
                <w14:textOutline w14:w="0" w14:cap="flat" w14:cmpd="sng" w14:algn="ctr">
                  <w14:noFill/>
                  <w14:prstDash w14:val="solid"/>
                  <w14:bevel/>
                </w14:textOutline>
              </w:rPr>
            </w:pPr>
            <w:r w:rsidRPr="00073666">
              <w:rPr>
                <w:rFonts w:ascii="Calibri" w:eastAsia="Calibri" w:hAnsi="Calibri" w:cs="Calibri"/>
                <w:color w:val="000000"/>
                <w:u w:color="000000"/>
                <w14:textOutline w14:w="0" w14:cap="flat" w14:cmpd="sng" w14:algn="ctr">
                  <w14:noFill/>
                  <w14:prstDash w14:val="solid"/>
                  <w14:bevel/>
                </w14:textOutline>
              </w:rPr>
              <w:t>Patient and public involvement was soug</w:t>
            </w:r>
            <w:r w:rsidR="00132689" w:rsidRPr="00073666">
              <w:rPr>
                <w:rFonts w:ascii="Calibri" w:eastAsia="Calibri" w:hAnsi="Calibri" w:cs="Calibri"/>
                <w:color w:val="000000"/>
                <w:u w:color="000000"/>
                <w14:textOutline w14:w="0" w14:cap="flat" w14:cmpd="sng" w14:algn="ctr">
                  <w14:noFill/>
                  <w14:prstDash w14:val="solid"/>
                  <w14:bevel/>
                </w14:textOutline>
              </w:rPr>
              <w:t xml:space="preserve">ht from </w:t>
            </w:r>
            <w:r w:rsidRPr="00073666">
              <w:rPr>
                <w:rFonts w:ascii="Calibri" w:hAnsi="Calibri" w:cs="Calibri"/>
                <w:color w:val="000000" w:themeColor="text1"/>
                <w:szCs w:val="22"/>
                <w:lang w:val="en-US" w:eastAsia="en-GB"/>
              </w:rPr>
              <w:t>St Thomas’ Hospital ECMO patient group</w:t>
            </w:r>
            <w:r w:rsidR="00132689" w:rsidRPr="00073666">
              <w:rPr>
                <w:rFonts w:ascii="Calibri" w:hAnsi="Calibri" w:cs="Calibri"/>
                <w:color w:val="000000" w:themeColor="text1"/>
                <w:szCs w:val="22"/>
                <w:lang w:val="en-US" w:eastAsia="en-GB"/>
              </w:rPr>
              <w:t>: 4 volunteers reviewed protocol and patient information leaflet (</w:t>
            </w:r>
            <w:r w:rsidR="00B678F7" w:rsidRPr="00073666">
              <w:rPr>
                <w:rFonts w:ascii="Calibri" w:eastAsia="Calibri" w:hAnsi="Calibri" w:cs="Calibri"/>
                <w:color w:val="000000"/>
                <w:u w:color="000000"/>
                <w14:textOutline w14:w="0" w14:cap="flat" w14:cmpd="sng" w14:algn="ctr">
                  <w14:noFill/>
                  <w14:prstDash w14:val="solid"/>
                  <w14:bevel/>
                </w14:textOutline>
              </w:rPr>
              <w:t xml:space="preserve">three </w:t>
            </w:r>
            <w:r w:rsidR="00132689" w:rsidRPr="00073666">
              <w:rPr>
                <w:rFonts w:ascii="Calibri" w:eastAsia="Calibri" w:hAnsi="Calibri" w:cs="Calibri"/>
                <w:color w:val="000000"/>
                <w:u w:color="000000"/>
                <w14:textOutline w14:w="0" w14:cap="flat" w14:cmpd="sng" w14:algn="ctr">
                  <w14:noFill/>
                  <w14:prstDash w14:val="solid"/>
                  <w14:bevel/>
                </w14:textOutline>
              </w:rPr>
              <w:t xml:space="preserve">former </w:t>
            </w:r>
            <w:r w:rsidR="0077172F" w:rsidRPr="00073666">
              <w:rPr>
                <w:rFonts w:ascii="Calibri" w:eastAsia="Calibri" w:hAnsi="Calibri" w:cs="Calibri"/>
                <w:color w:val="000000"/>
                <w:u w:color="000000"/>
                <w14:textOutline w14:w="0" w14:cap="flat" w14:cmpd="sng" w14:algn="ctr">
                  <w14:noFill/>
                  <w14:prstDash w14:val="solid"/>
                  <w14:bevel/>
                </w14:textOutline>
              </w:rPr>
              <w:t>patients</w:t>
            </w:r>
            <w:r w:rsidR="00B678F7" w:rsidRPr="00073666">
              <w:rPr>
                <w:rFonts w:ascii="Calibri" w:eastAsia="Calibri" w:hAnsi="Calibri" w:cs="Calibri"/>
                <w:color w:val="000000"/>
                <w:u w:color="000000"/>
                <w14:textOutline w14:w="0" w14:cap="flat" w14:cmpd="sng" w14:algn="ctr">
                  <w14:noFill/>
                  <w14:prstDash w14:val="solid"/>
                  <w14:bevel/>
                </w14:textOutline>
              </w:rPr>
              <w:t xml:space="preserve"> on ECMO for severe infection</w:t>
            </w:r>
            <w:r w:rsidR="0077172F" w:rsidRPr="00073666">
              <w:rPr>
                <w:rFonts w:ascii="Calibri" w:eastAsia="Calibri" w:hAnsi="Calibri" w:cs="Calibri"/>
                <w:color w:val="000000"/>
                <w:u w:color="000000"/>
                <w14:textOutline w14:w="0" w14:cap="flat" w14:cmpd="sng" w14:algn="ctr">
                  <w14:noFill/>
                  <w14:prstDash w14:val="solid"/>
                  <w14:bevel/>
                </w14:textOutline>
              </w:rPr>
              <w:t>s</w:t>
            </w:r>
            <w:r w:rsidR="00B678F7" w:rsidRPr="00073666">
              <w:rPr>
                <w:rFonts w:ascii="Calibri" w:eastAsia="Calibri" w:hAnsi="Calibri" w:cs="Calibri"/>
                <w:color w:val="000000"/>
                <w:u w:color="000000"/>
                <w14:textOutline w14:w="0" w14:cap="flat" w14:cmpd="sng" w14:algn="ctr">
                  <w14:noFill/>
                  <w14:prstDash w14:val="solid"/>
                  <w14:bevel/>
                </w14:textOutline>
              </w:rPr>
              <w:t xml:space="preserve"> including influenza and </w:t>
            </w:r>
            <w:r w:rsidR="0077172F" w:rsidRPr="00073666">
              <w:rPr>
                <w:rFonts w:ascii="Calibri" w:eastAsia="Calibri" w:hAnsi="Calibri" w:cs="Calibri"/>
                <w:color w:val="000000"/>
                <w:u w:color="000000"/>
                <w14:textOutline w14:w="0" w14:cap="flat" w14:cmpd="sng" w14:algn="ctr">
                  <w14:noFill/>
                  <w14:prstDash w14:val="solid"/>
                  <w14:bevel/>
                </w14:textOutline>
              </w:rPr>
              <w:t>a</w:t>
            </w:r>
            <w:r w:rsidR="00B678F7" w:rsidRPr="00073666">
              <w:rPr>
                <w:rFonts w:ascii="Calibri" w:eastAsia="Calibri" w:hAnsi="Calibri" w:cs="Calibri"/>
                <w:color w:val="000000"/>
                <w:u w:color="000000"/>
                <w14:textOutline w14:w="0" w14:cap="flat" w14:cmpd="sng" w14:algn="ctr">
                  <w14:noFill/>
                  <w14:prstDash w14:val="solid"/>
                  <w14:bevel/>
                </w14:textOutline>
              </w:rPr>
              <w:t xml:space="preserve"> partner of </w:t>
            </w:r>
            <w:r w:rsidR="0077172F" w:rsidRPr="00073666">
              <w:rPr>
                <w:rFonts w:ascii="Calibri" w:eastAsia="Calibri" w:hAnsi="Calibri" w:cs="Calibri"/>
                <w:color w:val="000000"/>
                <w:u w:color="000000"/>
                <w14:textOutline w14:w="0" w14:cap="flat" w14:cmpd="sng" w14:algn="ctr">
                  <w14:noFill/>
                  <w14:prstDash w14:val="solid"/>
                  <w14:bevel/>
                </w14:textOutline>
              </w:rPr>
              <w:t>such a patient</w:t>
            </w:r>
            <w:r w:rsidR="00132689" w:rsidRPr="00073666">
              <w:rPr>
                <w:rFonts w:ascii="Calibri" w:eastAsia="Calibri" w:hAnsi="Calibri" w:cs="Calibri"/>
                <w:color w:val="000000"/>
                <w:u w:color="000000"/>
                <w14:textOutline w14:w="0" w14:cap="flat" w14:cmpd="sng" w14:algn="ctr">
                  <w14:noFill/>
                  <w14:prstDash w14:val="solid"/>
                  <w14:bevel/>
                </w14:textOutline>
              </w:rPr>
              <w:t>)</w:t>
            </w:r>
            <w:r w:rsidR="0077172F" w:rsidRPr="00073666">
              <w:rPr>
                <w:rFonts w:ascii="Calibri" w:eastAsia="Calibri" w:hAnsi="Calibri" w:cs="Calibri"/>
                <w:color w:val="000000"/>
                <w:u w:color="000000"/>
                <w14:textOutline w14:w="0" w14:cap="flat" w14:cmpd="sng" w14:algn="ctr">
                  <w14:noFill/>
                  <w14:prstDash w14:val="solid"/>
                  <w14:bevel/>
                </w14:textOutline>
              </w:rPr>
              <w:t>.</w:t>
            </w:r>
          </w:p>
        </w:tc>
      </w:tr>
    </w:tbl>
    <w:p w14:paraId="2E4B9899" w14:textId="59178F6E" w:rsidR="003802A1" w:rsidRPr="00073666" w:rsidRDefault="003802A1">
      <w:pPr>
        <w:rPr>
          <w:rFonts w:ascii="Calibri" w:hAnsi="Calibri" w:cs="Calibri"/>
          <w:b/>
          <w:color w:val="0000FF"/>
          <w:szCs w:val="22"/>
        </w:rPr>
      </w:pPr>
    </w:p>
    <w:p w14:paraId="2847D04D" w14:textId="65A3D021" w:rsidR="00B24D33" w:rsidRPr="00073666" w:rsidRDefault="00B24D33" w:rsidP="003802A1">
      <w:pPr>
        <w:pStyle w:val="EndnoteText"/>
        <w:tabs>
          <w:tab w:val="left" w:pos="817"/>
          <w:tab w:val="left" w:pos="9603"/>
        </w:tabs>
        <w:suppressAutoHyphens/>
        <w:spacing w:after="120"/>
        <w:rPr>
          <w:rFonts w:ascii="Calibri" w:hAnsi="Calibri" w:cs="Calibri"/>
          <w:b/>
          <w:sz w:val="22"/>
          <w:szCs w:val="22"/>
        </w:rPr>
      </w:pPr>
      <w:r w:rsidRPr="00073666">
        <w:rPr>
          <w:rFonts w:ascii="Calibri" w:hAnsi="Calibri" w:cs="Calibri"/>
          <w:b/>
          <w:sz w:val="22"/>
          <w:szCs w:val="22"/>
        </w:rPr>
        <w:br w:type="page"/>
      </w:r>
    </w:p>
    <w:p w14:paraId="2529EB58" w14:textId="7F5CDAEE" w:rsidR="00475FDA" w:rsidRPr="00073666" w:rsidRDefault="00475FDA" w:rsidP="003802A1">
      <w:pPr>
        <w:pStyle w:val="EndnoteText"/>
        <w:tabs>
          <w:tab w:val="left" w:pos="817"/>
          <w:tab w:val="left" w:pos="9603"/>
        </w:tabs>
        <w:suppressAutoHyphens/>
        <w:spacing w:after="120"/>
        <w:rPr>
          <w:rFonts w:ascii="Calibri" w:hAnsi="Calibri" w:cs="Calibri"/>
          <w:b/>
          <w:sz w:val="22"/>
          <w:szCs w:val="22"/>
        </w:rPr>
      </w:pPr>
      <w:r w:rsidRPr="00073666">
        <w:rPr>
          <w:rFonts w:ascii="Calibri" w:hAnsi="Calibri" w:cs="Calibri"/>
          <w:b/>
          <w:sz w:val="22"/>
          <w:szCs w:val="22"/>
        </w:rPr>
        <w:lastRenderedPageBreak/>
        <w:t>P</w:t>
      </w:r>
      <w:r w:rsidR="004140B8" w:rsidRPr="00073666">
        <w:rPr>
          <w:rFonts w:ascii="Calibri" w:hAnsi="Calibri" w:cs="Calibri"/>
          <w:b/>
          <w:sz w:val="22"/>
          <w:szCs w:val="22"/>
        </w:rPr>
        <w:t>ROTOCOL CONTRIBUTORS</w:t>
      </w:r>
    </w:p>
    <w:p w14:paraId="54364691" w14:textId="501FB9B2" w:rsidR="00475FDA" w:rsidRPr="00073666" w:rsidRDefault="00475FDA" w:rsidP="003802A1">
      <w:pPr>
        <w:pStyle w:val="EndnoteText"/>
        <w:tabs>
          <w:tab w:val="left" w:pos="817"/>
          <w:tab w:val="left" w:pos="9603"/>
        </w:tabs>
        <w:suppressAutoHyphens/>
        <w:spacing w:after="120"/>
        <w:rPr>
          <w:rFonts w:ascii="Calibri" w:hAnsi="Calibri" w:cs="Calibri"/>
          <w:sz w:val="22"/>
          <w:szCs w:val="22"/>
        </w:rPr>
      </w:pPr>
    </w:p>
    <w:p w14:paraId="38E89857" w14:textId="77777777" w:rsidR="008E7438" w:rsidRPr="00073666" w:rsidRDefault="008E7438" w:rsidP="008E7438">
      <w:pPr>
        <w:pStyle w:val="EndnoteText"/>
        <w:numPr>
          <w:ilvl w:val="0"/>
          <w:numId w:val="2"/>
        </w:numPr>
        <w:tabs>
          <w:tab w:val="left" w:pos="817"/>
          <w:tab w:val="left" w:pos="9603"/>
        </w:tabs>
        <w:suppressAutoHyphens/>
        <w:spacing w:after="120"/>
        <w:rPr>
          <w:rFonts w:ascii="Calibri" w:hAnsi="Calibri" w:cs="Calibri"/>
          <w:sz w:val="22"/>
          <w:szCs w:val="22"/>
        </w:rPr>
      </w:pPr>
      <w:r w:rsidRPr="00073666">
        <w:rPr>
          <w:rFonts w:ascii="Calibri" w:hAnsi="Calibri" w:cs="Calibri"/>
          <w:sz w:val="22"/>
          <w:szCs w:val="22"/>
        </w:rPr>
        <w:t>This study protocol was designed by the chief Investigator in conjunction with the site principal Investigators, co-investigators and input from the statistician.</w:t>
      </w:r>
    </w:p>
    <w:p w14:paraId="46A78D91" w14:textId="3BFC223F" w:rsidR="008E7438" w:rsidRPr="00073666" w:rsidRDefault="008E7438" w:rsidP="008E7438">
      <w:pPr>
        <w:pStyle w:val="EndnoteText"/>
        <w:numPr>
          <w:ilvl w:val="0"/>
          <w:numId w:val="2"/>
        </w:numPr>
        <w:tabs>
          <w:tab w:val="left" w:pos="817"/>
          <w:tab w:val="left" w:pos="9603"/>
        </w:tabs>
        <w:suppressAutoHyphens/>
        <w:spacing w:after="120"/>
        <w:rPr>
          <w:rFonts w:ascii="Calibri" w:hAnsi="Calibri" w:cs="Calibri"/>
          <w:sz w:val="22"/>
          <w:szCs w:val="22"/>
        </w:rPr>
      </w:pPr>
      <w:r w:rsidRPr="00073666">
        <w:rPr>
          <w:rFonts w:ascii="Calibri" w:hAnsi="Calibri" w:cs="Calibri"/>
          <w:sz w:val="22"/>
          <w:szCs w:val="22"/>
        </w:rPr>
        <w:t>The funder for this Study (Gilead) had no role in the study design, and will play no role in the conduct of the study, data analysis, presentation or publication of findings</w:t>
      </w:r>
    </w:p>
    <w:p w14:paraId="413DF9F9" w14:textId="5F5773D0" w:rsidR="00475FDA" w:rsidRPr="00073666" w:rsidRDefault="008E7438" w:rsidP="008E7438">
      <w:pPr>
        <w:pStyle w:val="EndnoteText"/>
        <w:numPr>
          <w:ilvl w:val="0"/>
          <w:numId w:val="2"/>
        </w:numPr>
        <w:tabs>
          <w:tab w:val="left" w:pos="817"/>
          <w:tab w:val="left" w:pos="9603"/>
        </w:tabs>
        <w:suppressAutoHyphens/>
        <w:spacing w:after="120"/>
        <w:rPr>
          <w:rFonts w:ascii="Calibri" w:hAnsi="Calibri" w:cs="Calibri"/>
          <w:sz w:val="22"/>
          <w:szCs w:val="22"/>
        </w:rPr>
      </w:pPr>
      <w:r w:rsidRPr="00073666">
        <w:rPr>
          <w:rFonts w:ascii="Calibri" w:hAnsi="Calibri" w:cs="Calibri"/>
          <w:sz w:val="22"/>
          <w:szCs w:val="22"/>
        </w:rPr>
        <w:t>The sponsor (S</w:t>
      </w:r>
      <w:r w:rsidR="00A540B6" w:rsidRPr="00073666">
        <w:rPr>
          <w:rFonts w:ascii="Calibri" w:hAnsi="Calibri" w:cs="Calibri"/>
          <w:sz w:val="22"/>
          <w:szCs w:val="22"/>
        </w:rPr>
        <w:t>GUL) will be responsible for study</w:t>
      </w:r>
      <w:r w:rsidRPr="00073666">
        <w:rPr>
          <w:rFonts w:ascii="Calibri" w:hAnsi="Calibri" w:cs="Calibri"/>
          <w:sz w:val="22"/>
          <w:szCs w:val="22"/>
        </w:rPr>
        <w:t xml:space="preserve"> </w:t>
      </w:r>
      <w:r w:rsidR="00475FDA" w:rsidRPr="00073666">
        <w:rPr>
          <w:rFonts w:ascii="Calibri" w:hAnsi="Calibri" w:cs="Calibri"/>
          <w:sz w:val="22"/>
          <w:szCs w:val="22"/>
        </w:rPr>
        <w:t>conduct, data analysis and interpretation, manuscript writing</w:t>
      </w:r>
      <w:r w:rsidR="003D473C" w:rsidRPr="00073666">
        <w:rPr>
          <w:rFonts w:ascii="Calibri" w:hAnsi="Calibri" w:cs="Calibri"/>
          <w:sz w:val="22"/>
          <w:szCs w:val="22"/>
        </w:rPr>
        <w:t>, and dissemination of results.</w:t>
      </w:r>
    </w:p>
    <w:p w14:paraId="6E2FEA73" w14:textId="56F91D12" w:rsidR="008E7438" w:rsidRPr="00073666" w:rsidRDefault="008E7438" w:rsidP="008E7438">
      <w:pPr>
        <w:pStyle w:val="EndnoteText"/>
        <w:numPr>
          <w:ilvl w:val="0"/>
          <w:numId w:val="2"/>
        </w:numPr>
        <w:tabs>
          <w:tab w:val="left" w:pos="817"/>
          <w:tab w:val="left" w:pos="9603"/>
        </w:tabs>
        <w:suppressAutoHyphens/>
        <w:spacing w:after="120"/>
        <w:rPr>
          <w:rFonts w:ascii="Calibri" w:hAnsi="Calibri" w:cs="Calibri"/>
          <w:sz w:val="22"/>
          <w:szCs w:val="22"/>
        </w:rPr>
      </w:pPr>
      <w:r w:rsidRPr="00073666">
        <w:rPr>
          <w:rFonts w:ascii="Calibri" w:hAnsi="Calibri" w:cs="Calibri"/>
          <w:noProof/>
          <w:sz w:val="22"/>
          <w:szCs w:val="22"/>
          <w:lang w:val="en-US"/>
        </w:rPr>
        <w:t xml:space="preserve">There has been patient </w:t>
      </w:r>
      <w:r w:rsidR="00A540B6" w:rsidRPr="00073666">
        <w:rPr>
          <w:rFonts w:ascii="Calibri" w:hAnsi="Calibri" w:cs="Calibri"/>
          <w:noProof/>
          <w:sz w:val="22"/>
          <w:szCs w:val="22"/>
          <w:lang w:val="en-US"/>
        </w:rPr>
        <w:t>and public involvement in</w:t>
      </w:r>
      <w:r w:rsidRPr="00073666">
        <w:rPr>
          <w:rFonts w:ascii="Calibri" w:hAnsi="Calibri" w:cs="Calibri"/>
          <w:noProof/>
          <w:sz w:val="22"/>
          <w:szCs w:val="22"/>
          <w:lang w:val="en-US"/>
        </w:rPr>
        <w:t xml:space="preserve"> the design of the study and patient information sheets (see ‘</w:t>
      </w:r>
      <w:r w:rsidRPr="00073666">
        <w:rPr>
          <w:rFonts w:ascii="Calibri" w:hAnsi="Calibri" w:cs="Calibri"/>
          <w:sz w:val="22"/>
          <w:szCs w:val="22"/>
        </w:rPr>
        <w:t xml:space="preserve">8.4 Patient &amp; Public Involvement’).    </w:t>
      </w:r>
    </w:p>
    <w:p w14:paraId="06FB3514" w14:textId="77777777" w:rsidR="008E7438" w:rsidRPr="00073666" w:rsidRDefault="008E7438" w:rsidP="008E7438">
      <w:pPr>
        <w:pStyle w:val="EndnoteText"/>
        <w:tabs>
          <w:tab w:val="left" w:pos="817"/>
          <w:tab w:val="left" w:pos="9603"/>
        </w:tabs>
        <w:suppressAutoHyphens/>
        <w:spacing w:after="120"/>
        <w:ind w:left="895"/>
        <w:rPr>
          <w:rFonts w:ascii="Calibri" w:hAnsi="Calibri" w:cs="Calibri"/>
          <w:color w:val="0000FF"/>
          <w:sz w:val="22"/>
          <w:szCs w:val="22"/>
        </w:rPr>
      </w:pPr>
    </w:p>
    <w:p w14:paraId="1DA2B3CA" w14:textId="77777777" w:rsidR="008E7438" w:rsidRPr="00073666" w:rsidRDefault="008E7438" w:rsidP="00B24D33">
      <w:pPr>
        <w:pStyle w:val="EndnoteText"/>
        <w:tabs>
          <w:tab w:val="left" w:pos="817"/>
          <w:tab w:val="left" w:pos="9603"/>
        </w:tabs>
        <w:suppressAutoHyphens/>
        <w:spacing w:after="120"/>
        <w:rPr>
          <w:rFonts w:ascii="Calibri" w:hAnsi="Calibri" w:cs="Calibri"/>
          <w:color w:val="0000FF"/>
          <w:sz w:val="22"/>
          <w:szCs w:val="22"/>
        </w:rPr>
      </w:pPr>
    </w:p>
    <w:p w14:paraId="4A31D016" w14:textId="76217774" w:rsidR="008E7438" w:rsidRPr="00073666" w:rsidRDefault="008E7438" w:rsidP="00B24D33">
      <w:pPr>
        <w:pStyle w:val="EndnoteText"/>
        <w:tabs>
          <w:tab w:val="left" w:pos="817"/>
          <w:tab w:val="left" w:pos="9603"/>
        </w:tabs>
        <w:suppressAutoHyphens/>
        <w:spacing w:after="120"/>
        <w:rPr>
          <w:rFonts w:ascii="Calibri" w:hAnsi="Calibri" w:cs="Calibri"/>
          <w:color w:val="0000FF"/>
          <w:sz w:val="22"/>
          <w:szCs w:val="22"/>
        </w:rPr>
      </w:pPr>
    </w:p>
    <w:p w14:paraId="7AE780E1" w14:textId="1E483DDD" w:rsidR="004755CF" w:rsidRPr="00073666" w:rsidRDefault="004755CF" w:rsidP="00B24D33">
      <w:pPr>
        <w:pStyle w:val="EndnoteText"/>
        <w:tabs>
          <w:tab w:val="left" w:pos="817"/>
          <w:tab w:val="left" w:pos="9603"/>
        </w:tabs>
        <w:suppressAutoHyphens/>
        <w:spacing w:after="120"/>
        <w:rPr>
          <w:rFonts w:ascii="Calibri" w:hAnsi="Calibri" w:cs="Calibri"/>
          <w:color w:val="0000FF"/>
          <w:sz w:val="22"/>
          <w:szCs w:val="22"/>
        </w:rPr>
      </w:pPr>
    </w:p>
    <w:p w14:paraId="547A0028" w14:textId="6764D333" w:rsidR="004755CF" w:rsidRPr="00073666" w:rsidRDefault="004755CF" w:rsidP="00B24D33">
      <w:pPr>
        <w:pStyle w:val="EndnoteText"/>
        <w:tabs>
          <w:tab w:val="left" w:pos="817"/>
          <w:tab w:val="left" w:pos="9603"/>
        </w:tabs>
        <w:suppressAutoHyphens/>
        <w:spacing w:after="120"/>
        <w:rPr>
          <w:rFonts w:ascii="Calibri" w:hAnsi="Calibri" w:cs="Calibri"/>
          <w:color w:val="0000FF"/>
          <w:sz w:val="22"/>
          <w:szCs w:val="22"/>
        </w:rPr>
      </w:pPr>
    </w:p>
    <w:p w14:paraId="22072F1C" w14:textId="08A70803" w:rsidR="004755CF" w:rsidRPr="00073666" w:rsidRDefault="004755CF" w:rsidP="00B24D33">
      <w:pPr>
        <w:pStyle w:val="EndnoteText"/>
        <w:tabs>
          <w:tab w:val="left" w:pos="817"/>
          <w:tab w:val="left" w:pos="9603"/>
        </w:tabs>
        <w:suppressAutoHyphens/>
        <w:spacing w:after="120"/>
        <w:rPr>
          <w:rFonts w:ascii="Calibri" w:hAnsi="Calibri" w:cs="Calibri"/>
          <w:color w:val="0000FF"/>
          <w:sz w:val="22"/>
          <w:szCs w:val="22"/>
        </w:rPr>
      </w:pPr>
    </w:p>
    <w:p w14:paraId="0AEB0F78" w14:textId="76BD20CB" w:rsidR="004755CF" w:rsidRPr="00073666" w:rsidRDefault="004755CF" w:rsidP="00B24D33">
      <w:pPr>
        <w:pStyle w:val="EndnoteText"/>
        <w:tabs>
          <w:tab w:val="left" w:pos="817"/>
          <w:tab w:val="left" w:pos="9603"/>
        </w:tabs>
        <w:suppressAutoHyphens/>
        <w:spacing w:after="120"/>
        <w:rPr>
          <w:rFonts w:ascii="Calibri" w:hAnsi="Calibri" w:cs="Calibri"/>
          <w:color w:val="0000FF"/>
          <w:sz w:val="22"/>
          <w:szCs w:val="22"/>
        </w:rPr>
      </w:pPr>
    </w:p>
    <w:p w14:paraId="50A00069" w14:textId="253C8EF1" w:rsidR="004755CF" w:rsidRPr="00073666" w:rsidRDefault="004755CF" w:rsidP="00B24D33">
      <w:pPr>
        <w:pStyle w:val="EndnoteText"/>
        <w:tabs>
          <w:tab w:val="left" w:pos="817"/>
          <w:tab w:val="left" w:pos="9603"/>
        </w:tabs>
        <w:suppressAutoHyphens/>
        <w:spacing w:after="120"/>
        <w:rPr>
          <w:rFonts w:ascii="Calibri" w:hAnsi="Calibri" w:cs="Calibri"/>
          <w:color w:val="0000FF"/>
          <w:sz w:val="22"/>
          <w:szCs w:val="22"/>
        </w:rPr>
      </w:pPr>
    </w:p>
    <w:p w14:paraId="1F448261" w14:textId="224A7A03" w:rsidR="004755CF" w:rsidRPr="00073666" w:rsidRDefault="004755CF" w:rsidP="00B24D33">
      <w:pPr>
        <w:pStyle w:val="EndnoteText"/>
        <w:tabs>
          <w:tab w:val="left" w:pos="817"/>
          <w:tab w:val="left" w:pos="9603"/>
        </w:tabs>
        <w:suppressAutoHyphens/>
        <w:spacing w:after="120"/>
        <w:rPr>
          <w:rFonts w:ascii="Calibri" w:hAnsi="Calibri" w:cs="Calibri"/>
          <w:color w:val="0000FF"/>
          <w:sz w:val="22"/>
          <w:szCs w:val="22"/>
        </w:rPr>
      </w:pPr>
    </w:p>
    <w:p w14:paraId="1E379677" w14:textId="559410BF" w:rsidR="004755CF" w:rsidRPr="00073666" w:rsidRDefault="004755CF" w:rsidP="00B24D33">
      <w:pPr>
        <w:pStyle w:val="EndnoteText"/>
        <w:tabs>
          <w:tab w:val="left" w:pos="817"/>
          <w:tab w:val="left" w:pos="9603"/>
        </w:tabs>
        <w:suppressAutoHyphens/>
        <w:spacing w:after="120"/>
        <w:rPr>
          <w:rFonts w:ascii="Calibri" w:hAnsi="Calibri" w:cs="Calibri"/>
          <w:color w:val="0000FF"/>
          <w:sz w:val="22"/>
          <w:szCs w:val="22"/>
        </w:rPr>
      </w:pPr>
    </w:p>
    <w:p w14:paraId="2C534E19" w14:textId="12E7DF57" w:rsidR="004755CF" w:rsidRPr="00073666" w:rsidRDefault="004755CF" w:rsidP="00B24D33">
      <w:pPr>
        <w:pStyle w:val="EndnoteText"/>
        <w:tabs>
          <w:tab w:val="left" w:pos="817"/>
          <w:tab w:val="left" w:pos="9603"/>
        </w:tabs>
        <w:suppressAutoHyphens/>
        <w:spacing w:after="120"/>
        <w:rPr>
          <w:rFonts w:ascii="Calibri" w:hAnsi="Calibri" w:cs="Calibri"/>
          <w:color w:val="0000FF"/>
          <w:sz w:val="22"/>
          <w:szCs w:val="22"/>
        </w:rPr>
      </w:pPr>
    </w:p>
    <w:p w14:paraId="646FC04E" w14:textId="77777777" w:rsidR="004755CF" w:rsidRPr="00073666" w:rsidRDefault="004755CF" w:rsidP="00B24D33">
      <w:pPr>
        <w:pStyle w:val="EndnoteText"/>
        <w:tabs>
          <w:tab w:val="left" w:pos="817"/>
          <w:tab w:val="left" w:pos="9603"/>
        </w:tabs>
        <w:suppressAutoHyphens/>
        <w:spacing w:after="120"/>
        <w:rPr>
          <w:rFonts w:ascii="Calibri" w:hAnsi="Calibri" w:cs="Calibri"/>
          <w:color w:val="0000FF"/>
          <w:sz w:val="22"/>
          <w:szCs w:val="22"/>
        </w:rPr>
      </w:pPr>
    </w:p>
    <w:p w14:paraId="1D3FF139" w14:textId="77777777" w:rsidR="004755CF" w:rsidRPr="00073666" w:rsidRDefault="00B24D33" w:rsidP="00B24D33">
      <w:pPr>
        <w:pStyle w:val="EndnoteText"/>
        <w:tabs>
          <w:tab w:val="left" w:pos="817"/>
          <w:tab w:val="left" w:pos="9603"/>
        </w:tabs>
        <w:suppressAutoHyphens/>
        <w:spacing w:after="120"/>
        <w:rPr>
          <w:rFonts w:ascii="Calibri" w:hAnsi="Calibri" w:cs="Calibri"/>
          <w:color w:val="0000FF"/>
          <w:sz w:val="22"/>
          <w:szCs w:val="22"/>
        </w:rPr>
      </w:pPr>
      <w:r w:rsidRPr="00073666">
        <w:rPr>
          <w:rFonts w:ascii="Calibri" w:hAnsi="Calibri" w:cs="Calibri"/>
          <w:color w:val="0000FF"/>
          <w:sz w:val="22"/>
          <w:szCs w:val="22"/>
        </w:rPr>
        <w:br w:type="page"/>
      </w:r>
    </w:p>
    <w:p w14:paraId="646AF40D" w14:textId="2B21769E" w:rsidR="004755CF" w:rsidRPr="00073666" w:rsidRDefault="00236B04" w:rsidP="00B24D33">
      <w:pPr>
        <w:pStyle w:val="EndnoteText"/>
        <w:tabs>
          <w:tab w:val="left" w:pos="817"/>
          <w:tab w:val="left" w:pos="9603"/>
        </w:tabs>
        <w:suppressAutoHyphens/>
        <w:spacing w:after="120"/>
        <w:rPr>
          <w:color w:val="FF0000"/>
        </w:rPr>
      </w:pPr>
      <w:r w:rsidRPr="00073666">
        <w:rPr>
          <w:rFonts w:ascii="Calibri" w:hAnsi="Calibri" w:cs="Calibri"/>
          <w:b/>
          <w:sz w:val="22"/>
          <w:szCs w:val="22"/>
        </w:rPr>
        <w:lastRenderedPageBreak/>
        <w:t xml:space="preserve">STUDY </w:t>
      </w:r>
      <w:r w:rsidR="001068D5" w:rsidRPr="00073666">
        <w:rPr>
          <w:rFonts w:ascii="Calibri" w:hAnsi="Calibri" w:cs="Calibri"/>
          <w:b/>
          <w:sz w:val="22"/>
          <w:szCs w:val="22"/>
        </w:rPr>
        <w:t>Schematic</w:t>
      </w:r>
      <w:r w:rsidR="00895681" w:rsidRPr="00073666">
        <w:rPr>
          <w:rFonts w:ascii="Calibri" w:hAnsi="Calibri" w:cs="Calibri"/>
          <w:b/>
          <w:color w:val="FF0000"/>
          <w:sz w:val="22"/>
          <w:szCs w:val="22"/>
        </w:rPr>
        <w:t xml:space="preserve"> </w:t>
      </w:r>
    </w:p>
    <w:p w14:paraId="243400F0" w14:textId="015E1979" w:rsidR="004755CF" w:rsidRPr="00073666" w:rsidRDefault="00D63726" w:rsidP="00B24D33">
      <w:pPr>
        <w:pStyle w:val="EndnoteText"/>
        <w:tabs>
          <w:tab w:val="left" w:pos="817"/>
          <w:tab w:val="left" w:pos="9603"/>
        </w:tabs>
        <w:suppressAutoHyphens/>
        <w:spacing w:after="120"/>
        <w:rPr>
          <w:rFonts w:ascii="Calibri" w:hAnsi="Calibri" w:cs="Calibri"/>
          <w:b/>
          <w:sz w:val="22"/>
          <w:szCs w:val="22"/>
        </w:rPr>
      </w:pPr>
      <w:r w:rsidRPr="00073666">
        <w:rPr>
          <w:noProof/>
          <w:lang w:val="en-US"/>
        </w:rPr>
        <w:drawing>
          <wp:inline distT="0" distB="0" distL="0" distR="0" wp14:anchorId="1203DC0D" wp14:editId="7CD1C39F">
            <wp:extent cx="6332220" cy="705104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32220" cy="7051040"/>
                    </a:xfrm>
                    <a:prstGeom prst="rect">
                      <a:avLst/>
                    </a:prstGeom>
                  </pic:spPr>
                </pic:pic>
              </a:graphicData>
            </a:graphic>
          </wp:inline>
        </w:drawing>
      </w:r>
    </w:p>
    <w:p w14:paraId="1DE32F29" w14:textId="7ED45028" w:rsidR="004755CF" w:rsidRPr="00073666" w:rsidRDefault="004755CF" w:rsidP="00B24D33">
      <w:pPr>
        <w:pStyle w:val="EndnoteText"/>
        <w:tabs>
          <w:tab w:val="left" w:pos="817"/>
          <w:tab w:val="left" w:pos="9603"/>
        </w:tabs>
        <w:suppressAutoHyphens/>
        <w:spacing w:after="120"/>
        <w:rPr>
          <w:rFonts w:ascii="Calibri" w:hAnsi="Calibri" w:cs="Calibri"/>
          <w:b/>
          <w:sz w:val="22"/>
          <w:szCs w:val="22"/>
        </w:rPr>
      </w:pPr>
      <w:r w:rsidRPr="00073666">
        <w:rPr>
          <w:rFonts w:ascii="Calibri" w:hAnsi="Calibri" w:cs="Calibri"/>
          <w:b/>
          <w:sz w:val="22"/>
          <w:szCs w:val="22"/>
        </w:rPr>
        <w:br w:type="page"/>
      </w:r>
    </w:p>
    <w:p w14:paraId="0F6F2132" w14:textId="1CE79F81" w:rsidR="00D64E4C" w:rsidRPr="00073666" w:rsidRDefault="007B547A" w:rsidP="004755CF">
      <w:pPr>
        <w:pStyle w:val="EndnoteText"/>
        <w:tabs>
          <w:tab w:val="left" w:pos="817"/>
          <w:tab w:val="left" w:pos="9603"/>
        </w:tabs>
        <w:suppressAutoHyphens/>
        <w:spacing w:after="120"/>
        <w:rPr>
          <w:rFonts w:ascii="Calibri" w:hAnsi="Calibri" w:cs="Calibri"/>
          <w:b/>
          <w:color w:val="000000" w:themeColor="text1"/>
          <w:szCs w:val="22"/>
          <w:lang w:val="en-US"/>
        </w:rPr>
      </w:pPr>
      <w:bookmarkStart w:id="1" w:name="_Toc17128375"/>
      <w:r w:rsidRPr="00073666">
        <w:rPr>
          <w:rFonts w:ascii="Calibri" w:hAnsi="Calibri" w:cs="Calibri"/>
          <w:noProof/>
          <w:lang w:val="en-US"/>
        </w:rPr>
        <w:lastRenderedPageBreak/>
        <w:drawing>
          <wp:anchor distT="0" distB="0" distL="114300" distR="114300" simplePos="0" relativeHeight="251659264" behindDoc="0" locked="0" layoutInCell="1" allowOverlap="1" wp14:anchorId="6D339DA7" wp14:editId="7439AB28">
            <wp:simplePos x="0" y="0"/>
            <wp:positionH relativeFrom="column">
              <wp:posOffset>-3175</wp:posOffset>
            </wp:positionH>
            <wp:positionV relativeFrom="paragraph">
              <wp:posOffset>558800</wp:posOffset>
            </wp:positionV>
            <wp:extent cx="6486525" cy="4418965"/>
            <wp:effectExtent l="0" t="0" r="15875" b="13335"/>
            <wp:wrapSquare wrapText="bothSides"/>
            <wp:docPr id="2" name="Chart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bookmarkEnd w:id="1"/>
      <w:r w:rsidRPr="00073666">
        <w:rPr>
          <w:rFonts w:ascii="Calibri" w:hAnsi="Calibri" w:cs="Calibri"/>
          <w:color w:val="000000" w:themeColor="text1"/>
          <w:szCs w:val="22"/>
        </w:rPr>
        <w:t xml:space="preserve"> </w:t>
      </w:r>
      <w:r w:rsidR="00D64E4C" w:rsidRPr="00073666">
        <w:rPr>
          <w:rFonts w:ascii="Calibri" w:hAnsi="Calibri" w:cs="Calibri"/>
          <w:b/>
          <w:color w:val="000000" w:themeColor="text1"/>
          <w:szCs w:val="22"/>
          <w:lang w:val="en-US"/>
        </w:rPr>
        <w:t>STUDY TIMELINES</w:t>
      </w:r>
    </w:p>
    <w:p w14:paraId="687733D4" w14:textId="312BE85D" w:rsidR="007B547A" w:rsidRPr="00073666" w:rsidRDefault="007B547A" w:rsidP="00D64E4C">
      <w:pPr>
        <w:autoSpaceDE w:val="0"/>
        <w:autoSpaceDN w:val="0"/>
        <w:adjustRightInd w:val="0"/>
        <w:rPr>
          <w:rFonts w:ascii="Calibri" w:hAnsi="Calibri" w:cs="Calibri"/>
          <w:b/>
          <w:color w:val="000000" w:themeColor="text1"/>
          <w:szCs w:val="22"/>
          <w:lang w:val="en-US"/>
        </w:rPr>
      </w:pPr>
      <w:r w:rsidRPr="00073666">
        <w:rPr>
          <w:rFonts w:ascii="Calibri" w:hAnsi="Calibri" w:cs="Calibri"/>
          <w:b/>
          <w:color w:val="000000" w:themeColor="text1"/>
          <w:szCs w:val="22"/>
        </w:rPr>
        <w:t>GANTT chart: (Phase</w:t>
      </w:r>
      <w:r w:rsidR="00950AEE" w:rsidRPr="00073666">
        <w:rPr>
          <w:rFonts w:ascii="Calibri" w:hAnsi="Calibri" w:cs="Calibri"/>
          <w:b/>
          <w:color w:val="000000" w:themeColor="text1"/>
          <w:szCs w:val="22"/>
        </w:rPr>
        <w:t>s</w:t>
      </w:r>
      <w:r w:rsidRPr="00073666">
        <w:rPr>
          <w:rFonts w:ascii="Calibri" w:hAnsi="Calibri" w:cs="Calibri"/>
          <w:b/>
          <w:color w:val="000000" w:themeColor="text1"/>
          <w:szCs w:val="22"/>
        </w:rPr>
        <w:t xml:space="preserve"> </w:t>
      </w:r>
      <w:r w:rsidR="00B24D33" w:rsidRPr="00073666">
        <w:rPr>
          <w:rFonts w:ascii="Calibri" w:hAnsi="Calibri" w:cs="Calibri"/>
          <w:b/>
          <w:color w:val="000000" w:themeColor="text1"/>
          <w:szCs w:val="22"/>
        </w:rPr>
        <w:t>I</w:t>
      </w:r>
      <w:r w:rsidR="00950AEE" w:rsidRPr="00073666">
        <w:rPr>
          <w:rFonts w:ascii="Calibri" w:hAnsi="Calibri" w:cs="Calibri"/>
          <w:b/>
          <w:color w:val="000000" w:themeColor="text1"/>
          <w:szCs w:val="22"/>
        </w:rPr>
        <w:t xml:space="preserve"> and </w:t>
      </w:r>
      <w:r w:rsidR="00B24D33" w:rsidRPr="00073666">
        <w:rPr>
          <w:rFonts w:ascii="Calibri" w:hAnsi="Calibri" w:cs="Calibri"/>
          <w:b/>
          <w:color w:val="000000" w:themeColor="text1"/>
          <w:szCs w:val="22"/>
        </w:rPr>
        <w:t>II</w:t>
      </w:r>
      <w:r w:rsidRPr="00073666">
        <w:rPr>
          <w:rFonts w:ascii="Calibri" w:hAnsi="Calibri" w:cs="Calibri"/>
          <w:b/>
          <w:color w:val="000000" w:themeColor="text1"/>
          <w:szCs w:val="22"/>
        </w:rPr>
        <w:t xml:space="preserve">) </w:t>
      </w:r>
    </w:p>
    <w:p w14:paraId="0A55EFB6" w14:textId="455A9023" w:rsidR="007B547A" w:rsidRPr="00073666" w:rsidRDefault="007B547A" w:rsidP="007B547A">
      <w:pPr>
        <w:rPr>
          <w:rFonts w:ascii="Calibri" w:hAnsi="Calibri" w:cs="Calibri"/>
          <w:color w:val="000000" w:themeColor="text1"/>
          <w:szCs w:val="22"/>
        </w:rPr>
      </w:pPr>
    </w:p>
    <w:p w14:paraId="370A14CC" w14:textId="5DC19178" w:rsidR="00D64E4C" w:rsidRPr="00073666" w:rsidRDefault="00D64E4C" w:rsidP="00D64E4C">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Phase I: Protocol development; Ethical and R&amp;D approvals; prospective enrolment of participants; data and</w:t>
      </w:r>
      <w:r w:rsidR="00A540B6" w:rsidRPr="00073666">
        <w:rPr>
          <w:rFonts w:ascii="Calibri" w:hAnsi="Calibri" w:cs="Calibri"/>
          <w:color w:val="000000" w:themeColor="text1"/>
          <w:szCs w:val="22"/>
        </w:rPr>
        <w:t xml:space="preserve"> sample collection: Sept 2019-Apr 2020 (8</w:t>
      </w:r>
      <w:r w:rsidRPr="00073666">
        <w:rPr>
          <w:rFonts w:ascii="Calibri" w:hAnsi="Calibri" w:cs="Calibri"/>
          <w:color w:val="000000" w:themeColor="text1"/>
          <w:szCs w:val="22"/>
        </w:rPr>
        <w:t xml:space="preserve"> months)</w:t>
      </w:r>
    </w:p>
    <w:p w14:paraId="18CCA5C3" w14:textId="4BD4B166" w:rsidR="00D64E4C" w:rsidRPr="00073666" w:rsidRDefault="00D64E4C" w:rsidP="00D64E4C">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Phase II: Diagnostic e</w:t>
      </w:r>
      <w:r w:rsidR="00A540B6" w:rsidRPr="00073666">
        <w:rPr>
          <w:rFonts w:ascii="Calibri" w:hAnsi="Calibri" w:cs="Calibri"/>
          <w:color w:val="000000" w:themeColor="text1"/>
          <w:szCs w:val="22"/>
        </w:rPr>
        <w:t>valuation: Apr 2020-July 2020 (4</w:t>
      </w:r>
      <w:r w:rsidRPr="00073666">
        <w:rPr>
          <w:rFonts w:ascii="Calibri" w:hAnsi="Calibri" w:cs="Calibri"/>
          <w:color w:val="000000" w:themeColor="text1"/>
          <w:szCs w:val="22"/>
        </w:rPr>
        <w:t xml:space="preserve"> months)</w:t>
      </w:r>
    </w:p>
    <w:p w14:paraId="7DFFE089" w14:textId="48B85093" w:rsidR="00D64E4C" w:rsidRPr="00073666" w:rsidRDefault="00D64E4C" w:rsidP="00D64E4C">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 xml:space="preserve">Phase III: Immunopathogenesis </w:t>
      </w:r>
      <w:proofErr w:type="spellStart"/>
      <w:r w:rsidRPr="00073666">
        <w:rPr>
          <w:rFonts w:ascii="Calibri" w:hAnsi="Calibri" w:cs="Calibri"/>
          <w:color w:val="000000" w:themeColor="text1"/>
          <w:szCs w:val="22"/>
        </w:rPr>
        <w:t>substudies</w:t>
      </w:r>
      <w:proofErr w:type="spellEnd"/>
      <w:r w:rsidRPr="00073666">
        <w:rPr>
          <w:rFonts w:ascii="Calibri" w:hAnsi="Calibri" w:cs="Calibri"/>
          <w:color w:val="000000" w:themeColor="text1"/>
          <w:szCs w:val="22"/>
        </w:rPr>
        <w:t xml:space="preserve"> Aug 2020-Jul 2022 (2 years</w:t>
      </w:r>
      <w:r w:rsidR="00A540B6" w:rsidRPr="00073666">
        <w:rPr>
          <w:rFonts w:ascii="Calibri" w:hAnsi="Calibri" w:cs="Calibri"/>
          <w:color w:val="000000" w:themeColor="text1"/>
          <w:szCs w:val="22"/>
        </w:rPr>
        <w:t>, subject to further funding</w:t>
      </w:r>
      <w:r w:rsidRPr="00073666">
        <w:rPr>
          <w:rFonts w:ascii="Calibri" w:hAnsi="Calibri" w:cs="Calibri"/>
          <w:color w:val="000000" w:themeColor="text1"/>
          <w:szCs w:val="22"/>
        </w:rPr>
        <w:t>)</w:t>
      </w:r>
    </w:p>
    <w:p w14:paraId="25F8CD20" w14:textId="7E47F479" w:rsidR="00B24D33" w:rsidRPr="00073666" w:rsidRDefault="00B24D33" w:rsidP="00D64E4C">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br w:type="page"/>
      </w:r>
    </w:p>
    <w:p w14:paraId="22B67F8B" w14:textId="4C9407B7" w:rsidR="007B547A" w:rsidRPr="00073666" w:rsidRDefault="007B547A" w:rsidP="007B547A">
      <w:pPr>
        <w:pStyle w:val="Heading1"/>
        <w:jc w:val="both"/>
        <w:rPr>
          <w:rFonts w:ascii="Calibri" w:hAnsi="Calibri" w:cs="Calibri"/>
          <w:color w:val="000000" w:themeColor="text1"/>
          <w:sz w:val="22"/>
          <w:szCs w:val="22"/>
        </w:rPr>
      </w:pPr>
      <w:r w:rsidRPr="00073666">
        <w:rPr>
          <w:rFonts w:ascii="Calibri" w:hAnsi="Calibri" w:cs="Calibri"/>
          <w:color w:val="000000" w:themeColor="text1"/>
          <w:sz w:val="22"/>
          <w:szCs w:val="22"/>
        </w:rPr>
        <w:lastRenderedPageBreak/>
        <w:t xml:space="preserve">LAY SUMMARY </w:t>
      </w:r>
    </w:p>
    <w:p w14:paraId="65F8D13E" w14:textId="77777777" w:rsidR="007B547A" w:rsidRPr="00073666" w:rsidRDefault="007B547A" w:rsidP="007B547A">
      <w:pPr>
        <w:rPr>
          <w:rFonts w:ascii="Calibri" w:hAnsi="Calibri" w:cs="Calibri"/>
        </w:rPr>
      </w:pPr>
    </w:p>
    <w:p w14:paraId="4E47C798" w14:textId="5B1EC827" w:rsidR="007B547A" w:rsidRPr="00073666" w:rsidRDefault="007B547A" w:rsidP="007B547A">
      <w:pPr>
        <w:rPr>
          <w:rFonts w:ascii="Calibri" w:hAnsi="Calibri" w:cs="Calibri"/>
          <w:bCs/>
          <w:color w:val="000000" w:themeColor="text1"/>
          <w:szCs w:val="22"/>
        </w:rPr>
      </w:pPr>
      <w:r w:rsidRPr="00073666">
        <w:rPr>
          <w:rFonts w:ascii="Calibri" w:hAnsi="Calibri" w:cs="Calibri"/>
          <w:bCs/>
          <w:color w:val="000000" w:themeColor="text1"/>
          <w:szCs w:val="22"/>
        </w:rPr>
        <w:t xml:space="preserve">Some patients with seasonal Influenza (‘flu’) develop severe infection requiring admission to the Intensive Care Unit (ICU) to support their breathing. Recent research has suggested that </w:t>
      </w:r>
      <w:proofErr w:type="gramStart"/>
      <w:r w:rsidRPr="00073666">
        <w:rPr>
          <w:rFonts w:ascii="Calibri" w:hAnsi="Calibri" w:cs="Calibri"/>
          <w:bCs/>
          <w:color w:val="000000" w:themeColor="text1"/>
          <w:szCs w:val="22"/>
        </w:rPr>
        <w:t xml:space="preserve">when </w:t>
      </w:r>
      <w:r w:rsidR="00532D37" w:rsidRPr="00073666">
        <w:rPr>
          <w:rFonts w:ascii="Calibri" w:hAnsi="Calibri" w:cs="Calibri"/>
          <w:bCs/>
          <w:color w:val="000000" w:themeColor="text1"/>
          <w:szCs w:val="22"/>
        </w:rPr>
        <w:t xml:space="preserve"> </w:t>
      </w:r>
      <w:r w:rsidRPr="00073666">
        <w:rPr>
          <w:rFonts w:ascii="Calibri" w:hAnsi="Calibri" w:cs="Calibri"/>
          <w:bCs/>
          <w:color w:val="000000" w:themeColor="text1"/>
          <w:szCs w:val="22"/>
        </w:rPr>
        <w:t>patients</w:t>
      </w:r>
      <w:proofErr w:type="gramEnd"/>
      <w:r w:rsidRPr="00073666">
        <w:rPr>
          <w:rFonts w:ascii="Calibri" w:hAnsi="Calibri" w:cs="Calibri"/>
          <w:bCs/>
          <w:color w:val="000000" w:themeColor="text1"/>
          <w:szCs w:val="22"/>
        </w:rPr>
        <w:t xml:space="preserve"> have such severe influenza they may be susceptible to a second infection with a mould (a type of fungus) called </w:t>
      </w:r>
      <w:r w:rsidRPr="00073666">
        <w:rPr>
          <w:rFonts w:ascii="Calibri" w:hAnsi="Calibri" w:cs="Calibri"/>
          <w:bCs/>
          <w:i/>
          <w:color w:val="000000" w:themeColor="text1"/>
          <w:szCs w:val="22"/>
        </w:rPr>
        <w:t>Aspergillus</w:t>
      </w:r>
      <w:r w:rsidRPr="00073666">
        <w:rPr>
          <w:rFonts w:ascii="Calibri" w:hAnsi="Calibri" w:cs="Calibri"/>
          <w:bCs/>
          <w:color w:val="000000" w:themeColor="text1"/>
          <w:szCs w:val="22"/>
        </w:rPr>
        <w:t xml:space="preserve">. The mortality for patients infected with both severe ‘flu and Invasive </w:t>
      </w:r>
      <w:r w:rsidRPr="00073666">
        <w:rPr>
          <w:rFonts w:ascii="Calibri" w:hAnsi="Calibri" w:cs="Calibri"/>
          <w:bCs/>
          <w:i/>
          <w:color w:val="000000" w:themeColor="text1"/>
          <w:szCs w:val="22"/>
        </w:rPr>
        <w:t>Aspergillus</w:t>
      </w:r>
      <w:r w:rsidRPr="00073666">
        <w:rPr>
          <w:rFonts w:ascii="Calibri" w:hAnsi="Calibri" w:cs="Calibri"/>
          <w:bCs/>
          <w:color w:val="000000" w:themeColor="text1"/>
          <w:szCs w:val="22"/>
        </w:rPr>
        <w:t xml:space="preserve"> (IA) is high but life-saving antifungal treatments exist and thus it is important that a diagnosis of IA in patients with severe influenza is not missed. Unfortunately, IA can be difficult and lengthy to diagnose in the laboratory and until recently it was only thought to occur in patients whose immune systems were severely impaired. This means that IA in patients with severe influenza may be under-diagnosed currently and the main aim of this study is to establish how common this condition is in UK patients.</w:t>
      </w:r>
    </w:p>
    <w:p w14:paraId="32C0F2BA" w14:textId="77777777" w:rsidR="007B547A" w:rsidRPr="00073666" w:rsidRDefault="007B547A" w:rsidP="007B547A">
      <w:pPr>
        <w:rPr>
          <w:rFonts w:ascii="Calibri" w:hAnsi="Calibri" w:cs="Calibri"/>
          <w:bCs/>
          <w:color w:val="000000" w:themeColor="text1"/>
          <w:szCs w:val="22"/>
        </w:rPr>
      </w:pPr>
    </w:p>
    <w:p w14:paraId="2F2CA19D" w14:textId="77777777" w:rsidR="007B547A" w:rsidRPr="00073666" w:rsidRDefault="007B547A" w:rsidP="007B547A">
      <w:pPr>
        <w:rPr>
          <w:rFonts w:ascii="Calibri" w:hAnsi="Calibri" w:cs="Calibri"/>
          <w:bCs/>
          <w:color w:val="000000" w:themeColor="text1"/>
          <w:szCs w:val="22"/>
        </w:rPr>
      </w:pPr>
      <w:r w:rsidRPr="00073666">
        <w:rPr>
          <w:rFonts w:ascii="Calibri" w:hAnsi="Calibri" w:cs="Calibri"/>
          <w:bCs/>
          <w:color w:val="000000" w:themeColor="text1"/>
          <w:szCs w:val="22"/>
        </w:rPr>
        <w:t xml:space="preserve">This study will take place across three London teaching hospitals during the 2019/2020 influenza season. It will enrol </w:t>
      </w:r>
      <w:r w:rsidRPr="00073666">
        <w:rPr>
          <w:rFonts w:ascii="Calibri" w:hAnsi="Calibri" w:cs="Calibri"/>
          <w:color w:val="000000" w:themeColor="text1"/>
          <w:szCs w:val="22"/>
        </w:rPr>
        <w:t xml:space="preserve">adults admitted to Intensive Care with severe influenza and evaluate what proportion have evidence of </w:t>
      </w:r>
      <w:r w:rsidRPr="00073666">
        <w:rPr>
          <w:rFonts w:ascii="Calibri" w:hAnsi="Calibri" w:cs="Calibri"/>
          <w:bCs/>
          <w:color w:val="000000" w:themeColor="text1"/>
          <w:szCs w:val="22"/>
        </w:rPr>
        <w:t>IA using routine diagnostic samples sent to the laboratory</w:t>
      </w:r>
      <w:r w:rsidRPr="00073666">
        <w:rPr>
          <w:rFonts w:ascii="Calibri" w:hAnsi="Calibri" w:cs="Calibri"/>
          <w:bCs/>
          <w:i/>
          <w:color w:val="000000" w:themeColor="text1"/>
          <w:szCs w:val="22"/>
        </w:rPr>
        <w:t xml:space="preserve">. </w:t>
      </w:r>
      <w:r w:rsidRPr="00073666">
        <w:rPr>
          <w:rFonts w:ascii="Calibri" w:hAnsi="Calibri" w:cs="Calibri"/>
          <w:bCs/>
          <w:color w:val="000000" w:themeColor="text1"/>
          <w:szCs w:val="22"/>
        </w:rPr>
        <w:t>Clinical information will be recorded and analysed to identify any factors that increase the risk of influenza</w:t>
      </w:r>
      <w:r w:rsidRPr="00073666">
        <w:rPr>
          <w:rFonts w:ascii="Calibri" w:hAnsi="Calibri" w:cs="Calibri"/>
          <w:bCs/>
          <w:i/>
          <w:color w:val="000000" w:themeColor="text1"/>
          <w:szCs w:val="22"/>
        </w:rPr>
        <w:t>-</w:t>
      </w:r>
      <w:r w:rsidRPr="00073666">
        <w:rPr>
          <w:rFonts w:ascii="Calibri" w:hAnsi="Calibri" w:cs="Calibri"/>
          <w:bCs/>
          <w:color w:val="000000" w:themeColor="text1"/>
          <w:szCs w:val="22"/>
        </w:rPr>
        <w:t xml:space="preserve">associated IA. </w:t>
      </w:r>
    </w:p>
    <w:p w14:paraId="5E40C7EB" w14:textId="77777777" w:rsidR="007B547A" w:rsidRPr="00073666" w:rsidRDefault="007B547A" w:rsidP="007B547A">
      <w:pPr>
        <w:rPr>
          <w:rFonts w:ascii="Calibri" w:hAnsi="Calibri" w:cs="Calibri"/>
          <w:bCs/>
          <w:color w:val="000000" w:themeColor="text1"/>
          <w:szCs w:val="22"/>
        </w:rPr>
      </w:pPr>
    </w:p>
    <w:p w14:paraId="764271F0" w14:textId="77777777" w:rsidR="007B547A" w:rsidRPr="00073666" w:rsidRDefault="007B547A" w:rsidP="007B547A">
      <w:pPr>
        <w:rPr>
          <w:rFonts w:ascii="Calibri" w:hAnsi="Calibri" w:cs="Calibri"/>
          <w:bCs/>
          <w:color w:val="000000" w:themeColor="text1"/>
          <w:szCs w:val="22"/>
        </w:rPr>
      </w:pPr>
      <w:r w:rsidRPr="00073666">
        <w:rPr>
          <w:rFonts w:ascii="Calibri" w:hAnsi="Calibri" w:cs="Calibri"/>
          <w:bCs/>
          <w:color w:val="000000" w:themeColor="text1"/>
          <w:szCs w:val="22"/>
        </w:rPr>
        <w:t xml:space="preserve">Ventilated patients with severe lung infection often have a procedure called a bronchoscopy where a small camera is used to look inside the lungs and flush through a small volume of fluid (bronchoalveolar lavage, BAL) to send to the local Microbiology laboratory to diagnose the cause of the infection. </w:t>
      </w:r>
    </w:p>
    <w:p w14:paraId="6E19EFC8" w14:textId="77777777" w:rsidR="007B547A" w:rsidRPr="00073666" w:rsidRDefault="007B547A" w:rsidP="007B547A">
      <w:pPr>
        <w:rPr>
          <w:rFonts w:ascii="Calibri" w:hAnsi="Calibri" w:cs="Calibri"/>
          <w:bCs/>
          <w:color w:val="000000" w:themeColor="text1"/>
          <w:szCs w:val="22"/>
        </w:rPr>
      </w:pPr>
    </w:p>
    <w:p w14:paraId="7410C590" w14:textId="10545C34" w:rsidR="007B547A" w:rsidRPr="00073666" w:rsidRDefault="007B547A" w:rsidP="007B547A">
      <w:pPr>
        <w:rPr>
          <w:rFonts w:ascii="Calibri" w:hAnsi="Calibri" w:cs="Calibri"/>
          <w:bCs/>
          <w:color w:val="000000" w:themeColor="text1"/>
          <w:szCs w:val="22"/>
        </w:rPr>
      </w:pPr>
      <w:r w:rsidRPr="00073666">
        <w:rPr>
          <w:rFonts w:ascii="Calibri" w:hAnsi="Calibri" w:cs="Calibri"/>
          <w:bCs/>
          <w:color w:val="000000" w:themeColor="text1"/>
          <w:szCs w:val="22"/>
        </w:rPr>
        <w:t>Following informed consent, this study will store</w:t>
      </w:r>
      <w:r w:rsidR="00460E41" w:rsidRPr="00073666">
        <w:rPr>
          <w:rFonts w:ascii="Calibri" w:hAnsi="Calibri" w:cs="Calibri"/>
          <w:bCs/>
          <w:color w:val="000000" w:themeColor="text1"/>
          <w:szCs w:val="22"/>
        </w:rPr>
        <w:t xml:space="preserve"> surplus </w:t>
      </w:r>
      <w:r w:rsidRPr="00073666">
        <w:rPr>
          <w:rFonts w:ascii="Calibri" w:hAnsi="Calibri" w:cs="Calibri"/>
          <w:bCs/>
          <w:color w:val="000000" w:themeColor="text1"/>
          <w:szCs w:val="22"/>
        </w:rPr>
        <w:t xml:space="preserve">BAL samples from patients, and later use them to evaluate a new test called the </w:t>
      </w:r>
      <w:r w:rsidRPr="00073666">
        <w:rPr>
          <w:rFonts w:ascii="Calibri" w:hAnsi="Calibri" w:cs="Calibri"/>
          <w:color w:val="000000" w:themeColor="text1"/>
          <w:szCs w:val="22"/>
        </w:rPr>
        <w:t>Aspergillus Lateral Flow Device (</w:t>
      </w:r>
      <w:proofErr w:type="spellStart"/>
      <w:r w:rsidRPr="00073666">
        <w:rPr>
          <w:rFonts w:ascii="Calibri" w:hAnsi="Calibri" w:cs="Calibri"/>
          <w:color w:val="000000" w:themeColor="text1"/>
          <w:szCs w:val="22"/>
        </w:rPr>
        <w:t>AspLFD</w:t>
      </w:r>
      <w:proofErr w:type="spellEnd"/>
      <w:r w:rsidRPr="00073666">
        <w:rPr>
          <w:rFonts w:ascii="Calibri" w:hAnsi="Calibri" w:cs="Calibri"/>
          <w:color w:val="000000" w:themeColor="text1"/>
          <w:szCs w:val="22"/>
        </w:rPr>
        <w:t>). This test is very quick and has the potential, if found to be useful, to be incorporated into clinical guidelines to make the diagnosis of IA in ICU much easier.</w:t>
      </w:r>
      <w:r w:rsidRPr="00073666">
        <w:rPr>
          <w:rFonts w:ascii="Calibri" w:hAnsi="Calibri" w:cs="Calibri"/>
          <w:bCs/>
          <w:color w:val="000000" w:themeColor="text1"/>
          <w:szCs w:val="22"/>
        </w:rPr>
        <w:t xml:space="preserve"> As well as left-over BAL samples, blood samples from patients will also be stored for later immune and immunogenetic studies, to help us understand why certain patients with influenza might be at greater risk of developing IA.</w:t>
      </w:r>
    </w:p>
    <w:p w14:paraId="42781388" w14:textId="12DB1201" w:rsidR="007B547A" w:rsidRPr="00073666" w:rsidRDefault="007B547A" w:rsidP="007B547A">
      <w:pPr>
        <w:spacing w:after="200" w:line="276" w:lineRule="auto"/>
        <w:rPr>
          <w:rFonts w:ascii="Calibri" w:hAnsi="Calibri" w:cs="Calibri"/>
          <w:color w:val="000000" w:themeColor="text1"/>
          <w:szCs w:val="22"/>
        </w:rPr>
      </w:pPr>
    </w:p>
    <w:p w14:paraId="794E5959" w14:textId="4DC692E2" w:rsidR="007B547A" w:rsidRPr="00073666" w:rsidRDefault="007B547A" w:rsidP="007B547A">
      <w:pPr>
        <w:spacing w:after="200" w:line="276" w:lineRule="auto"/>
        <w:rPr>
          <w:rFonts w:ascii="Calibri" w:hAnsi="Calibri" w:cs="Calibri"/>
          <w:color w:val="000000" w:themeColor="text1"/>
          <w:szCs w:val="22"/>
        </w:rPr>
      </w:pPr>
    </w:p>
    <w:p w14:paraId="55FDC323" w14:textId="30478B11" w:rsidR="007B547A" w:rsidRPr="00073666" w:rsidRDefault="007B547A" w:rsidP="007B547A">
      <w:pPr>
        <w:spacing w:after="200" w:line="276" w:lineRule="auto"/>
        <w:rPr>
          <w:rFonts w:ascii="Calibri" w:hAnsi="Calibri" w:cs="Calibri"/>
          <w:color w:val="000000" w:themeColor="text1"/>
          <w:szCs w:val="22"/>
        </w:rPr>
      </w:pPr>
    </w:p>
    <w:p w14:paraId="43AEEA09" w14:textId="28553376" w:rsidR="00B24D33" w:rsidRPr="00073666" w:rsidRDefault="00B24D33" w:rsidP="007B547A">
      <w:pPr>
        <w:spacing w:after="200" w:line="276" w:lineRule="auto"/>
        <w:rPr>
          <w:rFonts w:ascii="Calibri" w:hAnsi="Calibri" w:cs="Calibri"/>
          <w:color w:val="000000" w:themeColor="text1"/>
          <w:szCs w:val="22"/>
        </w:rPr>
      </w:pPr>
    </w:p>
    <w:p w14:paraId="67A407B0" w14:textId="1AC7D244" w:rsidR="00B24D33" w:rsidRPr="00073666" w:rsidRDefault="00B24D33" w:rsidP="007B547A">
      <w:pPr>
        <w:spacing w:after="200" w:line="276" w:lineRule="auto"/>
        <w:rPr>
          <w:rFonts w:ascii="Calibri" w:hAnsi="Calibri" w:cs="Calibri"/>
          <w:color w:val="000000" w:themeColor="text1"/>
          <w:szCs w:val="22"/>
        </w:rPr>
      </w:pPr>
    </w:p>
    <w:p w14:paraId="7EDA40AF" w14:textId="77777777" w:rsidR="00B24D33" w:rsidRPr="00073666" w:rsidRDefault="00B24D33" w:rsidP="007B547A">
      <w:pPr>
        <w:spacing w:after="200" w:line="276" w:lineRule="auto"/>
        <w:rPr>
          <w:rFonts w:ascii="Calibri" w:hAnsi="Calibri" w:cs="Calibri"/>
          <w:color w:val="000000" w:themeColor="text1"/>
          <w:szCs w:val="22"/>
        </w:rPr>
      </w:pPr>
    </w:p>
    <w:p w14:paraId="4CD52FCF" w14:textId="3AFA52CE" w:rsidR="003F1F6E" w:rsidRPr="00073666" w:rsidRDefault="00B24D33" w:rsidP="00B24D33">
      <w:pPr>
        <w:spacing w:after="200" w:line="276" w:lineRule="auto"/>
        <w:rPr>
          <w:rFonts w:ascii="Calibri" w:hAnsi="Calibri" w:cs="Calibri"/>
          <w:color w:val="000000" w:themeColor="text1"/>
          <w:szCs w:val="22"/>
        </w:rPr>
      </w:pPr>
      <w:r w:rsidRPr="00073666">
        <w:rPr>
          <w:rFonts w:ascii="Calibri" w:hAnsi="Calibri" w:cs="Calibri"/>
          <w:color w:val="000000" w:themeColor="text1"/>
          <w:szCs w:val="22"/>
        </w:rPr>
        <w:br w:type="page"/>
      </w:r>
    </w:p>
    <w:tbl>
      <w:tblPr>
        <w:tblpPr w:leftFromText="180" w:rightFromText="180" w:vertAnchor="text" w:horzAnchor="margin"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8505"/>
      </w:tblGrid>
      <w:tr w:rsidR="003C7C88" w:rsidRPr="00073666" w14:paraId="48AE12F4" w14:textId="77777777" w:rsidTr="000F6C81">
        <w:trPr>
          <w:trHeight w:val="93"/>
        </w:trPr>
        <w:tc>
          <w:tcPr>
            <w:tcW w:w="9918" w:type="dxa"/>
            <w:gridSpan w:val="2"/>
            <w:shd w:val="clear" w:color="auto" w:fill="C0504D" w:themeFill="accent2"/>
          </w:tcPr>
          <w:p w14:paraId="2998096B" w14:textId="77777777" w:rsidR="003C7C88" w:rsidRPr="00073666" w:rsidRDefault="003C7C88" w:rsidP="003F1F6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FFFFFF" w:themeColor="background1"/>
                <w:szCs w:val="22"/>
              </w:rPr>
            </w:pPr>
            <w:r w:rsidRPr="00073666">
              <w:rPr>
                <w:rFonts w:ascii="Calibri" w:hAnsi="Calibri" w:cs="Calibri"/>
                <w:b/>
                <w:bCs/>
                <w:color w:val="FFFFFF" w:themeColor="background1"/>
                <w:szCs w:val="22"/>
              </w:rPr>
              <w:lastRenderedPageBreak/>
              <w:t>ABBREVIATIONS</w:t>
            </w:r>
          </w:p>
        </w:tc>
      </w:tr>
      <w:tr w:rsidR="000F6C81" w:rsidRPr="00073666" w14:paraId="3C2D48E2" w14:textId="77777777" w:rsidTr="000F6C81">
        <w:trPr>
          <w:trHeight w:val="104"/>
        </w:trPr>
        <w:tc>
          <w:tcPr>
            <w:tcW w:w="1413" w:type="dxa"/>
            <w:vAlign w:val="center"/>
          </w:tcPr>
          <w:p w14:paraId="0B21120F" w14:textId="770F0A73"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proofErr w:type="spellStart"/>
            <w:r w:rsidRPr="00073666">
              <w:rPr>
                <w:rFonts w:ascii="Calibri" w:hAnsi="Calibri" w:cs="Calibri"/>
                <w:color w:val="000000" w:themeColor="text1"/>
                <w:szCs w:val="22"/>
              </w:rPr>
              <w:t>AspICU</w:t>
            </w:r>
            <w:proofErr w:type="spellEnd"/>
          </w:p>
        </w:tc>
        <w:tc>
          <w:tcPr>
            <w:tcW w:w="8505" w:type="dxa"/>
            <w:vAlign w:val="center"/>
          </w:tcPr>
          <w:p w14:paraId="0EBE78CF" w14:textId="4C2C3F14"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 xml:space="preserve">Diagnostic criteria for invasive pulmonary aspergillosis in intensive care </w:t>
            </w:r>
          </w:p>
        </w:tc>
      </w:tr>
      <w:tr w:rsidR="000F6C81" w:rsidRPr="00073666" w14:paraId="3827BA29" w14:textId="77777777" w:rsidTr="000F6C81">
        <w:trPr>
          <w:trHeight w:val="104"/>
        </w:trPr>
        <w:tc>
          <w:tcPr>
            <w:tcW w:w="1413" w:type="dxa"/>
            <w:vAlign w:val="center"/>
          </w:tcPr>
          <w:p w14:paraId="5FDDAE75" w14:textId="587CC89E"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CI</w:t>
            </w:r>
          </w:p>
        </w:tc>
        <w:tc>
          <w:tcPr>
            <w:tcW w:w="8505" w:type="dxa"/>
            <w:vAlign w:val="center"/>
          </w:tcPr>
          <w:p w14:paraId="567A980B" w14:textId="462933E2"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Chief Investigator</w:t>
            </w:r>
          </w:p>
        </w:tc>
      </w:tr>
      <w:tr w:rsidR="000F6C81" w:rsidRPr="00073666" w14:paraId="7FF3EA3D" w14:textId="77777777" w:rsidTr="000F6C81">
        <w:trPr>
          <w:trHeight w:val="104"/>
        </w:trPr>
        <w:tc>
          <w:tcPr>
            <w:tcW w:w="1413" w:type="dxa"/>
            <w:vAlign w:val="center"/>
          </w:tcPr>
          <w:p w14:paraId="1DAA9322" w14:textId="35B840D1"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CT</w:t>
            </w:r>
          </w:p>
        </w:tc>
        <w:tc>
          <w:tcPr>
            <w:tcW w:w="8505" w:type="dxa"/>
            <w:vAlign w:val="center"/>
          </w:tcPr>
          <w:p w14:paraId="33DB5260" w14:textId="789B51FD"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Computed Tomography</w:t>
            </w:r>
          </w:p>
        </w:tc>
      </w:tr>
      <w:tr w:rsidR="000F6C81" w:rsidRPr="00073666" w14:paraId="0725ADB2" w14:textId="77777777" w:rsidTr="000F6C81">
        <w:trPr>
          <w:trHeight w:val="104"/>
        </w:trPr>
        <w:tc>
          <w:tcPr>
            <w:tcW w:w="1413" w:type="dxa"/>
            <w:vAlign w:val="center"/>
          </w:tcPr>
          <w:p w14:paraId="5F6FBCB2" w14:textId="79A53C5C"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ECDC</w:t>
            </w:r>
          </w:p>
        </w:tc>
        <w:tc>
          <w:tcPr>
            <w:tcW w:w="8505" w:type="dxa"/>
            <w:vAlign w:val="center"/>
          </w:tcPr>
          <w:p w14:paraId="5CA6D426" w14:textId="53099386"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noProof/>
                <w:color w:val="000000" w:themeColor="text1"/>
                <w:szCs w:val="22"/>
                <w:lang w:val="en-US"/>
              </w:rPr>
              <w:t>European Centre for Disease Prevention and Control</w:t>
            </w:r>
          </w:p>
        </w:tc>
      </w:tr>
      <w:tr w:rsidR="000F6C81" w:rsidRPr="00073666" w14:paraId="0986B9F1" w14:textId="77777777" w:rsidTr="000F6C81">
        <w:trPr>
          <w:trHeight w:val="104"/>
        </w:trPr>
        <w:tc>
          <w:tcPr>
            <w:tcW w:w="1413" w:type="dxa"/>
            <w:vAlign w:val="center"/>
          </w:tcPr>
          <w:p w14:paraId="169AAD35" w14:textId="316D707E"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ECMO</w:t>
            </w:r>
          </w:p>
        </w:tc>
        <w:tc>
          <w:tcPr>
            <w:tcW w:w="8505" w:type="dxa"/>
            <w:vAlign w:val="center"/>
          </w:tcPr>
          <w:p w14:paraId="46F39422" w14:textId="4E81726E"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Extra Corporeal Membrane Oxygenation</w:t>
            </w:r>
          </w:p>
        </w:tc>
      </w:tr>
      <w:tr w:rsidR="000F6C81" w:rsidRPr="00073666" w14:paraId="0A54E18D" w14:textId="77777777" w:rsidTr="000F6C81">
        <w:trPr>
          <w:trHeight w:val="104"/>
        </w:trPr>
        <w:tc>
          <w:tcPr>
            <w:tcW w:w="1413" w:type="dxa"/>
            <w:vAlign w:val="center"/>
          </w:tcPr>
          <w:p w14:paraId="71035BE2" w14:textId="570FCBF0"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EIA</w:t>
            </w:r>
          </w:p>
        </w:tc>
        <w:tc>
          <w:tcPr>
            <w:tcW w:w="8505" w:type="dxa"/>
            <w:vAlign w:val="center"/>
          </w:tcPr>
          <w:p w14:paraId="28E8E98F" w14:textId="140F9832"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E</w:t>
            </w:r>
            <w:r w:rsidRPr="00073666">
              <w:rPr>
                <w:rFonts w:ascii="Calibri" w:hAnsi="Calibri" w:cs="Calibri"/>
                <w:color w:val="000000" w:themeColor="text1"/>
                <w:szCs w:val="22"/>
                <w:shd w:val="clear" w:color="auto" w:fill="FFFFFF"/>
              </w:rPr>
              <w:t>nzyme-linked immunosorbent assay (EIA)</w:t>
            </w:r>
          </w:p>
        </w:tc>
      </w:tr>
      <w:tr w:rsidR="000F6C81" w:rsidRPr="00073666" w14:paraId="78C296A1" w14:textId="77777777" w:rsidTr="000F6C81">
        <w:trPr>
          <w:trHeight w:val="104"/>
        </w:trPr>
        <w:tc>
          <w:tcPr>
            <w:tcW w:w="1413" w:type="dxa"/>
            <w:vAlign w:val="center"/>
          </w:tcPr>
          <w:p w14:paraId="1C34DE25" w14:textId="354E801F"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EORTC</w:t>
            </w:r>
          </w:p>
        </w:tc>
        <w:tc>
          <w:tcPr>
            <w:tcW w:w="8505" w:type="dxa"/>
            <w:vAlign w:val="center"/>
          </w:tcPr>
          <w:p w14:paraId="333AFB2C" w14:textId="1F95E374"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bCs/>
                <w:color w:val="000000" w:themeColor="text1"/>
                <w:szCs w:val="22"/>
              </w:rPr>
              <w:t>European Organization for Research and Treatment of Cancer/Invasive Fungal Infections Cooperative Group</w:t>
            </w:r>
          </w:p>
        </w:tc>
      </w:tr>
      <w:tr w:rsidR="000F6C81" w:rsidRPr="00073666" w14:paraId="5DBD1D6E" w14:textId="77777777" w:rsidTr="000F6C81">
        <w:trPr>
          <w:trHeight w:val="104"/>
        </w:trPr>
        <w:tc>
          <w:tcPr>
            <w:tcW w:w="1413" w:type="dxa"/>
            <w:vAlign w:val="center"/>
          </w:tcPr>
          <w:p w14:paraId="52374029" w14:textId="5443A9D6"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GCP</w:t>
            </w:r>
          </w:p>
        </w:tc>
        <w:tc>
          <w:tcPr>
            <w:tcW w:w="8505" w:type="dxa"/>
            <w:vAlign w:val="center"/>
          </w:tcPr>
          <w:p w14:paraId="2CA55510" w14:textId="42D768A2"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Good Clinical Practice</w:t>
            </w:r>
          </w:p>
        </w:tc>
      </w:tr>
      <w:tr w:rsidR="000F6C81" w:rsidRPr="00073666" w14:paraId="7ABA9F62" w14:textId="77777777" w:rsidTr="000F6C81">
        <w:trPr>
          <w:trHeight w:val="104"/>
        </w:trPr>
        <w:tc>
          <w:tcPr>
            <w:tcW w:w="1413" w:type="dxa"/>
            <w:vAlign w:val="center"/>
          </w:tcPr>
          <w:p w14:paraId="2C9DF841" w14:textId="5CD5EC49"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GP</w:t>
            </w:r>
          </w:p>
        </w:tc>
        <w:tc>
          <w:tcPr>
            <w:tcW w:w="8505" w:type="dxa"/>
            <w:vAlign w:val="center"/>
          </w:tcPr>
          <w:p w14:paraId="4349A137" w14:textId="15D699C5"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General Practitioner</w:t>
            </w:r>
          </w:p>
        </w:tc>
      </w:tr>
      <w:tr w:rsidR="000F6C81" w:rsidRPr="00073666" w14:paraId="60EFFD9D" w14:textId="77777777" w:rsidTr="000F6C81">
        <w:trPr>
          <w:trHeight w:val="104"/>
        </w:trPr>
        <w:tc>
          <w:tcPr>
            <w:tcW w:w="1413" w:type="dxa"/>
            <w:vAlign w:val="center"/>
          </w:tcPr>
          <w:p w14:paraId="3BFB1598" w14:textId="64D5C799"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HRA</w:t>
            </w:r>
          </w:p>
        </w:tc>
        <w:tc>
          <w:tcPr>
            <w:tcW w:w="8505" w:type="dxa"/>
            <w:vAlign w:val="center"/>
          </w:tcPr>
          <w:p w14:paraId="2A783758" w14:textId="785718C9"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Health Research Authority</w:t>
            </w:r>
          </w:p>
        </w:tc>
      </w:tr>
      <w:tr w:rsidR="000F6C81" w:rsidRPr="00073666" w14:paraId="6517D031" w14:textId="77777777" w:rsidTr="000F6C81">
        <w:trPr>
          <w:trHeight w:val="104"/>
        </w:trPr>
        <w:tc>
          <w:tcPr>
            <w:tcW w:w="1413" w:type="dxa"/>
            <w:vAlign w:val="center"/>
          </w:tcPr>
          <w:p w14:paraId="0A91CE2A" w14:textId="405EDFEA"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HSCT</w:t>
            </w:r>
          </w:p>
        </w:tc>
        <w:tc>
          <w:tcPr>
            <w:tcW w:w="8505" w:type="dxa"/>
            <w:vAlign w:val="center"/>
          </w:tcPr>
          <w:p w14:paraId="169ECC7F" w14:textId="12C0E875"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lang w:val="en-US" w:eastAsia="en-GB"/>
              </w:rPr>
              <w:t>Hematopoietic stem cell transplantation</w:t>
            </w:r>
          </w:p>
        </w:tc>
      </w:tr>
      <w:tr w:rsidR="000F6C81" w:rsidRPr="00073666" w14:paraId="6D9BDD7D" w14:textId="77777777" w:rsidTr="000F6C81">
        <w:trPr>
          <w:trHeight w:val="104"/>
        </w:trPr>
        <w:tc>
          <w:tcPr>
            <w:tcW w:w="1413" w:type="dxa"/>
            <w:vAlign w:val="center"/>
          </w:tcPr>
          <w:p w14:paraId="1D59626D" w14:textId="0DA278D2"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ICU</w:t>
            </w:r>
          </w:p>
        </w:tc>
        <w:tc>
          <w:tcPr>
            <w:tcW w:w="8505" w:type="dxa"/>
            <w:vAlign w:val="center"/>
          </w:tcPr>
          <w:p w14:paraId="0921B7FB" w14:textId="2D01B920"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Intensive Care Unit</w:t>
            </w:r>
          </w:p>
        </w:tc>
      </w:tr>
      <w:tr w:rsidR="000F6C81" w:rsidRPr="00073666" w14:paraId="58CBDB2A" w14:textId="77777777" w:rsidTr="000F6C81">
        <w:trPr>
          <w:trHeight w:val="104"/>
        </w:trPr>
        <w:tc>
          <w:tcPr>
            <w:tcW w:w="1413" w:type="dxa"/>
            <w:vAlign w:val="center"/>
          </w:tcPr>
          <w:p w14:paraId="2A12978A" w14:textId="3627DA3D"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IDSA</w:t>
            </w:r>
          </w:p>
        </w:tc>
        <w:tc>
          <w:tcPr>
            <w:tcW w:w="8505" w:type="dxa"/>
            <w:vAlign w:val="center"/>
          </w:tcPr>
          <w:p w14:paraId="264C50FE" w14:textId="31EC394B"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Style w:val="Emphasis"/>
                <w:rFonts w:ascii="Calibri" w:eastAsiaTheme="majorEastAsia" w:hAnsi="Calibri" w:cs="Calibri"/>
                <w:bCs/>
                <w:i w:val="0"/>
                <w:iCs w:val="0"/>
                <w:color w:val="000000" w:themeColor="text1"/>
                <w:szCs w:val="22"/>
              </w:rPr>
              <w:t>Infectious Diseases Society</w:t>
            </w:r>
            <w:r w:rsidRPr="00073666">
              <w:rPr>
                <w:rStyle w:val="apple-converted-space"/>
                <w:rFonts w:ascii="Calibri" w:eastAsiaTheme="majorEastAsia" w:hAnsi="Calibri" w:cs="Calibri"/>
                <w:color w:val="000000" w:themeColor="text1"/>
                <w:szCs w:val="22"/>
                <w:shd w:val="clear" w:color="auto" w:fill="FFFFFF"/>
              </w:rPr>
              <w:t> </w:t>
            </w:r>
            <w:r w:rsidRPr="00073666">
              <w:rPr>
                <w:rFonts w:ascii="Calibri" w:hAnsi="Calibri" w:cs="Calibri"/>
                <w:color w:val="000000" w:themeColor="text1"/>
                <w:szCs w:val="22"/>
                <w:shd w:val="clear" w:color="auto" w:fill="FFFFFF"/>
              </w:rPr>
              <w:t>of America</w:t>
            </w:r>
          </w:p>
        </w:tc>
      </w:tr>
      <w:tr w:rsidR="000F6C81" w:rsidRPr="00073666" w14:paraId="2E0EC677" w14:textId="77777777" w:rsidTr="000F6C81">
        <w:trPr>
          <w:trHeight w:val="104"/>
        </w:trPr>
        <w:tc>
          <w:tcPr>
            <w:tcW w:w="1413" w:type="dxa"/>
            <w:vAlign w:val="center"/>
          </w:tcPr>
          <w:p w14:paraId="15E3CFE0" w14:textId="4E5EB1A3"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IA</w:t>
            </w:r>
          </w:p>
        </w:tc>
        <w:tc>
          <w:tcPr>
            <w:tcW w:w="8505" w:type="dxa"/>
            <w:vAlign w:val="center"/>
          </w:tcPr>
          <w:p w14:paraId="5FAA9479" w14:textId="21D18751"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Invasive aspergillosis</w:t>
            </w:r>
          </w:p>
        </w:tc>
      </w:tr>
      <w:tr w:rsidR="000F6C81" w:rsidRPr="00073666" w14:paraId="2473C75A" w14:textId="77777777" w:rsidTr="000F6C81">
        <w:trPr>
          <w:trHeight w:val="104"/>
        </w:trPr>
        <w:tc>
          <w:tcPr>
            <w:tcW w:w="1413" w:type="dxa"/>
            <w:vAlign w:val="center"/>
          </w:tcPr>
          <w:p w14:paraId="30AC9917" w14:textId="7E4104BD"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IAA</w:t>
            </w:r>
          </w:p>
        </w:tc>
        <w:tc>
          <w:tcPr>
            <w:tcW w:w="8505" w:type="dxa"/>
            <w:vAlign w:val="center"/>
          </w:tcPr>
          <w:p w14:paraId="6879D1D5" w14:textId="1F5FD075"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Influenza-associated aspergillosis</w:t>
            </w:r>
          </w:p>
        </w:tc>
      </w:tr>
      <w:tr w:rsidR="000F6C81" w:rsidRPr="00073666" w14:paraId="477E6210" w14:textId="77777777" w:rsidTr="000F6C81">
        <w:trPr>
          <w:trHeight w:val="104"/>
        </w:trPr>
        <w:tc>
          <w:tcPr>
            <w:tcW w:w="1413" w:type="dxa"/>
            <w:vAlign w:val="center"/>
          </w:tcPr>
          <w:p w14:paraId="111123A9" w14:textId="39CCCD7B"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IPA</w:t>
            </w:r>
          </w:p>
        </w:tc>
        <w:tc>
          <w:tcPr>
            <w:tcW w:w="8505" w:type="dxa"/>
            <w:vAlign w:val="center"/>
          </w:tcPr>
          <w:p w14:paraId="5991BFF8" w14:textId="00F3AB46"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Invasive pulmonary aspergillosis</w:t>
            </w:r>
          </w:p>
        </w:tc>
      </w:tr>
      <w:tr w:rsidR="000F6C81" w:rsidRPr="00073666" w14:paraId="5CB7295A" w14:textId="77777777" w:rsidTr="000F6C81">
        <w:trPr>
          <w:trHeight w:val="104"/>
        </w:trPr>
        <w:tc>
          <w:tcPr>
            <w:tcW w:w="1413" w:type="dxa"/>
          </w:tcPr>
          <w:p w14:paraId="45F90E4F" w14:textId="1EFE49C3"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szCs w:val="22"/>
              </w:rPr>
              <w:t>JRES</w:t>
            </w:r>
          </w:p>
        </w:tc>
        <w:tc>
          <w:tcPr>
            <w:tcW w:w="8505" w:type="dxa"/>
          </w:tcPr>
          <w:p w14:paraId="7EA6B693" w14:textId="1C609390"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szCs w:val="22"/>
              </w:rPr>
              <w:t>(St Georges) Joint Research and Enterprise Services</w:t>
            </w:r>
          </w:p>
        </w:tc>
      </w:tr>
      <w:tr w:rsidR="000F6C81" w:rsidRPr="00073666" w14:paraId="41A9205D" w14:textId="77777777" w:rsidTr="000F6C81">
        <w:trPr>
          <w:trHeight w:val="104"/>
        </w:trPr>
        <w:tc>
          <w:tcPr>
            <w:tcW w:w="1413" w:type="dxa"/>
            <w:vAlign w:val="center"/>
          </w:tcPr>
          <w:p w14:paraId="111FA301" w14:textId="4009B27F"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MSG</w:t>
            </w:r>
          </w:p>
        </w:tc>
        <w:tc>
          <w:tcPr>
            <w:tcW w:w="8505" w:type="dxa"/>
            <w:vAlign w:val="center"/>
          </w:tcPr>
          <w:p w14:paraId="05BD13B1" w14:textId="4F1196A7"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National Institute of Allergy and Infectious Disease Mycoses Study Group</w:t>
            </w:r>
          </w:p>
        </w:tc>
      </w:tr>
      <w:tr w:rsidR="000F6C81" w:rsidRPr="00073666" w14:paraId="6065EC8C" w14:textId="77777777" w:rsidTr="000F6C81">
        <w:trPr>
          <w:trHeight w:val="104"/>
        </w:trPr>
        <w:tc>
          <w:tcPr>
            <w:tcW w:w="1413" w:type="dxa"/>
            <w:vAlign w:val="center"/>
          </w:tcPr>
          <w:p w14:paraId="7E526812" w14:textId="70CD6506"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NHS</w:t>
            </w:r>
          </w:p>
        </w:tc>
        <w:tc>
          <w:tcPr>
            <w:tcW w:w="8505" w:type="dxa"/>
            <w:vAlign w:val="center"/>
          </w:tcPr>
          <w:p w14:paraId="3A6F719A" w14:textId="12A987A6"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National Health Service</w:t>
            </w:r>
          </w:p>
        </w:tc>
      </w:tr>
      <w:tr w:rsidR="000F6C81" w:rsidRPr="00073666" w14:paraId="64DB12B9" w14:textId="77777777" w:rsidTr="000F6C81">
        <w:trPr>
          <w:trHeight w:val="104"/>
        </w:trPr>
        <w:tc>
          <w:tcPr>
            <w:tcW w:w="1413" w:type="dxa"/>
            <w:vAlign w:val="center"/>
          </w:tcPr>
          <w:p w14:paraId="542D3F2F" w14:textId="0CC5B783"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NPV</w:t>
            </w:r>
          </w:p>
        </w:tc>
        <w:tc>
          <w:tcPr>
            <w:tcW w:w="8505" w:type="dxa"/>
            <w:vAlign w:val="center"/>
          </w:tcPr>
          <w:p w14:paraId="66DDC4FD" w14:textId="181DC5A7"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Negative predictive value</w:t>
            </w:r>
          </w:p>
        </w:tc>
      </w:tr>
      <w:tr w:rsidR="000F6C81" w:rsidRPr="00073666" w14:paraId="292F1617" w14:textId="77777777" w:rsidTr="000F6C81">
        <w:trPr>
          <w:trHeight w:val="104"/>
        </w:trPr>
        <w:tc>
          <w:tcPr>
            <w:tcW w:w="1413" w:type="dxa"/>
            <w:vAlign w:val="center"/>
          </w:tcPr>
          <w:p w14:paraId="42B5466A" w14:textId="49345FD3"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PCR</w:t>
            </w:r>
          </w:p>
        </w:tc>
        <w:tc>
          <w:tcPr>
            <w:tcW w:w="8505" w:type="dxa"/>
            <w:vAlign w:val="center"/>
          </w:tcPr>
          <w:p w14:paraId="3F5B35E3" w14:textId="794CF86B"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 xml:space="preserve">Polymerase chain reaction </w:t>
            </w:r>
          </w:p>
        </w:tc>
      </w:tr>
      <w:tr w:rsidR="000F6C81" w:rsidRPr="00073666" w14:paraId="4C27D705" w14:textId="77777777" w:rsidTr="000F6C81">
        <w:trPr>
          <w:trHeight w:val="104"/>
        </w:trPr>
        <w:tc>
          <w:tcPr>
            <w:tcW w:w="1413" w:type="dxa"/>
            <w:vAlign w:val="center"/>
          </w:tcPr>
          <w:p w14:paraId="2524C908" w14:textId="18E307C0"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PHE</w:t>
            </w:r>
          </w:p>
        </w:tc>
        <w:tc>
          <w:tcPr>
            <w:tcW w:w="8505" w:type="dxa"/>
            <w:vAlign w:val="center"/>
          </w:tcPr>
          <w:p w14:paraId="0F41034A" w14:textId="58AD135C"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 xml:space="preserve">Public Health England </w:t>
            </w:r>
          </w:p>
        </w:tc>
      </w:tr>
      <w:tr w:rsidR="000F6C81" w:rsidRPr="00073666" w14:paraId="147FE614" w14:textId="77777777" w:rsidTr="000F6C81">
        <w:trPr>
          <w:trHeight w:val="104"/>
        </w:trPr>
        <w:tc>
          <w:tcPr>
            <w:tcW w:w="1413" w:type="dxa"/>
            <w:vAlign w:val="center"/>
          </w:tcPr>
          <w:p w14:paraId="7E57A3D2" w14:textId="02CC9C9F"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PI</w:t>
            </w:r>
          </w:p>
        </w:tc>
        <w:tc>
          <w:tcPr>
            <w:tcW w:w="8505" w:type="dxa"/>
            <w:vAlign w:val="center"/>
          </w:tcPr>
          <w:p w14:paraId="03349D37" w14:textId="7EA13E53"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Principal Investigator</w:t>
            </w:r>
          </w:p>
        </w:tc>
      </w:tr>
      <w:tr w:rsidR="000F6C81" w:rsidRPr="00073666" w14:paraId="0C46A65A" w14:textId="77777777" w:rsidTr="000F6C81">
        <w:trPr>
          <w:trHeight w:val="104"/>
        </w:trPr>
        <w:tc>
          <w:tcPr>
            <w:tcW w:w="1413" w:type="dxa"/>
            <w:vAlign w:val="center"/>
          </w:tcPr>
          <w:p w14:paraId="298EB5FD" w14:textId="0AE0E9B3"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PIS</w:t>
            </w:r>
          </w:p>
        </w:tc>
        <w:tc>
          <w:tcPr>
            <w:tcW w:w="8505" w:type="dxa"/>
            <w:vAlign w:val="center"/>
          </w:tcPr>
          <w:p w14:paraId="62E87E6A" w14:textId="71721FA9"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Patient Information Sheet</w:t>
            </w:r>
          </w:p>
        </w:tc>
      </w:tr>
      <w:tr w:rsidR="000F6C81" w:rsidRPr="00073666" w14:paraId="7563610E" w14:textId="77777777" w:rsidTr="000F6C81">
        <w:trPr>
          <w:trHeight w:val="104"/>
        </w:trPr>
        <w:tc>
          <w:tcPr>
            <w:tcW w:w="1413" w:type="dxa"/>
            <w:vAlign w:val="center"/>
          </w:tcPr>
          <w:p w14:paraId="76B991E8" w14:textId="423599F8"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POC</w:t>
            </w:r>
          </w:p>
        </w:tc>
        <w:tc>
          <w:tcPr>
            <w:tcW w:w="8505" w:type="dxa"/>
            <w:vAlign w:val="center"/>
          </w:tcPr>
          <w:p w14:paraId="481F5742" w14:textId="1D609770"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Point of care</w:t>
            </w:r>
          </w:p>
        </w:tc>
      </w:tr>
      <w:tr w:rsidR="000F6C81" w:rsidRPr="00073666" w14:paraId="1FD3C9FF" w14:textId="77777777" w:rsidTr="000F6C81">
        <w:trPr>
          <w:trHeight w:val="104"/>
        </w:trPr>
        <w:tc>
          <w:tcPr>
            <w:tcW w:w="1413" w:type="dxa"/>
            <w:vAlign w:val="center"/>
          </w:tcPr>
          <w:p w14:paraId="5A23A4C1" w14:textId="1D9E5D16"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POCT</w:t>
            </w:r>
          </w:p>
        </w:tc>
        <w:tc>
          <w:tcPr>
            <w:tcW w:w="8505" w:type="dxa"/>
            <w:vAlign w:val="center"/>
          </w:tcPr>
          <w:p w14:paraId="247461AC" w14:textId="5F65CDB6"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Point of care test</w:t>
            </w:r>
          </w:p>
        </w:tc>
      </w:tr>
      <w:tr w:rsidR="000F6C81" w:rsidRPr="00073666" w14:paraId="316A7196" w14:textId="77777777" w:rsidTr="000F6C81">
        <w:trPr>
          <w:trHeight w:val="104"/>
        </w:trPr>
        <w:tc>
          <w:tcPr>
            <w:tcW w:w="1413" w:type="dxa"/>
            <w:vAlign w:val="center"/>
          </w:tcPr>
          <w:p w14:paraId="563BB544" w14:textId="5F91AC36"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PPV</w:t>
            </w:r>
          </w:p>
        </w:tc>
        <w:tc>
          <w:tcPr>
            <w:tcW w:w="8505" w:type="dxa"/>
            <w:vAlign w:val="center"/>
          </w:tcPr>
          <w:p w14:paraId="4BA5C459" w14:textId="72887F70"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Positive predictive value</w:t>
            </w:r>
          </w:p>
        </w:tc>
      </w:tr>
      <w:tr w:rsidR="000F6C81" w:rsidRPr="00073666" w14:paraId="608D459C" w14:textId="77777777" w:rsidTr="000F6C81">
        <w:trPr>
          <w:trHeight w:val="104"/>
        </w:trPr>
        <w:tc>
          <w:tcPr>
            <w:tcW w:w="1413" w:type="dxa"/>
            <w:vAlign w:val="center"/>
          </w:tcPr>
          <w:p w14:paraId="63504619" w14:textId="798DD422"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PRR</w:t>
            </w:r>
          </w:p>
        </w:tc>
        <w:tc>
          <w:tcPr>
            <w:tcW w:w="8505" w:type="dxa"/>
            <w:vAlign w:val="center"/>
          </w:tcPr>
          <w:p w14:paraId="199E14B6" w14:textId="511024A5"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eastAsiaTheme="minorHAnsi" w:hAnsi="Calibri" w:cs="Calibri"/>
                <w:color w:val="000000" w:themeColor="text1"/>
                <w:szCs w:val="22"/>
                <w:lang w:val="en-US"/>
              </w:rPr>
              <w:t>Pattern-recognition receptor</w:t>
            </w:r>
          </w:p>
        </w:tc>
      </w:tr>
      <w:tr w:rsidR="000F6C81" w:rsidRPr="00073666" w14:paraId="255F6CB0" w14:textId="77777777" w:rsidTr="000F6C81">
        <w:trPr>
          <w:trHeight w:val="104"/>
        </w:trPr>
        <w:tc>
          <w:tcPr>
            <w:tcW w:w="1413" w:type="dxa"/>
            <w:vAlign w:val="center"/>
          </w:tcPr>
          <w:p w14:paraId="41177BA0" w14:textId="735AB75D"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PBMC</w:t>
            </w:r>
          </w:p>
        </w:tc>
        <w:tc>
          <w:tcPr>
            <w:tcW w:w="8505" w:type="dxa"/>
            <w:vAlign w:val="center"/>
          </w:tcPr>
          <w:p w14:paraId="3CEE848A" w14:textId="7A395A6D"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Peripheral Blood Mononuclear Cell</w:t>
            </w:r>
          </w:p>
        </w:tc>
      </w:tr>
      <w:tr w:rsidR="000F6C81" w:rsidRPr="00073666" w14:paraId="2F88B5A4" w14:textId="77777777" w:rsidTr="000F6C81">
        <w:trPr>
          <w:trHeight w:val="104"/>
        </w:trPr>
        <w:tc>
          <w:tcPr>
            <w:tcW w:w="1413" w:type="dxa"/>
            <w:vAlign w:val="center"/>
          </w:tcPr>
          <w:p w14:paraId="56244D9A" w14:textId="054EFA51"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PSN</w:t>
            </w:r>
          </w:p>
        </w:tc>
        <w:tc>
          <w:tcPr>
            <w:tcW w:w="8505" w:type="dxa"/>
            <w:vAlign w:val="center"/>
          </w:tcPr>
          <w:p w14:paraId="49C1EC07" w14:textId="41E5AC80"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Participant Study Number</w:t>
            </w:r>
          </w:p>
        </w:tc>
      </w:tr>
      <w:tr w:rsidR="000F6C81" w:rsidRPr="00073666" w14:paraId="1E9E8E2C" w14:textId="77777777" w:rsidTr="000F6C81">
        <w:trPr>
          <w:trHeight w:val="104"/>
        </w:trPr>
        <w:tc>
          <w:tcPr>
            <w:tcW w:w="1413" w:type="dxa"/>
            <w:vAlign w:val="center"/>
          </w:tcPr>
          <w:p w14:paraId="79E653E2" w14:textId="23177162"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RCT</w:t>
            </w:r>
          </w:p>
        </w:tc>
        <w:tc>
          <w:tcPr>
            <w:tcW w:w="8505" w:type="dxa"/>
            <w:vAlign w:val="center"/>
          </w:tcPr>
          <w:p w14:paraId="142D0827" w14:textId="55658FFF"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eastAsiaTheme="minorHAnsi" w:hAnsi="Calibri" w:cs="Calibri"/>
                <w:color w:val="000000" w:themeColor="text1"/>
                <w:szCs w:val="22"/>
              </w:rPr>
              <w:t>Randomised control trials</w:t>
            </w:r>
          </w:p>
        </w:tc>
      </w:tr>
      <w:tr w:rsidR="000F6C81" w:rsidRPr="00073666" w14:paraId="64925E53" w14:textId="77777777" w:rsidTr="000F6C81">
        <w:trPr>
          <w:trHeight w:val="104"/>
        </w:trPr>
        <w:tc>
          <w:tcPr>
            <w:tcW w:w="1413" w:type="dxa"/>
            <w:vAlign w:val="center"/>
          </w:tcPr>
          <w:p w14:paraId="52979411" w14:textId="345209D8"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REC</w:t>
            </w:r>
          </w:p>
        </w:tc>
        <w:tc>
          <w:tcPr>
            <w:tcW w:w="8505" w:type="dxa"/>
            <w:vAlign w:val="center"/>
          </w:tcPr>
          <w:p w14:paraId="1C18200D" w14:textId="4A508600"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Research Ethics Committee</w:t>
            </w:r>
          </w:p>
        </w:tc>
      </w:tr>
      <w:tr w:rsidR="000F6C81" w:rsidRPr="00073666" w14:paraId="554403EF" w14:textId="77777777" w:rsidTr="000F6C81">
        <w:trPr>
          <w:trHeight w:val="104"/>
        </w:trPr>
        <w:tc>
          <w:tcPr>
            <w:tcW w:w="1413" w:type="dxa"/>
            <w:vAlign w:val="center"/>
          </w:tcPr>
          <w:p w14:paraId="2C21996B" w14:textId="0E31825F"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RES</w:t>
            </w:r>
          </w:p>
        </w:tc>
        <w:tc>
          <w:tcPr>
            <w:tcW w:w="8505" w:type="dxa"/>
            <w:vAlign w:val="center"/>
          </w:tcPr>
          <w:p w14:paraId="20075B3D" w14:textId="1C633E38"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Research Ethics Service</w:t>
            </w:r>
          </w:p>
        </w:tc>
      </w:tr>
      <w:tr w:rsidR="000F6C81" w:rsidRPr="00073666" w14:paraId="67FB7A8F" w14:textId="77777777" w:rsidTr="000F6C81">
        <w:trPr>
          <w:trHeight w:val="104"/>
        </w:trPr>
        <w:tc>
          <w:tcPr>
            <w:tcW w:w="1413" w:type="dxa"/>
            <w:vAlign w:val="center"/>
          </w:tcPr>
          <w:p w14:paraId="662B60FD" w14:textId="2656BDAA"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R&amp;D</w:t>
            </w:r>
          </w:p>
        </w:tc>
        <w:tc>
          <w:tcPr>
            <w:tcW w:w="8505" w:type="dxa"/>
            <w:vAlign w:val="center"/>
          </w:tcPr>
          <w:p w14:paraId="2934C1CC" w14:textId="68B6FBFF"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 xml:space="preserve">NHS Trust Research &amp; Development Department </w:t>
            </w:r>
          </w:p>
        </w:tc>
      </w:tr>
      <w:tr w:rsidR="000F6C81" w:rsidRPr="00073666" w14:paraId="4492ABCE" w14:textId="77777777" w:rsidTr="000F6C81">
        <w:trPr>
          <w:trHeight w:val="104"/>
        </w:trPr>
        <w:tc>
          <w:tcPr>
            <w:tcW w:w="1413" w:type="dxa"/>
          </w:tcPr>
          <w:p w14:paraId="5C44698B" w14:textId="4EEE4C4A"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szCs w:val="22"/>
              </w:rPr>
              <w:t>SGUL</w:t>
            </w:r>
          </w:p>
        </w:tc>
        <w:tc>
          <w:tcPr>
            <w:tcW w:w="8505" w:type="dxa"/>
          </w:tcPr>
          <w:p w14:paraId="4791EF35" w14:textId="26F186E1"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szCs w:val="22"/>
              </w:rPr>
              <w:t>St Georges, University of London</w:t>
            </w:r>
          </w:p>
        </w:tc>
      </w:tr>
      <w:tr w:rsidR="000F6C81" w:rsidRPr="00073666" w14:paraId="2DAD61E5" w14:textId="77777777" w:rsidTr="000F6C81">
        <w:trPr>
          <w:trHeight w:val="104"/>
        </w:trPr>
        <w:tc>
          <w:tcPr>
            <w:tcW w:w="1413" w:type="dxa"/>
          </w:tcPr>
          <w:p w14:paraId="3051DBF8" w14:textId="1AD030F8"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szCs w:val="22"/>
              </w:rPr>
              <w:t>SGHFT</w:t>
            </w:r>
          </w:p>
        </w:tc>
        <w:tc>
          <w:tcPr>
            <w:tcW w:w="8505" w:type="dxa"/>
          </w:tcPr>
          <w:p w14:paraId="4F709914" w14:textId="3FF35BA8"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szCs w:val="22"/>
              </w:rPr>
              <w:t>St Georges, University Hospitals NHS Foundation Trust</w:t>
            </w:r>
          </w:p>
        </w:tc>
      </w:tr>
      <w:tr w:rsidR="000F6C81" w:rsidRPr="00073666" w14:paraId="233F693A" w14:textId="77777777" w:rsidTr="000F6C81">
        <w:trPr>
          <w:trHeight w:val="104"/>
        </w:trPr>
        <w:tc>
          <w:tcPr>
            <w:tcW w:w="1413" w:type="dxa"/>
            <w:vAlign w:val="center"/>
          </w:tcPr>
          <w:p w14:paraId="6F91488F" w14:textId="76101365"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SOP</w:t>
            </w:r>
          </w:p>
        </w:tc>
        <w:tc>
          <w:tcPr>
            <w:tcW w:w="8505" w:type="dxa"/>
            <w:vAlign w:val="center"/>
          </w:tcPr>
          <w:p w14:paraId="339982E5" w14:textId="61C501F3"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Standard Operating Procedure</w:t>
            </w:r>
          </w:p>
        </w:tc>
      </w:tr>
      <w:tr w:rsidR="000F6C81" w:rsidRPr="00073666" w14:paraId="6BA2001C" w14:textId="77777777" w:rsidTr="000F6C81">
        <w:trPr>
          <w:trHeight w:val="104"/>
        </w:trPr>
        <w:tc>
          <w:tcPr>
            <w:tcW w:w="1413" w:type="dxa"/>
            <w:vAlign w:val="center"/>
          </w:tcPr>
          <w:p w14:paraId="52B4AE56" w14:textId="5DE8B5A5"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SRF</w:t>
            </w:r>
          </w:p>
        </w:tc>
        <w:tc>
          <w:tcPr>
            <w:tcW w:w="8505" w:type="dxa"/>
            <w:vAlign w:val="center"/>
          </w:tcPr>
          <w:p w14:paraId="7890F207" w14:textId="438D6A23" w:rsidR="000F6C81" w:rsidRPr="00073666" w:rsidRDefault="000F6C81" w:rsidP="000F6C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r w:rsidRPr="00073666">
              <w:rPr>
                <w:rFonts w:ascii="Calibri" w:hAnsi="Calibri" w:cs="Calibri"/>
                <w:color w:val="000000" w:themeColor="text1"/>
                <w:szCs w:val="22"/>
              </w:rPr>
              <w:t>Severe Respiratory Failure</w:t>
            </w:r>
          </w:p>
        </w:tc>
      </w:tr>
    </w:tbl>
    <w:p w14:paraId="70EDB481" w14:textId="77777777" w:rsidR="000F6C81" w:rsidRPr="00073666" w:rsidRDefault="000F6C81"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szCs w:val="22"/>
        </w:rPr>
      </w:pPr>
    </w:p>
    <w:p w14:paraId="36F292EC" w14:textId="5D6DCB74" w:rsidR="00760261" w:rsidRPr="00073666" w:rsidRDefault="00760261">
      <w:pPr>
        <w:rPr>
          <w:rFonts w:ascii="Calibri" w:hAnsi="Calibri" w:cs="Calibri"/>
          <w:szCs w:val="22"/>
        </w:rPr>
      </w:pPr>
      <w:r w:rsidRPr="00073666">
        <w:rPr>
          <w:rFonts w:ascii="Calibri" w:hAnsi="Calibri" w:cs="Calibri"/>
          <w:szCs w:val="22"/>
        </w:rPr>
        <w:br w:type="page"/>
      </w:r>
    </w:p>
    <w:p w14:paraId="3FFBFDBE" w14:textId="77777777" w:rsidR="00475FDA" w:rsidRPr="00073666" w:rsidRDefault="00475FDA" w:rsidP="00042EF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jc w:val="center"/>
        <w:rPr>
          <w:rFonts w:ascii="Calibri" w:hAnsi="Calibri" w:cs="Calibri"/>
          <w:b/>
          <w:u w:val="single"/>
        </w:rPr>
      </w:pPr>
      <w:r w:rsidRPr="00073666">
        <w:rPr>
          <w:rFonts w:ascii="Calibri" w:hAnsi="Calibri" w:cs="Calibri"/>
          <w:b/>
        </w:rPr>
        <w:lastRenderedPageBreak/>
        <w:t>STUDY PROTOCOL</w:t>
      </w:r>
    </w:p>
    <w:p w14:paraId="24C8C16B" w14:textId="25E1F7AB" w:rsidR="003802A1" w:rsidRPr="00073666" w:rsidRDefault="005A7CCC" w:rsidP="00042EF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jc w:val="center"/>
        <w:rPr>
          <w:rFonts w:ascii="Calibri" w:hAnsi="Calibri" w:cs="Calibri"/>
          <w:b/>
          <w:color w:val="000000" w:themeColor="text1"/>
        </w:rPr>
      </w:pPr>
      <w:r w:rsidRPr="00073666">
        <w:rPr>
          <w:rFonts w:ascii="Calibri" w:hAnsi="Calibri" w:cs="Calibri"/>
          <w:b/>
          <w:bCs/>
          <w:color w:val="000000" w:themeColor="text1"/>
        </w:rPr>
        <w:t>Incidence and pathogenesis of Invasive Aspergillosis in Intensive care patients with severe Influenza</w:t>
      </w:r>
      <w:r w:rsidRPr="00073666">
        <w:rPr>
          <w:rFonts w:ascii="Calibri" w:hAnsi="Calibri" w:cs="Calibri"/>
          <w:b/>
          <w:color w:val="000000" w:themeColor="text1"/>
        </w:rPr>
        <w:t xml:space="preserve"> (</w:t>
      </w:r>
      <w:proofErr w:type="spellStart"/>
      <w:r w:rsidRPr="00073666">
        <w:rPr>
          <w:rFonts w:ascii="Calibri" w:hAnsi="Calibri" w:cs="Calibri"/>
          <w:b/>
          <w:color w:val="000000" w:themeColor="text1"/>
        </w:rPr>
        <w:t>AspiFlu</w:t>
      </w:r>
      <w:proofErr w:type="spellEnd"/>
      <w:r w:rsidRPr="00073666">
        <w:rPr>
          <w:rFonts w:ascii="Calibri" w:hAnsi="Calibri" w:cs="Calibri"/>
          <w:b/>
          <w:color w:val="000000" w:themeColor="text1"/>
        </w:rPr>
        <w:t>)</w:t>
      </w:r>
    </w:p>
    <w:p w14:paraId="68E73230" w14:textId="77777777" w:rsidR="005A7CCC" w:rsidRPr="00073666" w:rsidRDefault="005A7CCC"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Calibri" w:hAnsi="Calibri" w:cs="Calibri"/>
          <w:color w:val="0000FF"/>
          <w:szCs w:val="22"/>
        </w:rPr>
      </w:pPr>
    </w:p>
    <w:p w14:paraId="44B0DA79" w14:textId="5B05274D" w:rsidR="00475FDA" w:rsidRPr="00073666" w:rsidRDefault="00475FDA" w:rsidP="003802A1">
      <w:pPr>
        <w:pStyle w:val="Heading1"/>
        <w:spacing w:before="0" w:after="120"/>
        <w:rPr>
          <w:rFonts w:ascii="Calibri" w:hAnsi="Calibri" w:cs="Calibri"/>
          <w:color w:val="auto"/>
          <w:sz w:val="24"/>
          <w:szCs w:val="24"/>
        </w:rPr>
      </w:pPr>
      <w:r w:rsidRPr="00073666">
        <w:rPr>
          <w:rFonts w:ascii="Calibri" w:hAnsi="Calibri" w:cs="Calibri"/>
          <w:color w:val="auto"/>
          <w:sz w:val="24"/>
          <w:szCs w:val="24"/>
        </w:rPr>
        <w:t>1</w:t>
      </w:r>
      <w:r w:rsidRPr="00073666">
        <w:rPr>
          <w:rFonts w:ascii="Calibri" w:hAnsi="Calibri" w:cs="Calibri"/>
          <w:color w:val="auto"/>
          <w:sz w:val="24"/>
          <w:szCs w:val="24"/>
        </w:rPr>
        <w:tab/>
        <w:t>BACKGROUND</w:t>
      </w:r>
    </w:p>
    <w:p w14:paraId="6FC1A86F" w14:textId="77777777" w:rsidR="00065E52" w:rsidRPr="00073666" w:rsidRDefault="00065E52" w:rsidP="00065E52">
      <w:pPr>
        <w:rPr>
          <w:rFonts w:ascii="Calibri" w:hAnsi="Calibri" w:cs="Calibri"/>
        </w:rPr>
      </w:pPr>
    </w:p>
    <w:p w14:paraId="6D344F08" w14:textId="6DB68A5D" w:rsidR="00042EF4" w:rsidRPr="00073666" w:rsidRDefault="00065E52" w:rsidP="00042EF4">
      <w:pPr>
        <w:pStyle w:val="ListParagraph"/>
        <w:numPr>
          <w:ilvl w:val="1"/>
          <w:numId w:val="38"/>
        </w:numPr>
        <w:rPr>
          <w:rFonts w:ascii="Calibri" w:hAnsi="Calibri" w:cs="Calibri"/>
          <w:b/>
        </w:rPr>
      </w:pPr>
      <w:r w:rsidRPr="00073666">
        <w:rPr>
          <w:rFonts w:ascii="Calibri" w:hAnsi="Calibri" w:cs="Calibri"/>
          <w:b/>
        </w:rPr>
        <w:t>Background</w:t>
      </w:r>
    </w:p>
    <w:p w14:paraId="15EDC5D5" w14:textId="77777777" w:rsidR="00065E52" w:rsidRPr="00073666" w:rsidRDefault="00065E52" w:rsidP="00065E52">
      <w:pPr>
        <w:rPr>
          <w:rFonts w:ascii="Calibri" w:hAnsi="Calibri" w:cs="Calibri"/>
          <w:b/>
          <w:color w:val="000000" w:themeColor="text1"/>
          <w:szCs w:val="22"/>
        </w:rPr>
      </w:pPr>
      <w:r w:rsidRPr="00073666">
        <w:rPr>
          <w:rFonts w:ascii="Calibri" w:hAnsi="Calibri" w:cs="Calibri"/>
          <w:b/>
          <w:color w:val="000000" w:themeColor="text1"/>
          <w:szCs w:val="22"/>
        </w:rPr>
        <w:t>Severe Influenza</w:t>
      </w:r>
    </w:p>
    <w:p w14:paraId="5DCB359F" w14:textId="0346FBD7" w:rsidR="00065E52" w:rsidRPr="00073666" w:rsidRDefault="00065E52" w:rsidP="00065E52">
      <w:pPr>
        <w:rPr>
          <w:rFonts w:ascii="Calibri" w:hAnsi="Calibri" w:cs="Calibri"/>
          <w:b/>
          <w:color w:val="000000" w:themeColor="text1"/>
          <w:szCs w:val="22"/>
        </w:rPr>
      </w:pPr>
      <w:r w:rsidRPr="00073666">
        <w:rPr>
          <w:rFonts w:ascii="Calibri" w:hAnsi="Calibri" w:cs="Calibri"/>
          <w:color w:val="000000" w:themeColor="text1"/>
          <w:szCs w:val="22"/>
          <w:lang w:val="en-US"/>
        </w:rPr>
        <w:t xml:space="preserve">Every winter approximately 5-10% of adults </w:t>
      </w:r>
      <w:proofErr w:type="spellStart"/>
      <w:r w:rsidRPr="00073666">
        <w:rPr>
          <w:rFonts w:ascii="Calibri" w:hAnsi="Calibri" w:cs="Calibri"/>
          <w:color w:val="000000" w:themeColor="text1"/>
          <w:szCs w:val="22"/>
          <w:lang w:val="en-US"/>
        </w:rPr>
        <w:t>hospitalised</w:t>
      </w:r>
      <w:proofErr w:type="spellEnd"/>
      <w:r w:rsidRPr="00073666">
        <w:rPr>
          <w:rFonts w:ascii="Calibri" w:hAnsi="Calibri" w:cs="Calibri"/>
          <w:color w:val="000000" w:themeColor="text1"/>
          <w:szCs w:val="22"/>
          <w:lang w:val="en-US"/>
        </w:rPr>
        <w:t xml:space="preserve"> with influenza develop severe infection requiring admission to an intensive care unit (ICU) for respiratory support</w:t>
      </w:r>
      <w:r w:rsidRPr="00073666">
        <w:rPr>
          <w:rFonts w:ascii="Calibri" w:eastAsiaTheme="minorHAnsi" w:hAnsi="Calibri" w:cs="Calibri"/>
          <w:color w:val="000000" w:themeColor="text1"/>
          <w:szCs w:val="22"/>
          <w:lang w:val="en-US"/>
        </w:rPr>
        <w:fldChar w:fldCharType="begin" w:fldLock="1"/>
      </w:r>
      <w:r w:rsidRPr="00073666">
        <w:rPr>
          <w:rFonts w:ascii="Calibri" w:eastAsiaTheme="minorHAnsi" w:hAnsi="Calibri" w:cs="Calibri"/>
          <w:color w:val="000000" w:themeColor="text1"/>
          <w:szCs w:val="22"/>
          <w:lang w:val="en-US"/>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eastAsiaTheme="minorHAnsi" w:hAnsi="Calibri" w:cs="Calibri"/>
          <w:color w:val="000000" w:themeColor="text1"/>
          <w:szCs w:val="22"/>
          <w:lang w:val="en-US"/>
        </w:rPr>
        <w:fldChar w:fldCharType="separate"/>
      </w:r>
      <w:r w:rsidRPr="00073666">
        <w:rPr>
          <w:rFonts w:ascii="Calibri" w:eastAsiaTheme="minorHAnsi" w:hAnsi="Calibri" w:cs="Calibri"/>
          <w:noProof/>
          <w:color w:val="000000" w:themeColor="text1"/>
          <w:szCs w:val="22"/>
          <w:lang w:val="en-US"/>
        </w:rPr>
        <w:t>[1]</w:t>
      </w:r>
      <w:r w:rsidRPr="00073666">
        <w:rPr>
          <w:rFonts w:ascii="Calibri" w:eastAsiaTheme="minorHAnsi" w:hAnsi="Calibri" w:cs="Calibri"/>
          <w:color w:val="000000" w:themeColor="text1"/>
          <w:szCs w:val="22"/>
          <w:lang w:val="en-US"/>
        </w:rPr>
        <w:fldChar w:fldCharType="end"/>
      </w:r>
      <w:r w:rsidRPr="00073666">
        <w:rPr>
          <w:rFonts w:ascii="Calibri" w:eastAsiaTheme="minorHAnsi" w:hAnsi="Calibri" w:cs="Calibri"/>
          <w:color w:val="000000" w:themeColor="text1"/>
          <w:szCs w:val="22"/>
          <w:lang w:val="en-US"/>
        </w:rPr>
        <w:t>.</w:t>
      </w:r>
      <w:r w:rsidRPr="00073666">
        <w:rPr>
          <w:rFonts w:ascii="Calibri" w:hAnsi="Calibri" w:cs="Calibri"/>
          <w:color w:val="000000" w:themeColor="text1"/>
          <w:szCs w:val="22"/>
          <w:lang w:val="en-US"/>
        </w:rPr>
        <w:t xml:space="preserve"> </w:t>
      </w:r>
      <w:r w:rsidRPr="00073666">
        <w:rPr>
          <w:rFonts w:ascii="Calibri" w:hAnsi="Calibri" w:cs="Calibri"/>
          <w:color w:val="000000" w:themeColor="text1"/>
          <w:szCs w:val="22"/>
        </w:rPr>
        <w:t>During the 2018/2019 influenza season 3,157 influenza patients were admitted to ICUs across the United Kingdom (UK)</w:t>
      </w:r>
      <w:r w:rsidRPr="00073666">
        <w:rPr>
          <w:rFonts w:ascii="Calibri" w:eastAsiaTheme="minorHAnsi" w:hAnsi="Calibri" w:cs="Calibri"/>
          <w:color w:val="000000" w:themeColor="text1"/>
          <w:szCs w:val="22"/>
          <w:lang w:val="en-US"/>
        </w:rPr>
        <w:fldChar w:fldCharType="begin" w:fldLock="1"/>
      </w:r>
      <w:r w:rsidRPr="00073666">
        <w:rPr>
          <w:rFonts w:ascii="Calibri" w:eastAsiaTheme="minorHAnsi" w:hAnsi="Calibri" w:cs="Calibri"/>
          <w:color w:val="000000" w:themeColor="text1"/>
          <w:szCs w:val="22"/>
          <w:lang w:val="en-US"/>
        </w:rPr>
        <w:instrText>ADDIN CSL_CITATION {"citationItems":[{"id":"ITEM-1","itemData":{"author":[{"dropping-particle":"","family":"Public Health England (PHE)","given":"","non-dropping-particle":"","parse-names":false,"suffix":""}],"id":"ITEM-1","issued":{"date-parts":[["2019"]]},"number-of-pages":"1-57","title":"Surveillance of influenza and other respiratory viruses in the United Kingdom: Winter 2018 to 2019","type":"report"},"uris":["http://www.mendeley.com/documents/?uuid=472841a2-87b9-4a83-8581-5614b092bca8"]}],"mendeley":{"formattedCitation":"[2]","plainTextFormattedCitation":"[2]","previouslyFormattedCitation":"[2]"},"properties":{"noteIndex":0},"schema":"https://github.com/citation-style-language/schema/raw/master/csl-citation.json"}</w:instrText>
      </w:r>
      <w:r w:rsidRPr="00073666">
        <w:rPr>
          <w:rFonts w:ascii="Calibri" w:eastAsiaTheme="minorHAnsi" w:hAnsi="Calibri" w:cs="Calibri"/>
          <w:color w:val="000000" w:themeColor="text1"/>
          <w:szCs w:val="22"/>
          <w:lang w:val="en-US"/>
        </w:rPr>
        <w:fldChar w:fldCharType="separate"/>
      </w:r>
      <w:r w:rsidRPr="00073666">
        <w:rPr>
          <w:rFonts w:ascii="Calibri" w:eastAsiaTheme="minorHAnsi" w:hAnsi="Calibri" w:cs="Calibri"/>
          <w:noProof/>
          <w:color w:val="000000" w:themeColor="text1"/>
          <w:szCs w:val="22"/>
          <w:lang w:val="en-US"/>
        </w:rPr>
        <w:t>[2]</w:t>
      </w:r>
      <w:r w:rsidRPr="00073666">
        <w:rPr>
          <w:rFonts w:ascii="Calibri" w:eastAsiaTheme="minorHAnsi" w:hAnsi="Calibri" w:cs="Calibri"/>
          <w:color w:val="000000" w:themeColor="text1"/>
          <w:szCs w:val="22"/>
          <w:lang w:val="en-US"/>
        </w:rPr>
        <w:fldChar w:fldCharType="end"/>
      </w:r>
      <w:r w:rsidRPr="00073666">
        <w:rPr>
          <w:rFonts w:ascii="Calibri" w:eastAsiaTheme="minorHAnsi" w:hAnsi="Calibri" w:cs="Calibri"/>
          <w:color w:val="000000" w:themeColor="text1"/>
          <w:szCs w:val="22"/>
          <w:lang w:val="en-US"/>
        </w:rPr>
        <w:t>.</w:t>
      </w:r>
      <w:r w:rsidRPr="00073666">
        <w:rPr>
          <w:rFonts w:ascii="Calibri" w:hAnsi="Calibri" w:cs="Calibri"/>
          <w:color w:val="000000" w:themeColor="text1"/>
          <w:szCs w:val="22"/>
        </w:rPr>
        <w:t xml:space="preserve"> The case-fatality rate for these patients was 9.3%, highlighting that severe influenza is both common and deadly</w:t>
      </w:r>
      <w:r w:rsidR="00CD09A9" w:rsidRPr="00073666">
        <w:rPr>
          <w:rFonts w:ascii="Calibri" w:eastAsiaTheme="minorHAnsi" w:hAnsi="Calibri" w:cs="Calibri"/>
          <w:color w:val="000000" w:themeColor="text1"/>
          <w:szCs w:val="22"/>
          <w:lang w:val="en-US"/>
        </w:rPr>
        <w:fldChar w:fldCharType="begin" w:fldLock="1"/>
      </w:r>
      <w:r w:rsidR="00CD09A9" w:rsidRPr="00073666">
        <w:rPr>
          <w:rFonts w:ascii="Calibri" w:eastAsiaTheme="minorHAnsi" w:hAnsi="Calibri" w:cs="Calibri"/>
          <w:color w:val="000000" w:themeColor="text1"/>
          <w:szCs w:val="22"/>
          <w:lang w:val="en-US"/>
        </w:rPr>
        <w:instrText>ADDIN CSL_CITATION {"citationItems":[{"id":"ITEM-1","itemData":{"author":[{"dropping-particle":"","family":"Public Health England (PHE)","given":"","non-dropping-particle":"","parse-names":false,"suffix":""}],"id":"ITEM-1","issued":{"date-parts":[["2019"]]},"number-of-pages":"1-57","title":"Surveillance of influenza and other respiratory viruses in the United Kingdom: Winter 2018 to 2019","type":"report"},"uris":["http://www.mendeley.com/documents/?uuid=472841a2-87b9-4a83-8581-5614b092bca8"]}],"mendeley":{"formattedCitation":"[2]","plainTextFormattedCitation":"[2]","previouslyFormattedCitation":"[2]"},"properties":{"noteIndex":0},"schema":"https://github.com/citation-style-language/schema/raw/master/csl-citation.json"}</w:instrText>
      </w:r>
      <w:r w:rsidR="00CD09A9" w:rsidRPr="00073666">
        <w:rPr>
          <w:rFonts w:ascii="Calibri" w:eastAsiaTheme="minorHAnsi" w:hAnsi="Calibri" w:cs="Calibri"/>
          <w:color w:val="000000" w:themeColor="text1"/>
          <w:szCs w:val="22"/>
          <w:lang w:val="en-US"/>
        </w:rPr>
        <w:fldChar w:fldCharType="separate"/>
      </w:r>
      <w:r w:rsidR="00CD09A9" w:rsidRPr="00073666">
        <w:rPr>
          <w:rFonts w:ascii="Calibri" w:eastAsiaTheme="minorHAnsi" w:hAnsi="Calibri" w:cs="Calibri"/>
          <w:noProof/>
          <w:color w:val="000000" w:themeColor="text1"/>
          <w:szCs w:val="22"/>
          <w:lang w:val="en-US"/>
        </w:rPr>
        <w:t>[2]</w:t>
      </w:r>
      <w:r w:rsidR="00CD09A9" w:rsidRPr="00073666">
        <w:rPr>
          <w:rFonts w:ascii="Calibri" w:eastAsiaTheme="minorHAnsi" w:hAnsi="Calibri" w:cs="Calibri"/>
          <w:color w:val="000000" w:themeColor="text1"/>
          <w:szCs w:val="22"/>
          <w:lang w:val="en-US"/>
        </w:rPr>
        <w:fldChar w:fldCharType="end"/>
      </w:r>
      <w:r w:rsidRPr="00073666">
        <w:rPr>
          <w:rFonts w:ascii="Calibri" w:hAnsi="Calibri" w:cs="Calibri"/>
          <w:color w:val="000000" w:themeColor="text1"/>
          <w:szCs w:val="22"/>
        </w:rPr>
        <w:t>.</w:t>
      </w:r>
    </w:p>
    <w:p w14:paraId="57D50C45" w14:textId="77777777" w:rsidR="00065E52" w:rsidRPr="00073666" w:rsidRDefault="00065E52" w:rsidP="00065E52">
      <w:pPr>
        <w:autoSpaceDE w:val="0"/>
        <w:autoSpaceDN w:val="0"/>
        <w:adjustRightInd w:val="0"/>
        <w:rPr>
          <w:rFonts w:ascii="Calibri" w:hAnsi="Calibri" w:cs="Calibri"/>
          <w:color w:val="000000" w:themeColor="text1"/>
          <w:szCs w:val="22"/>
        </w:rPr>
      </w:pPr>
    </w:p>
    <w:p w14:paraId="2344A868" w14:textId="77777777" w:rsidR="00065E52" w:rsidRPr="00073666" w:rsidRDefault="00065E52" w:rsidP="00065E52">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 xml:space="preserve">The most severely ill patients with influenza are transferred to ‘Severe Respiratory Failure’ (SRF) centres for consideration of ‘Extra Corporeal Membrane Oxygenation’ (ECMO) – a technique that artificially oxygenates the blood outside of the body. There were 96 patients referred to a total of 5 units in England and Scotland last year. The mortality for ECMO patients is higher than those on a standard ICU; 37.1% in one meta-analysis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{"citationItems":[{"id":"ITEM-1","itemData":{"DOI":"10.4103/0971-9784.197820","ISSN":"0971-9784","abstract":"© 2017 Annals of Cardiac Anaesthesia Published by Wolters Kluwer - Medknow. Introduction: Extracorporeal membrane oxygenation (ECMO) has been extensively used for potentially reversible acute respiratory failure associated with severe influenza A (H1N1) pneumonia; however, it remains an expensive, resource-intensive therapy, with a high associated mortality. This systematic review and meta-analysis aims to summarize and pool outcomes data available in the published literature to guide clinical decision-making and further research. Methods: We conducted a systematic search of MEDLINE (1966 to April 15, 2015), EMBASE (1980 to April 15, 2015), CENTRAL, and Google Scholar for patients with severe H1N1 pneumonia and respiratory failure who received ECMO. The study validity was appraised by Newcastle-Ottawa Scale. The primary outcome was all-cause mortality. The secondary outcomes were duration of ECMO therapy, mechanical ventilation, and Intensive Care Unit (ICU) length of stay. Results: Of 698 abstracts screened and 142 full-text articles reviewed, we included 13 studies with a total of 494 patients receiving ECMO in our final review and meta-analysis. The study validity was satisfactory. The overall mortality was 37.1% (95% confidence interval: 30-45%) limited by underlying heterogeneity (I 2 = 65%, P value of Q statistic = 0.006). The median duration for ECMO was 10 days, mechanical ventilation was 19 days, and ICU length of stay was 33 days. Exploratory meta-regression did not identify any statistically significant moderator of mortality (P  &lt;  0.05), except for the duration of pre-ECMO mechanical ventilation in days (coefficient 0.19, standard error: 0.09, Z = 2.01, P  &lt;  0.04, R 2 = 0.16). The visual inspection of funnel plots did not suggest the presence of publication bias. Conclusions: ECMO therapy may be used as an adjunct or salvage therapy for severe H1N1 pneumonia with respiratory failure. It is associated with a prolonged duration of ventilator support, ICU length of stay, and high mortality. Initiating ECMO early once the patient has been instituted on mechanical ventilation may result in improved survival.","author":[{"dropping-particle":"","family":"Sukhal","given":"Shashvat","non-dropping-particle":"","parse-names":false,"suffix":""},{"dropping-particle":"","family":"Sethi","given":"Jaskaran","non-dropping-particle":"","parse-names":false,"suffix":""},{"dropping-particle":"","family":"Ganesh","given":"Malini","non-dropping-particle":"","parse-names":false,"suffix":""},{"dropping-particle":"","family":"Villablanca","given":"PedroA","non-dropping-particle":"","parse-names":false,"suffix":""},{"dropping-particle":"","family":"Malhotra","given":"AnitaK","non-dropping-particle":"","parse-names":false,"suffix":""},{"dropping-particle":"","family":"Ramakrishna","given":"Harish","non-dropping-particle":"","parse-names":false,"suffix":""}],"container-title":"Annals of Cardiac Anaesthesia","id":"ITEM-1","issue":"1","issued":{"date-parts":[["2017"]]},"page":"14","title":"Extracorporeal membrane oxygenation in severe influenza infection with respiratory failure: A systematic review and meta-analysis","type":"article-journal","volume":"20"},"uris":["http://www.mendeley.com/documents/?uuid=aa242837-e92f-4e78-8c02-0d482101574b"]}],"mendeley":{"formattedCitation":"[3]","plainTextFormattedCitation":"[3]","previouslyFormattedCitation":"[3]"},"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[3]</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p>
    <w:p w14:paraId="1BFD627E" w14:textId="77777777" w:rsidR="00065E52" w:rsidRPr="00073666" w:rsidRDefault="00065E52" w:rsidP="00065E52">
      <w:pPr>
        <w:autoSpaceDE w:val="0"/>
        <w:autoSpaceDN w:val="0"/>
        <w:adjustRightInd w:val="0"/>
        <w:rPr>
          <w:rFonts w:ascii="Calibri" w:hAnsi="Calibri" w:cs="Calibri"/>
          <w:color w:val="000000" w:themeColor="text1"/>
          <w:szCs w:val="22"/>
        </w:rPr>
      </w:pPr>
    </w:p>
    <w:p w14:paraId="62B844E7" w14:textId="77777777" w:rsidR="00065E52" w:rsidRPr="00073666" w:rsidRDefault="00065E52" w:rsidP="00065E52">
      <w:pPr>
        <w:rPr>
          <w:rFonts w:ascii="Calibri" w:hAnsi="Calibri" w:cs="Calibri"/>
          <w:b/>
          <w:color w:val="000000" w:themeColor="text1"/>
          <w:szCs w:val="22"/>
        </w:rPr>
      </w:pPr>
      <w:r w:rsidRPr="00073666">
        <w:rPr>
          <w:rFonts w:ascii="Calibri" w:hAnsi="Calibri" w:cs="Calibri"/>
          <w:b/>
          <w:color w:val="000000" w:themeColor="text1"/>
          <w:szCs w:val="22"/>
        </w:rPr>
        <w:t>Invasive Aspergillosis (IA)</w:t>
      </w:r>
    </w:p>
    <w:p w14:paraId="51917086" w14:textId="7253F2A2" w:rsidR="00065E52" w:rsidRPr="00073666" w:rsidRDefault="00065E52" w:rsidP="00065E52">
      <w:pPr>
        <w:autoSpaceDE w:val="0"/>
        <w:autoSpaceDN w:val="0"/>
        <w:adjustRightInd w:val="0"/>
        <w:rPr>
          <w:rFonts w:ascii="Calibri" w:hAnsi="Calibri" w:cs="Calibri"/>
          <w:color w:val="000000" w:themeColor="text1"/>
          <w:szCs w:val="22"/>
          <w:lang w:val="en-US"/>
        </w:rPr>
      </w:pPr>
      <w:r w:rsidRPr="00073666">
        <w:rPr>
          <w:rFonts w:ascii="Calibri" w:hAnsi="Calibri" w:cs="Calibri"/>
          <w:i/>
          <w:color w:val="000000" w:themeColor="text1"/>
          <w:szCs w:val="22"/>
          <w:lang w:val="en-US"/>
        </w:rPr>
        <w:t xml:space="preserve">Aspergillus </w:t>
      </w:r>
      <w:r w:rsidRPr="00073666">
        <w:rPr>
          <w:rFonts w:ascii="Calibri" w:hAnsi="Calibri" w:cs="Calibri"/>
          <w:color w:val="000000" w:themeColor="text1"/>
          <w:szCs w:val="22"/>
          <w:lang w:val="en-US"/>
        </w:rPr>
        <w:t xml:space="preserve">is a type of fungus (specifically a mold) that is ubiquitous in the environment; particularly in soil, compost and also air conditioning units. Inhaled exposure to spores of </w:t>
      </w:r>
      <w:r w:rsidRPr="00073666">
        <w:rPr>
          <w:rFonts w:ascii="Calibri" w:hAnsi="Calibri" w:cs="Calibri"/>
          <w:i/>
          <w:color w:val="000000" w:themeColor="text1"/>
          <w:szCs w:val="22"/>
          <w:lang w:val="en-US"/>
        </w:rPr>
        <w:t>Aspergillus</w:t>
      </w:r>
      <w:r w:rsidRPr="00073666">
        <w:rPr>
          <w:rFonts w:ascii="Calibri" w:hAnsi="Calibri" w:cs="Calibri"/>
          <w:color w:val="000000" w:themeColor="text1"/>
          <w:szCs w:val="22"/>
          <w:lang w:val="en-US"/>
        </w:rPr>
        <w:t xml:space="preserve"> is thus universal but this is usually harmless in those with an intact immune system. In those whose immune system is </w:t>
      </w:r>
      <w:proofErr w:type="gramStart"/>
      <w:r w:rsidRPr="00073666">
        <w:rPr>
          <w:rFonts w:ascii="Calibri" w:hAnsi="Calibri" w:cs="Calibri"/>
          <w:color w:val="000000" w:themeColor="text1"/>
          <w:szCs w:val="22"/>
          <w:lang w:val="en-US"/>
        </w:rPr>
        <w:t>impaired,</w:t>
      </w:r>
      <w:proofErr w:type="gramEnd"/>
      <w:r w:rsidRPr="00073666">
        <w:rPr>
          <w:rFonts w:ascii="Calibri" w:hAnsi="Calibri" w:cs="Calibri"/>
          <w:color w:val="000000" w:themeColor="text1"/>
          <w:szCs w:val="22"/>
          <w:lang w:val="en-US"/>
        </w:rPr>
        <w:t xml:space="preserve"> however, </w:t>
      </w:r>
      <w:r w:rsidRPr="00073666">
        <w:rPr>
          <w:rFonts w:ascii="Calibri" w:hAnsi="Calibri" w:cs="Calibri"/>
          <w:i/>
          <w:color w:val="000000" w:themeColor="text1"/>
          <w:szCs w:val="22"/>
          <w:lang w:val="en-US"/>
        </w:rPr>
        <w:t>Aspergillus</w:t>
      </w:r>
      <w:r w:rsidRPr="00073666">
        <w:rPr>
          <w:rFonts w:ascii="Calibri" w:hAnsi="Calibri" w:cs="Calibri"/>
          <w:color w:val="000000" w:themeColor="text1"/>
          <w:szCs w:val="22"/>
          <w:lang w:val="en-US"/>
        </w:rPr>
        <w:t xml:space="preserve"> can cause potentially life-threatening infection.</w:t>
      </w:r>
    </w:p>
    <w:p w14:paraId="199037BA" w14:textId="77777777" w:rsidR="00065E52" w:rsidRPr="00073666" w:rsidRDefault="00065E52" w:rsidP="00065E52">
      <w:pPr>
        <w:autoSpaceDE w:val="0"/>
        <w:autoSpaceDN w:val="0"/>
        <w:adjustRightInd w:val="0"/>
        <w:rPr>
          <w:rFonts w:ascii="Calibri" w:hAnsi="Calibri" w:cs="Calibri"/>
          <w:color w:val="000000" w:themeColor="text1"/>
          <w:szCs w:val="22"/>
          <w:lang w:val="en-US"/>
        </w:rPr>
      </w:pPr>
    </w:p>
    <w:p w14:paraId="5396B273" w14:textId="6A9367ED" w:rsidR="00065E52" w:rsidRPr="00073666" w:rsidRDefault="00065E52" w:rsidP="00065E52">
      <w:pPr>
        <w:autoSpaceDE w:val="0"/>
        <w:autoSpaceDN w:val="0"/>
        <w:adjustRightInd w:val="0"/>
        <w:rPr>
          <w:rFonts w:ascii="Calibri" w:hAnsi="Calibri" w:cs="Calibri"/>
          <w:bCs/>
          <w:color w:val="000000" w:themeColor="text1"/>
          <w:szCs w:val="22"/>
          <w:lang w:eastAsia="en-GB"/>
        </w:rPr>
      </w:pPr>
      <w:r w:rsidRPr="00073666">
        <w:rPr>
          <w:rFonts w:ascii="Calibri" w:hAnsi="Calibri" w:cs="Calibri"/>
          <w:color w:val="000000" w:themeColor="text1"/>
          <w:szCs w:val="22"/>
        </w:rPr>
        <w:t xml:space="preserve">‘Invasive Aspergillosis’ (IA) has long been recognized as a complication of profound immunosuppression, such as that caused by prolonged neutropenia in patients with </w:t>
      </w:r>
      <w:proofErr w:type="spellStart"/>
      <w:r w:rsidRPr="00073666">
        <w:rPr>
          <w:rFonts w:ascii="Calibri" w:hAnsi="Calibri" w:cs="Calibri"/>
          <w:color w:val="000000" w:themeColor="text1"/>
          <w:szCs w:val="22"/>
        </w:rPr>
        <w:t>hematological</w:t>
      </w:r>
      <w:proofErr w:type="spellEnd"/>
      <w:r w:rsidRPr="00073666">
        <w:rPr>
          <w:rFonts w:ascii="Calibri" w:hAnsi="Calibri" w:cs="Calibri"/>
          <w:color w:val="000000" w:themeColor="text1"/>
          <w:szCs w:val="22"/>
        </w:rPr>
        <w:t xml:space="preserve"> malignancy. In fact, the very definition of IA in the widely used EORTC / MSG guidelines requires a traditional ‘host factor’ such as neutropenia or recent stem cell transplant (Table 1, below)</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{"citationItems":[{"id":"ITEM-1","itemData":{"DOI":"10.1086/588660","ISBN":"1537-6591 (Electronic)","ISSN":"10097708","PMID":"18462102","abstract":"Background. Invasive fungal diseases are important causes of morbidity and mortality. Clarity and uniformity in defining these infections are important factors in improving the quality of clinical studies. A standard set of definitions strengthens the consistency and reproducibility of such studies. Methods. After the introduction of the original European Organization for Research and Treatment of Cancer/ Invasive Fungal Infections Cooperative Group and the National Institute of Allergy and Infectious Diseases Mycoses Study Group (EORTC/MSG) Consensus Group definitions, advances in diagnostic technology and the recognition of areas in need of improvement led to a revision of this document. The revision process started with a meeting of participants in 2003, to decide on the process and to draft the proposal. This was followed by several rounds of consultation until a final draft was approved in 2005. This was made available for 6 months to allow public comment, and then the manuscript was prepared and approved. Results. The revised definitions retain the original classifications of “proven,” “probable,” and “possible” invasive fungal disease, but the definition of “probable” has been expanded, whereas the scope of the category “possible” has been diminished. The category of proven invasive fungal disease can apply to any patient, regardless of whether the patient is immunocompromised, whereas the probable and possible categories are proposed for immunocompromised patients only. Conclusions. These revised definitions of invasive fungal disease are intended to advance clinical and epidemiological research and may serve as a useful model for defining other infections in high-risk patients.","author":[{"dropping-particle":"De","family":"Pauw","given":"Ben","non-dropping-particle":"","parse-names":false,"suffix":""},{"dropping-particle":"","family":"Walsh","given":"Thomas J.","non-dropping-particle":"","parse-names":false,"suffix":""},{"dropping-particle":"","family":"Donnelly","given":"Peter","non-dropping-particle":"","parse-names":false,"suffix":""},{"dropping-particle":"","family":"Stevens","given":"David A.","non-dropping-particle":"","parse-names":false,"suffix":""},{"dropping-particle":"","family":"Edwards","given":"John E.","non-dropping-particle":"","parse-names":false,"suffix":""},{"dropping-particle":"","family":"Calandra","given":"Thierry","non-dropping-particle":"","parse-names":false,"suffix":""},{"dropping-particle":"","family":"Pappas","given":"Peter G.","non-dropping-particle":"","parse-names":false,"suffix":""},{"dropping-particle":"","family":"Maertens","given":"Johan","non-dropping-particle":"","parse-names":false,"suffix":""},{"dropping-particle":"","family":"LortholaryC","given":"Olivier","non-dropping-particle":"","parse-names":false,"suffix":""},{"dropping-particle":"","family":"Kauffman","given":"Carol A.","non-dropping-particle":"","parse-names":false,"suffix":""},{"dropping-particle":"","family":"Denning","given":"David W.","non-dropping-particle":"","parse-names":false,"suffix":""},{"dropping-particle":"","family":"Patterson","given":"Thomas F.","non-dropping-particle":"","parse-names":false,"suffix":""},{"dropping-particle":"","family":"Maschmeyer","given":"Georg","non-dropping-particle":"","parse-names":false,"suffix":""},{"dropping-particle":"","family":"Bille","given":"Jacques","non-dropping-particle":"","parse-names":false,"suffix":""},{"dropping-particle":"","family":"Dismukes","given":"William E.","non-dropping-particle":"","parse-names":false,"suffix":""},{"dropping-particle":"","family":"Herbrecht","given":"Raoul","non-dropping-particle":"","parse-names":false,"suffix":""},{"dropping-particle":"","family":"Hope","given":"William W.","non-dropping-particle":"","parse-names":false,"suffix":""},{"dropping-particle":"","family":"Kibbler","given":"Christopher C.","non-dropping-particle":"","parse-names":false,"suffix":""},{"dropping-particle":"","family":"Kullberg","given":"Bart Jan","non-dropping-particle":"","parse-names":false,"suffix":""},{"dropping-particle":"","family":"Mar","given":"Kieren A.","non-dropping-particle":"","parse-names":false,"suffix":""},{"dropping-particle":"","family":"Bennettb","given":"John E.","non-dropping-particle":"","parse-names":false,"suffix":""}],"container-title":"Clinical Infectious Diseases","id":"ITEM-1","issue":"12","issued":{"date-parts":[["2008"]]},"page":"1813-1821","title":"Revised definitions of invasive fungal disease from the European Organization for Research and Treatment of Cancer/Invasive Fungal Infections Cooperative Group and the National Institute of Allergy and Infectious Diseases Mycoses Study Group (EORTC/MSG) C","type":"article-journal","volume":"46"},"uris":["http://www.mendeley.com/documents/?uuid=46137ae8-6ce5-4665-be94-263c4489cac3"]}],"mendeley":{"formattedCitation":"[4]","plainTextFormattedCitation":"[4]","previouslyFormattedCitation":"[4]"},"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[4]</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In recent years, however, it has emerged that IA is more prevalent than previously realized in critically ill patients without such traditional ‘host factors’</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{"citationItems":[{"id":"ITEM-1","itemData":{"DOI":"10.1164/rccm.200704-606oc","ISSN":"1073-449X","abstract":"Rationale: Invasive aspergillosis (IA) is an important cause of mortality in patients with hematologic malignancies. However, IA appears to be gaining a foothold in the intensive care unit (ICU) in patients without classical risk factors. A recent study described 89 cases of IA in patients in a medical ICU without leukemia or cancer. The diagnosis of IA remains difficult and is often established too late. Galactomannan (GM) is an exo-antigen released from Aspergillus hyphae while they invade host tissue.Objectives: This prospective single-center study was conducted to investigate the role of GM in bronchoalveolar lavage (BAL) fluid as a tool for early diagnosis of IA in the ICU.Methods: All patients with risk factors identified in our earlier study were evaluated. BAL for culture and GM detection, serum GM levels, and computed tomography scan were obtained for all included patients with signs of pneumonia. Patients were classified as having proven, probable, or possible IA.Measurements and Main Results: A...","author":[{"dropping-particle":"","family":"Meersseman","given":"Wouter","non-dropping-particle":"","parse-names":false,"suffix":""},{"dropping-particle":"","family":"Lagrou","given":"Katrien","non-dropping-particle":"","parse-names":false,"suffix":""},{"dropping-particle":"","family":"Maertens","given":"Johan","non-dropping-particle":"","parse-names":false,"suffix":""},{"dropping-particle":"","family":"Wilmer","given":"Alexander","non-dropping-particle":"","parse-names":false,"suffix":""},{"dropping-particle":"","family":"Hermans","given":"Greet","non-dropping-particle":"","parse-names":false,"suffix":""},{"dropping-particle":"","family":"Vanderschueren","given":"Steven","non-dropping-particle":"","parse-names":false,"suffix":""},{"dropping-particle":"","family":"Spriet","given":"Isabel","non-dropping-particle":"","parse-names":false,"suffix":""},{"dropping-particle":"","family":"Verbeken","given":"Eric","non-dropping-particle":"","parse-names":false,"suffix":""},{"dropping-particle":"","family":"Wijngaerden","given":"Eric","non-dropping-particle":"Van","parse-names":false,"suffix":""}],"container-title":"American Journal of Respiratory and Critical Care Medicine","id":"ITEM-1","issue":"1","issued":{"date-parts":[["2007"]]},"page":"27-34","title":"Galactomannan in Bronchoalveolar Lavage Fluid","type":"article-journal","volume":"177"},"uris":["http://www.mendeley.com/documents/?uuid=9f1026b5-519b-4a30-9e64-7430a58bb96f"]}],"mendeley":{"formattedCitation":"[5]","plainTextFormattedCitation":"[5]","previouslyFormattedCitation":"[5]"},"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[5]</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In particular, recent evidence suggests that up to one in five patients </w:t>
      </w:r>
      <w:r w:rsidRPr="00073666">
        <w:rPr>
          <w:rFonts w:ascii="Calibri" w:hAnsi="Calibri" w:cs="Calibri"/>
          <w:bCs/>
          <w:color w:val="000000" w:themeColor="text1"/>
          <w:szCs w:val="22"/>
          <w:lang w:eastAsia="en-GB"/>
        </w:rPr>
        <w:t>with severe influenza on ICU may develop Influenza-associated aspergillosis IAA</w:t>
      </w:r>
      <w:r w:rsidR="00CD09A9" w:rsidRPr="00073666">
        <w:rPr>
          <w:rFonts w:ascii="Calibri" w:hAnsi="Calibri" w:cs="Calibri"/>
          <w:color w:val="000000" w:themeColor="text1"/>
          <w:szCs w:val="22"/>
        </w:rPr>
        <w:fldChar w:fldCharType="begin" w:fldLock="1"/>
      </w:r>
      <w:r w:rsidR="00CD09A9" w:rsidRPr="00073666">
        <w:rPr>
          <w:rFonts w:ascii="Calibri" w:hAnsi="Calibri" w:cs="Calibri"/>
          <w:color w:val="000000" w:themeColor="text1"/>
          <w:szCs w:val="22"/>
        </w:rPr>
        <w:instrText>ADDIN CSL_CITATION {"citationItems":[{"id":"ITEM-1","itemData":{"DOI":"10.1016/S2213-2600(18)30274-1","ISSN":"2213-2619","PMID":"30076119","abstract":"Background: Invasive pulmonary aspergillosis typically occurs in an immunocompromised host. For almost a century, influenza has been known to set up for bacterial superinfections, but recently patients with severe influenza were also reported to develop invasive pulmonary aspergillosis. We aimed to measure the incidence of invasive pulmonary aspergillosis over several seasons in patients with influenza pneumonia in the intensive care unit (ICU) and to assess whether influenza was an independent risk factor for invasive pulmonary aspergillosis. Methods: We did a retrospective multicentre cohort study. Data were collected from adult patients with severe influenza admitted to seven ICUs across Belgium and The Netherlands during seven influenza seasons. Patients were older than 18 years, were admitted to the ICU for more than 24 h with acute respiratory failure, had pulmonary infiltrates on imaging, and a confirmed influenza infection based on a positive airway PCR test (influenza cohort). We used logistic regression analyses to determine if influenza was independently associated with invasive pulmonary aspergillosis in non-immunocompromised (ie, no European Organization for Research and Treatment of Cancer/Invasive Fungal Infections Cooperative Group and the National Institute of Allergy and Infectious Diseases Mycoses Study Group [EORTC/MSG] host factor) influenza-positive patients (influenza case group) compared with non-immunocompromised patients with severe community-acquired pneumonia who had a negative airway influenza PCR test (control group). Findings: Data were collected from patients admitted to the ICU between Jan 1, 2009, and June 30, 2016. Invasive pulmonary aspergillosis was diagnosed in 83 (19%) of 432 patients admitted with influenza (influenza cohort), a median of 3 days after admission to the ICU. The incidence was similar for influenza A and B. For patients with influenza who were immunocompromised, incidence of invasive pulmonary aspergillosis was as high as 32% (38 of 117 patients), whereas in the non-immunocompromised influenza case group, incidence was 14% (45 of 315 patients). Conversely, only 16 (5%) of 315 patients in the control group developed invasive pulmonary aspergillosis. The 90-day mortality was 51% in patients in the influenza cohort with invasive pulmonary aspergillosis and 28% in the influenza cohort without invasive pulmonary aspergillosis (p=0·0001). In this study, influenza was found to be independently associated wi…","author":[{"dropping-particle":"","family":"Schauwvlieghe","given":"Alexander F A D","non-dropping-particle":"","parse-names":false,"suffix":""},{"dropping-particle":"","family":"Rijnders","given":"Bart J A","non-dropping-particle":"","parse-names":false,"suffix":""},{"dropping-particle":"","family":"Philips","given":"Nele","non-dropping-particle":"","parse-names":false,"suffix":""},{"dropping-particle":"","family":"Verwijs","given":"Rosanne","non-dropping-particle":"","parse-names":false,"suffix":""},{"dropping-particle":"","family":"Vanderbeke","given":"Lore","non-dropping-particle":"","parse-names":false,"suffix":""},{"dropping-particle":"","family":"Tienen","given":"Carla","non-dropping-particle":"Van","parse-names":false,"suffix":""},{"dropping-particle":"","family":"Lagrou","given":"Katrien","non-dropping-particle":"","parse-names":false,"suffix":""},{"dropping-particle":"","family":"Verweij","given":"Paul E","non-dropping-particle":"","parse-names":false,"suffix":""},{"dropping-particle":"","family":"Veerdonk","given":"Frank L","non-dropping-particle":"Van de","parse-names":false,"suffix":""},{"dropping-particle":"","family":"Gommers","given":"Diederik","non-dropping-particle":"","parse-names":false,"suffix":""},{"dropping-particle":"","family":"Spronk","given":"Peter","non-dropping-particle":"","parse-names":false,"suffix":""},{"dropping-particle":"","family":"Bergmans","given":"Dennis C J J","non-dropping-particle":"","parse-names":false,"suffix":""},{"dropping-particle":"","family":"Hoedemaekers","given":"Astrid","non-dropping-particle":"","parse-names":false,"suffix":""},{"dropping-particle":"","family":"Andrinopoulou","given":"Eleni-rosalina","non-dropping-particle":"","parse-names":false,"suffix":""},{"dropping-particle":"","family":"Berg","given":"Charlotte H S B","non-dropping-particle":"van den","parse-names":false,"suffix":""},{"dropping-particle":"","family":"Juffermans","given":"Nicole P","non-dropping-particle":"","parse-names":false,"suffix":""},{"dropping-particle":"","family":"Hodiamont","given":"Casper J","non-dropping-particle":"","parse-names":false,"suffix":""},{"dropping-particle":"","family":"Vonk","given":"Alieke G","non-dropping-particle":"","parse-names":false,"suffix":""},{"dropping-particle":"","family":"Depuydt","given":"Pieter","non-dropping-particle":"","parse-names":false,"suffix":""},{"dropping-particle":"","family":"Boelens","given":"Jerina","non-dropping-particle":"","parse-names":false,"suffix":""},{"dropping-particle":"","family":"Wauters","given":"Joost","non-dropping-particle":"","parse-names":false,"suffix":""},{"dropping-particle":"","family":"Dutch-Belgian Mycosis study group","given":"","non-dropping-particle":"","parse-names":false,"suffix":""}],"container-title":"The Lancet. Respiratory medicine","id":"ITEM-1","issue":"10","issued":{"date-parts":[["2018"]]},"page":"782-792","publisher":"Elsevier Ltd","title":"Invasive aspergillosis in patients admitted to the intensive care unit with severe influenza: a retrospective cohort study.","type":"article-journal","volume":"6"},"uris":["http://www.mendeley.com/documents/?uuid=74539706-9b61-474b-8447-4a1ee7ef0b9b"]}],"mendeley":{"formattedCitation":"[7]","plainTextFormattedCitation":"[7]","previouslyFormattedCitation":"[7]"},"properties":{"noteIndex":0},"schema":"https://github.com/citation-style-language/schema/raw/master/csl-citation.json"}</w:instrText>
      </w:r>
      <w:r w:rsidR="00CD09A9" w:rsidRPr="00073666">
        <w:rPr>
          <w:rFonts w:ascii="Calibri" w:hAnsi="Calibri" w:cs="Calibri"/>
          <w:color w:val="000000" w:themeColor="text1"/>
          <w:szCs w:val="22"/>
        </w:rPr>
        <w:fldChar w:fldCharType="separate"/>
      </w:r>
      <w:r w:rsidR="00CD09A9" w:rsidRPr="00073666">
        <w:rPr>
          <w:rFonts w:ascii="Calibri" w:hAnsi="Calibri" w:cs="Calibri"/>
          <w:noProof/>
          <w:color w:val="000000" w:themeColor="text1"/>
          <w:szCs w:val="22"/>
        </w:rPr>
        <w:t>[7]</w:t>
      </w:r>
      <w:r w:rsidR="00CD09A9" w:rsidRPr="00073666">
        <w:rPr>
          <w:rFonts w:ascii="Calibri" w:hAnsi="Calibri" w:cs="Calibri"/>
          <w:color w:val="000000" w:themeColor="text1"/>
          <w:szCs w:val="22"/>
        </w:rPr>
        <w:fldChar w:fldCharType="end"/>
      </w:r>
      <w:r w:rsidRPr="00073666">
        <w:rPr>
          <w:rFonts w:ascii="Calibri" w:hAnsi="Calibri" w:cs="Calibri"/>
          <w:bCs/>
          <w:color w:val="000000" w:themeColor="text1"/>
          <w:szCs w:val="22"/>
          <w:lang w:eastAsia="en-GB"/>
        </w:rPr>
        <w:t>.</w:t>
      </w:r>
    </w:p>
    <w:p w14:paraId="5748C396" w14:textId="77777777" w:rsidR="00065E52" w:rsidRPr="00073666" w:rsidRDefault="00065E52" w:rsidP="00065E52">
      <w:pPr>
        <w:autoSpaceDE w:val="0"/>
        <w:autoSpaceDN w:val="0"/>
        <w:adjustRightInd w:val="0"/>
        <w:rPr>
          <w:rFonts w:ascii="Calibri" w:hAnsi="Calibri" w:cs="Calibri"/>
          <w:bCs/>
          <w:color w:val="000000" w:themeColor="text1"/>
          <w:szCs w:val="22"/>
          <w:lang w:eastAsia="en-GB"/>
        </w:rPr>
      </w:pPr>
    </w:p>
    <w:p w14:paraId="1D843B38" w14:textId="77777777" w:rsidR="00065E52" w:rsidRPr="00073666" w:rsidRDefault="00065E52" w:rsidP="00065E52">
      <w:pPr>
        <w:rPr>
          <w:rFonts w:ascii="Calibri" w:hAnsi="Calibri" w:cs="Calibri"/>
        </w:rPr>
      </w:pPr>
      <w:r w:rsidRPr="00073666">
        <w:rPr>
          <w:rFonts w:ascii="Calibri" w:hAnsi="Calibri" w:cs="Calibri"/>
        </w:rPr>
        <w:br w:type="page"/>
      </w:r>
    </w:p>
    <w:tbl>
      <w:tblPr>
        <w:tblW w:w="10040" w:type="dxa"/>
        <w:tblLook w:val="04A0" w:firstRow="1" w:lastRow="0" w:firstColumn="1" w:lastColumn="0" w:noHBand="0" w:noVBand="1"/>
      </w:tblPr>
      <w:tblGrid>
        <w:gridCol w:w="815"/>
        <w:gridCol w:w="3882"/>
        <w:gridCol w:w="253"/>
        <w:gridCol w:w="1185"/>
        <w:gridCol w:w="3905"/>
      </w:tblGrid>
      <w:tr w:rsidR="00065E52" w:rsidRPr="00073666" w14:paraId="2C4650C1" w14:textId="77777777" w:rsidTr="007E648C">
        <w:trPr>
          <w:trHeight w:val="280"/>
        </w:trPr>
        <w:tc>
          <w:tcPr>
            <w:tcW w:w="4697" w:type="dxa"/>
            <w:gridSpan w:val="2"/>
            <w:tcBorders>
              <w:top w:val="nil"/>
              <w:left w:val="nil"/>
              <w:bottom w:val="single" w:sz="4" w:space="0" w:color="auto"/>
              <w:right w:val="nil"/>
            </w:tcBorders>
            <w:shd w:val="clear" w:color="auto" w:fill="auto"/>
            <w:vAlign w:val="center"/>
            <w:hideMark/>
          </w:tcPr>
          <w:p w14:paraId="74E09221" w14:textId="3F441E2D" w:rsidR="00065E52" w:rsidRPr="00073666" w:rsidRDefault="00065E52" w:rsidP="00760261">
            <w:pPr>
              <w:rPr>
                <w:rFonts w:ascii="Calibri" w:hAnsi="Calibri" w:cs="Calibri"/>
                <w:b/>
                <w:bCs/>
                <w:color w:val="FF0000"/>
                <w:sz w:val="16"/>
                <w:szCs w:val="16"/>
              </w:rPr>
            </w:pPr>
            <w:r w:rsidRPr="00073666">
              <w:rPr>
                <w:rFonts w:ascii="Calibri" w:hAnsi="Calibri" w:cs="Calibri"/>
                <w:b/>
                <w:bCs/>
                <w:color w:val="000000"/>
                <w:sz w:val="16"/>
                <w:szCs w:val="16"/>
              </w:rPr>
              <w:lastRenderedPageBreak/>
              <w:t>Table 1. Definitions of Invasive Pulmonary Aspergillosis (IPA</w:t>
            </w:r>
            <w:r w:rsidR="00760261" w:rsidRPr="00073666">
              <w:rPr>
                <w:rFonts w:ascii="Calibri" w:hAnsi="Calibri" w:cs="Calibri"/>
                <w:b/>
                <w:bCs/>
                <w:color w:val="000000"/>
                <w:sz w:val="16"/>
                <w:szCs w:val="16"/>
              </w:rPr>
              <w:t>)</w:t>
            </w:r>
          </w:p>
        </w:tc>
        <w:tc>
          <w:tcPr>
            <w:tcW w:w="253" w:type="dxa"/>
            <w:tcBorders>
              <w:top w:val="nil"/>
              <w:left w:val="nil"/>
              <w:bottom w:val="nil"/>
              <w:right w:val="nil"/>
            </w:tcBorders>
            <w:shd w:val="clear" w:color="auto" w:fill="auto"/>
            <w:vAlign w:val="center"/>
            <w:hideMark/>
          </w:tcPr>
          <w:p w14:paraId="6653046E" w14:textId="77777777" w:rsidR="00065E52" w:rsidRPr="00073666" w:rsidRDefault="00065E52" w:rsidP="007E648C">
            <w:pPr>
              <w:rPr>
                <w:rFonts w:ascii="Calibri" w:hAnsi="Calibri" w:cs="Calibri"/>
                <w:b/>
                <w:bCs/>
                <w:color w:val="000000"/>
                <w:sz w:val="16"/>
                <w:szCs w:val="16"/>
              </w:rPr>
            </w:pPr>
          </w:p>
        </w:tc>
        <w:tc>
          <w:tcPr>
            <w:tcW w:w="1185" w:type="dxa"/>
            <w:tcBorders>
              <w:top w:val="nil"/>
              <w:left w:val="nil"/>
              <w:bottom w:val="nil"/>
              <w:right w:val="nil"/>
            </w:tcBorders>
            <w:shd w:val="clear" w:color="auto" w:fill="auto"/>
            <w:vAlign w:val="center"/>
            <w:hideMark/>
          </w:tcPr>
          <w:p w14:paraId="19DDE753"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71001C30" w14:textId="77777777" w:rsidR="00065E52" w:rsidRPr="00073666" w:rsidRDefault="00065E52" w:rsidP="007E648C">
            <w:pPr>
              <w:rPr>
                <w:rFonts w:ascii="Calibri" w:hAnsi="Calibri" w:cs="Calibri"/>
                <w:sz w:val="20"/>
                <w:szCs w:val="20"/>
              </w:rPr>
            </w:pPr>
          </w:p>
        </w:tc>
      </w:tr>
      <w:tr w:rsidR="00065E52" w:rsidRPr="00073666" w14:paraId="0B2F5A54" w14:textId="77777777" w:rsidTr="007E648C">
        <w:trPr>
          <w:trHeight w:val="280"/>
        </w:trPr>
        <w:tc>
          <w:tcPr>
            <w:tcW w:w="4697" w:type="dxa"/>
            <w:gridSpan w:val="2"/>
            <w:tcBorders>
              <w:top w:val="nil"/>
              <w:left w:val="nil"/>
              <w:bottom w:val="single" w:sz="4" w:space="0" w:color="auto"/>
              <w:right w:val="nil"/>
            </w:tcBorders>
            <w:shd w:val="clear" w:color="auto" w:fill="auto"/>
            <w:vAlign w:val="center"/>
            <w:hideMark/>
          </w:tcPr>
          <w:p w14:paraId="2094C492" w14:textId="77777777" w:rsidR="00065E52" w:rsidRPr="00073666" w:rsidRDefault="00065E52" w:rsidP="007E648C">
            <w:pPr>
              <w:jc w:val="center"/>
              <w:rPr>
                <w:rFonts w:ascii="Calibri" w:hAnsi="Calibri" w:cs="Calibri"/>
                <w:b/>
                <w:bCs/>
                <w:color w:val="000000"/>
                <w:sz w:val="16"/>
                <w:szCs w:val="16"/>
              </w:rPr>
            </w:pPr>
            <w:r w:rsidRPr="00073666">
              <w:rPr>
                <w:rFonts w:ascii="Calibri" w:hAnsi="Calibri" w:cs="Calibri"/>
                <w:b/>
                <w:bCs/>
                <w:color w:val="000000"/>
                <w:sz w:val="16"/>
                <w:szCs w:val="16"/>
              </w:rPr>
              <w:t>EORTC/MSG</w:t>
            </w:r>
          </w:p>
        </w:tc>
        <w:tc>
          <w:tcPr>
            <w:tcW w:w="253" w:type="dxa"/>
            <w:tcBorders>
              <w:top w:val="single" w:sz="4" w:space="0" w:color="auto"/>
              <w:left w:val="nil"/>
              <w:bottom w:val="single" w:sz="4" w:space="0" w:color="auto"/>
              <w:right w:val="nil"/>
            </w:tcBorders>
            <w:shd w:val="clear" w:color="auto" w:fill="auto"/>
            <w:vAlign w:val="center"/>
            <w:hideMark/>
          </w:tcPr>
          <w:p w14:paraId="0645E152" w14:textId="77777777" w:rsidR="00065E52" w:rsidRPr="00073666" w:rsidRDefault="00065E52" w:rsidP="007E648C">
            <w:pPr>
              <w:jc w:val="center"/>
              <w:rPr>
                <w:rFonts w:ascii="Calibri" w:hAnsi="Calibri" w:cs="Calibri"/>
                <w:b/>
                <w:bCs/>
                <w:color w:val="000000"/>
                <w:sz w:val="16"/>
                <w:szCs w:val="16"/>
              </w:rPr>
            </w:pPr>
            <w:r w:rsidRPr="00073666">
              <w:rPr>
                <w:rFonts w:ascii="Calibri" w:hAnsi="Calibri" w:cs="Calibri"/>
                <w:b/>
                <w:bCs/>
                <w:color w:val="000000"/>
                <w:sz w:val="16"/>
                <w:szCs w:val="16"/>
              </w:rPr>
              <w:t> </w:t>
            </w:r>
          </w:p>
        </w:tc>
        <w:tc>
          <w:tcPr>
            <w:tcW w:w="5090" w:type="dxa"/>
            <w:gridSpan w:val="2"/>
            <w:tcBorders>
              <w:top w:val="single" w:sz="4" w:space="0" w:color="auto"/>
              <w:left w:val="nil"/>
              <w:bottom w:val="single" w:sz="4" w:space="0" w:color="auto"/>
              <w:right w:val="nil"/>
            </w:tcBorders>
            <w:shd w:val="clear" w:color="auto" w:fill="auto"/>
            <w:vAlign w:val="center"/>
            <w:hideMark/>
          </w:tcPr>
          <w:p w14:paraId="41E1B6D1" w14:textId="77777777" w:rsidR="00065E52" w:rsidRPr="00073666" w:rsidRDefault="00065E52" w:rsidP="007E648C">
            <w:pPr>
              <w:jc w:val="center"/>
              <w:rPr>
                <w:rFonts w:ascii="Calibri" w:hAnsi="Calibri" w:cs="Calibri"/>
                <w:b/>
                <w:bCs/>
                <w:color w:val="000000"/>
                <w:sz w:val="16"/>
                <w:szCs w:val="16"/>
              </w:rPr>
            </w:pPr>
            <w:r w:rsidRPr="00073666">
              <w:rPr>
                <w:rFonts w:ascii="Calibri" w:hAnsi="Calibri" w:cs="Calibri"/>
                <w:b/>
                <w:bCs/>
                <w:color w:val="000000"/>
                <w:sz w:val="16"/>
                <w:szCs w:val="16"/>
              </w:rPr>
              <w:t xml:space="preserve">Modified </w:t>
            </w:r>
            <w:proofErr w:type="spellStart"/>
            <w:r w:rsidRPr="00073666">
              <w:rPr>
                <w:rFonts w:ascii="Calibri" w:hAnsi="Calibri" w:cs="Calibri"/>
                <w:b/>
                <w:bCs/>
                <w:color w:val="000000"/>
                <w:sz w:val="16"/>
                <w:szCs w:val="16"/>
              </w:rPr>
              <w:t>AspICU</w:t>
            </w:r>
            <w:proofErr w:type="spellEnd"/>
            <w:r w:rsidRPr="00073666">
              <w:rPr>
                <w:rFonts w:ascii="Calibri" w:hAnsi="Calibri" w:cs="Calibri"/>
                <w:b/>
                <w:bCs/>
                <w:color w:val="000000"/>
                <w:sz w:val="16"/>
                <w:szCs w:val="16"/>
              </w:rPr>
              <w:t xml:space="preserve"> </w:t>
            </w:r>
          </w:p>
        </w:tc>
      </w:tr>
      <w:tr w:rsidR="00065E52" w:rsidRPr="00073666" w14:paraId="731E5E98" w14:textId="77777777" w:rsidTr="007E648C">
        <w:trPr>
          <w:trHeight w:val="280"/>
        </w:trPr>
        <w:tc>
          <w:tcPr>
            <w:tcW w:w="815" w:type="dxa"/>
            <w:tcBorders>
              <w:top w:val="nil"/>
              <w:left w:val="nil"/>
              <w:bottom w:val="single" w:sz="4" w:space="0" w:color="auto"/>
              <w:right w:val="nil"/>
            </w:tcBorders>
            <w:shd w:val="clear" w:color="auto" w:fill="auto"/>
            <w:vAlign w:val="center"/>
            <w:hideMark/>
          </w:tcPr>
          <w:p w14:paraId="32A8F94C"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Proven</w:t>
            </w:r>
          </w:p>
        </w:tc>
        <w:tc>
          <w:tcPr>
            <w:tcW w:w="3882" w:type="dxa"/>
            <w:tcBorders>
              <w:top w:val="nil"/>
              <w:left w:val="nil"/>
              <w:bottom w:val="single" w:sz="4" w:space="0" w:color="auto"/>
              <w:right w:val="nil"/>
            </w:tcBorders>
            <w:shd w:val="clear" w:color="auto" w:fill="auto"/>
            <w:vAlign w:val="center"/>
            <w:hideMark/>
          </w:tcPr>
          <w:p w14:paraId="1770959B"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Any one of</w:t>
            </w:r>
          </w:p>
        </w:tc>
        <w:tc>
          <w:tcPr>
            <w:tcW w:w="253" w:type="dxa"/>
            <w:tcBorders>
              <w:top w:val="nil"/>
              <w:left w:val="nil"/>
              <w:bottom w:val="nil"/>
              <w:right w:val="nil"/>
            </w:tcBorders>
            <w:shd w:val="clear" w:color="auto" w:fill="auto"/>
            <w:vAlign w:val="center"/>
            <w:hideMark/>
          </w:tcPr>
          <w:p w14:paraId="5528093D" w14:textId="77777777" w:rsidR="00065E52" w:rsidRPr="00073666" w:rsidRDefault="00065E52" w:rsidP="007E648C">
            <w:pPr>
              <w:rPr>
                <w:rFonts w:ascii="Calibri" w:hAnsi="Calibri" w:cs="Calibri"/>
                <w:b/>
                <w:bCs/>
                <w:color w:val="000000"/>
                <w:sz w:val="16"/>
                <w:szCs w:val="16"/>
              </w:rPr>
            </w:pPr>
          </w:p>
        </w:tc>
        <w:tc>
          <w:tcPr>
            <w:tcW w:w="1185" w:type="dxa"/>
            <w:tcBorders>
              <w:top w:val="nil"/>
              <w:left w:val="nil"/>
              <w:bottom w:val="single" w:sz="4" w:space="0" w:color="auto"/>
              <w:right w:val="nil"/>
            </w:tcBorders>
            <w:shd w:val="clear" w:color="auto" w:fill="auto"/>
            <w:vAlign w:val="center"/>
            <w:hideMark/>
          </w:tcPr>
          <w:p w14:paraId="7BF75042"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Proven</w:t>
            </w:r>
          </w:p>
        </w:tc>
        <w:tc>
          <w:tcPr>
            <w:tcW w:w="3905" w:type="dxa"/>
            <w:tcBorders>
              <w:top w:val="nil"/>
              <w:left w:val="nil"/>
              <w:bottom w:val="single" w:sz="4" w:space="0" w:color="auto"/>
              <w:right w:val="nil"/>
            </w:tcBorders>
            <w:shd w:val="clear" w:color="auto" w:fill="auto"/>
            <w:vAlign w:val="center"/>
            <w:hideMark/>
          </w:tcPr>
          <w:p w14:paraId="59CEF1C8"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As per EORTC/MSG</w:t>
            </w:r>
          </w:p>
        </w:tc>
      </w:tr>
      <w:tr w:rsidR="00065E52" w:rsidRPr="00073666" w14:paraId="33F188D0" w14:textId="77777777" w:rsidTr="007E648C">
        <w:trPr>
          <w:trHeight w:val="720"/>
        </w:trPr>
        <w:tc>
          <w:tcPr>
            <w:tcW w:w="815" w:type="dxa"/>
            <w:tcBorders>
              <w:top w:val="nil"/>
              <w:left w:val="nil"/>
              <w:bottom w:val="nil"/>
              <w:right w:val="nil"/>
            </w:tcBorders>
            <w:shd w:val="clear" w:color="auto" w:fill="auto"/>
            <w:vAlign w:val="center"/>
            <w:hideMark/>
          </w:tcPr>
          <w:p w14:paraId="6F1FDE5C" w14:textId="77777777" w:rsidR="00065E52" w:rsidRPr="00073666" w:rsidRDefault="00065E52" w:rsidP="007E648C">
            <w:pPr>
              <w:rPr>
                <w:rFonts w:ascii="Calibri" w:hAnsi="Calibri" w:cs="Calibri"/>
                <w:b/>
                <w:bCs/>
                <w:color w:val="000000"/>
                <w:sz w:val="16"/>
                <w:szCs w:val="16"/>
              </w:rPr>
            </w:pPr>
          </w:p>
        </w:tc>
        <w:tc>
          <w:tcPr>
            <w:tcW w:w="3882" w:type="dxa"/>
            <w:tcBorders>
              <w:top w:val="nil"/>
              <w:left w:val="nil"/>
              <w:bottom w:val="nil"/>
              <w:right w:val="nil"/>
            </w:tcBorders>
            <w:shd w:val="clear" w:color="auto" w:fill="auto"/>
            <w:vAlign w:val="center"/>
            <w:hideMark/>
          </w:tcPr>
          <w:p w14:paraId="34A2540D"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xml:space="preserve"> Histopathologic, cytopathologic, or direct microscopic evidence of </w:t>
            </w:r>
            <w:r w:rsidRPr="00073666">
              <w:rPr>
                <w:rFonts w:ascii="Calibri" w:hAnsi="Calibri" w:cs="Calibri"/>
                <w:i/>
                <w:iCs/>
                <w:color w:val="000000"/>
                <w:sz w:val="16"/>
                <w:szCs w:val="16"/>
              </w:rPr>
              <w:t>Aspergillus</w:t>
            </w:r>
            <w:r w:rsidRPr="00073666">
              <w:rPr>
                <w:rFonts w:ascii="Calibri" w:hAnsi="Calibri" w:cs="Calibri"/>
                <w:color w:val="000000"/>
                <w:sz w:val="16"/>
                <w:szCs w:val="16"/>
              </w:rPr>
              <w:t xml:space="preserve"> hyphae accompanied by tissue damage in a pulmonary specimen</w:t>
            </w:r>
          </w:p>
        </w:tc>
        <w:tc>
          <w:tcPr>
            <w:tcW w:w="253" w:type="dxa"/>
            <w:tcBorders>
              <w:top w:val="nil"/>
              <w:left w:val="nil"/>
              <w:bottom w:val="nil"/>
              <w:right w:val="nil"/>
            </w:tcBorders>
            <w:shd w:val="clear" w:color="auto" w:fill="auto"/>
            <w:vAlign w:val="center"/>
            <w:hideMark/>
          </w:tcPr>
          <w:p w14:paraId="527F4E76"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78F1F99A"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760188FF" w14:textId="77777777" w:rsidR="00065E52" w:rsidRPr="00073666" w:rsidRDefault="00065E52" w:rsidP="007E648C">
            <w:pPr>
              <w:rPr>
                <w:rFonts w:ascii="Calibri" w:hAnsi="Calibri" w:cs="Calibri"/>
                <w:sz w:val="20"/>
                <w:szCs w:val="20"/>
              </w:rPr>
            </w:pPr>
          </w:p>
        </w:tc>
      </w:tr>
      <w:tr w:rsidR="00065E52" w:rsidRPr="00073666" w14:paraId="57BED0BD" w14:textId="77777777" w:rsidTr="007E648C">
        <w:trPr>
          <w:trHeight w:val="720"/>
        </w:trPr>
        <w:tc>
          <w:tcPr>
            <w:tcW w:w="815" w:type="dxa"/>
            <w:tcBorders>
              <w:top w:val="nil"/>
              <w:left w:val="nil"/>
              <w:bottom w:val="nil"/>
              <w:right w:val="nil"/>
            </w:tcBorders>
            <w:shd w:val="clear" w:color="auto" w:fill="auto"/>
            <w:vAlign w:val="center"/>
            <w:hideMark/>
          </w:tcPr>
          <w:p w14:paraId="541A55E0" w14:textId="77777777" w:rsidR="00065E52" w:rsidRPr="00073666" w:rsidRDefault="00065E52" w:rsidP="007E648C">
            <w:pPr>
              <w:rPr>
                <w:rFonts w:ascii="Calibri" w:hAnsi="Calibri" w:cs="Calibri"/>
                <w:sz w:val="20"/>
                <w:szCs w:val="20"/>
              </w:rPr>
            </w:pPr>
          </w:p>
        </w:tc>
        <w:tc>
          <w:tcPr>
            <w:tcW w:w="3882" w:type="dxa"/>
            <w:tcBorders>
              <w:top w:val="nil"/>
              <w:left w:val="nil"/>
              <w:bottom w:val="nil"/>
              <w:right w:val="nil"/>
            </w:tcBorders>
            <w:shd w:val="clear" w:color="auto" w:fill="auto"/>
            <w:vAlign w:val="center"/>
            <w:hideMark/>
          </w:tcPr>
          <w:p w14:paraId="115D42B4"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xml:space="preserve">Positive </w:t>
            </w:r>
            <w:r w:rsidRPr="00073666">
              <w:rPr>
                <w:rFonts w:ascii="Calibri" w:hAnsi="Calibri" w:cs="Calibri"/>
                <w:i/>
                <w:iCs/>
                <w:color w:val="000000"/>
                <w:sz w:val="16"/>
                <w:szCs w:val="16"/>
              </w:rPr>
              <w:t xml:space="preserve">Aspergillus </w:t>
            </w:r>
            <w:r w:rsidRPr="00073666">
              <w:rPr>
                <w:rFonts w:ascii="Calibri" w:hAnsi="Calibri" w:cs="Calibri"/>
                <w:color w:val="000000"/>
                <w:sz w:val="16"/>
                <w:szCs w:val="16"/>
              </w:rPr>
              <w:t>culture from a lung biopsy taken from a clinically or radiologically abnormal site consistent with an infectious disease process</w:t>
            </w:r>
          </w:p>
        </w:tc>
        <w:tc>
          <w:tcPr>
            <w:tcW w:w="253" w:type="dxa"/>
            <w:tcBorders>
              <w:top w:val="nil"/>
              <w:left w:val="nil"/>
              <w:bottom w:val="nil"/>
              <w:right w:val="nil"/>
            </w:tcBorders>
            <w:shd w:val="clear" w:color="auto" w:fill="auto"/>
            <w:vAlign w:val="center"/>
            <w:hideMark/>
          </w:tcPr>
          <w:p w14:paraId="41D49C14"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147476F2"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5303E6EC" w14:textId="77777777" w:rsidR="00065E52" w:rsidRPr="00073666" w:rsidRDefault="00065E52" w:rsidP="007E648C">
            <w:pPr>
              <w:rPr>
                <w:rFonts w:ascii="Calibri" w:hAnsi="Calibri" w:cs="Calibri"/>
                <w:sz w:val="20"/>
                <w:szCs w:val="20"/>
              </w:rPr>
            </w:pPr>
          </w:p>
        </w:tc>
      </w:tr>
      <w:tr w:rsidR="00065E52" w:rsidRPr="00073666" w14:paraId="2A6E9A9E" w14:textId="77777777" w:rsidTr="007E648C">
        <w:trPr>
          <w:trHeight w:val="480"/>
        </w:trPr>
        <w:tc>
          <w:tcPr>
            <w:tcW w:w="815" w:type="dxa"/>
            <w:tcBorders>
              <w:top w:val="nil"/>
              <w:left w:val="nil"/>
              <w:bottom w:val="nil"/>
              <w:right w:val="nil"/>
            </w:tcBorders>
            <w:shd w:val="clear" w:color="auto" w:fill="auto"/>
            <w:vAlign w:val="center"/>
            <w:hideMark/>
          </w:tcPr>
          <w:p w14:paraId="4E5AB6CE" w14:textId="77777777" w:rsidR="00065E52" w:rsidRPr="00073666" w:rsidRDefault="00065E52" w:rsidP="007E648C">
            <w:pPr>
              <w:rPr>
                <w:rFonts w:ascii="Calibri" w:hAnsi="Calibri" w:cs="Calibri"/>
                <w:sz w:val="20"/>
                <w:szCs w:val="20"/>
              </w:rPr>
            </w:pPr>
          </w:p>
        </w:tc>
        <w:tc>
          <w:tcPr>
            <w:tcW w:w="3882" w:type="dxa"/>
            <w:tcBorders>
              <w:top w:val="nil"/>
              <w:left w:val="nil"/>
              <w:bottom w:val="nil"/>
              <w:right w:val="nil"/>
            </w:tcBorders>
            <w:shd w:val="clear" w:color="auto" w:fill="auto"/>
            <w:vAlign w:val="center"/>
            <w:hideMark/>
          </w:tcPr>
          <w:p w14:paraId="0923D601"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xml:space="preserve">Positive </w:t>
            </w:r>
            <w:r w:rsidRPr="00073666">
              <w:rPr>
                <w:rFonts w:ascii="Calibri" w:hAnsi="Calibri" w:cs="Calibri"/>
                <w:i/>
                <w:iCs/>
                <w:color w:val="000000"/>
                <w:sz w:val="16"/>
                <w:szCs w:val="16"/>
              </w:rPr>
              <w:t>Aspergillus</w:t>
            </w:r>
            <w:r w:rsidRPr="00073666">
              <w:rPr>
                <w:rFonts w:ascii="Calibri" w:hAnsi="Calibri" w:cs="Calibri"/>
                <w:color w:val="000000"/>
                <w:sz w:val="16"/>
                <w:szCs w:val="16"/>
              </w:rPr>
              <w:t xml:space="preserve"> blood culture in the context of a compatible infectious disease process</w:t>
            </w:r>
          </w:p>
        </w:tc>
        <w:tc>
          <w:tcPr>
            <w:tcW w:w="253" w:type="dxa"/>
            <w:tcBorders>
              <w:top w:val="nil"/>
              <w:left w:val="nil"/>
              <w:bottom w:val="nil"/>
              <w:right w:val="nil"/>
            </w:tcBorders>
            <w:shd w:val="clear" w:color="auto" w:fill="auto"/>
            <w:vAlign w:val="center"/>
            <w:hideMark/>
          </w:tcPr>
          <w:p w14:paraId="3ED59DAF"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240F1AB1"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727FC327" w14:textId="77777777" w:rsidR="00065E52" w:rsidRPr="00073666" w:rsidRDefault="00065E52" w:rsidP="007E648C">
            <w:pPr>
              <w:rPr>
                <w:rFonts w:ascii="Calibri" w:hAnsi="Calibri" w:cs="Calibri"/>
                <w:sz w:val="20"/>
                <w:szCs w:val="20"/>
              </w:rPr>
            </w:pPr>
          </w:p>
        </w:tc>
      </w:tr>
      <w:tr w:rsidR="00065E52" w:rsidRPr="00073666" w14:paraId="797153B2" w14:textId="77777777" w:rsidTr="007E648C">
        <w:trPr>
          <w:trHeight w:val="280"/>
        </w:trPr>
        <w:tc>
          <w:tcPr>
            <w:tcW w:w="815" w:type="dxa"/>
            <w:tcBorders>
              <w:top w:val="nil"/>
              <w:left w:val="nil"/>
              <w:bottom w:val="nil"/>
              <w:right w:val="nil"/>
            </w:tcBorders>
            <w:shd w:val="clear" w:color="auto" w:fill="auto"/>
            <w:vAlign w:val="center"/>
            <w:hideMark/>
          </w:tcPr>
          <w:p w14:paraId="702E6527" w14:textId="77777777" w:rsidR="00065E52" w:rsidRPr="00073666" w:rsidRDefault="00065E52" w:rsidP="007E648C">
            <w:pPr>
              <w:rPr>
                <w:rFonts w:ascii="Calibri" w:hAnsi="Calibri" w:cs="Calibri"/>
                <w:sz w:val="20"/>
                <w:szCs w:val="20"/>
              </w:rPr>
            </w:pPr>
          </w:p>
        </w:tc>
        <w:tc>
          <w:tcPr>
            <w:tcW w:w="3882" w:type="dxa"/>
            <w:tcBorders>
              <w:top w:val="nil"/>
              <w:left w:val="nil"/>
              <w:bottom w:val="nil"/>
              <w:right w:val="nil"/>
            </w:tcBorders>
            <w:shd w:val="clear" w:color="auto" w:fill="auto"/>
            <w:vAlign w:val="center"/>
            <w:hideMark/>
          </w:tcPr>
          <w:p w14:paraId="3EEB8D7E" w14:textId="77777777" w:rsidR="00065E52" w:rsidRPr="00073666" w:rsidRDefault="00065E52" w:rsidP="007E648C">
            <w:pPr>
              <w:rPr>
                <w:rFonts w:ascii="Calibri" w:hAnsi="Calibri" w:cs="Calibri"/>
                <w:sz w:val="20"/>
                <w:szCs w:val="20"/>
              </w:rPr>
            </w:pPr>
          </w:p>
        </w:tc>
        <w:tc>
          <w:tcPr>
            <w:tcW w:w="253" w:type="dxa"/>
            <w:tcBorders>
              <w:top w:val="nil"/>
              <w:left w:val="nil"/>
              <w:bottom w:val="nil"/>
              <w:right w:val="nil"/>
            </w:tcBorders>
            <w:shd w:val="clear" w:color="auto" w:fill="auto"/>
            <w:vAlign w:val="center"/>
            <w:hideMark/>
          </w:tcPr>
          <w:p w14:paraId="6D9FEC38" w14:textId="77777777" w:rsidR="00065E52" w:rsidRPr="00073666" w:rsidRDefault="00065E52" w:rsidP="007E648C">
            <w:pPr>
              <w:rPr>
                <w:rFonts w:ascii="Calibri" w:hAnsi="Calibri" w:cs="Calibri"/>
                <w:sz w:val="20"/>
                <w:szCs w:val="20"/>
              </w:rPr>
            </w:pPr>
          </w:p>
        </w:tc>
        <w:tc>
          <w:tcPr>
            <w:tcW w:w="1185" w:type="dxa"/>
            <w:tcBorders>
              <w:top w:val="nil"/>
              <w:left w:val="nil"/>
              <w:bottom w:val="nil"/>
              <w:right w:val="nil"/>
            </w:tcBorders>
            <w:shd w:val="clear" w:color="auto" w:fill="auto"/>
            <w:vAlign w:val="center"/>
            <w:hideMark/>
          </w:tcPr>
          <w:p w14:paraId="2B360B31"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5358318A" w14:textId="77777777" w:rsidR="00065E52" w:rsidRPr="00073666" w:rsidRDefault="00065E52" w:rsidP="007E648C">
            <w:pPr>
              <w:rPr>
                <w:rFonts w:ascii="Calibri" w:hAnsi="Calibri" w:cs="Calibri"/>
                <w:sz w:val="20"/>
                <w:szCs w:val="20"/>
              </w:rPr>
            </w:pPr>
          </w:p>
        </w:tc>
      </w:tr>
      <w:tr w:rsidR="00065E52" w:rsidRPr="00073666" w14:paraId="088BB94F" w14:textId="77777777" w:rsidTr="007E648C">
        <w:trPr>
          <w:trHeight w:val="280"/>
        </w:trPr>
        <w:tc>
          <w:tcPr>
            <w:tcW w:w="815" w:type="dxa"/>
            <w:tcBorders>
              <w:top w:val="nil"/>
              <w:left w:val="nil"/>
              <w:bottom w:val="single" w:sz="4" w:space="0" w:color="auto"/>
              <w:right w:val="nil"/>
            </w:tcBorders>
            <w:shd w:val="clear" w:color="auto" w:fill="auto"/>
            <w:vAlign w:val="center"/>
            <w:hideMark/>
          </w:tcPr>
          <w:p w14:paraId="0BA4C855"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 xml:space="preserve">Probable </w:t>
            </w:r>
          </w:p>
        </w:tc>
        <w:tc>
          <w:tcPr>
            <w:tcW w:w="3882" w:type="dxa"/>
            <w:tcBorders>
              <w:top w:val="nil"/>
              <w:left w:val="nil"/>
              <w:bottom w:val="single" w:sz="4" w:space="0" w:color="auto"/>
              <w:right w:val="nil"/>
            </w:tcBorders>
            <w:shd w:val="clear" w:color="auto" w:fill="auto"/>
            <w:vAlign w:val="center"/>
            <w:hideMark/>
          </w:tcPr>
          <w:p w14:paraId="4BA61150"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At least one host factor+ clinical + mycological criterion</w:t>
            </w:r>
          </w:p>
        </w:tc>
        <w:tc>
          <w:tcPr>
            <w:tcW w:w="253" w:type="dxa"/>
            <w:tcBorders>
              <w:top w:val="nil"/>
              <w:left w:val="nil"/>
              <w:bottom w:val="nil"/>
              <w:right w:val="nil"/>
            </w:tcBorders>
            <w:shd w:val="clear" w:color="auto" w:fill="auto"/>
            <w:vAlign w:val="center"/>
            <w:hideMark/>
          </w:tcPr>
          <w:p w14:paraId="3CF2F8E3" w14:textId="77777777" w:rsidR="00065E52" w:rsidRPr="00073666" w:rsidRDefault="00065E52" w:rsidP="007E648C">
            <w:pPr>
              <w:rPr>
                <w:rFonts w:ascii="Calibri" w:hAnsi="Calibri" w:cs="Calibri"/>
                <w:b/>
                <w:bCs/>
                <w:color w:val="000000"/>
                <w:sz w:val="16"/>
                <w:szCs w:val="16"/>
              </w:rPr>
            </w:pPr>
          </w:p>
        </w:tc>
        <w:tc>
          <w:tcPr>
            <w:tcW w:w="1185" w:type="dxa"/>
            <w:tcBorders>
              <w:top w:val="nil"/>
              <w:left w:val="nil"/>
              <w:bottom w:val="single" w:sz="4" w:space="0" w:color="auto"/>
              <w:right w:val="nil"/>
            </w:tcBorders>
            <w:shd w:val="clear" w:color="auto" w:fill="auto"/>
            <w:vAlign w:val="center"/>
            <w:hideMark/>
          </w:tcPr>
          <w:p w14:paraId="5042F99A"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 xml:space="preserve">Putative </w:t>
            </w:r>
          </w:p>
        </w:tc>
        <w:tc>
          <w:tcPr>
            <w:tcW w:w="3905" w:type="dxa"/>
            <w:tcBorders>
              <w:top w:val="nil"/>
              <w:left w:val="nil"/>
              <w:bottom w:val="single" w:sz="4" w:space="0" w:color="auto"/>
              <w:right w:val="nil"/>
            </w:tcBorders>
            <w:shd w:val="clear" w:color="auto" w:fill="auto"/>
            <w:vAlign w:val="center"/>
            <w:hideMark/>
          </w:tcPr>
          <w:p w14:paraId="346E5A52"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At least one clinical + radiological + mycological criterion</w:t>
            </w:r>
          </w:p>
        </w:tc>
      </w:tr>
      <w:tr w:rsidR="00065E52" w:rsidRPr="00073666" w14:paraId="1CA1C02E" w14:textId="77777777" w:rsidTr="007E648C">
        <w:trPr>
          <w:trHeight w:val="280"/>
        </w:trPr>
        <w:tc>
          <w:tcPr>
            <w:tcW w:w="815" w:type="dxa"/>
            <w:tcBorders>
              <w:top w:val="nil"/>
              <w:left w:val="nil"/>
              <w:bottom w:val="nil"/>
              <w:right w:val="nil"/>
            </w:tcBorders>
            <w:shd w:val="clear" w:color="auto" w:fill="auto"/>
            <w:vAlign w:val="center"/>
            <w:hideMark/>
          </w:tcPr>
          <w:p w14:paraId="7350C40B" w14:textId="77777777" w:rsidR="00065E52" w:rsidRPr="00073666" w:rsidRDefault="00065E52" w:rsidP="007E648C">
            <w:pPr>
              <w:rPr>
                <w:rFonts w:ascii="Calibri" w:hAnsi="Calibri" w:cs="Calibri"/>
                <w:b/>
                <w:bCs/>
                <w:color w:val="000000"/>
                <w:sz w:val="16"/>
                <w:szCs w:val="16"/>
              </w:rPr>
            </w:pPr>
          </w:p>
        </w:tc>
        <w:tc>
          <w:tcPr>
            <w:tcW w:w="3882" w:type="dxa"/>
            <w:tcBorders>
              <w:top w:val="nil"/>
              <w:left w:val="nil"/>
              <w:bottom w:val="nil"/>
              <w:right w:val="nil"/>
            </w:tcBorders>
            <w:shd w:val="clear" w:color="auto" w:fill="auto"/>
            <w:vAlign w:val="center"/>
            <w:hideMark/>
          </w:tcPr>
          <w:p w14:paraId="7C7DCA9C"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Host factor</w:t>
            </w:r>
          </w:p>
        </w:tc>
        <w:tc>
          <w:tcPr>
            <w:tcW w:w="253" w:type="dxa"/>
            <w:tcBorders>
              <w:top w:val="nil"/>
              <w:left w:val="nil"/>
              <w:bottom w:val="nil"/>
              <w:right w:val="nil"/>
            </w:tcBorders>
            <w:shd w:val="clear" w:color="auto" w:fill="auto"/>
            <w:vAlign w:val="center"/>
            <w:hideMark/>
          </w:tcPr>
          <w:p w14:paraId="00D2C32E" w14:textId="77777777" w:rsidR="00065E52" w:rsidRPr="00073666" w:rsidRDefault="00065E52" w:rsidP="007E648C">
            <w:pPr>
              <w:rPr>
                <w:rFonts w:ascii="Calibri" w:hAnsi="Calibri" w:cs="Calibri"/>
                <w:b/>
                <w:bCs/>
                <w:color w:val="000000"/>
                <w:sz w:val="16"/>
                <w:szCs w:val="16"/>
              </w:rPr>
            </w:pPr>
          </w:p>
        </w:tc>
        <w:tc>
          <w:tcPr>
            <w:tcW w:w="1185" w:type="dxa"/>
            <w:tcBorders>
              <w:top w:val="nil"/>
              <w:left w:val="nil"/>
              <w:bottom w:val="nil"/>
              <w:right w:val="nil"/>
            </w:tcBorders>
            <w:shd w:val="clear" w:color="auto" w:fill="auto"/>
            <w:vAlign w:val="center"/>
            <w:hideMark/>
          </w:tcPr>
          <w:p w14:paraId="30965C9B"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136B7630"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Clinical</w:t>
            </w:r>
          </w:p>
        </w:tc>
      </w:tr>
      <w:tr w:rsidR="00065E52" w:rsidRPr="00073666" w14:paraId="188C43CC" w14:textId="77777777" w:rsidTr="007E648C">
        <w:trPr>
          <w:trHeight w:val="500"/>
        </w:trPr>
        <w:tc>
          <w:tcPr>
            <w:tcW w:w="815" w:type="dxa"/>
            <w:tcBorders>
              <w:top w:val="nil"/>
              <w:left w:val="nil"/>
              <w:bottom w:val="nil"/>
              <w:right w:val="nil"/>
            </w:tcBorders>
            <w:shd w:val="clear" w:color="auto" w:fill="auto"/>
            <w:vAlign w:val="center"/>
            <w:hideMark/>
          </w:tcPr>
          <w:p w14:paraId="04567167" w14:textId="77777777" w:rsidR="00065E52" w:rsidRPr="00073666" w:rsidRDefault="00065E52" w:rsidP="007E648C">
            <w:pPr>
              <w:rPr>
                <w:rFonts w:ascii="Calibri" w:hAnsi="Calibri" w:cs="Calibri"/>
                <w:b/>
                <w:bCs/>
                <w:color w:val="000000"/>
                <w:sz w:val="16"/>
                <w:szCs w:val="16"/>
              </w:rPr>
            </w:pPr>
          </w:p>
        </w:tc>
        <w:tc>
          <w:tcPr>
            <w:tcW w:w="3882" w:type="dxa"/>
            <w:tcBorders>
              <w:top w:val="nil"/>
              <w:left w:val="nil"/>
              <w:bottom w:val="nil"/>
              <w:right w:val="nil"/>
            </w:tcBorders>
            <w:shd w:val="clear" w:color="auto" w:fill="auto"/>
            <w:vAlign w:val="center"/>
            <w:hideMark/>
          </w:tcPr>
          <w:p w14:paraId="03493F98"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Recent history of neutropenia (&lt;0.5 × 10</w:t>
            </w:r>
            <w:r w:rsidRPr="00073666">
              <w:rPr>
                <w:rFonts w:ascii="Calibri" w:hAnsi="Calibri" w:cs="Calibri"/>
                <w:color w:val="000000"/>
                <w:sz w:val="16"/>
                <w:szCs w:val="16"/>
                <w:vertAlign w:val="superscript"/>
              </w:rPr>
              <w:t>9</w:t>
            </w:r>
            <w:r w:rsidRPr="00073666">
              <w:rPr>
                <w:rFonts w:ascii="Calibri" w:hAnsi="Calibri" w:cs="Calibri"/>
                <w:color w:val="000000"/>
                <w:sz w:val="16"/>
                <w:szCs w:val="16"/>
              </w:rPr>
              <w:t> neutrophils/L for &gt;10 days) temporally related to the onset of fungal disease</w:t>
            </w:r>
          </w:p>
        </w:tc>
        <w:tc>
          <w:tcPr>
            <w:tcW w:w="253" w:type="dxa"/>
            <w:tcBorders>
              <w:top w:val="nil"/>
              <w:left w:val="nil"/>
              <w:bottom w:val="nil"/>
              <w:right w:val="nil"/>
            </w:tcBorders>
            <w:shd w:val="clear" w:color="auto" w:fill="auto"/>
            <w:vAlign w:val="center"/>
            <w:hideMark/>
          </w:tcPr>
          <w:p w14:paraId="2C196AC5"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6621E0C5"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3CB8CC8E"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Fever refractory to at least 3 days of appropriate antibiotic therapy</w:t>
            </w:r>
          </w:p>
        </w:tc>
      </w:tr>
      <w:tr w:rsidR="00065E52" w:rsidRPr="00073666" w14:paraId="26F26505" w14:textId="77777777" w:rsidTr="007E648C">
        <w:trPr>
          <w:trHeight w:val="480"/>
        </w:trPr>
        <w:tc>
          <w:tcPr>
            <w:tcW w:w="815" w:type="dxa"/>
            <w:tcBorders>
              <w:top w:val="nil"/>
              <w:left w:val="nil"/>
              <w:bottom w:val="nil"/>
              <w:right w:val="nil"/>
            </w:tcBorders>
            <w:shd w:val="clear" w:color="auto" w:fill="auto"/>
            <w:vAlign w:val="center"/>
            <w:hideMark/>
          </w:tcPr>
          <w:p w14:paraId="5811A547"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37FE692A"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Receipt of an allogeneic stem cell transplant</w:t>
            </w:r>
          </w:p>
        </w:tc>
        <w:tc>
          <w:tcPr>
            <w:tcW w:w="253" w:type="dxa"/>
            <w:tcBorders>
              <w:top w:val="nil"/>
              <w:left w:val="nil"/>
              <w:bottom w:val="nil"/>
              <w:right w:val="nil"/>
            </w:tcBorders>
            <w:shd w:val="clear" w:color="auto" w:fill="auto"/>
            <w:vAlign w:val="center"/>
            <w:hideMark/>
          </w:tcPr>
          <w:p w14:paraId="361537F7"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6710D20C"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0B5715F7"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xml:space="preserve">Recrudescent fever after a period of </w:t>
            </w:r>
            <w:proofErr w:type="spellStart"/>
            <w:r w:rsidRPr="00073666">
              <w:rPr>
                <w:rFonts w:ascii="Calibri" w:hAnsi="Calibri" w:cs="Calibri"/>
                <w:color w:val="000000"/>
                <w:sz w:val="16"/>
                <w:szCs w:val="16"/>
              </w:rPr>
              <w:t>defervescence</w:t>
            </w:r>
            <w:proofErr w:type="spellEnd"/>
            <w:r w:rsidRPr="00073666">
              <w:rPr>
                <w:rFonts w:ascii="Calibri" w:hAnsi="Calibri" w:cs="Calibri"/>
                <w:color w:val="000000"/>
                <w:sz w:val="16"/>
                <w:szCs w:val="16"/>
              </w:rPr>
              <w:t xml:space="preserve"> of at least 48 h while still on antibiotics and without other apparent cause</w:t>
            </w:r>
          </w:p>
        </w:tc>
      </w:tr>
      <w:tr w:rsidR="00065E52" w:rsidRPr="00073666" w14:paraId="278E0FE9" w14:textId="77777777" w:rsidTr="007E648C">
        <w:trPr>
          <w:trHeight w:val="480"/>
        </w:trPr>
        <w:tc>
          <w:tcPr>
            <w:tcW w:w="815" w:type="dxa"/>
            <w:tcBorders>
              <w:top w:val="nil"/>
              <w:left w:val="nil"/>
              <w:bottom w:val="nil"/>
              <w:right w:val="nil"/>
            </w:tcBorders>
            <w:shd w:val="clear" w:color="auto" w:fill="auto"/>
            <w:vAlign w:val="center"/>
            <w:hideMark/>
          </w:tcPr>
          <w:p w14:paraId="3C1A44D0"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56CEAACA"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Prolonged use of corticosteroids at a mean minimum dose of 0.3 mg/kg/day of prednisone equivalent for &gt;3 weeks</w:t>
            </w:r>
          </w:p>
        </w:tc>
        <w:tc>
          <w:tcPr>
            <w:tcW w:w="253" w:type="dxa"/>
            <w:tcBorders>
              <w:top w:val="nil"/>
              <w:left w:val="nil"/>
              <w:bottom w:val="nil"/>
              <w:right w:val="nil"/>
            </w:tcBorders>
            <w:shd w:val="clear" w:color="auto" w:fill="auto"/>
            <w:vAlign w:val="center"/>
            <w:hideMark/>
          </w:tcPr>
          <w:p w14:paraId="517AEF4F"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743B8110"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29D33B13"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Dyspnoea</w:t>
            </w:r>
          </w:p>
        </w:tc>
      </w:tr>
      <w:tr w:rsidR="00065E52" w:rsidRPr="00073666" w14:paraId="068A0F0B" w14:textId="77777777" w:rsidTr="007E648C">
        <w:trPr>
          <w:trHeight w:val="720"/>
        </w:trPr>
        <w:tc>
          <w:tcPr>
            <w:tcW w:w="815" w:type="dxa"/>
            <w:tcBorders>
              <w:top w:val="nil"/>
              <w:left w:val="nil"/>
              <w:bottom w:val="nil"/>
              <w:right w:val="nil"/>
            </w:tcBorders>
            <w:shd w:val="clear" w:color="auto" w:fill="auto"/>
            <w:vAlign w:val="center"/>
            <w:hideMark/>
          </w:tcPr>
          <w:p w14:paraId="1005267A"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30A1DF14"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Treatment with other recognized T cell immunosuppressants, such as cyclosporine, TNF-</w:t>
            </w:r>
            <w:r w:rsidRPr="00073666">
              <w:rPr>
                <w:rFonts w:ascii="Calibri" w:hAnsi="Calibri" w:cs="Calibri"/>
                <w:i/>
                <w:iCs/>
                <w:color w:val="000000"/>
                <w:sz w:val="16"/>
                <w:szCs w:val="16"/>
              </w:rPr>
              <w:t>α</w:t>
            </w:r>
            <w:r w:rsidRPr="00073666">
              <w:rPr>
                <w:rFonts w:ascii="Calibri" w:hAnsi="Calibri" w:cs="Calibri"/>
                <w:color w:val="000000"/>
                <w:sz w:val="16"/>
                <w:szCs w:val="16"/>
              </w:rPr>
              <w:t> blockers, specific monoclonal antibodies (such as alemtuzumab), or nucleoside analogues during the past 90 days</w:t>
            </w:r>
          </w:p>
        </w:tc>
        <w:tc>
          <w:tcPr>
            <w:tcW w:w="253" w:type="dxa"/>
            <w:tcBorders>
              <w:top w:val="nil"/>
              <w:left w:val="nil"/>
              <w:bottom w:val="nil"/>
              <w:right w:val="nil"/>
            </w:tcBorders>
            <w:shd w:val="clear" w:color="auto" w:fill="auto"/>
            <w:vAlign w:val="center"/>
            <w:hideMark/>
          </w:tcPr>
          <w:p w14:paraId="4CF7C40D"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582912FE"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3ACA862C"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Haemoptysis</w:t>
            </w:r>
          </w:p>
        </w:tc>
      </w:tr>
      <w:tr w:rsidR="00065E52" w:rsidRPr="00073666" w14:paraId="06EEC176" w14:textId="77777777" w:rsidTr="007E648C">
        <w:trPr>
          <w:trHeight w:val="480"/>
        </w:trPr>
        <w:tc>
          <w:tcPr>
            <w:tcW w:w="815" w:type="dxa"/>
            <w:tcBorders>
              <w:top w:val="nil"/>
              <w:left w:val="nil"/>
              <w:bottom w:val="nil"/>
              <w:right w:val="nil"/>
            </w:tcBorders>
            <w:shd w:val="clear" w:color="auto" w:fill="auto"/>
            <w:vAlign w:val="center"/>
            <w:hideMark/>
          </w:tcPr>
          <w:p w14:paraId="796FD04A"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5196A908"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Inherited severe immunodeficiency (such as chronic granulomatous disease or severe combined immunodeficiency)</w:t>
            </w:r>
          </w:p>
        </w:tc>
        <w:tc>
          <w:tcPr>
            <w:tcW w:w="253" w:type="dxa"/>
            <w:tcBorders>
              <w:top w:val="nil"/>
              <w:left w:val="nil"/>
              <w:bottom w:val="nil"/>
              <w:right w:val="nil"/>
            </w:tcBorders>
            <w:shd w:val="clear" w:color="auto" w:fill="auto"/>
            <w:vAlign w:val="center"/>
            <w:hideMark/>
          </w:tcPr>
          <w:p w14:paraId="1BDF8561"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690C9C2C"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23D03E32"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xml:space="preserve">Pleural friction </w:t>
            </w:r>
            <w:proofErr w:type="gramStart"/>
            <w:r w:rsidRPr="00073666">
              <w:rPr>
                <w:rFonts w:ascii="Calibri" w:hAnsi="Calibri" w:cs="Calibri"/>
                <w:color w:val="000000"/>
                <w:sz w:val="16"/>
                <w:szCs w:val="16"/>
              </w:rPr>
              <w:t>rub</w:t>
            </w:r>
            <w:proofErr w:type="gramEnd"/>
            <w:r w:rsidRPr="00073666">
              <w:rPr>
                <w:rFonts w:ascii="Calibri" w:hAnsi="Calibri" w:cs="Calibri"/>
                <w:color w:val="000000"/>
                <w:sz w:val="16"/>
                <w:szCs w:val="16"/>
              </w:rPr>
              <w:t xml:space="preserve"> or chest pain</w:t>
            </w:r>
          </w:p>
        </w:tc>
      </w:tr>
      <w:tr w:rsidR="00065E52" w:rsidRPr="00073666" w14:paraId="622A8B7E" w14:textId="77777777" w:rsidTr="007E648C">
        <w:trPr>
          <w:trHeight w:val="480"/>
        </w:trPr>
        <w:tc>
          <w:tcPr>
            <w:tcW w:w="815" w:type="dxa"/>
            <w:tcBorders>
              <w:top w:val="nil"/>
              <w:left w:val="nil"/>
              <w:bottom w:val="nil"/>
              <w:right w:val="nil"/>
            </w:tcBorders>
            <w:shd w:val="clear" w:color="auto" w:fill="auto"/>
            <w:vAlign w:val="center"/>
            <w:hideMark/>
          </w:tcPr>
          <w:p w14:paraId="10806F50"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2A3B0051"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Clinical criteria</w:t>
            </w:r>
          </w:p>
        </w:tc>
        <w:tc>
          <w:tcPr>
            <w:tcW w:w="253" w:type="dxa"/>
            <w:tcBorders>
              <w:top w:val="nil"/>
              <w:left w:val="nil"/>
              <w:bottom w:val="nil"/>
              <w:right w:val="nil"/>
            </w:tcBorders>
            <w:shd w:val="clear" w:color="auto" w:fill="auto"/>
            <w:vAlign w:val="center"/>
            <w:hideMark/>
          </w:tcPr>
          <w:p w14:paraId="3487FC5E" w14:textId="77777777" w:rsidR="00065E52" w:rsidRPr="00073666" w:rsidRDefault="00065E52" w:rsidP="007E648C">
            <w:pPr>
              <w:rPr>
                <w:rFonts w:ascii="Calibri" w:hAnsi="Calibri" w:cs="Calibri"/>
                <w:b/>
                <w:bCs/>
                <w:color w:val="000000"/>
                <w:sz w:val="16"/>
                <w:szCs w:val="16"/>
              </w:rPr>
            </w:pPr>
          </w:p>
        </w:tc>
        <w:tc>
          <w:tcPr>
            <w:tcW w:w="1185" w:type="dxa"/>
            <w:tcBorders>
              <w:top w:val="nil"/>
              <w:left w:val="nil"/>
              <w:bottom w:val="nil"/>
              <w:right w:val="nil"/>
            </w:tcBorders>
            <w:shd w:val="clear" w:color="auto" w:fill="auto"/>
            <w:vAlign w:val="center"/>
            <w:hideMark/>
          </w:tcPr>
          <w:p w14:paraId="5FE96CED"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1904A494"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Worsening respiratory insufficiency in spite of appropriate antibiotic therapy and ventilator support.</w:t>
            </w:r>
          </w:p>
        </w:tc>
      </w:tr>
      <w:tr w:rsidR="00065E52" w:rsidRPr="00073666" w14:paraId="5D83C92C" w14:textId="77777777" w:rsidTr="007E648C">
        <w:trPr>
          <w:trHeight w:val="280"/>
        </w:trPr>
        <w:tc>
          <w:tcPr>
            <w:tcW w:w="815" w:type="dxa"/>
            <w:tcBorders>
              <w:top w:val="nil"/>
              <w:left w:val="nil"/>
              <w:bottom w:val="nil"/>
              <w:right w:val="nil"/>
            </w:tcBorders>
            <w:shd w:val="clear" w:color="auto" w:fill="auto"/>
            <w:vAlign w:val="center"/>
            <w:hideMark/>
          </w:tcPr>
          <w:p w14:paraId="153656CA"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60AC3A14"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The presence of 1 of the following 3 signs on CT:</w:t>
            </w:r>
          </w:p>
        </w:tc>
        <w:tc>
          <w:tcPr>
            <w:tcW w:w="253" w:type="dxa"/>
            <w:tcBorders>
              <w:top w:val="nil"/>
              <w:left w:val="nil"/>
              <w:bottom w:val="nil"/>
              <w:right w:val="nil"/>
            </w:tcBorders>
            <w:shd w:val="clear" w:color="auto" w:fill="auto"/>
            <w:vAlign w:val="center"/>
            <w:hideMark/>
          </w:tcPr>
          <w:p w14:paraId="4A3D0208"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2183D4E9"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598BA69D"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Radiological</w:t>
            </w:r>
          </w:p>
        </w:tc>
      </w:tr>
      <w:tr w:rsidR="00065E52" w:rsidRPr="00073666" w14:paraId="67989255" w14:textId="77777777" w:rsidTr="007E648C">
        <w:trPr>
          <w:trHeight w:val="480"/>
        </w:trPr>
        <w:tc>
          <w:tcPr>
            <w:tcW w:w="815" w:type="dxa"/>
            <w:tcBorders>
              <w:top w:val="nil"/>
              <w:left w:val="nil"/>
              <w:bottom w:val="nil"/>
              <w:right w:val="nil"/>
            </w:tcBorders>
            <w:shd w:val="clear" w:color="auto" w:fill="auto"/>
            <w:vAlign w:val="center"/>
            <w:hideMark/>
          </w:tcPr>
          <w:p w14:paraId="23C98BA8" w14:textId="77777777" w:rsidR="00065E52" w:rsidRPr="00073666" w:rsidRDefault="00065E52" w:rsidP="007E648C">
            <w:pPr>
              <w:rPr>
                <w:rFonts w:ascii="Calibri" w:hAnsi="Calibri" w:cs="Calibri"/>
                <w:b/>
                <w:bCs/>
                <w:color w:val="000000"/>
                <w:sz w:val="16"/>
                <w:szCs w:val="16"/>
              </w:rPr>
            </w:pPr>
          </w:p>
        </w:tc>
        <w:tc>
          <w:tcPr>
            <w:tcW w:w="3882" w:type="dxa"/>
            <w:tcBorders>
              <w:top w:val="nil"/>
              <w:left w:val="nil"/>
              <w:bottom w:val="nil"/>
              <w:right w:val="nil"/>
            </w:tcBorders>
            <w:shd w:val="clear" w:color="auto" w:fill="auto"/>
            <w:vAlign w:val="center"/>
            <w:hideMark/>
          </w:tcPr>
          <w:p w14:paraId="05FF6A60"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Dense, well-circumscribed lesions(s) with or without a halo sign</w:t>
            </w:r>
          </w:p>
        </w:tc>
        <w:tc>
          <w:tcPr>
            <w:tcW w:w="253" w:type="dxa"/>
            <w:tcBorders>
              <w:top w:val="nil"/>
              <w:left w:val="nil"/>
              <w:bottom w:val="nil"/>
              <w:right w:val="nil"/>
            </w:tcBorders>
            <w:shd w:val="clear" w:color="auto" w:fill="auto"/>
            <w:vAlign w:val="center"/>
            <w:hideMark/>
          </w:tcPr>
          <w:p w14:paraId="32A09D26"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56B97E17"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2527168B"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Any infiltrate on pulmonary imaging by portable chest x-ray or CT scan of the lungs.</w:t>
            </w:r>
          </w:p>
        </w:tc>
      </w:tr>
      <w:tr w:rsidR="00065E52" w:rsidRPr="00073666" w14:paraId="114F4720" w14:textId="77777777" w:rsidTr="007E648C">
        <w:trPr>
          <w:trHeight w:val="280"/>
        </w:trPr>
        <w:tc>
          <w:tcPr>
            <w:tcW w:w="815" w:type="dxa"/>
            <w:tcBorders>
              <w:top w:val="nil"/>
              <w:left w:val="nil"/>
              <w:bottom w:val="nil"/>
              <w:right w:val="nil"/>
            </w:tcBorders>
            <w:shd w:val="clear" w:color="auto" w:fill="auto"/>
            <w:vAlign w:val="center"/>
            <w:hideMark/>
          </w:tcPr>
          <w:p w14:paraId="6332BDCA"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2CA7D257"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Air-crescent sign</w:t>
            </w:r>
          </w:p>
        </w:tc>
        <w:tc>
          <w:tcPr>
            <w:tcW w:w="253" w:type="dxa"/>
            <w:tcBorders>
              <w:top w:val="nil"/>
              <w:left w:val="nil"/>
              <w:bottom w:val="nil"/>
              <w:right w:val="nil"/>
            </w:tcBorders>
            <w:shd w:val="clear" w:color="auto" w:fill="auto"/>
            <w:vAlign w:val="center"/>
            <w:hideMark/>
          </w:tcPr>
          <w:p w14:paraId="3D3D12EC"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6B0BADDD"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3A19F816"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Mycological</w:t>
            </w:r>
          </w:p>
        </w:tc>
      </w:tr>
      <w:tr w:rsidR="00065E52" w:rsidRPr="00073666" w14:paraId="3883355A" w14:textId="77777777" w:rsidTr="007E648C">
        <w:trPr>
          <w:trHeight w:val="480"/>
        </w:trPr>
        <w:tc>
          <w:tcPr>
            <w:tcW w:w="815" w:type="dxa"/>
            <w:tcBorders>
              <w:top w:val="nil"/>
              <w:left w:val="nil"/>
              <w:bottom w:val="nil"/>
              <w:right w:val="nil"/>
            </w:tcBorders>
            <w:shd w:val="clear" w:color="auto" w:fill="auto"/>
            <w:vAlign w:val="center"/>
            <w:hideMark/>
          </w:tcPr>
          <w:p w14:paraId="29685604" w14:textId="77777777" w:rsidR="00065E52" w:rsidRPr="00073666" w:rsidRDefault="00065E52" w:rsidP="007E648C">
            <w:pPr>
              <w:rPr>
                <w:rFonts w:ascii="Calibri" w:hAnsi="Calibri" w:cs="Calibri"/>
                <w:b/>
                <w:bCs/>
                <w:color w:val="000000"/>
                <w:sz w:val="16"/>
                <w:szCs w:val="16"/>
              </w:rPr>
            </w:pPr>
          </w:p>
        </w:tc>
        <w:tc>
          <w:tcPr>
            <w:tcW w:w="3882" w:type="dxa"/>
            <w:tcBorders>
              <w:top w:val="nil"/>
              <w:left w:val="nil"/>
              <w:bottom w:val="nil"/>
              <w:right w:val="nil"/>
            </w:tcBorders>
            <w:shd w:val="clear" w:color="auto" w:fill="auto"/>
            <w:vAlign w:val="center"/>
            <w:hideMark/>
          </w:tcPr>
          <w:p w14:paraId="22B8A48E"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Cavity</w:t>
            </w:r>
          </w:p>
        </w:tc>
        <w:tc>
          <w:tcPr>
            <w:tcW w:w="253" w:type="dxa"/>
            <w:tcBorders>
              <w:top w:val="nil"/>
              <w:left w:val="nil"/>
              <w:bottom w:val="nil"/>
              <w:right w:val="nil"/>
            </w:tcBorders>
            <w:shd w:val="clear" w:color="auto" w:fill="auto"/>
            <w:vAlign w:val="center"/>
            <w:hideMark/>
          </w:tcPr>
          <w:p w14:paraId="208DB1E8"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76EECE58"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426F0798"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xml:space="preserve">Histopathology or direct microscopic evidence of dichotomous septate hyphae with positive culture for </w:t>
            </w:r>
            <w:r w:rsidRPr="00073666">
              <w:rPr>
                <w:rFonts w:ascii="Calibri" w:hAnsi="Calibri" w:cs="Calibri"/>
                <w:i/>
                <w:iCs/>
                <w:color w:val="000000"/>
                <w:sz w:val="16"/>
                <w:szCs w:val="16"/>
              </w:rPr>
              <w:t>Aspergillus</w:t>
            </w:r>
            <w:r w:rsidRPr="00073666">
              <w:rPr>
                <w:rFonts w:ascii="Calibri" w:hAnsi="Calibri" w:cs="Calibri"/>
                <w:color w:val="000000"/>
                <w:sz w:val="16"/>
                <w:szCs w:val="16"/>
              </w:rPr>
              <w:t xml:space="preserve"> from tissue</w:t>
            </w:r>
          </w:p>
        </w:tc>
      </w:tr>
      <w:tr w:rsidR="00065E52" w:rsidRPr="00073666" w14:paraId="3A4698DD" w14:textId="77777777" w:rsidTr="007E648C">
        <w:trPr>
          <w:trHeight w:val="280"/>
        </w:trPr>
        <w:tc>
          <w:tcPr>
            <w:tcW w:w="815" w:type="dxa"/>
            <w:tcBorders>
              <w:top w:val="nil"/>
              <w:left w:val="nil"/>
              <w:bottom w:val="nil"/>
              <w:right w:val="nil"/>
            </w:tcBorders>
            <w:shd w:val="clear" w:color="auto" w:fill="auto"/>
            <w:vAlign w:val="center"/>
            <w:hideMark/>
          </w:tcPr>
          <w:p w14:paraId="1CA27D16"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20A58218" w14:textId="77777777" w:rsidR="00065E52" w:rsidRPr="00073666" w:rsidRDefault="00065E52" w:rsidP="007E648C">
            <w:pPr>
              <w:rPr>
                <w:rFonts w:ascii="Calibri" w:hAnsi="Calibri" w:cs="Calibri"/>
                <w:i/>
                <w:iCs/>
                <w:color w:val="000000"/>
                <w:sz w:val="16"/>
                <w:szCs w:val="16"/>
              </w:rPr>
            </w:pPr>
            <w:r w:rsidRPr="00073666">
              <w:rPr>
                <w:rFonts w:ascii="Calibri" w:hAnsi="Calibri" w:cs="Calibri"/>
                <w:i/>
                <w:iCs/>
                <w:color w:val="000000"/>
                <w:sz w:val="16"/>
                <w:szCs w:val="16"/>
              </w:rPr>
              <w:t>Tracheobronchitis (IA rather than IPA</w:t>
            </w:r>
            <w:proofErr w:type="gramStart"/>
            <w:r w:rsidRPr="00073666">
              <w:rPr>
                <w:rFonts w:ascii="Calibri" w:hAnsi="Calibri" w:cs="Calibri"/>
                <w:i/>
                <w:iCs/>
                <w:color w:val="000000"/>
                <w:sz w:val="16"/>
                <w:szCs w:val="16"/>
              </w:rPr>
              <w:t>) :</w:t>
            </w:r>
            <w:proofErr w:type="gramEnd"/>
          </w:p>
        </w:tc>
        <w:tc>
          <w:tcPr>
            <w:tcW w:w="253" w:type="dxa"/>
            <w:tcBorders>
              <w:top w:val="nil"/>
              <w:left w:val="nil"/>
              <w:bottom w:val="nil"/>
              <w:right w:val="nil"/>
            </w:tcBorders>
            <w:shd w:val="clear" w:color="auto" w:fill="auto"/>
            <w:vAlign w:val="center"/>
            <w:hideMark/>
          </w:tcPr>
          <w:p w14:paraId="087CA90A" w14:textId="77777777" w:rsidR="00065E52" w:rsidRPr="00073666" w:rsidRDefault="00065E52" w:rsidP="007E648C">
            <w:pPr>
              <w:rPr>
                <w:rFonts w:ascii="Calibri" w:hAnsi="Calibri" w:cs="Calibri"/>
                <w:i/>
                <w:iCs/>
                <w:color w:val="000000"/>
                <w:sz w:val="16"/>
                <w:szCs w:val="16"/>
              </w:rPr>
            </w:pPr>
          </w:p>
        </w:tc>
        <w:tc>
          <w:tcPr>
            <w:tcW w:w="1185" w:type="dxa"/>
            <w:tcBorders>
              <w:top w:val="nil"/>
              <w:left w:val="nil"/>
              <w:bottom w:val="nil"/>
              <w:right w:val="nil"/>
            </w:tcBorders>
            <w:shd w:val="clear" w:color="auto" w:fill="auto"/>
            <w:vAlign w:val="center"/>
            <w:hideMark/>
          </w:tcPr>
          <w:p w14:paraId="316DA1B3"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55E12B4A"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xml:space="preserve">Positive </w:t>
            </w:r>
            <w:r w:rsidRPr="00073666">
              <w:rPr>
                <w:rFonts w:ascii="Calibri" w:hAnsi="Calibri" w:cs="Calibri"/>
                <w:i/>
                <w:iCs/>
                <w:color w:val="000000"/>
                <w:sz w:val="16"/>
                <w:szCs w:val="16"/>
              </w:rPr>
              <w:t>Aspergillus</w:t>
            </w:r>
            <w:r w:rsidRPr="00073666">
              <w:rPr>
                <w:rFonts w:ascii="Calibri" w:hAnsi="Calibri" w:cs="Calibri"/>
                <w:color w:val="000000"/>
                <w:sz w:val="16"/>
                <w:szCs w:val="16"/>
              </w:rPr>
              <w:t xml:space="preserve"> culture from BAL</w:t>
            </w:r>
          </w:p>
        </w:tc>
      </w:tr>
      <w:tr w:rsidR="00065E52" w:rsidRPr="00073666" w14:paraId="707DF427" w14:textId="77777777" w:rsidTr="007E648C">
        <w:trPr>
          <w:trHeight w:val="480"/>
        </w:trPr>
        <w:tc>
          <w:tcPr>
            <w:tcW w:w="815" w:type="dxa"/>
            <w:tcBorders>
              <w:top w:val="nil"/>
              <w:left w:val="nil"/>
              <w:bottom w:val="nil"/>
              <w:right w:val="nil"/>
            </w:tcBorders>
            <w:shd w:val="clear" w:color="auto" w:fill="auto"/>
            <w:vAlign w:val="center"/>
            <w:hideMark/>
          </w:tcPr>
          <w:p w14:paraId="41632E1A"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bottom"/>
            <w:hideMark/>
          </w:tcPr>
          <w:p w14:paraId="14EC70CB" w14:textId="77777777" w:rsidR="00065E52" w:rsidRPr="00073666" w:rsidRDefault="00065E52" w:rsidP="007E648C">
            <w:pPr>
              <w:rPr>
                <w:rFonts w:ascii="Calibri" w:hAnsi="Calibri" w:cs="Calibri"/>
                <w:i/>
                <w:iCs/>
                <w:color w:val="000000"/>
                <w:sz w:val="16"/>
                <w:szCs w:val="16"/>
              </w:rPr>
            </w:pPr>
            <w:r w:rsidRPr="00073666">
              <w:rPr>
                <w:rFonts w:ascii="Calibri" w:hAnsi="Calibri" w:cs="Calibri"/>
                <w:i/>
                <w:iCs/>
                <w:color w:val="000000"/>
                <w:sz w:val="16"/>
                <w:szCs w:val="16"/>
              </w:rPr>
              <w:t> </w:t>
            </w:r>
            <w:r w:rsidRPr="00073666">
              <w:rPr>
                <w:rFonts w:ascii="Calibri" w:hAnsi="Calibri" w:cs="Calibri"/>
                <w:i/>
                <w:iCs/>
                <w:color w:val="000000"/>
                <w:sz w:val="16"/>
                <w:szCs w:val="16"/>
              </w:rPr>
              <w:t> </w:t>
            </w:r>
            <w:r w:rsidRPr="00073666">
              <w:rPr>
                <w:rFonts w:ascii="Calibri" w:hAnsi="Calibri" w:cs="Calibri"/>
                <w:i/>
                <w:iCs/>
                <w:color w:val="000000"/>
                <w:sz w:val="16"/>
                <w:szCs w:val="16"/>
              </w:rPr>
              <w:t> </w:t>
            </w:r>
            <w:r w:rsidRPr="00073666">
              <w:rPr>
                <w:rFonts w:ascii="Calibri" w:hAnsi="Calibri" w:cs="Calibri"/>
                <w:i/>
                <w:iCs/>
                <w:color w:val="000000"/>
                <w:sz w:val="16"/>
                <w:szCs w:val="16"/>
              </w:rPr>
              <w:t xml:space="preserve">Tracheobronchial ulceration, nodule, </w:t>
            </w:r>
            <w:proofErr w:type="spellStart"/>
            <w:r w:rsidRPr="00073666">
              <w:rPr>
                <w:rFonts w:ascii="Calibri" w:hAnsi="Calibri" w:cs="Calibri"/>
                <w:i/>
                <w:iCs/>
                <w:color w:val="000000"/>
                <w:sz w:val="16"/>
                <w:szCs w:val="16"/>
              </w:rPr>
              <w:t>pseudomembrane</w:t>
            </w:r>
            <w:proofErr w:type="spellEnd"/>
            <w:r w:rsidRPr="00073666">
              <w:rPr>
                <w:rFonts w:ascii="Calibri" w:hAnsi="Calibri" w:cs="Calibri"/>
                <w:i/>
                <w:iCs/>
                <w:color w:val="000000"/>
                <w:sz w:val="16"/>
                <w:szCs w:val="16"/>
              </w:rPr>
              <w:t xml:space="preserve">, plaque, or eschar seen on </w:t>
            </w:r>
            <w:proofErr w:type="spellStart"/>
            <w:r w:rsidRPr="00073666">
              <w:rPr>
                <w:rFonts w:ascii="Calibri" w:hAnsi="Calibri" w:cs="Calibri"/>
                <w:i/>
                <w:iCs/>
                <w:color w:val="000000"/>
                <w:sz w:val="16"/>
                <w:szCs w:val="16"/>
              </w:rPr>
              <w:t>bronchoscopic</w:t>
            </w:r>
            <w:proofErr w:type="spellEnd"/>
            <w:r w:rsidRPr="00073666">
              <w:rPr>
                <w:rFonts w:ascii="Calibri" w:hAnsi="Calibri" w:cs="Calibri"/>
                <w:i/>
                <w:iCs/>
                <w:color w:val="000000"/>
                <w:sz w:val="16"/>
                <w:szCs w:val="16"/>
              </w:rPr>
              <w:t xml:space="preserve"> analysis</w:t>
            </w:r>
          </w:p>
        </w:tc>
        <w:tc>
          <w:tcPr>
            <w:tcW w:w="253" w:type="dxa"/>
            <w:tcBorders>
              <w:top w:val="nil"/>
              <w:left w:val="nil"/>
              <w:bottom w:val="nil"/>
              <w:right w:val="nil"/>
            </w:tcBorders>
            <w:shd w:val="clear" w:color="auto" w:fill="auto"/>
            <w:vAlign w:val="center"/>
            <w:hideMark/>
          </w:tcPr>
          <w:p w14:paraId="4DAFCAF3" w14:textId="77777777" w:rsidR="00065E52" w:rsidRPr="00073666" w:rsidRDefault="00065E52" w:rsidP="007E648C">
            <w:pPr>
              <w:rPr>
                <w:rFonts w:ascii="Calibri" w:hAnsi="Calibri" w:cs="Calibri"/>
                <w:i/>
                <w:iCs/>
                <w:color w:val="000000"/>
                <w:sz w:val="16"/>
                <w:szCs w:val="16"/>
              </w:rPr>
            </w:pPr>
          </w:p>
        </w:tc>
        <w:tc>
          <w:tcPr>
            <w:tcW w:w="1185" w:type="dxa"/>
            <w:tcBorders>
              <w:top w:val="nil"/>
              <w:left w:val="nil"/>
              <w:bottom w:val="nil"/>
              <w:right w:val="nil"/>
            </w:tcBorders>
            <w:shd w:val="clear" w:color="auto" w:fill="auto"/>
            <w:vAlign w:val="center"/>
            <w:hideMark/>
          </w:tcPr>
          <w:p w14:paraId="6C09B6C0"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4BB4C1DC"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Galactomannan optical index on BAL ≥ 1</w:t>
            </w:r>
          </w:p>
        </w:tc>
      </w:tr>
      <w:tr w:rsidR="00065E52" w:rsidRPr="00073666" w14:paraId="14848327" w14:textId="77777777" w:rsidTr="007E648C">
        <w:trPr>
          <w:trHeight w:val="280"/>
        </w:trPr>
        <w:tc>
          <w:tcPr>
            <w:tcW w:w="815" w:type="dxa"/>
            <w:tcBorders>
              <w:top w:val="nil"/>
              <w:left w:val="nil"/>
              <w:bottom w:val="nil"/>
              <w:right w:val="nil"/>
            </w:tcBorders>
            <w:shd w:val="clear" w:color="auto" w:fill="auto"/>
            <w:vAlign w:val="center"/>
            <w:hideMark/>
          </w:tcPr>
          <w:p w14:paraId="2B0C7734"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1845C342"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Mycological criteria</w:t>
            </w:r>
          </w:p>
        </w:tc>
        <w:tc>
          <w:tcPr>
            <w:tcW w:w="253" w:type="dxa"/>
            <w:tcBorders>
              <w:top w:val="nil"/>
              <w:left w:val="nil"/>
              <w:bottom w:val="nil"/>
              <w:right w:val="nil"/>
            </w:tcBorders>
            <w:shd w:val="clear" w:color="auto" w:fill="auto"/>
            <w:vAlign w:val="center"/>
            <w:hideMark/>
          </w:tcPr>
          <w:p w14:paraId="47608BC0" w14:textId="77777777" w:rsidR="00065E52" w:rsidRPr="00073666" w:rsidRDefault="00065E52" w:rsidP="007E648C">
            <w:pPr>
              <w:rPr>
                <w:rFonts w:ascii="Calibri" w:hAnsi="Calibri" w:cs="Calibri"/>
                <w:b/>
                <w:bCs/>
                <w:color w:val="000000"/>
                <w:sz w:val="16"/>
                <w:szCs w:val="16"/>
              </w:rPr>
            </w:pPr>
          </w:p>
        </w:tc>
        <w:tc>
          <w:tcPr>
            <w:tcW w:w="1185" w:type="dxa"/>
            <w:tcBorders>
              <w:top w:val="nil"/>
              <w:left w:val="nil"/>
              <w:bottom w:val="nil"/>
              <w:right w:val="nil"/>
            </w:tcBorders>
            <w:shd w:val="clear" w:color="auto" w:fill="auto"/>
            <w:vAlign w:val="center"/>
            <w:hideMark/>
          </w:tcPr>
          <w:p w14:paraId="5DDE173F"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2C2EA534"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Galactomannan optical index on serum ≥ 0.5</w:t>
            </w:r>
          </w:p>
        </w:tc>
      </w:tr>
      <w:tr w:rsidR="00065E52" w:rsidRPr="00073666" w14:paraId="787A7133" w14:textId="77777777" w:rsidTr="007E648C">
        <w:trPr>
          <w:trHeight w:val="280"/>
        </w:trPr>
        <w:tc>
          <w:tcPr>
            <w:tcW w:w="815" w:type="dxa"/>
            <w:tcBorders>
              <w:top w:val="nil"/>
              <w:left w:val="nil"/>
              <w:bottom w:val="nil"/>
              <w:right w:val="nil"/>
            </w:tcBorders>
            <w:shd w:val="clear" w:color="auto" w:fill="auto"/>
            <w:vAlign w:val="center"/>
            <w:hideMark/>
          </w:tcPr>
          <w:p w14:paraId="3AA818AE" w14:textId="77777777" w:rsidR="00065E52" w:rsidRPr="00073666" w:rsidRDefault="00065E52" w:rsidP="007E648C">
            <w:pPr>
              <w:rPr>
                <w:rFonts w:ascii="Calibri" w:hAnsi="Calibri" w:cs="Calibri"/>
                <w:color w:val="000000"/>
                <w:sz w:val="16"/>
                <w:szCs w:val="16"/>
              </w:rPr>
            </w:pPr>
          </w:p>
        </w:tc>
        <w:tc>
          <w:tcPr>
            <w:tcW w:w="3882" w:type="dxa"/>
            <w:tcBorders>
              <w:top w:val="nil"/>
              <w:left w:val="nil"/>
              <w:bottom w:val="nil"/>
              <w:right w:val="nil"/>
            </w:tcBorders>
            <w:shd w:val="clear" w:color="auto" w:fill="auto"/>
            <w:vAlign w:val="center"/>
            <w:hideMark/>
          </w:tcPr>
          <w:p w14:paraId="5DC796D0"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Direct test (cytology, direct microscopy, or culture)</w:t>
            </w:r>
          </w:p>
        </w:tc>
        <w:tc>
          <w:tcPr>
            <w:tcW w:w="253" w:type="dxa"/>
            <w:tcBorders>
              <w:top w:val="nil"/>
              <w:left w:val="nil"/>
              <w:bottom w:val="nil"/>
              <w:right w:val="nil"/>
            </w:tcBorders>
            <w:shd w:val="clear" w:color="auto" w:fill="auto"/>
            <w:vAlign w:val="center"/>
            <w:hideMark/>
          </w:tcPr>
          <w:p w14:paraId="4CF18DF7"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69E025DA"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57191654" w14:textId="77777777" w:rsidR="00065E52" w:rsidRPr="00073666" w:rsidRDefault="00065E52" w:rsidP="007E648C">
            <w:pPr>
              <w:rPr>
                <w:rFonts w:ascii="Calibri" w:hAnsi="Calibri" w:cs="Calibri"/>
                <w:sz w:val="20"/>
                <w:szCs w:val="20"/>
              </w:rPr>
            </w:pPr>
          </w:p>
        </w:tc>
      </w:tr>
      <w:tr w:rsidR="00065E52" w:rsidRPr="00073666" w14:paraId="07CD4501" w14:textId="77777777" w:rsidTr="007E648C">
        <w:trPr>
          <w:trHeight w:val="480"/>
        </w:trPr>
        <w:tc>
          <w:tcPr>
            <w:tcW w:w="815" w:type="dxa"/>
            <w:tcBorders>
              <w:top w:val="nil"/>
              <w:left w:val="nil"/>
              <w:bottom w:val="nil"/>
              <w:right w:val="nil"/>
            </w:tcBorders>
            <w:shd w:val="clear" w:color="auto" w:fill="auto"/>
            <w:vAlign w:val="center"/>
            <w:hideMark/>
          </w:tcPr>
          <w:p w14:paraId="0C55A5D2" w14:textId="77777777" w:rsidR="00065E52" w:rsidRPr="00073666" w:rsidRDefault="00065E52" w:rsidP="007E648C">
            <w:pPr>
              <w:rPr>
                <w:rFonts w:ascii="Calibri" w:hAnsi="Calibri" w:cs="Calibri"/>
                <w:sz w:val="20"/>
                <w:szCs w:val="20"/>
              </w:rPr>
            </w:pPr>
          </w:p>
        </w:tc>
        <w:tc>
          <w:tcPr>
            <w:tcW w:w="3882" w:type="dxa"/>
            <w:tcBorders>
              <w:top w:val="nil"/>
              <w:left w:val="nil"/>
              <w:bottom w:val="nil"/>
              <w:right w:val="nil"/>
            </w:tcBorders>
            <w:shd w:val="clear" w:color="auto" w:fill="auto"/>
            <w:vAlign w:val="center"/>
            <w:hideMark/>
          </w:tcPr>
          <w:p w14:paraId="4CC7192B" w14:textId="77777777" w:rsidR="00065E52" w:rsidRPr="00073666" w:rsidRDefault="00065E52" w:rsidP="007E648C">
            <w:pPr>
              <w:rPr>
                <w:rFonts w:ascii="Calibri" w:hAnsi="Calibri" w:cs="Calibri"/>
                <w:color w:val="000000"/>
                <w:sz w:val="16"/>
                <w:szCs w:val="16"/>
              </w:rPr>
            </w:pPr>
            <w:r w:rsidRPr="00073666">
              <w:rPr>
                <w:rFonts w:ascii="Calibri" w:hAnsi="Calibri" w:cs="Calibri"/>
                <w:i/>
                <w:iCs/>
                <w:color w:val="000000"/>
                <w:sz w:val="16"/>
                <w:szCs w:val="16"/>
              </w:rPr>
              <w:t>Aspergillus</w:t>
            </w:r>
            <w:r w:rsidRPr="00073666">
              <w:rPr>
                <w:rFonts w:ascii="Calibri" w:hAnsi="Calibri" w:cs="Calibri"/>
                <w:color w:val="000000"/>
                <w:sz w:val="16"/>
                <w:szCs w:val="16"/>
              </w:rPr>
              <w:t xml:space="preserve"> in sputum, BAL or bronchial brush indicated by 1 of the following:</w:t>
            </w:r>
          </w:p>
        </w:tc>
        <w:tc>
          <w:tcPr>
            <w:tcW w:w="253" w:type="dxa"/>
            <w:tcBorders>
              <w:top w:val="nil"/>
              <w:left w:val="nil"/>
              <w:bottom w:val="nil"/>
              <w:right w:val="nil"/>
            </w:tcBorders>
            <w:shd w:val="clear" w:color="auto" w:fill="auto"/>
            <w:vAlign w:val="center"/>
            <w:hideMark/>
          </w:tcPr>
          <w:p w14:paraId="0D1D6316"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single" w:sz="4" w:space="0" w:color="auto"/>
              <w:right w:val="nil"/>
            </w:tcBorders>
            <w:shd w:val="clear" w:color="auto" w:fill="auto"/>
            <w:vAlign w:val="center"/>
            <w:hideMark/>
          </w:tcPr>
          <w:p w14:paraId="3B6EFC03"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Colonisation</w:t>
            </w:r>
          </w:p>
        </w:tc>
        <w:tc>
          <w:tcPr>
            <w:tcW w:w="3905" w:type="dxa"/>
            <w:tcBorders>
              <w:top w:val="nil"/>
              <w:left w:val="nil"/>
              <w:bottom w:val="single" w:sz="4" w:space="0" w:color="auto"/>
              <w:right w:val="nil"/>
            </w:tcBorders>
            <w:shd w:val="clear" w:color="auto" w:fill="auto"/>
            <w:vAlign w:val="center"/>
            <w:hideMark/>
          </w:tcPr>
          <w:p w14:paraId="2BC6E1B2"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 xml:space="preserve">Positive </w:t>
            </w:r>
            <w:r w:rsidRPr="00073666">
              <w:rPr>
                <w:rFonts w:ascii="Calibri" w:hAnsi="Calibri" w:cs="Calibri"/>
                <w:b/>
                <w:bCs/>
                <w:i/>
                <w:iCs/>
                <w:color w:val="000000"/>
                <w:sz w:val="16"/>
                <w:szCs w:val="16"/>
              </w:rPr>
              <w:t>Aspergillus</w:t>
            </w:r>
            <w:r w:rsidRPr="00073666">
              <w:rPr>
                <w:rFonts w:ascii="Calibri" w:hAnsi="Calibri" w:cs="Calibri"/>
                <w:b/>
                <w:bCs/>
                <w:color w:val="000000"/>
                <w:sz w:val="16"/>
                <w:szCs w:val="16"/>
              </w:rPr>
              <w:t xml:space="preserve"> culture from BAL but at least one clinical and/or radiological criterion </w:t>
            </w:r>
            <w:r w:rsidRPr="00073666">
              <w:rPr>
                <w:rFonts w:ascii="Calibri" w:hAnsi="Calibri" w:cs="Calibri"/>
                <w:b/>
                <w:bCs/>
                <w:i/>
                <w:iCs/>
                <w:color w:val="000000"/>
                <w:sz w:val="16"/>
                <w:szCs w:val="16"/>
              </w:rPr>
              <w:t>not</w:t>
            </w:r>
            <w:r w:rsidRPr="00073666">
              <w:rPr>
                <w:rFonts w:ascii="Calibri" w:hAnsi="Calibri" w:cs="Calibri"/>
                <w:b/>
                <w:bCs/>
                <w:color w:val="000000"/>
                <w:sz w:val="16"/>
                <w:szCs w:val="16"/>
              </w:rPr>
              <w:t xml:space="preserve"> met</w:t>
            </w:r>
          </w:p>
        </w:tc>
      </w:tr>
      <w:tr w:rsidR="00065E52" w:rsidRPr="00073666" w14:paraId="33133F26" w14:textId="77777777" w:rsidTr="007E648C">
        <w:trPr>
          <w:trHeight w:val="280"/>
        </w:trPr>
        <w:tc>
          <w:tcPr>
            <w:tcW w:w="815" w:type="dxa"/>
            <w:tcBorders>
              <w:top w:val="nil"/>
              <w:left w:val="nil"/>
              <w:bottom w:val="nil"/>
              <w:right w:val="nil"/>
            </w:tcBorders>
            <w:shd w:val="clear" w:color="auto" w:fill="auto"/>
            <w:vAlign w:val="center"/>
            <w:hideMark/>
          </w:tcPr>
          <w:p w14:paraId="68DCFAF2" w14:textId="77777777" w:rsidR="00065E52" w:rsidRPr="00073666" w:rsidRDefault="00065E52" w:rsidP="007E648C">
            <w:pPr>
              <w:rPr>
                <w:rFonts w:ascii="Calibri" w:hAnsi="Calibri" w:cs="Calibri"/>
                <w:b/>
                <w:bCs/>
                <w:color w:val="000000"/>
                <w:sz w:val="16"/>
                <w:szCs w:val="16"/>
              </w:rPr>
            </w:pPr>
          </w:p>
        </w:tc>
        <w:tc>
          <w:tcPr>
            <w:tcW w:w="3882" w:type="dxa"/>
            <w:tcBorders>
              <w:top w:val="nil"/>
              <w:left w:val="nil"/>
              <w:bottom w:val="nil"/>
              <w:right w:val="nil"/>
            </w:tcBorders>
            <w:shd w:val="clear" w:color="auto" w:fill="auto"/>
            <w:vAlign w:val="center"/>
            <w:hideMark/>
          </w:tcPr>
          <w:p w14:paraId="00940FFA"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Presence of fungal elements indicating a mould</w:t>
            </w:r>
          </w:p>
        </w:tc>
        <w:tc>
          <w:tcPr>
            <w:tcW w:w="253" w:type="dxa"/>
            <w:tcBorders>
              <w:top w:val="nil"/>
              <w:left w:val="nil"/>
              <w:bottom w:val="nil"/>
              <w:right w:val="nil"/>
            </w:tcBorders>
            <w:shd w:val="clear" w:color="auto" w:fill="auto"/>
            <w:vAlign w:val="center"/>
            <w:hideMark/>
          </w:tcPr>
          <w:p w14:paraId="4B35992D"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62422565"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1EA17507" w14:textId="77777777" w:rsidR="00065E52" w:rsidRPr="00073666" w:rsidRDefault="00065E52" w:rsidP="007E648C">
            <w:pPr>
              <w:rPr>
                <w:rFonts w:ascii="Calibri" w:hAnsi="Calibri" w:cs="Calibri"/>
                <w:sz w:val="20"/>
                <w:szCs w:val="20"/>
              </w:rPr>
            </w:pPr>
          </w:p>
        </w:tc>
      </w:tr>
      <w:tr w:rsidR="00065E52" w:rsidRPr="00073666" w14:paraId="7A6117C3" w14:textId="77777777" w:rsidTr="007E648C">
        <w:trPr>
          <w:trHeight w:val="280"/>
        </w:trPr>
        <w:tc>
          <w:tcPr>
            <w:tcW w:w="815" w:type="dxa"/>
            <w:tcBorders>
              <w:top w:val="nil"/>
              <w:left w:val="nil"/>
              <w:bottom w:val="nil"/>
              <w:right w:val="nil"/>
            </w:tcBorders>
            <w:shd w:val="clear" w:color="auto" w:fill="auto"/>
            <w:vAlign w:val="center"/>
            <w:hideMark/>
          </w:tcPr>
          <w:p w14:paraId="046A51BA" w14:textId="77777777" w:rsidR="00065E52" w:rsidRPr="00073666" w:rsidRDefault="00065E52" w:rsidP="007E648C">
            <w:pPr>
              <w:rPr>
                <w:rFonts w:ascii="Calibri" w:hAnsi="Calibri" w:cs="Calibri"/>
                <w:sz w:val="20"/>
                <w:szCs w:val="20"/>
              </w:rPr>
            </w:pPr>
          </w:p>
        </w:tc>
        <w:tc>
          <w:tcPr>
            <w:tcW w:w="3882" w:type="dxa"/>
            <w:tcBorders>
              <w:top w:val="nil"/>
              <w:left w:val="nil"/>
              <w:bottom w:val="nil"/>
              <w:right w:val="nil"/>
            </w:tcBorders>
            <w:shd w:val="clear" w:color="auto" w:fill="auto"/>
            <w:vAlign w:val="center"/>
            <w:hideMark/>
          </w:tcPr>
          <w:p w14:paraId="7DCDF388"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 xml:space="preserve">Positive </w:t>
            </w:r>
            <w:r w:rsidRPr="00073666">
              <w:rPr>
                <w:rFonts w:ascii="Calibri" w:hAnsi="Calibri" w:cs="Calibri"/>
                <w:i/>
                <w:iCs/>
                <w:color w:val="000000"/>
                <w:sz w:val="16"/>
                <w:szCs w:val="16"/>
              </w:rPr>
              <w:t xml:space="preserve">Aspergillus </w:t>
            </w:r>
            <w:r w:rsidRPr="00073666">
              <w:rPr>
                <w:rFonts w:ascii="Calibri" w:hAnsi="Calibri" w:cs="Calibri"/>
                <w:color w:val="000000"/>
                <w:sz w:val="16"/>
                <w:szCs w:val="16"/>
              </w:rPr>
              <w:t>culture</w:t>
            </w:r>
          </w:p>
        </w:tc>
        <w:tc>
          <w:tcPr>
            <w:tcW w:w="253" w:type="dxa"/>
            <w:tcBorders>
              <w:top w:val="nil"/>
              <w:left w:val="nil"/>
              <w:bottom w:val="nil"/>
              <w:right w:val="nil"/>
            </w:tcBorders>
            <w:shd w:val="clear" w:color="auto" w:fill="auto"/>
            <w:vAlign w:val="center"/>
            <w:hideMark/>
          </w:tcPr>
          <w:p w14:paraId="610493A0"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07A05EA2"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2E5B29D8" w14:textId="77777777" w:rsidR="00065E52" w:rsidRPr="00073666" w:rsidRDefault="00065E52" w:rsidP="007E648C">
            <w:pPr>
              <w:rPr>
                <w:rFonts w:ascii="Calibri" w:hAnsi="Calibri" w:cs="Calibri"/>
                <w:sz w:val="20"/>
                <w:szCs w:val="20"/>
              </w:rPr>
            </w:pPr>
          </w:p>
        </w:tc>
      </w:tr>
      <w:tr w:rsidR="00065E52" w:rsidRPr="00073666" w14:paraId="2476E559" w14:textId="77777777" w:rsidTr="007E648C">
        <w:trPr>
          <w:trHeight w:val="480"/>
        </w:trPr>
        <w:tc>
          <w:tcPr>
            <w:tcW w:w="815" w:type="dxa"/>
            <w:tcBorders>
              <w:top w:val="nil"/>
              <w:left w:val="nil"/>
              <w:bottom w:val="nil"/>
              <w:right w:val="nil"/>
            </w:tcBorders>
            <w:shd w:val="clear" w:color="auto" w:fill="auto"/>
            <w:vAlign w:val="center"/>
            <w:hideMark/>
          </w:tcPr>
          <w:p w14:paraId="79D97AF0" w14:textId="77777777" w:rsidR="00065E52" w:rsidRPr="00073666" w:rsidRDefault="00065E52" w:rsidP="007E648C">
            <w:pPr>
              <w:rPr>
                <w:rFonts w:ascii="Calibri" w:hAnsi="Calibri" w:cs="Calibri"/>
                <w:sz w:val="20"/>
                <w:szCs w:val="20"/>
              </w:rPr>
            </w:pPr>
          </w:p>
        </w:tc>
        <w:tc>
          <w:tcPr>
            <w:tcW w:w="3882" w:type="dxa"/>
            <w:tcBorders>
              <w:top w:val="nil"/>
              <w:left w:val="nil"/>
              <w:bottom w:val="nil"/>
              <w:right w:val="nil"/>
            </w:tcBorders>
            <w:shd w:val="clear" w:color="auto" w:fill="auto"/>
            <w:vAlign w:val="center"/>
            <w:hideMark/>
          </w:tcPr>
          <w:p w14:paraId="274E46FE" w14:textId="77777777" w:rsidR="00065E52" w:rsidRPr="00073666" w:rsidRDefault="00065E52" w:rsidP="007E648C">
            <w:pPr>
              <w:rPr>
                <w:rFonts w:ascii="Calibri" w:hAnsi="Calibri" w:cs="Calibri"/>
                <w:color w:val="000000"/>
                <w:sz w:val="16"/>
                <w:szCs w:val="16"/>
              </w:rPr>
            </w:pP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 </w:t>
            </w:r>
            <w:r w:rsidRPr="00073666">
              <w:rPr>
                <w:rFonts w:ascii="Calibri" w:hAnsi="Calibri" w:cs="Calibri"/>
                <w:color w:val="000000"/>
                <w:sz w:val="16"/>
                <w:szCs w:val="16"/>
              </w:rPr>
              <w:t>Galactomannan in plasma, serum or BAL or β-d-glucan detected in serum</w:t>
            </w:r>
          </w:p>
        </w:tc>
        <w:tc>
          <w:tcPr>
            <w:tcW w:w="253" w:type="dxa"/>
            <w:tcBorders>
              <w:top w:val="nil"/>
              <w:left w:val="nil"/>
              <w:bottom w:val="nil"/>
              <w:right w:val="nil"/>
            </w:tcBorders>
            <w:shd w:val="clear" w:color="auto" w:fill="auto"/>
            <w:vAlign w:val="center"/>
            <w:hideMark/>
          </w:tcPr>
          <w:p w14:paraId="01065738" w14:textId="77777777" w:rsidR="00065E52" w:rsidRPr="00073666" w:rsidRDefault="00065E52" w:rsidP="007E648C">
            <w:pPr>
              <w:rPr>
                <w:rFonts w:ascii="Calibri" w:hAnsi="Calibri" w:cs="Calibri"/>
                <w:color w:val="000000"/>
                <w:sz w:val="16"/>
                <w:szCs w:val="16"/>
              </w:rPr>
            </w:pPr>
          </w:p>
        </w:tc>
        <w:tc>
          <w:tcPr>
            <w:tcW w:w="1185" w:type="dxa"/>
            <w:tcBorders>
              <w:top w:val="nil"/>
              <w:left w:val="nil"/>
              <w:bottom w:val="nil"/>
              <w:right w:val="nil"/>
            </w:tcBorders>
            <w:shd w:val="clear" w:color="auto" w:fill="auto"/>
            <w:vAlign w:val="center"/>
            <w:hideMark/>
          </w:tcPr>
          <w:p w14:paraId="6B4CA3C2"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76332DF4" w14:textId="77777777" w:rsidR="00065E52" w:rsidRPr="00073666" w:rsidRDefault="00065E52" w:rsidP="007E648C">
            <w:pPr>
              <w:rPr>
                <w:rFonts w:ascii="Calibri" w:hAnsi="Calibri" w:cs="Calibri"/>
                <w:sz w:val="20"/>
                <w:szCs w:val="20"/>
              </w:rPr>
            </w:pPr>
          </w:p>
        </w:tc>
      </w:tr>
      <w:tr w:rsidR="00065E52" w:rsidRPr="00073666" w14:paraId="7F720059" w14:textId="77777777" w:rsidTr="007E648C">
        <w:trPr>
          <w:trHeight w:val="280"/>
        </w:trPr>
        <w:tc>
          <w:tcPr>
            <w:tcW w:w="815" w:type="dxa"/>
            <w:tcBorders>
              <w:top w:val="nil"/>
              <w:left w:val="nil"/>
              <w:bottom w:val="nil"/>
              <w:right w:val="nil"/>
            </w:tcBorders>
            <w:shd w:val="clear" w:color="auto" w:fill="auto"/>
            <w:vAlign w:val="center"/>
            <w:hideMark/>
          </w:tcPr>
          <w:p w14:paraId="00495CFB" w14:textId="77777777" w:rsidR="00065E52" w:rsidRPr="00073666" w:rsidRDefault="00065E52" w:rsidP="007E648C">
            <w:pPr>
              <w:rPr>
                <w:rFonts w:ascii="Calibri" w:hAnsi="Calibri" w:cs="Calibri"/>
                <w:sz w:val="20"/>
                <w:szCs w:val="20"/>
              </w:rPr>
            </w:pPr>
          </w:p>
        </w:tc>
        <w:tc>
          <w:tcPr>
            <w:tcW w:w="3882" w:type="dxa"/>
            <w:tcBorders>
              <w:top w:val="nil"/>
              <w:left w:val="nil"/>
              <w:bottom w:val="nil"/>
              <w:right w:val="nil"/>
            </w:tcBorders>
            <w:shd w:val="clear" w:color="auto" w:fill="auto"/>
            <w:vAlign w:val="center"/>
            <w:hideMark/>
          </w:tcPr>
          <w:p w14:paraId="1980ADE7" w14:textId="77777777" w:rsidR="00065E52" w:rsidRPr="00073666" w:rsidRDefault="00065E52" w:rsidP="007E648C">
            <w:pPr>
              <w:rPr>
                <w:rFonts w:ascii="Calibri" w:hAnsi="Calibri" w:cs="Calibri"/>
                <w:sz w:val="20"/>
                <w:szCs w:val="20"/>
              </w:rPr>
            </w:pPr>
          </w:p>
        </w:tc>
        <w:tc>
          <w:tcPr>
            <w:tcW w:w="253" w:type="dxa"/>
            <w:tcBorders>
              <w:top w:val="nil"/>
              <w:left w:val="nil"/>
              <w:bottom w:val="nil"/>
              <w:right w:val="nil"/>
            </w:tcBorders>
            <w:shd w:val="clear" w:color="auto" w:fill="auto"/>
            <w:vAlign w:val="center"/>
            <w:hideMark/>
          </w:tcPr>
          <w:p w14:paraId="789C2A8B" w14:textId="77777777" w:rsidR="00065E52" w:rsidRPr="00073666" w:rsidRDefault="00065E52" w:rsidP="007E648C">
            <w:pPr>
              <w:rPr>
                <w:rFonts w:ascii="Calibri" w:hAnsi="Calibri" w:cs="Calibri"/>
                <w:sz w:val="20"/>
                <w:szCs w:val="20"/>
              </w:rPr>
            </w:pPr>
          </w:p>
        </w:tc>
        <w:tc>
          <w:tcPr>
            <w:tcW w:w="1185" w:type="dxa"/>
            <w:tcBorders>
              <w:top w:val="nil"/>
              <w:left w:val="nil"/>
              <w:bottom w:val="nil"/>
              <w:right w:val="nil"/>
            </w:tcBorders>
            <w:shd w:val="clear" w:color="auto" w:fill="auto"/>
            <w:vAlign w:val="center"/>
            <w:hideMark/>
          </w:tcPr>
          <w:p w14:paraId="1A19047A" w14:textId="77777777" w:rsidR="00065E52" w:rsidRPr="00073666" w:rsidRDefault="00065E52" w:rsidP="007E648C">
            <w:pPr>
              <w:rPr>
                <w:rFonts w:ascii="Calibri" w:hAnsi="Calibri" w:cs="Calibri"/>
                <w:sz w:val="20"/>
                <w:szCs w:val="20"/>
              </w:rPr>
            </w:pPr>
          </w:p>
        </w:tc>
        <w:tc>
          <w:tcPr>
            <w:tcW w:w="3905" w:type="dxa"/>
            <w:tcBorders>
              <w:top w:val="nil"/>
              <w:left w:val="nil"/>
              <w:bottom w:val="nil"/>
              <w:right w:val="nil"/>
            </w:tcBorders>
            <w:shd w:val="clear" w:color="auto" w:fill="auto"/>
            <w:vAlign w:val="center"/>
            <w:hideMark/>
          </w:tcPr>
          <w:p w14:paraId="4CCD6A40" w14:textId="77777777" w:rsidR="00065E52" w:rsidRPr="00073666" w:rsidRDefault="00065E52" w:rsidP="007E648C">
            <w:pPr>
              <w:rPr>
                <w:rFonts w:ascii="Calibri" w:hAnsi="Calibri" w:cs="Calibri"/>
                <w:sz w:val="20"/>
                <w:szCs w:val="20"/>
              </w:rPr>
            </w:pPr>
          </w:p>
        </w:tc>
      </w:tr>
      <w:tr w:rsidR="00065E52" w:rsidRPr="00073666" w14:paraId="72632832" w14:textId="77777777" w:rsidTr="007E648C">
        <w:trPr>
          <w:trHeight w:val="720"/>
        </w:trPr>
        <w:tc>
          <w:tcPr>
            <w:tcW w:w="815" w:type="dxa"/>
            <w:tcBorders>
              <w:top w:val="nil"/>
              <w:left w:val="nil"/>
              <w:bottom w:val="single" w:sz="4" w:space="0" w:color="auto"/>
              <w:right w:val="nil"/>
            </w:tcBorders>
            <w:shd w:val="clear" w:color="auto" w:fill="auto"/>
            <w:vAlign w:val="center"/>
            <w:hideMark/>
          </w:tcPr>
          <w:p w14:paraId="53845423"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Possible</w:t>
            </w:r>
          </w:p>
        </w:tc>
        <w:tc>
          <w:tcPr>
            <w:tcW w:w="3882" w:type="dxa"/>
            <w:tcBorders>
              <w:top w:val="nil"/>
              <w:left w:val="nil"/>
              <w:bottom w:val="single" w:sz="4" w:space="0" w:color="auto"/>
              <w:right w:val="nil"/>
            </w:tcBorders>
            <w:shd w:val="clear" w:color="auto" w:fill="auto"/>
            <w:vAlign w:val="center"/>
            <w:hideMark/>
          </w:tcPr>
          <w:p w14:paraId="169C9BA8"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 xml:space="preserve">Host factor + clinical criterion but mycological criteria </w:t>
            </w:r>
            <w:r w:rsidRPr="00073666">
              <w:rPr>
                <w:rFonts w:ascii="Calibri" w:hAnsi="Calibri" w:cs="Calibri"/>
                <w:b/>
                <w:bCs/>
                <w:i/>
                <w:iCs/>
                <w:color w:val="000000"/>
                <w:sz w:val="16"/>
                <w:szCs w:val="16"/>
              </w:rPr>
              <w:t>not</w:t>
            </w:r>
            <w:r w:rsidRPr="00073666">
              <w:rPr>
                <w:rFonts w:ascii="Calibri" w:hAnsi="Calibri" w:cs="Calibri"/>
                <w:b/>
                <w:bCs/>
                <w:color w:val="000000"/>
                <w:sz w:val="16"/>
                <w:szCs w:val="16"/>
              </w:rPr>
              <w:t xml:space="preserve"> met</w:t>
            </w:r>
          </w:p>
        </w:tc>
        <w:tc>
          <w:tcPr>
            <w:tcW w:w="253" w:type="dxa"/>
            <w:tcBorders>
              <w:top w:val="nil"/>
              <w:left w:val="nil"/>
              <w:bottom w:val="nil"/>
              <w:right w:val="nil"/>
            </w:tcBorders>
            <w:shd w:val="clear" w:color="auto" w:fill="auto"/>
            <w:vAlign w:val="center"/>
            <w:hideMark/>
          </w:tcPr>
          <w:p w14:paraId="110C46D0" w14:textId="77777777" w:rsidR="00065E52" w:rsidRPr="00073666" w:rsidRDefault="00065E52" w:rsidP="007E648C">
            <w:pPr>
              <w:rPr>
                <w:rFonts w:ascii="Calibri" w:hAnsi="Calibri" w:cs="Calibri"/>
                <w:b/>
                <w:bCs/>
                <w:color w:val="000000"/>
                <w:sz w:val="16"/>
                <w:szCs w:val="16"/>
              </w:rPr>
            </w:pPr>
          </w:p>
        </w:tc>
        <w:tc>
          <w:tcPr>
            <w:tcW w:w="1185" w:type="dxa"/>
            <w:tcBorders>
              <w:top w:val="nil"/>
              <w:left w:val="nil"/>
              <w:bottom w:val="single" w:sz="4" w:space="0" w:color="auto"/>
              <w:right w:val="nil"/>
            </w:tcBorders>
            <w:shd w:val="clear" w:color="auto" w:fill="auto"/>
            <w:vAlign w:val="center"/>
            <w:hideMark/>
          </w:tcPr>
          <w:p w14:paraId="1F0557AE"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Not classifiable</w:t>
            </w:r>
          </w:p>
        </w:tc>
        <w:tc>
          <w:tcPr>
            <w:tcW w:w="3905" w:type="dxa"/>
            <w:tcBorders>
              <w:top w:val="nil"/>
              <w:left w:val="nil"/>
              <w:bottom w:val="single" w:sz="4" w:space="0" w:color="auto"/>
              <w:right w:val="nil"/>
            </w:tcBorders>
            <w:shd w:val="clear" w:color="auto" w:fill="auto"/>
            <w:vAlign w:val="center"/>
            <w:hideMark/>
          </w:tcPr>
          <w:p w14:paraId="2B0177F1" w14:textId="77777777" w:rsidR="00065E52" w:rsidRPr="00073666" w:rsidRDefault="00065E52" w:rsidP="007E648C">
            <w:pPr>
              <w:rPr>
                <w:rFonts w:ascii="Calibri" w:hAnsi="Calibri" w:cs="Calibri"/>
                <w:b/>
                <w:bCs/>
                <w:color w:val="000000"/>
                <w:sz w:val="16"/>
                <w:szCs w:val="16"/>
              </w:rPr>
            </w:pPr>
            <w:r w:rsidRPr="00073666">
              <w:rPr>
                <w:rFonts w:ascii="Calibri" w:hAnsi="Calibri" w:cs="Calibri"/>
                <w:b/>
                <w:bCs/>
                <w:color w:val="000000"/>
                <w:sz w:val="16"/>
                <w:szCs w:val="16"/>
              </w:rPr>
              <w:t xml:space="preserve">Clinical, radiological and mycological criteria all met but a </w:t>
            </w:r>
            <w:r w:rsidRPr="00073666">
              <w:rPr>
                <w:rFonts w:ascii="Calibri" w:hAnsi="Calibri" w:cs="Calibri"/>
                <w:b/>
                <w:bCs/>
                <w:i/>
                <w:iCs/>
                <w:color w:val="000000"/>
                <w:sz w:val="16"/>
                <w:szCs w:val="16"/>
              </w:rPr>
              <w:t>negative</w:t>
            </w:r>
            <w:r w:rsidRPr="00073666">
              <w:rPr>
                <w:rFonts w:ascii="Calibri" w:hAnsi="Calibri" w:cs="Calibri"/>
                <w:b/>
                <w:bCs/>
                <w:color w:val="000000"/>
                <w:sz w:val="16"/>
                <w:szCs w:val="16"/>
              </w:rPr>
              <w:t xml:space="preserve"> Aspergillus culture from BAL</w:t>
            </w:r>
            <w:r w:rsidRPr="00073666">
              <w:rPr>
                <w:rFonts w:ascii="Calibri" w:hAnsi="Calibri" w:cs="Calibri"/>
                <w:color w:val="000000"/>
                <w:sz w:val="16"/>
                <w:szCs w:val="16"/>
              </w:rPr>
              <w:t xml:space="preserve"> (the entry criterion in the original Blot et al. </w:t>
            </w:r>
            <w:proofErr w:type="spellStart"/>
            <w:r w:rsidRPr="00073666">
              <w:rPr>
                <w:rFonts w:ascii="Calibri" w:hAnsi="Calibri" w:cs="Calibri"/>
                <w:color w:val="000000"/>
                <w:sz w:val="16"/>
                <w:szCs w:val="16"/>
              </w:rPr>
              <w:t>AspICU</w:t>
            </w:r>
            <w:proofErr w:type="spellEnd"/>
            <w:r w:rsidRPr="00073666">
              <w:rPr>
                <w:rFonts w:ascii="Calibri" w:hAnsi="Calibri" w:cs="Calibri"/>
                <w:color w:val="000000"/>
                <w:sz w:val="16"/>
                <w:szCs w:val="16"/>
              </w:rPr>
              <w:t xml:space="preserve"> algorithm)</w:t>
            </w:r>
          </w:p>
        </w:tc>
      </w:tr>
    </w:tbl>
    <w:p w14:paraId="08375928" w14:textId="77777777" w:rsidR="00A540B6" w:rsidRPr="00073666" w:rsidRDefault="00065E52" w:rsidP="00A540B6">
      <w:pPr>
        <w:autoSpaceDE w:val="0"/>
        <w:autoSpaceDN w:val="0"/>
        <w:adjustRightInd w:val="0"/>
        <w:rPr>
          <w:rFonts w:ascii="Calibri" w:hAnsi="Calibri" w:cs="Calibri"/>
          <w:color w:val="000000" w:themeColor="text1"/>
          <w:sz w:val="16"/>
          <w:szCs w:val="16"/>
        </w:rPr>
      </w:pPr>
      <w:r w:rsidRPr="00073666">
        <w:rPr>
          <w:rFonts w:ascii="Calibri" w:hAnsi="Calibri" w:cs="Calibri"/>
          <w:color w:val="000000" w:themeColor="text1"/>
          <w:sz w:val="16"/>
          <w:szCs w:val="16"/>
        </w:rPr>
        <w:t xml:space="preserve">IA: Invasive Aspergillosis, IPA: Invasive Pulmonary Aspergillosis, BAL: Bronchoalveolar lavage, CT: Computed Tomography </w:t>
      </w:r>
    </w:p>
    <w:p w14:paraId="223117F0" w14:textId="50D9C256" w:rsidR="00065E52" w:rsidRPr="00073666" w:rsidRDefault="00A540B6" w:rsidP="006D2171">
      <w:pPr>
        <w:rPr>
          <w:rFonts w:ascii="Calibri" w:hAnsi="Calibri" w:cs="Calibri"/>
          <w:color w:val="000000" w:themeColor="text1"/>
          <w:sz w:val="16"/>
          <w:szCs w:val="16"/>
        </w:rPr>
      </w:pPr>
      <w:r w:rsidRPr="00073666">
        <w:rPr>
          <w:rFonts w:ascii="Calibri" w:hAnsi="Calibri" w:cs="Calibri"/>
          <w:color w:val="000000" w:themeColor="text1"/>
          <w:sz w:val="16"/>
          <w:szCs w:val="16"/>
        </w:rPr>
        <w:br w:type="page"/>
      </w:r>
      <w:r w:rsidR="00065E52" w:rsidRPr="00073666">
        <w:rPr>
          <w:rFonts w:ascii="Calibri" w:hAnsi="Calibri" w:cs="Calibri"/>
          <w:b/>
          <w:color w:val="000000" w:themeColor="text1"/>
          <w:szCs w:val="22"/>
        </w:rPr>
        <w:lastRenderedPageBreak/>
        <w:t>Influenza-associated aspergillosis (IAA)</w:t>
      </w:r>
    </w:p>
    <w:p w14:paraId="507020B6" w14:textId="77777777" w:rsidR="00065E52" w:rsidRPr="00073666" w:rsidRDefault="00065E52" w:rsidP="00065E52">
      <w:pPr>
        <w:autoSpaceDE w:val="0"/>
        <w:autoSpaceDN w:val="0"/>
        <w:adjustRightInd w:val="0"/>
        <w:rPr>
          <w:rFonts w:ascii="Calibri" w:hAnsi="Calibri" w:cs="Calibri"/>
          <w:color w:val="000000" w:themeColor="text1"/>
          <w:szCs w:val="22"/>
          <w:lang w:val="en-US"/>
        </w:rPr>
      </w:pPr>
      <w:r w:rsidRPr="00073666">
        <w:rPr>
          <w:rFonts w:ascii="Calibri" w:hAnsi="Calibri" w:cs="Calibri"/>
          <w:color w:val="000000" w:themeColor="text1"/>
          <w:szCs w:val="22"/>
        </w:rPr>
        <w:t>It is well established that patients with severe influenza are prone to bacterial superinfection</w:t>
      </w:r>
      <w:r w:rsidRPr="00073666">
        <w:rPr>
          <w:rFonts w:ascii="Calibri" w:hAnsi="Calibri" w:cs="Calibri"/>
          <w:color w:val="000000" w:themeColor="text1"/>
          <w:szCs w:val="22"/>
          <w:lang w:val="en-US"/>
        </w:rPr>
        <w:t xml:space="preserve"> but the risk of secondary fungal infection with </w:t>
      </w:r>
      <w:r w:rsidRPr="00073666">
        <w:rPr>
          <w:rFonts w:ascii="Calibri" w:hAnsi="Calibri" w:cs="Calibri"/>
          <w:i/>
          <w:color w:val="000000" w:themeColor="text1"/>
          <w:szCs w:val="22"/>
          <w:lang w:val="en-US"/>
        </w:rPr>
        <w:t xml:space="preserve">Aspergillus </w:t>
      </w:r>
      <w:r w:rsidRPr="00073666">
        <w:rPr>
          <w:rFonts w:ascii="Calibri" w:hAnsi="Calibri" w:cs="Calibri"/>
          <w:color w:val="000000" w:themeColor="text1"/>
          <w:szCs w:val="22"/>
          <w:lang w:val="en-US"/>
        </w:rPr>
        <w:t xml:space="preserve">has only recently been determined </w:t>
      </w:r>
      <w:r w:rsidRPr="00073666">
        <w:rPr>
          <w:rFonts w:ascii="Calibri" w:hAnsi="Calibri" w:cs="Calibri"/>
          <w:color w:val="000000" w:themeColor="text1"/>
          <w:szCs w:val="22"/>
          <w:lang w:val="en-US"/>
        </w:rPr>
        <w:fldChar w:fldCharType="begin" w:fldLock="1"/>
      </w:r>
      <w:r w:rsidRPr="00073666">
        <w:rPr>
          <w:rFonts w:ascii="Calibri" w:hAnsi="Calibri" w:cs="Calibri"/>
          <w:color w:val="000000" w:themeColor="text1"/>
          <w:szCs w:val="22"/>
          <w:lang w:val="en-US"/>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lang w:val="en-US"/>
        </w:rPr>
        <w:fldChar w:fldCharType="separate"/>
      </w:r>
      <w:r w:rsidRPr="00073666">
        <w:rPr>
          <w:rFonts w:ascii="Calibri" w:hAnsi="Calibri" w:cs="Calibri"/>
          <w:noProof/>
          <w:color w:val="000000" w:themeColor="text1"/>
          <w:szCs w:val="22"/>
          <w:lang w:val="en-US"/>
        </w:rPr>
        <w:t>[1]</w:t>
      </w:r>
      <w:r w:rsidRPr="00073666">
        <w:rPr>
          <w:rFonts w:ascii="Calibri" w:hAnsi="Calibri" w:cs="Calibri"/>
          <w:color w:val="000000" w:themeColor="text1"/>
          <w:szCs w:val="22"/>
          <w:lang w:val="en-US"/>
        </w:rPr>
        <w:fldChar w:fldCharType="end"/>
      </w:r>
      <w:r w:rsidRPr="00073666">
        <w:rPr>
          <w:rFonts w:ascii="Calibri" w:hAnsi="Calibri" w:cs="Calibri"/>
          <w:color w:val="000000" w:themeColor="text1"/>
          <w:szCs w:val="22"/>
          <w:lang w:val="en-US"/>
        </w:rPr>
        <w:fldChar w:fldCharType="begin" w:fldLock="1"/>
      </w:r>
      <w:r w:rsidRPr="00073666">
        <w:rPr>
          <w:rFonts w:ascii="Calibri" w:hAnsi="Calibri" w:cs="Calibri"/>
          <w:color w:val="000000" w:themeColor="text1"/>
          <w:szCs w:val="22"/>
          <w:lang w:val="en-US"/>
        </w:rPr>
        <w:instrText>ADDIN CSL_CITATION {"citationItems":[{"id":"ITEM-1","itemData":{"DOI":"10.1093/ofid/ofw171","author":[{"dropping-particle":"","family":"Crum-cianflone","given":"Nancy F","non-dropping-particle":"","parse-names":false,"suffix":""}],"container-title":"Open Forum Infectious Diseases","id":"ITEM-1","issue":"3","issued":{"date-parts":[["2016"]]},"page":"1-8","title":"Invasive Aspergillosis Associated With Severe Influenza Infections","type":"article-journal","volume":"3"},"uris":["http://www.mendeley.com/documents/?uuid=0c224a23-f98e-4219-8e5a-c67773d4f7a8"]}],"mendeley":{"formattedCitation":"[6]","plainTextFormattedCitation":"[6]","previouslyFormattedCitation":"[6]"},"properties":{"noteIndex":0},"schema":"https://github.com/citation-style-language/schema/raw/master/csl-citation.json"}</w:instrText>
      </w:r>
      <w:r w:rsidRPr="00073666">
        <w:rPr>
          <w:rFonts w:ascii="Calibri" w:hAnsi="Calibri" w:cs="Calibri"/>
          <w:color w:val="000000" w:themeColor="text1"/>
          <w:szCs w:val="22"/>
          <w:lang w:val="en-US"/>
        </w:rPr>
        <w:fldChar w:fldCharType="separate"/>
      </w:r>
      <w:r w:rsidRPr="00073666">
        <w:rPr>
          <w:rFonts w:ascii="Calibri" w:hAnsi="Calibri" w:cs="Calibri"/>
          <w:noProof/>
          <w:color w:val="000000" w:themeColor="text1"/>
          <w:szCs w:val="22"/>
          <w:lang w:val="en-US"/>
        </w:rPr>
        <w:t>[6]</w:t>
      </w:r>
      <w:r w:rsidRPr="00073666">
        <w:rPr>
          <w:rFonts w:ascii="Calibri" w:hAnsi="Calibri" w:cs="Calibri"/>
          <w:color w:val="000000" w:themeColor="text1"/>
          <w:szCs w:val="22"/>
          <w:lang w:val="en-US"/>
        </w:rPr>
        <w:fldChar w:fldCharType="end"/>
      </w:r>
      <w:r w:rsidRPr="00073666">
        <w:rPr>
          <w:rFonts w:ascii="Calibri" w:hAnsi="Calibri" w:cs="Calibri"/>
          <w:color w:val="000000" w:themeColor="text1"/>
          <w:szCs w:val="22"/>
          <w:lang w:val="en-US"/>
        </w:rPr>
        <w:t>.</w:t>
      </w:r>
      <w:r w:rsidRPr="00073666">
        <w:rPr>
          <w:rFonts w:ascii="Calibri" w:hAnsi="Calibri" w:cs="Calibri"/>
          <w:color w:val="000000" w:themeColor="text1"/>
          <w:szCs w:val="22"/>
        </w:rPr>
        <w:t xml:space="preserve">  The EORTC/MSG definitions of IA perform poorly in critically ill patients who often lack a traditional ‘host factor’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{"citationItems":[{"id":"ITEM-1","itemData":{"DOI":"10.1016/S2213-2600(18)30274-1","ISSN":"2213-2619","PMID":"30076119","abstract":"Background: Invasive pulmonary aspergillosis typically occurs in an immunocompromised host. For almost a century, influenza has been known to set up for bacterial superinfections, but recently patients with severe influenza were also reported to develop invasive pulmonary aspergillosis. We aimed to measure the incidence of invasive pulmonary aspergillosis over several seasons in patients with influenza pneumonia in the intensive care unit (ICU) and to assess whether influenza was an independent risk factor for invasive pulmonary aspergillosis. Methods: We did a retrospective multicentre cohort study. Data were collected from adult patients with severe influenza admitted to seven ICUs across Belgium and The Netherlands during seven influenza seasons. Patients were older than 18 years, were admitted to the ICU for more than 24 h with acute respiratory failure, had pulmonary infiltrates on imaging, and a confirmed influenza infection based on a positive airway PCR test (influenza cohort). We used logistic regression analyses to determine if influenza was independently associated with invasive pulmonary aspergillosis in non-immunocompromised (ie, no European Organization for Research and Treatment of Cancer/Invasive Fungal Infections Cooperative Group and the National Institute of Allergy and Infectious Diseases Mycoses Study Group [EORTC/MSG] host factor) influenza-positive patients (influenza case group) compared with non-immunocompromised patients with severe community-acquired pneumonia who had a negative airway influenza PCR test (control group). Findings: Data were collected from patients admitted to the ICU between Jan 1, 2009, and June 30, 2016. Invasive pulmonary aspergillosis was diagnosed in 83 (19%) of 432 patients admitted with influenza (influenza cohort), a median of 3 days after admission to the ICU. The incidence was similar for influenza A and B. For patients with influenza who were immunocompromised, incidence of invasive pulmonary aspergillosis was as high as 32% (38 of 117 patients), whereas in the non-immunocompromised influenza case group, incidence was 14% (45 of 315 patients). Conversely, only 16 (5%) of 315 patients in the control group developed invasive pulmonary aspergillosis. The 90-day mortality was 51% in patients in the influenza cohort with invasive pulmonary aspergillosis and 28% in the influenza cohort without invasive pulmonary aspergillosis (p=0·0001). In this study, influenza was found to be independently associated wi…","author":[{"dropping-particle":"","family":"Schauwvlieghe","given":"Alexander F A D","non-dropping-particle":"","parse-names":false,"suffix":""},{"dropping-particle":"","family":"Rijnders","given":"Bart J A","non-dropping-particle":"","parse-names":false,"suffix":""},{"dropping-particle":"","family":"Philips","given":"Nele","non-dropping-particle":"","parse-names":false,"suffix":""},{"dropping-particle":"","family":"Verwijs","given":"Rosanne","non-dropping-particle":"","parse-names":false,"suffix":""},{"dropping-particle":"","family":"Vanderbeke","given":"Lore","non-dropping-particle":"","parse-names":false,"suffix":""},{"dropping-particle":"","family":"Tienen","given":"Carla","non-dropping-particle":"Van","parse-names":false,"suffix":""},{"dropping-particle":"","family":"Lagrou","given":"Katrien","non-dropping-particle":"","parse-names":false,"suffix":""},{"dropping-particle":"","family":"Verweij","given":"Paul E","non-dropping-particle":"","parse-names":false,"suffix":""},{"dropping-particle":"","family":"Veerdonk","given":"Frank L","non-dropping-particle":"Van de","parse-names":false,"suffix":""},{"dropping-particle":"","family":"Gommers","given":"Diederik","non-dropping-particle":"","parse-names":false,"suffix":""},{"dropping-particle":"","family":"Spronk","given":"Peter","non-dropping-particle":"","parse-names":false,"suffix":""},{"dropping-particle":"","family":"Bergmans","given":"Dennis C J J","non-dropping-particle":"","parse-names":false,"suffix":""},{"dropping-particle":"","family":"Hoedemaekers","given":"Astrid","non-dropping-particle":"","parse-names":false,"suffix":""},{"dropping-particle":"","family":"Andrinopoulou","given":"Eleni-rosalina","non-dropping-particle":"","parse-names":false,"suffix":""},{"dropping-particle":"","family":"Berg","given":"Charlotte H S B","non-dropping-particle":"van den","parse-names":false,"suffix":""},{"dropping-particle":"","family":"Juffermans","given":"Nicole P","non-dropping-particle":"","parse-names":false,"suffix":""},{"dropping-particle":"","family":"Hodiamont","given":"Casper J","non-dropping-particle":"","parse-names":false,"suffix":""},{"dropping-particle":"","family":"Vonk","given":"Alieke G","non-dropping-particle":"","parse-names":false,"suffix":""},{"dropping-particle":"","family":"Depuydt","given":"Pieter","non-dropping-particle":"","parse-names":false,"suffix":""},{"dropping-particle":"","family":"Boelens","given":"Jerina","non-dropping-particle":"","parse-names":false,"suffix":""},{"dropping-particle":"","family":"Wauters","given":"Joost","non-dropping-particle":"","parse-names":false,"suffix":""},{"dropping-particle":"","family":"Dutch-Belgian Mycosis study group","given":"","non-dropping-particle":"","parse-names":false,"suffix":""}],"container-title":"The Lancet. Respiratory medicine","id":"ITEM-1","issue":"10","issued":{"date-parts":[["2018"]]},"page":"782-792","publisher":"Elsevier Ltd","title":"Invasive aspergillosis in patients admitted to the intensive care unit with severe influenza: a retrospective cohort study.","type":"article-journal","volume":"6"},"uris":["http://www.mendeley.com/documents/?uuid=74539706-9b61-474b-8447-4a1ee7ef0b9b"]}],"mendeley":{"formattedCitation":"[7]","plainTextFormattedCitation":"[7]","previouslyFormattedCitation":"[7]"},"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[7]</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or classical radiological findings such as a “halo sign”</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{"citationItems":[{"id":"ITEM-1","itemData":{"DOI":"10.1111/myc.12881","author":[{"dropping-particle":"","family":"Jenks","given":"Jeffrey D","non-dropping-particle":"","parse-names":false,"suffix":""},{"dropping-particle":"","family":"Mehta","given":"Sanjay R","non-dropping-particle":"","parse-names":false,"suffix":""},{"dropping-particle":"","family":"Taplitz","given":"Randy","non-dropping-particle":"","parse-names":false,"suffix":""},{"dropping-particle":"","family":"Aslam","given":"Saima","non-dropping-particle":"","parse-names":false,"suffix":""},{"dropping-particle":"","family":"Reed","given":"Sharon L","non-dropping-particle":"","parse-names":false,"suffix":""},{"dropping-particle":"","family":"Hoenigl","given":"Martin","non-dropping-particle":"","parse-names":false,"suffix":""},{"dropping-particle":"","family":"Diego","given":"San","non-dropping-particle":"","parse-names":false,"suffix":""},{"dropping-particle":"","family":"States","given":"United","non-dropping-particle":"","parse-names":false,"suffix":""},{"dropping-particle":"","family":"Diego","given":"San","non-dropping-particle":"","parse-names":false,"suffix":""},{"dropping-particle":"","family":"States","given":"United","non-dropping-particle":"","parse-names":false,"suffix":""}],"container-title":"Mycoses","id":"ITEM-1","issue":"3","issued":{"date-parts":[["2019"]]},"page":"230-236","title":"Point-of care Diagnosis of Invasive Aspergillosis in in Non-Neutropenic Patients: Aspergillus Galactomannan Lateral Flow Assay versus Aspergillus-specific Lateral Flow device test in Bronchoalveolar Lavage","type":"article-journal","volume":"62"},"uris":["http://www.mendeley.com/documents/?uuid=d6313339-2037-4004-a9fd-b4e4f6a818fb"]}],"mendeley":{"formattedCitation":"[8]","plainTextFormattedCitation":"[8]","previouslyFormattedCitation":"[8]"},"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[8]</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For this reason Blot et al. developed the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 to help distinguish IA from </w:t>
      </w:r>
      <w:r w:rsidRPr="00073666">
        <w:rPr>
          <w:rFonts w:ascii="Calibri" w:hAnsi="Calibri" w:cs="Calibri"/>
          <w:i/>
          <w:color w:val="000000" w:themeColor="text1"/>
          <w:szCs w:val="22"/>
        </w:rPr>
        <w:t>Aspergillus</w:t>
      </w:r>
      <w:r w:rsidRPr="00073666">
        <w:rPr>
          <w:rFonts w:ascii="Calibri" w:hAnsi="Calibri" w:cs="Calibri"/>
          <w:color w:val="000000" w:themeColor="text1"/>
          <w:szCs w:val="22"/>
        </w:rPr>
        <w:t xml:space="preserve"> colonization in critically ill patients (Table 1)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10.1164/rccm.201111-1978oc","ISBN":"2011111978","ISSN":"1073-449X","PMID":"22517788","author":[{"dropping-particle":"","family":"Vandewoude","given":"Koenraad","non-dropping-particle":"","parse-names":false,"suffix":""},{"dropping-particle":"","family":"Paiva","given":"José A.","non-dropping-particle":"","parse-names":false,"suffix":""},{"dropping-particle":"","family":"Vogelaers","given":"Dirk","non-dropping-particle":"","parse-names":false,"suffix":""},{"dropping-particle":"","family":"Meersseman","given":"Wouter","non-dropping-particle":"","parse-names":false,"suffix":""},{"dropping-particle":"","family":"Taccone","given":"Fabio Silvio","non-dropping-particle":"","parse-names":false,"suffix":""},{"dropping-particle":"","family":"Abeele","given":"Anne-Marie","non-dropping-particle":"Van den","parse-names":false,"suffix":""},{"dropping-particle":"","family":"Dimopoulos","given":"George","non-dropping-particle":"","parse-names":false,"suffix":""},{"dropping-particle":"","family":"Bulpa","given":"Pierre","non-dropping-particle":"","parse-names":false,"suffix":""},{"dropping-particle":"","family":"Blot","given":"Stijn I","non-dropping-particle":"","parse-names":false,"suffix":""},{"dropping-particle":"","family":"Brusselaers","given":"Nele","non-dropping-particle":"","parse-names":false,"suffix":""},{"dropping-particle":"","family":"Misset","given":"Benoit","non-dropping-particle":"","parse-names":false,"suffix":""},{"dropping-particle":"","family":"Rello","given":"Jordi","non-dropping-particle":"","parse-names":false,"suffix":""}],"container-title":"American Journal of Respiratory and Critical Care Medicine","id":"ITEM-1","issue":"1","issued":{"date-parts":[["2012"]]},"page":"56-64","title":"A Clinical Algorithm to Diagnose Invasive Pulmonary Aspergillosis in Critically Ill Patients","type":"article-journal","volume":"186"},"uris":["http://www.mendeley.com/documents/?uuid=a39a5470-050e-466e-abcf-3395d15accd9"]}],"mendeley":{"formattedCitation":"[9]","plainTextFormattedCitation":"[9]","previouslyFormattedCitation":"[9]"},"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[9]</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p>
    <w:p w14:paraId="78A3CDBD" w14:textId="77777777" w:rsidR="00065E52" w:rsidRPr="00073666" w:rsidRDefault="00065E52" w:rsidP="00065E52">
      <w:pPr>
        <w:autoSpaceDE w:val="0"/>
        <w:autoSpaceDN w:val="0"/>
        <w:adjustRightInd w:val="0"/>
        <w:rPr>
          <w:rFonts w:ascii="Calibri" w:eastAsiaTheme="minorHAnsi" w:hAnsi="Calibri" w:cs="Calibri"/>
          <w:color w:val="000000" w:themeColor="text1"/>
          <w:szCs w:val="22"/>
        </w:rPr>
      </w:pPr>
    </w:p>
    <w:p w14:paraId="3F18D3E1" w14:textId="2331F351" w:rsidR="00065E52" w:rsidRPr="00073666" w:rsidRDefault="00065E52" w:rsidP="00065E52">
      <w:pPr>
        <w:autoSpaceDE w:val="0"/>
        <w:autoSpaceDN w:val="0"/>
        <w:adjustRightInd w:val="0"/>
        <w:rPr>
          <w:rFonts w:ascii="Calibri" w:hAnsi="Calibri" w:cs="Calibri"/>
          <w:color w:val="000000" w:themeColor="text1"/>
          <w:szCs w:val="22"/>
        </w:rPr>
      </w:pPr>
      <w:proofErr w:type="spellStart"/>
      <w:r w:rsidRPr="00073666">
        <w:rPr>
          <w:rFonts w:ascii="Calibri" w:eastAsiaTheme="minorHAnsi" w:hAnsi="Calibri" w:cs="Calibri"/>
          <w:color w:val="000000" w:themeColor="text1"/>
          <w:szCs w:val="22"/>
        </w:rPr>
        <w:t>Schauwvlieghe</w:t>
      </w:r>
      <w:proofErr w:type="spellEnd"/>
      <w:r w:rsidRPr="00073666">
        <w:rPr>
          <w:rFonts w:ascii="Calibri" w:hAnsi="Calibri" w:cs="Calibri"/>
          <w:color w:val="000000" w:themeColor="text1"/>
          <w:szCs w:val="22"/>
        </w:rPr>
        <w:t xml:space="preserve"> et al. conducted a large retrospective study (2009-16) to investigate the incidence of Influenza-associated aspergillosis (IAA) across seven Belgian and Dutch Intensive Care Units (ICUs)</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{"citationItems":[{"id":"ITEM-1","itemData":{"DOI":"10.1016/S2213-2600(18)30274-1","ISSN":"2213-2619","PMID":"30076119","abstract":"Background: Invasive pulmonary aspergillosis typically occurs in an immunocompromised host. For almost a century, influenza has been known to set up for bacterial superinfections, but recently patients with severe influenza were also reported to develop invasive pulmonary aspergillosis. We aimed to measure the incidence of invasive pulmonary aspergillosis over several seasons in patients with influenza pneumonia in the intensive care unit (ICU) and to assess whether influenza was an independent risk factor for invasive pulmonary aspergillosis. Methods: We did a retrospective multicentre cohort study. Data were collected from adult patients with severe influenza admitted to seven ICUs across Belgium and The Netherlands during seven influenza seasons. Patients were older than 18 years, were admitted to the ICU for more than 24 h with acute respiratory failure, had pulmonary infiltrates on imaging, and a confirmed influenza infection based on a positive airway PCR test (influenza cohort). We used logistic regression analyses to determine if influenza was independently associated with invasive pulmonary aspergillosis in non-immunocompromised (ie, no European Organization for Research and Treatment of Cancer/Invasive Fungal Infections Cooperative Group and the National Institute of Allergy and Infectious Diseases Mycoses Study Group [EORTC/MSG] host factor) influenza-positive patients (influenza case group) compared with non-immunocompromised patients with severe community-acquired pneumonia who had a negative airway influenza PCR test (control group). Findings: Data were collected from patients admitted to the ICU between Jan 1, 2009, and June 30, 2016. Invasive pulmonary aspergillosis was diagnosed in 83 (19%) of 432 patients admitted with influenza (influenza cohort), a median of 3 days after admission to the ICU. The incidence was similar for influenza A and B. For patients with influenza who were immunocompromised, incidence of invasive pulmonary aspergillosis was as high as 32% (38 of 117 patients), whereas in the non-immunocompromised influenza case group, incidence was 14% (45 of 315 patients). Conversely, only 16 (5%) of 315 patients in the control group developed invasive pulmonary aspergillosis. The 90-day mortality was 51% in patients in the influenza cohort with invasive pulmonary aspergillosis and 28% in the influenza cohort without invasive pulmonary aspergillosis (p=0·0001). In this study, influenza was found to be independently associated wi…","author":[{"dropping-particle":"","family":"Schauwvlieghe","given":"Alexander F A D","non-dropping-particle":"","parse-names":false,"suffix":""},{"dropping-particle":"","family":"Rijnders","given":"Bart J A","non-dropping-particle":"","parse-names":false,"suffix":""},{"dropping-particle":"","family":"Philips","given":"Nele","non-dropping-particle":"","parse-names":false,"suffix":""},{"dropping-particle":"","family":"Verwijs","given":"Rosanne","non-dropping-particle":"","parse-names":false,"suffix":""},{"dropping-particle":"","family":"Vanderbeke","given":"Lore","non-dropping-particle":"","parse-names":false,"suffix":""},{"dropping-particle":"","family":"Tienen","given":"Carla","non-dropping-particle":"Van","parse-names":false,"suffix":""},{"dropping-particle":"","family":"Lagrou","given":"Katrien","non-dropping-particle":"","parse-names":false,"suffix":""},{"dropping-particle":"","family":"Verweij","given":"Paul E","non-dropping-particle":"","parse-names":false,"suffix":""},{"dropping-particle":"","family":"Veerdonk","given":"Frank L","non-dropping-particle":"Van de","parse-names":false,"suffix":""},{"dropping-particle":"","family":"Gommers","given":"Diederik","non-dropping-particle":"","parse-names":false,"suffix":""},{"dropping-particle":"","family":"Spronk","given":"Peter","non-dropping-particle":"","parse-names":false,"suffix":""},{"dropping-particle":"","family":"Bergmans","given":"Dennis C J J","non-dropping-particle":"","parse-names":false,"suffix":""},{"dropping-particle":"","family":"Hoedemaekers","given":"Astrid","non-dropping-particle":"","parse-names":false,"suffix":""},{"dropping-particle":"","family":"Andrinopoulou","given":"Eleni-rosalina","non-dropping-particle":"","parse-names":false,"suffix":""},{"dropping-particle":"","family":"Berg","given":"Charlotte H S B","non-dropping-particle":"van den","parse-names":false,"suffix":""},{"dropping-particle":"","family":"Juffermans","given":"Nicole P","non-dropping-particle":"","parse-names":false,"suffix":""},{"dropping-particle":"","family":"Hodiamont","given":"Casper J","non-dropping-particle":"","parse-names":false,"suffix":""},{"dropping-particle":"","family":"Vonk","given":"Alieke G","non-dropping-particle":"","parse-names":false,"suffix":""},{"dropping-particle":"","family":"Depuydt","given":"Pieter","non-dropping-particle":"","parse-names":false,"suffix":""},{"dropping-particle":"","family":"Boelens","given":"Jerina","non-dropping-particle":"","parse-names":false,"suffix":""},{"dropping-particle":"","family":"Wauters","given":"Joost","non-dropping-particle":"","parse-names":false,"suffix":""},{"dropping-particle":"","family":"Dutch-Belgian Mycosis study group","given":"","non-dropping-particle":"","parse-names":false,"suffix":""}],"container-title":"The Lancet. Respiratory medicine","id":"ITEM-1","issue":"10","issued":{"date-parts":[["2018"]]},"page":"782-792","publisher":"Elsevier Ltd","title":"Invasive aspergillosis in patients admitted to the intensive care unit with severe influenza: a retrospective cohort study.","type":"article-journal","volume":"6"},"uris":["http://www.mendeley.com/documents/?uuid=74539706-9b61-474b-8447-4a1ee7ef0b9b"]}],"mendeley":{"formattedCitation":"[7]","plainTextFormattedCitation":"[7]","previouslyFormattedCitation":"[7]"},"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[7]</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r w:rsidRPr="00073666">
        <w:rPr>
          <w:rFonts w:ascii="Calibri" w:hAnsi="Calibri" w:cs="Calibri"/>
          <w:bCs/>
          <w:color w:val="000000"/>
          <w:szCs w:val="22"/>
        </w:rPr>
        <w:t xml:space="preserve"> Employing a modified version of the </w:t>
      </w:r>
      <w:proofErr w:type="spellStart"/>
      <w:r w:rsidRPr="00073666">
        <w:rPr>
          <w:rFonts w:ascii="Calibri" w:hAnsi="Calibri" w:cs="Calibri"/>
          <w:bCs/>
          <w:color w:val="000000"/>
          <w:szCs w:val="22"/>
        </w:rPr>
        <w:t>AspICU</w:t>
      </w:r>
      <w:proofErr w:type="spellEnd"/>
      <w:r w:rsidRPr="00073666">
        <w:rPr>
          <w:rFonts w:ascii="Calibri" w:hAnsi="Calibri" w:cs="Calibri"/>
          <w:bCs/>
          <w:color w:val="000000"/>
          <w:szCs w:val="22"/>
        </w:rPr>
        <w:t xml:space="preserve"> criteria they</w:t>
      </w:r>
      <w:r w:rsidRPr="00073666">
        <w:rPr>
          <w:rFonts w:ascii="Calibri" w:hAnsi="Calibri" w:cs="Calibri"/>
          <w:color w:val="000000" w:themeColor="text1"/>
          <w:szCs w:val="22"/>
        </w:rPr>
        <w:t xml:space="preserve"> found evidence of IA in 83 of 432 (19%) patients admitted with influenza</w:t>
      </w:r>
      <w:r w:rsidR="00CD09A9" w:rsidRPr="00073666">
        <w:rPr>
          <w:rFonts w:ascii="Calibri" w:hAnsi="Calibri" w:cs="Calibri"/>
          <w:color w:val="000000" w:themeColor="text1"/>
          <w:szCs w:val="22"/>
        </w:rPr>
        <w:t xml:space="preserve"> on ICU respectively</w:t>
      </w:r>
      <w:r w:rsidRPr="00073666">
        <w:rPr>
          <w:rFonts w:ascii="Calibri" w:hAnsi="Calibri" w:cs="Calibri"/>
          <w:color w:val="000000" w:themeColor="text1"/>
          <w:szCs w:val="22"/>
        </w:rPr>
        <w:t xml:space="preserve">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{"citationItems":[{"id":"ITEM-1","itemData":{"DOI":"10.1016/S2213-2600(18)30274-1","ISSN":"2213-2619","PMID":"30076119","abstract":"Background: Invasive pulmonary aspergillosis typically occurs in an immunocompromised host. For almost a century, influenza has been known to set up for bacterial superinfections, but recently patients with severe influenza were also reported to develop invasive pulmonary aspergillosis. We aimed to measure the incidence of invasive pulmonary aspergillosis over several seasons in patients with influenza pneumonia in the intensive care unit (ICU) and to assess whether influenza was an independent risk factor for invasive pulmonary aspergillosis. Methods: We did a retrospective multicentre cohort study. Data were collected from adult patients with severe influenza admitted to seven ICUs across Belgium and The Netherlands during seven influenza seasons. Patients were older than 18 years, were admitted to the ICU for more than 24 h with acute respiratory failure, had pulmonary infiltrates on imaging, and a confirmed influenza infection based on a positive airway PCR test (influenza cohort). We used logistic regression analyses to determine if influenza was independently associated with invasive pulmonary aspergillosis in non-immunocompromised (ie, no European Organization for Research and Treatment of Cancer/Invasive Fungal Infections Cooperative Group and the National Institute of Allergy and Infectious Diseases Mycoses Study Group [EORTC/MSG] host factor) influenza-positive patients (influenza case group) compared with non-immunocompromised patients with severe community-acquired pneumonia who had a negative airway influenza PCR test (control group). Findings: Data were collected from patients admitted to the ICU between Jan 1, 2009, and June 30, 2016. Invasive pulmonary aspergillosis was diagnosed in 83 (19%) of 432 patients admitted with influenza (influenza cohort), a median of 3 days after admission to the ICU. The incidence was similar for influenza A and B. For patients with influenza who were immunocompromised, incidence of invasive pulmonary aspergillosis was as high as 32% (38 of 117 patients), whereas in the non-immunocompromised influenza case group, incidence was 14% (45 of 315 patients). Conversely, only 16 (5%) of 315 patients in the control group developed invasive pulmonary aspergillosis. The 90-day mortality was 51% in patients in the influenza cohort with invasive pulmonary aspergillosis and 28% in the influenza cohort without invasive pulmonary aspergillosis (p=0·0001). In this study, influenza was found to be independently associated wi…","author":[{"dropping-particle":"","family":"Schauwvlieghe","given":"Alexander F A D","non-dropping-particle":"","parse-names":false,"suffix":""},{"dropping-particle":"","family":"Rijnders","given":"Bart J A","non-dropping-particle":"","parse-names":false,"suffix":""},{"dropping-particle":"","family":"Philips","given":"Nele","non-dropping-particle":"","parse-names":false,"suffix":""},{"dropping-particle":"","family":"Verwijs","given":"Rosanne","non-dropping-particle":"","parse-names":false,"suffix":""},{"dropping-particle":"","family":"Vanderbeke","given":"Lore","non-dropping-particle":"","parse-names":false,"suffix":""},{"dropping-particle":"","family":"Tienen","given":"Carla","non-dropping-particle":"Van","parse-names":false,"suffix":""},{"dropping-particle":"","family":"Lagrou","given":"Katrien","non-dropping-particle":"","parse-names":false,"suffix":""},{"dropping-particle":"","family":"Verweij","given":"Paul E","non-dropping-particle":"","parse-names":false,"suffix":""},{"dropping-particle":"","family":"Veerdonk","given":"Frank L","non-dropping-particle":"Van de","parse-names":false,"suffix":""},{"dropping-particle":"","family":"Gommers","given":"Diederik","non-dropping-particle":"","parse-names":false,"suffix":""},{"dropping-particle":"","family":"Spronk","given":"Peter","non-dropping-particle":"","parse-names":false,"suffix":""},{"dropping-particle":"","family":"Bergmans","given":"Dennis C J J","non-dropping-particle":"","parse-names":false,"suffix":""},{"dropping-particle":"","family":"Hoedemaekers","given":"Astrid","non-dropping-particle":"","parse-names":false,"suffix":""},{"dropping-particle":"","family":"Andrinopoulou","given":"Eleni-rosalina","non-dropping-particle":"","parse-names":false,"suffix":""},{"dropping-particle":"","family":"Berg","given":"Charlotte H S B","non-dropping-particle":"van den","parse-names":false,"suffix":""},{"dropping-particle":"","family":"Juffermans","given":"Nicole P","non-dropping-particle":"","parse-names":false,"suffix":""},{"dropping-particle":"","family":"Hodiamont","given":"Casper J","non-dropping-particle":"","parse-names":false,"suffix":""},{"dropping-particle":"","family":"Vonk","given":"Alieke G","non-dropping-particle":"","parse-names":false,"suffix":""},{"dropping-particle":"","family":"Depuydt","given":"Pieter","non-dropping-particle":"","parse-names":false,"suffix":""},{"dropping-particle":"","family":"Boelens","given":"Jerina","non-dropping-particle":"","parse-names":false,"suffix":""},{"dropping-particle":"","family":"Wauters","given":"Joost","non-dropping-particle":"","parse-names":false,"suffix":""},{"dropping-particle":"","family":"Dutch-Belgian Mycosis study group","given":"","non-dropping-particle":"","parse-names":false,"suffix":""}],"container-title":"The Lancet. Respiratory medicine","id":"ITEM-1","issue":"10","issued":{"date-parts":[["2018"]]},"page":"782-792","publisher":"Elsevier Ltd","title":"Invasive aspergillosis in patients admitted to the intensive care unit with severe influenza: a retrospective cohort study.","type":"article-journal","volume":"6"},"uris":["http://www.mendeley.com/documents/?uuid=74539706-9b61-474b-8447-4a1ee7ef0b9b"]}],"mendeley":{"formattedCitation":"[7]","plainTextFormattedCitation":"[7]","previouslyFormattedCitation":"[7]"},"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[7]</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This compared to 16 of 315 (5%) in a control group of patients with bacterial pneumonia. Even amongst non-immunocompromised patients, incidence of IA was 45 of 315 (14%) and only 46% of patients with IA had a traditional EORTC/MSG ‘host factor’.</w:t>
      </w:r>
    </w:p>
    <w:p w14:paraId="36854145" w14:textId="77777777" w:rsidR="00065E52" w:rsidRPr="00073666" w:rsidRDefault="00065E52" w:rsidP="00065E52">
      <w:pPr>
        <w:autoSpaceDE w:val="0"/>
        <w:autoSpaceDN w:val="0"/>
        <w:adjustRightInd w:val="0"/>
        <w:rPr>
          <w:rFonts w:ascii="Calibri" w:hAnsi="Calibri" w:cs="Calibri"/>
          <w:color w:val="000000" w:themeColor="text1"/>
          <w:szCs w:val="22"/>
        </w:rPr>
      </w:pPr>
    </w:p>
    <w:p w14:paraId="3125C870" w14:textId="77777777" w:rsidR="00065E52" w:rsidRPr="00073666" w:rsidRDefault="00065E52" w:rsidP="00065E52">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 xml:space="preserve">Whilst this incidence of IA seems surprisingly high, it is supported by other recent small retrospective cohort studies from France and Belgium finding evidence of IA in 5 of 17 (29%) </w:t>
      </w:r>
      <w:r w:rsidRPr="00073666">
        <w:rPr>
          <w:rFonts w:ascii="Calibri" w:hAnsi="Calibri" w:cs="Calibri"/>
          <w:color w:val="000000" w:themeColor="text1"/>
          <w:szCs w:val="22"/>
          <w:lang w:val="en-US"/>
        </w:rPr>
        <w:fldChar w:fldCharType="begin" w:fldLock="1"/>
      </w:r>
      <w:r w:rsidRPr="00073666">
        <w:rPr>
          <w:rFonts w:ascii="Calibri" w:hAnsi="Calibri" w:cs="Calibri"/>
          <w:color w:val="000000" w:themeColor="text1"/>
          <w:szCs w:val="22"/>
          <w:lang w:val="en-US"/>
        </w:rPr>
        <w:instrText>ADDIN CSL_CITATION {"citationItems":[{"id":"ITEM-1","itemData":{"DOI":"10.1016/j.jinf.2012.07.007","ISSN":"01634453","abstract":"OBJECTIVES. To report the incidence of secondary acquired invasive aspergillosis (IA) during the course of severe pneumonia A(H1N1). METHODS. During the 2009-2010 winter in France, all adult patients hospitalized in our medical ICU and mechanically ventilated for severe influenza A (H1N1) related pneumonia were tested for IA with serum and broncho-alveolar lavage (BAL) galactomannan antigen detection. Serum samples were performed at admission and repeated twice a week. BAL was performed at admission and was repeated in case of ventilator-acquired pneumonia suspicion. For diagnosis of IPA, we followed the criteria published by the EORTC/IFICG1. We considered as probable IPA cases, mycological evidence such as fungi culture, positivity of galactomannan antigen (one index&gt;1 or two&gt;0.5) or positivity of PCR for Aspergillus sp. Diagnosis of proven IPA was based on culture or PCR on lung biopsy. Only patients in whom IPA was proven or probable were considered. RESULTS. During the studying period, seventeen patients were ventilated for severe pneumonia A (H1N1). Five of them had mycological evidence of IA during their ICU stay. Hospital mortality were similar in the group of secondary IA following pneumonia A(H1N1) (20 %) and in the group of pneumonia A(H1N1) alone (50 %, p = 0.3). Duration of mechanical ventilation were significantly higher in the group of secondary IA following pneumonia A(H1N1) median (IQR) 60 days (42-139) vs. 20 days (8-42) in the group of pneumonia A(H1N1) alone, p&lt;0.01. CONCLUSIONS. We report a 29 % incidence of invasive pulmonary aspergillosis through a strategy of routine screening for invasive aspergillosis in a cohort of 17 consecutively non neutropenic patients admitted to the ICU for severe influenza A (H1N1) pneumonia and mechanically ventilated.","author":[{"dropping-particle":"","family":"Guervilly","given":"Christophe","non-dropping-particle":"","parse-names":false,"suffix":""},{"dropping-particle":"","family":"Roch","given":"Antoine","non-dropping-particle":"","parse-names":false,"suffix":""},{"dropping-particle":"","family":"Ranque","given":"Stéphane","non-dropping-particle":"","parse-names":false,"suffix":""},{"dropping-particle":"","family":"Forel","given":"Jean-Marie","non-dropping-particle":"","parse-names":false,"suffix":""},{"dropping-particle":"","family":"Hraiech","given":"Sami","non-dropping-particle":"","parse-names":false,"suffix":""},{"dropping-particle":"","family":"Xeridat","given":"François","non-dropping-particle":"","parse-names":false,"suffix":""},{"dropping-particle":"","family":"Adda","given":"Melanie","non-dropping-particle":"","parse-names":false,"suffix":""},{"dropping-particle":"","family":"Papazian","given":"Laurent","non-dropping-particle":"","parse-names":false,"suffix":""}],"container-title":"Journal of Infection","id":"ITEM-1","issue":"5","issued":{"date-parts":[["2012"]]},"page":"470-473","title":"A strategy based on galactomannan antigen detection and PCR for invasive pulmonary aspergillosis following influenza A (H1N1) pneumonia","type":"article-journal","volume":"65"},"uris":["http://www.mendeley.com/documents/?uuid=f8def6b4-30f9-4993-ba4f-3fa284246fc4"]}],"mendeley":{"formattedCitation":"[10]","plainTextFormattedCitation":"[10]","previouslyFormattedCitation":"[10]"},"properties":{"noteIndex":0},"schema":"https://github.com/citation-style-language/schema/raw/master/csl-citation.json"}</w:instrText>
      </w:r>
      <w:r w:rsidRPr="00073666">
        <w:rPr>
          <w:rFonts w:ascii="Calibri" w:hAnsi="Calibri" w:cs="Calibri"/>
          <w:color w:val="000000" w:themeColor="text1"/>
          <w:szCs w:val="22"/>
          <w:lang w:val="en-US"/>
        </w:rPr>
        <w:fldChar w:fldCharType="separate"/>
      </w:r>
      <w:r w:rsidRPr="00073666">
        <w:rPr>
          <w:rFonts w:ascii="Calibri" w:hAnsi="Calibri" w:cs="Calibri"/>
          <w:noProof/>
          <w:color w:val="000000" w:themeColor="text1"/>
          <w:szCs w:val="22"/>
          <w:lang w:val="en-US"/>
        </w:rPr>
        <w:t>[10]</w:t>
      </w:r>
      <w:r w:rsidRPr="00073666">
        <w:rPr>
          <w:rFonts w:ascii="Calibri" w:hAnsi="Calibri" w:cs="Calibri"/>
          <w:color w:val="000000" w:themeColor="text1"/>
          <w:szCs w:val="22"/>
          <w:lang w:val="en-US"/>
        </w:rPr>
        <w:fldChar w:fldCharType="end"/>
      </w:r>
      <w:r w:rsidRPr="00073666">
        <w:rPr>
          <w:rFonts w:ascii="Calibri" w:hAnsi="Calibri" w:cs="Calibri"/>
          <w:color w:val="000000" w:themeColor="text1"/>
          <w:szCs w:val="22"/>
          <w:lang w:val="en-US"/>
        </w:rPr>
        <w:t xml:space="preserve"> and 9 of 40 (23%)</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{"citationItems":[{"id":"ITEM-1","itemData":{"DOI":"10.1007/s00134-012-2673-2","ISSN":"03424642","abstract":"Purpose: Despite their controversial role, corticosteroids (CS) are frequently administered to patients with H1N1 virus infection with severe respiratory failure secondary to viral pneumonia. We hypothesized that invasive pulmonary aspergillosis (IPA) is a frequent complication in critically ill patients with H1N1 virus infection and that CS may contribute to this complication. Methods: We retrospectively selected all adult patients with confirmed H1N1 virus infection admitted to the intensive care unit (ICU) of two tertiary care hospitals from September 2009 to March 2011. Differences in baseline factors, risk factors, and outcome parameters were studied between patients with and without IPA. Results: Of 40 critically ill patients with confirmed H1N1, 9 (23 %) developed IPA 3 days after ICU admission. Five patients had proven and four had probable IPA. Significantly more IPA patients received CS within 7 days before ICU admission (78 versus 23 %, p = 0.002). IPA patients also received significantly higher doses of CS before ICU admission [hydrocortisone equivalent 800 (360-2,635) versus 0 (0-0) mg, p = 0.005]. On multivariate analysis, use of CS before ICU admission was independently associated with IPA [odds ratio (OR) 14.4 (2.0-101.6), p = 0.007]. Conclusions: IPA was diagnosed in 23 % of critically ill patients with H1N1 virus infection after a median of 3 days after ICU admission. Our data suggest that use of CS 7 days before ICU admission is an independent risk factor for fungal superinfection. These findings may have consequences for clinical practice as they point out the need for increased awareness of IPA, especially in those critically ill H1N1 patients already receiving CS. © Copyright jointly held by Springer and ESICM 2012.","author":[{"dropping-particle":"","family":"Wauters","given":"Joost","non-dropping-particle":"","parse-names":false,"suffix":""},{"dropping-particle":"","family":"Baar","given":"Ingrid","non-dropping-particle":"","parse-names":false,"suffix":""},{"dropping-particle":"","family":"Meersseman","given":"Philippe","non-dropping-particle":"","parse-names":false,"suffix":""},{"dropping-particle":"","family":"Meersseman","given":"Wouter","non-dropping-particle":"","parse-names":false,"suffix":""},{"dropping-particle":"","family":"Dams","given":"Karolien","non-dropping-particle":"","parse-names":false,"suffix":""},{"dropping-particle":"","family":"Paep","given":"Rudi","non-dropping-particle":"De","parse-names":false,"suffix":""},{"dropping-particle":"","family":"Lagrou","given":"Katrien","non-dropping-particle":"","parse-names":false,"suffix":""},{"dropping-particle":"","family":"Wilmer","given":"Alexander","non-dropping-particle":"","parse-names":false,"suffix":""},{"dropping-particle":"","family":"Jorens","given":"Philippe","non-dropping-particle":"","parse-names":false,"suffix":""},{"dropping-particle":"","family":"Hermans","given":"Greet","non-dropping-particle":"","parse-names":false,"suffix":""}],"container-title":"Intensive Care Medicine","id":"ITEM-1","issue":"11","issued":{"date-parts":[["2012"]]},"page":"1761-1768","title":"Invasive pulmonary aspergillosis is a frequent complication of critically ill H1N1 patients: A retrospective study","type":"article-journal","volume":"38"},"uris":["http://www.mendeley.com/documents/?uuid=be2f9736-e702-42a2-a52b-9028ca5e4a14"]}],"mendeley":{"formattedCitation":"[11]","plainTextFormattedCitation":"[11]","previouslyFormattedCitation":"[11]"},"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of patients with severe influenza on ICU. A recent UK study found evidence of IA in 5 of 24 (20.8%) of the most severely ill influenza patients requiring ECMO </w:t>
      </w:r>
      <w:r w:rsidRPr="00073666">
        <w:rPr>
          <w:rFonts w:ascii="Calibri" w:hAnsi="Calibri" w:cs="Calibri"/>
          <w:color w:val="000000" w:themeColor="text1"/>
          <w:szCs w:val="22"/>
          <w:lang w:val="en-US"/>
        </w:rPr>
        <w:fldChar w:fldCharType="begin" w:fldLock="1"/>
      </w:r>
      <w:r w:rsidRPr="00073666">
        <w:rPr>
          <w:rFonts w:ascii="Calibri" w:hAnsi="Calibri" w:cs="Calibri"/>
          <w:color w:val="000000" w:themeColor="text1"/>
          <w:szCs w:val="22"/>
          <w:lang w:val="en-US"/>
        </w:rPr>
        <w:instrText>ADDIN CSL_CITATION {"citationItems":[{"id":"ITEM-1","itemData":{"ISSN":"1435-4373","abstract":"To identify the incidence, risk factors and impact on long-term survival of invasive pulmonary aspergillosis (IPA) and Aspergillus colonisation in patients receiving vv-extracorporeal membrane oxygenation (ECMO). A retrospective evaluation was performed of patients receiving vv-ECMO at a tertiary hospital in Manchester (UK) between January 2012 and December 2016. Data collected included epidemiological data, microbiological cultures, radiographic findings and outcomes. Cases were classified as proven IPA, putative IPA or Aspergillus colonisation according to a validated clinical algorithm. One hundred thirty-four patients were supported with vv-ECMO, median age of 45.5 years (range 16.4–73.4). Ten (7%) patients had putative IPA and nine (7%) had Aspergillus colonisation. Half of the patients with putative IPA lacked classical host risk factors for IPA. The median number of days on ECMO prior to Aspergillus isolation was 5 days. Immunosuppression and influenza A infection were significantly associated with developing IPA in a logistic regression model. Cox regression model demonstrates a three times greater hazard of death associated with IPA. Overall 6-month mortality rate was 38%. Patients with putative IPA and colonised patients had a 6-month mortality rate of 80 and 11%, respectively. Immunosuppression and influenza A infection are independent risk factors for IPA. IPA, but not Aspergillus colonisation, is associated with high long-term mortality in patients supported with vv-ECMO.","author":[{"dropping-particle":"","family":"Rodriguez-Goncer","given":"I","non-dropping-particle":"","parse-names":false,"suffix":""},{"dropping-particle":"","family":"Thomas","given":"S","non-dropping-particle":"","parse-names":false,"suffix":""},{"dropping-particle":"","family":"Foden","given":"P","non-dropping-particle":"","parse-names":false,"suffix":""},{"dropping-particle":"","family":"Richardson","given":"MD","non-dropping-particle":"","parse-names":false,"suffix":""},{"dropping-particle":"","family":"Ashworth","given":"A","non-dropping-particle":"","parse-names":false,"suffix":""},{"dropping-particle":"","family":"Barker","given":"J","non-dropping-particle":"","parse-names":false,"suffix":""},{"dropping-particle":"","family":"Geraghty","given":"CG","non-dropping-particle":"","parse-names":false,"suffix":""},{"dropping-particle":"","family":"Muldoon","given":"EG","non-dropping-particle":"","parse-names":false,"suffix":""},{"dropping-particle":"","family":"Felton","given":"FW","non-dropping-particle":"","parse-names":false,"suffix":""}],"container-title":"European Journal of Clinical Microbiology and Infectious Diseases","id":"ITEM-1","issue":"7","issued":{"date-parts":[["2018"]]},"page":"1251-1257","title":"Invasive pulmonary aspergillosis is associated with adverse clinical outcomes in critically ill patients receiving veno-venous extracorporeal membrane oxygenation","type":"article-journal","volume":"37"},"uris":["http://www.mendeley.com/documents/?uuid=fd9b481a-f854-4222-a731-1a1e7aa9cfe0"]}],"mendeley":{"formattedCitation":"[12]","plainTextFormattedCitation":"[12]","previouslyFormattedCitation":"[12]"},"properties":{"noteIndex":0},"schema":"https://github.com/citation-style-language/schema/raw/master/csl-citation.json"}</w:instrText>
      </w:r>
      <w:r w:rsidRPr="00073666">
        <w:rPr>
          <w:rFonts w:ascii="Calibri" w:hAnsi="Calibri" w:cs="Calibri"/>
          <w:color w:val="000000" w:themeColor="text1"/>
          <w:szCs w:val="22"/>
          <w:lang w:val="en-US"/>
        </w:rPr>
        <w:fldChar w:fldCharType="separate"/>
      </w:r>
      <w:r w:rsidRPr="00073666">
        <w:rPr>
          <w:rFonts w:ascii="Calibri" w:hAnsi="Calibri" w:cs="Calibri"/>
          <w:noProof/>
          <w:color w:val="000000" w:themeColor="text1"/>
          <w:szCs w:val="22"/>
          <w:lang w:val="en-US"/>
        </w:rPr>
        <w:t>[12]</w:t>
      </w:r>
      <w:r w:rsidRPr="00073666">
        <w:rPr>
          <w:rFonts w:ascii="Calibri" w:hAnsi="Calibri" w:cs="Calibri"/>
          <w:color w:val="000000" w:themeColor="text1"/>
          <w:szCs w:val="22"/>
          <w:lang w:val="en-US"/>
        </w:rPr>
        <w:fldChar w:fldCharType="end"/>
      </w:r>
      <w:r w:rsidRPr="00073666">
        <w:rPr>
          <w:rFonts w:ascii="Calibri" w:hAnsi="Calibri" w:cs="Calibri"/>
          <w:color w:val="000000" w:themeColor="text1"/>
          <w:szCs w:val="22"/>
          <w:lang w:val="en-US"/>
        </w:rPr>
        <w:t>.</w:t>
      </w:r>
    </w:p>
    <w:p w14:paraId="11873866" w14:textId="77777777" w:rsidR="00065E52" w:rsidRPr="00073666" w:rsidRDefault="00065E52" w:rsidP="00065E52">
      <w:pPr>
        <w:autoSpaceDE w:val="0"/>
        <w:autoSpaceDN w:val="0"/>
        <w:adjustRightInd w:val="0"/>
        <w:rPr>
          <w:rFonts w:ascii="Calibri" w:hAnsi="Calibri" w:cs="Calibri"/>
          <w:color w:val="000000" w:themeColor="text1"/>
          <w:szCs w:val="22"/>
        </w:rPr>
      </w:pPr>
    </w:p>
    <w:p w14:paraId="0B8B4E04" w14:textId="77777777" w:rsidR="00065E52" w:rsidRPr="00073666" w:rsidRDefault="00065E52" w:rsidP="00065E52">
      <w:pPr>
        <w:autoSpaceDE w:val="0"/>
        <w:autoSpaceDN w:val="0"/>
        <w:adjustRightInd w:val="0"/>
        <w:rPr>
          <w:rFonts w:ascii="Calibri" w:hAnsi="Calibri" w:cs="Calibri"/>
          <w:sz w:val="20"/>
          <w:szCs w:val="20"/>
          <w:lang w:val="en-US" w:eastAsia="en-GB"/>
        </w:rPr>
      </w:pPr>
      <w:r w:rsidRPr="00073666">
        <w:rPr>
          <w:rFonts w:ascii="Calibri" w:eastAsiaTheme="minorHAnsi" w:hAnsi="Calibri" w:cs="Calibri"/>
          <w:color w:val="000000" w:themeColor="text1"/>
          <w:szCs w:val="22"/>
          <w:lang w:val="en-US"/>
        </w:rPr>
        <w:t>Martin-</w:t>
      </w:r>
      <w:proofErr w:type="spellStart"/>
      <w:r w:rsidRPr="00073666">
        <w:rPr>
          <w:rFonts w:ascii="Calibri" w:eastAsiaTheme="minorHAnsi" w:hAnsi="Calibri" w:cs="Calibri"/>
          <w:color w:val="000000" w:themeColor="text1"/>
          <w:szCs w:val="22"/>
          <w:lang w:val="en-US"/>
        </w:rPr>
        <w:t>Loeches</w:t>
      </w:r>
      <w:proofErr w:type="spellEnd"/>
      <w:r w:rsidRPr="00073666">
        <w:rPr>
          <w:rFonts w:ascii="Calibri" w:eastAsiaTheme="minorHAnsi" w:hAnsi="Calibri" w:cs="Calibri"/>
          <w:color w:val="000000" w:themeColor="text1"/>
          <w:szCs w:val="22"/>
          <w:lang w:val="en-US"/>
        </w:rPr>
        <w:t xml:space="preserve"> et al. prospectively studied the occurrence of super-infection in 2901 patients with influenza across a number of Spanish ICUs and found evidence of </w:t>
      </w:r>
      <w:r w:rsidRPr="00073666">
        <w:rPr>
          <w:rFonts w:ascii="Calibri" w:eastAsiaTheme="minorHAnsi" w:hAnsi="Calibri" w:cs="Calibri"/>
          <w:i/>
          <w:color w:val="000000" w:themeColor="text1"/>
          <w:szCs w:val="22"/>
          <w:lang w:val="en-US"/>
        </w:rPr>
        <w:t>Aspergillus</w:t>
      </w:r>
      <w:r w:rsidRPr="00073666">
        <w:rPr>
          <w:rFonts w:ascii="Calibri" w:eastAsiaTheme="minorHAnsi" w:hAnsi="Calibri" w:cs="Calibri"/>
          <w:color w:val="000000" w:themeColor="text1"/>
          <w:szCs w:val="22"/>
          <w:lang w:val="en-US"/>
        </w:rPr>
        <w:t xml:space="preserve"> in only 35 of 2901 (1.2%). In this study, however, bronchoalveolar lavage (BAL) was not systematically performed during the influenza season</w:t>
      </w:r>
      <w:r w:rsidRPr="00073666">
        <w:rPr>
          <w:rFonts w:ascii="Calibri" w:hAnsi="Calibri" w:cs="Calibri"/>
          <w:szCs w:val="22"/>
          <w:lang w:val="en-US" w:eastAsia="en-GB"/>
        </w:rPr>
        <w:t xml:space="preserve"> </w:t>
      </w:r>
      <w:r w:rsidRPr="00073666">
        <w:rPr>
          <w:rFonts w:ascii="Calibri" w:eastAsiaTheme="minorHAnsi" w:hAnsi="Calibri" w:cs="Calibri"/>
          <w:color w:val="000000" w:themeColor="text1"/>
          <w:szCs w:val="22"/>
          <w:lang w:val="en-US"/>
        </w:rPr>
        <w:t>and BAL galactomannan (see ‘Diagnosis’ below) was not performed at all</w:t>
      </w:r>
      <w:r w:rsidRPr="00073666">
        <w:rPr>
          <w:rFonts w:ascii="Calibri" w:hAnsi="Calibri" w:cs="Calibri"/>
          <w:color w:val="000000" w:themeColor="text1"/>
          <w:szCs w:val="22"/>
          <w:lang w:val="en-US"/>
        </w:rPr>
        <w:fldChar w:fldCharType="begin" w:fldLock="1"/>
      </w:r>
      <w:r w:rsidRPr="00073666">
        <w:rPr>
          <w:rFonts w:ascii="Calibri" w:hAnsi="Calibri" w:cs="Calibri"/>
          <w:color w:val="000000" w:themeColor="text1"/>
          <w:szCs w:val="22"/>
          <w:lang w:val="en-US"/>
        </w:rPr>
        <w:instrText>ADDIN CSL_CITATION {"citationItems":[{"id":"ITEM-1","itemData":{"DOI":"10.1007/s00134-016-4578-y","ISBN":"0013401645","ISSN":"14321238","abstract":"BACKGROUND: Co-infection is frequently seen in critically ill patients with influenza, although the exact rate is unknown. We determined the rate of co-infection, the risk factors and the outcomes associated with co-infection in critically ill patients with influenza over a 7-year period in 148 Spanish intensive care units (ICUs). METHODS: This was a prospective, observational, multicentre study. Influenza was diagnosed using the polymerase chain reaction. Co-infection had to be confirmed using standard bacteriological tests. The primary endpoint of this analysis was the presence of community-acquired co-infection, with secondary endpoints including ICU, 28-day and hospital mortality. RESULTS: Of 2901 ICU patients diagnosed with influenza, 482 (16.6 %) had a co-infection. The proportion of cases of co-infection increased from 11.4 % (110/968) in 2009 to 23.4 % (80/342) in 2015 (P &lt; 0.001). Compared with patients without co-infection, patients with co-infection were older [adjusted odds ratio (aOR) 1.1, 95 % confidence interval 1.1-1.2; P &lt; 0.001] and were more frequently immunosuppressed due to existing HIV infection (aOR 2.6 [1.5-4.5]; P &lt; 0.001) or preceding medication (aOR 1.4 [1.1-1.9]; P = 0.03). Co-infection was an independent risk factor for ICU mortality (aOR 1.4 [1.1-1.8]; P &lt; 0.02), 28-day mortality (aOR 1.3 [1.1-1.7]; P = 0.04) and hospital mortality (aOR 1.9 [1.5-2.5]; P &lt; 0.001). CONCLUSIONS: Co-infection in critically ill patients with influenza has increased in recent years. In this Spanish cohort, age and immunosuppression were risk factors for co-infection, and co-infection was an independent risk factor for ICU, 28-day and hospital mortality","author":[{"dropping-particle":"","family":"Martin-Loeches","given":"Ignacio","non-dropping-particle":"","parse-names":false,"suffix":""},{"dropping-particle":"","family":"J Schultz","given":"Marcus","non-dropping-particle":"","parse-names":false,"suffix":""},{"dropping-particle":"","family":"Vincent","given":"Jean Louis","non-dropping-particle":"","parse-names":false,"suffix":""},{"dropping-particle":"","family":"Alvarez-Lerma","given":"Francisco","non-dropping-particle":"","parse-names":false,"suffix":""},{"dropping-particle":"","family":"Bos","given":"Lieuwe D.","non-dropping-particle":"","parse-names":false,"suffix":""},{"dropping-particle":"","family":"Solé-Violán","given":"Jordi","non-dropping-particle":"","parse-names":false,"suffix":""},{"dropping-particle":"","family":"Torres","given":"Antoni","non-dropping-particle":"","parse-names":false,"suffix":""},{"dropping-particle":"","family":"Rodriguez","given":"Alejandro","non-dropping-particle":"","parse-names":false,"suffix":""}],"container-title":"Intensive Care Medicine","id":"ITEM-1","issue":"1","issued":{"date-parts":[["2017"]]},"page":"48-58","publisher":"Springer Berlin Heidelberg","title":"Increased incidence of co-infection in critically ill patients with influenza","type":"article-journal","volume":"43"},"uris":["http://www.mendeley.com/documents/?uuid=f30c9098-14ce-4ed4-ab77-e399b45d4ac0"]}],"mendeley":{"formattedCitation":"[13]","plainTextFormattedCitation":"[13]","previouslyFormattedCitation":"[13]"},"properties":{"noteIndex":0},"schema":"https://github.com/citation-style-language/schema/raw/master/csl-citation.json"}</w:instrText>
      </w:r>
      <w:r w:rsidRPr="00073666">
        <w:rPr>
          <w:rFonts w:ascii="Calibri" w:hAnsi="Calibri" w:cs="Calibri"/>
          <w:color w:val="000000" w:themeColor="text1"/>
          <w:szCs w:val="22"/>
          <w:lang w:val="en-US"/>
        </w:rPr>
        <w:fldChar w:fldCharType="separate"/>
      </w:r>
      <w:r w:rsidRPr="00073666">
        <w:rPr>
          <w:rFonts w:ascii="Calibri" w:hAnsi="Calibri" w:cs="Calibri"/>
          <w:noProof/>
          <w:color w:val="000000" w:themeColor="text1"/>
          <w:szCs w:val="22"/>
          <w:lang w:val="en-US"/>
        </w:rPr>
        <w:t>[13]</w:t>
      </w:r>
      <w:r w:rsidRPr="00073666">
        <w:rPr>
          <w:rFonts w:ascii="Calibri" w:hAnsi="Calibri" w:cs="Calibri"/>
          <w:color w:val="000000" w:themeColor="text1"/>
          <w:szCs w:val="22"/>
          <w:lang w:val="en-US"/>
        </w:rPr>
        <w:fldChar w:fldCharType="end"/>
      </w:r>
      <w:r w:rsidRPr="00073666">
        <w:rPr>
          <w:rFonts w:ascii="Calibri" w:eastAsiaTheme="minorHAnsi" w:hAnsi="Calibri" w:cs="Calibri"/>
          <w:color w:val="000000" w:themeColor="text1"/>
          <w:szCs w:val="22"/>
          <w:lang w:val="en-US"/>
        </w:rPr>
        <w:t xml:space="preserve">. </w:t>
      </w:r>
      <w:proofErr w:type="gramStart"/>
      <w:r w:rsidRPr="00073666">
        <w:rPr>
          <w:rFonts w:ascii="Calibri" w:eastAsiaTheme="minorHAnsi" w:hAnsi="Calibri" w:cs="Calibri"/>
          <w:color w:val="000000" w:themeColor="text1"/>
          <w:szCs w:val="22"/>
          <w:lang w:val="en-US"/>
        </w:rPr>
        <w:t>Similarly</w:t>
      </w:r>
      <w:proofErr w:type="gramEnd"/>
      <w:r w:rsidRPr="00073666">
        <w:rPr>
          <w:rFonts w:ascii="Calibri" w:eastAsiaTheme="minorHAnsi" w:hAnsi="Calibri" w:cs="Calibri"/>
          <w:color w:val="000000" w:themeColor="text1"/>
          <w:szCs w:val="22"/>
          <w:lang w:val="en-US"/>
        </w:rPr>
        <w:t xml:space="preserve"> </w:t>
      </w:r>
      <w:r w:rsidRPr="00073666">
        <w:rPr>
          <w:rFonts w:ascii="Calibri" w:hAnsi="Calibri" w:cs="Calibri"/>
          <w:color w:val="000000" w:themeColor="text1"/>
          <w:szCs w:val="22"/>
        </w:rPr>
        <w:t xml:space="preserve">a large retrospective study by </w:t>
      </w:r>
      <w:proofErr w:type="spellStart"/>
      <w:r w:rsidRPr="00073666">
        <w:rPr>
          <w:rFonts w:ascii="Calibri" w:eastAsiaTheme="minorHAnsi" w:hAnsi="Calibri" w:cs="Calibri"/>
          <w:color w:val="000000" w:themeColor="text1"/>
          <w:szCs w:val="22"/>
          <w:lang w:val="en-US"/>
        </w:rPr>
        <w:t>Cavayas</w:t>
      </w:r>
      <w:proofErr w:type="spellEnd"/>
      <w:r w:rsidRPr="00073666">
        <w:rPr>
          <w:rFonts w:ascii="Calibri" w:eastAsiaTheme="minorHAnsi" w:hAnsi="Calibri" w:cs="Calibri"/>
          <w:color w:val="000000" w:themeColor="text1"/>
          <w:szCs w:val="22"/>
          <w:lang w:val="en-US"/>
        </w:rPr>
        <w:t xml:space="preserve"> et al. retrospectively analyzed risk factors for fungal infection in </w:t>
      </w:r>
      <w:r w:rsidRPr="00073666">
        <w:rPr>
          <w:rFonts w:ascii="Calibri" w:hAnsi="Calibri" w:cs="Calibri"/>
          <w:color w:val="000000" w:themeColor="text1"/>
          <w:szCs w:val="22"/>
        </w:rPr>
        <w:t xml:space="preserve">19,697 </w:t>
      </w:r>
      <w:r w:rsidRPr="00073666">
        <w:rPr>
          <w:rFonts w:ascii="Calibri" w:eastAsiaTheme="minorHAnsi" w:hAnsi="Calibri" w:cs="Calibri"/>
          <w:color w:val="000000" w:themeColor="text1"/>
          <w:szCs w:val="22"/>
          <w:lang w:val="en-US"/>
        </w:rPr>
        <w:t xml:space="preserve">ECMO patients. Of the 2129 with fungal infection or colonization, 301 (14.1%) had influenza. But whilst influenza was found to be an independent risk factor for ‘Aspergillus involvement’ [(OR) 2.48], this term did not distinguish colonization from invasive infection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{"citationItems":[{"id":"ITEM-1","itemData":{"ISSN":"1466-609X","abstract":"Background: Patients on extracorporeal membrane oxygenation (ECMO) are often among the most severely ill in the intensive care unit. They are often receiving broad-spectrum antibiotics; they have multiple entry points for pathogens; and their immune system is impaired by blood circuit interaction. These factors are thought to predispose them to fungal infections. We thus aimed to evaluate the prevalence, risk factors, and prognosis of fungal infections in adults on ECMO. Methods: We conducted a retrospective cohort study using the Extracorporeal Life Support Organization registry, which compiles data on ECMO use from hundreds of international centers. We included all adult patients from 2006 to 2016 on any mode of ECMO with either a diagnosis of fungal infection or a positive fungal culture. Results: Our study comprised 2129 adult patients (10.8%) with fungal colonization or infection. Aspergillus involvement (colonization or infection) was present in 272 patients (1.4%), of whom 35.7% survived to hospital discharge. There were 245 patients (1.2%) with Candida invasive bloodstream infection, with 35.9% survival. Risk factors for Aspergillus involvement included solid organ transplant (OR 1.83; p=0.008), respiratory support (OR 2.75; p&lt;0.001), and influenza infection (OR 2.48; p&lt;0.001). Risk factors for candidemia included sepsis (OR 1.60; p=0.005) and renal replacement therapy (OR 1.55; p=0.007). In multivariable analysis, Aspergillus involvement (OR 0.40; p&lt;0.001) and candidemia (OR 0.47; p&lt;0.001) were both independently associated with decreased survival. Conclusions: The prevalence of Aspergillus involvement and Candida invasive bloodstream infection were not higher in patients on ECMO than what has been reported in the general intensive care population. Both were independently associated with a reduced survival. Aspergillus involvement was strongly associated with ECMO for respiratory support and influenza.","author":[{"dropping-particle":"","family":"Cavayas","given":"YA","non-dropping-particle":"","parse-names":false,"suffix":""},{"dropping-particle":"","family":"Yusuff","given":"H","non-dropping-particle":"","parse-names":false,"suffix":""},{"dropping-particle":"","family":"Porter","given":"R","non-dropping-particle":"","parse-names":false,"suffix":""}],"container-title":"Critical Care","id":"ITEM-1","issue":"1","issued":{"date-parts":[["2018"]]},"page":"1-7","publisher":"Critical Care","title":"Fungal infections in adult patients on extracorporeal life support","type":"article-journal","volume":"22"},"uris":["http://www.mendeley.com/documents/?uuid=447eac15-9692-462d-9ac5-180b803e6bb1"]}],"mendeley":{"formattedCitation":"[14]","plainTextFormattedCitation":"[14]","previouslyFormattedCitation":"[14]"},"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[14]</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The reported incidence of aspergillosis in the overall cohort was only 69 of 19697 (0.4%) but this study did not include galactomannan testing either.</w:t>
      </w:r>
      <w:r w:rsidRPr="00073666">
        <w:rPr>
          <w:rFonts w:ascii="Calibri" w:eastAsiaTheme="minorHAnsi" w:hAnsi="Calibri" w:cs="Calibri"/>
          <w:color w:val="000000" w:themeColor="text1"/>
          <w:szCs w:val="22"/>
          <w:lang w:val="en-US"/>
        </w:rPr>
        <w:t xml:space="preserve"> </w:t>
      </w:r>
      <w:r w:rsidRPr="00073666">
        <w:rPr>
          <w:rFonts w:ascii="Calibri" w:hAnsi="Calibri" w:cs="Calibri"/>
          <w:color w:val="000000" w:themeColor="text1"/>
          <w:szCs w:val="22"/>
        </w:rPr>
        <w:t xml:space="preserve">Neither of these two studies employed the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 for IA and both highlight the difficulty in diagnosing invasive aspergillosis in retrospective studies when a diagnosis is not actively pursued and diagnostic criteria are inconsistently applied (see below).</w:t>
      </w:r>
    </w:p>
    <w:p w14:paraId="7A3CA254" w14:textId="77777777" w:rsidR="00065E52" w:rsidRPr="00073666" w:rsidRDefault="00065E52" w:rsidP="00065E52">
      <w:pPr>
        <w:autoSpaceDE w:val="0"/>
        <w:autoSpaceDN w:val="0"/>
        <w:adjustRightInd w:val="0"/>
        <w:rPr>
          <w:rFonts w:ascii="Calibri" w:eastAsiaTheme="minorHAnsi" w:hAnsi="Calibri" w:cs="Calibri"/>
          <w:color w:val="000000" w:themeColor="text1"/>
          <w:szCs w:val="22"/>
          <w:lang w:val="en-US"/>
        </w:rPr>
      </w:pPr>
    </w:p>
    <w:p w14:paraId="032C572C" w14:textId="77777777" w:rsidR="00065E52" w:rsidRPr="00073666" w:rsidRDefault="00065E52" w:rsidP="00065E52">
      <w:pPr>
        <w:autoSpaceDE w:val="0"/>
        <w:autoSpaceDN w:val="0"/>
        <w:adjustRightInd w:val="0"/>
        <w:rPr>
          <w:rFonts w:ascii="Calibri" w:hAnsi="Calibri" w:cs="Calibri"/>
          <w:b/>
          <w:color w:val="000000" w:themeColor="text1"/>
          <w:szCs w:val="22"/>
        </w:rPr>
      </w:pPr>
      <w:r w:rsidRPr="00073666">
        <w:rPr>
          <w:rFonts w:ascii="Calibri" w:eastAsiaTheme="minorHAnsi" w:hAnsi="Calibri" w:cs="Calibri"/>
          <w:b/>
          <w:color w:val="000000" w:themeColor="text1"/>
          <w:szCs w:val="22"/>
          <w:lang w:val="en-US"/>
        </w:rPr>
        <w:t xml:space="preserve">Mortality in </w:t>
      </w:r>
      <w:r w:rsidRPr="00073666">
        <w:rPr>
          <w:rFonts w:ascii="Calibri" w:hAnsi="Calibri" w:cs="Calibri"/>
          <w:b/>
          <w:color w:val="000000" w:themeColor="text1"/>
          <w:szCs w:val="22"/>
        </w:rPr>
        <w:t>Influenza-associated aspergillosis</w:t>
      </w:r>
    </w:p>
    <w:p w14:paraId="7073985E" w14:textId="7CF0E9A3" w:rsidR="00065E52" w:rsidRPr="00073666" w:rsidRDefault="00065E52" w:rsidP="00065E52">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 xml:space="preserve">In the Dutch-Belgian study the 90-day mortality in those with IAA was 51%, almost twice the 28% found in those with influenza </w:t>
      </w:r>
      <w:r w:rsidRPr="00073666">
        <w:rPr>
          <w:rFonts w:ascii="Calibri" w:hAnsi="Calibri" w:cs="Calibri"/>
          <w:i/>
          <w:color w:val="000000" w:themeColor="text1"/>
          <w:szCs w:val="22"/>
        </w:rPr>
        <w:t>without</w:t>
      </w:r>
      <w:r w:rsidRPr="00073666">
        <w:rPr>
          <w:rFonts w:ascii="Calibri" w:hAnsi="Calibri" w:cs="Calibri"/>
          <w:color w:val="000000" w:themeColor="text1"/>
          <w:szCs w:val="22"/>
        </w:rPr>
        <w:t xml:space="preserve"> evidence of IPA </w:t>
      </w:r>
      <w:r w:rsidRPr="00073666">
        <w:rPr>
          <w:rFonts w:ascii="Calibri" w:eastAsiaTheme="minorHAnsi" w:hAnsi="Calibri" w:cs="Calibri"/>
          <w:color w:val="000000" w:themeColor="text1"/>
          <w:szCs w:val="22"/>
        </w:rPr>
        <w:t>(p=0·0001)</w:t>
      </w:r>
      <w:r w:rsidRPr="00073666">
        <w:rPr>
          <w:rFonts w:ascii="Calibri" w:hAnsi="Calibri" w:cs="Calibri"/>
          <w:color w:val="000000" w:themeColor="text1"/>
          <w:szCs w:val="22"/>
        </w:rPr>
        <w:t>. Similarly high mortality rates in patients with IAA have been reported in other studies</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{"citationItems":[{"id":"ITEM-1","itemData":{"DOI":"10.1093/ofid/ofw171","author":[{"dropping-particle":"","family":"Crum-cianflone","given":"Nancy F","non-dropping-particle":"","parse-names":false,"suffix":""}],"container-title":"Open Forum Infectious Diseases","id":"ITEM-1","issue":"3","issued":{"date-parts":[["2016"]]},"page":"1-8","title":"Invasive Aspergillosis Associated With Severe Influenza Infections","type":"article-journal","volume":"3"},"uris":["http://www.mendeley.com/documents/?uuid=0c224a23-f98e-4219-8e5a-c67773d4f7a8"]}],"mendeley":{"formattedCitation":"[6]","plainTextFormattedCitation":"[6]","previouslyFormattedCitation":"[6]"},"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[6]</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It is therefore important to discern whether the incidence of IAA reported in the Dutch-Belgian study can be replicated in other settings, such as ICUs in England, in order to facilitate early diagnosis and treatment. </w:t>
      </w:r>
      <w:r w:rsidRPr="00073666">
        <w:rPr>
          <w:rFonts w:ascii="Calibri" w:eastAsiaTheme="minorHAnsi" w:hAnsi="Calibri" w:cs="Calibri"/>
          <w:color w:val="000000" w:themeColor="text1"/>
          <w:szCs w:val="22"/>
        </w:rPr>
        <w:t>IA was diagnosed at a median 3 days after admission</w:t>
      </w:r>
      <w:r w:rsidRPr="00073666">
        <w:rPr>
          <w:rFonts w:ascii="Calibri" w:hAnsi="Calibri" w:cs="Calibri"/>
          <w:color w:val="000000" w:themeColor="text1"/>
          <w:szCs w:val="22"/>
        </w:rPr>
        <w:t xml:space="preserve"> in the Dutch-Belgian study</w:t>
      </w:r>
      <w:r w:rsidRPr="00073666">
        <w:rPr>
          <w:rFonts w:ascii="Calibri" w:eastAsiaTheme="minorHAnsi" w:hAnsi="Calibri" w:cs="Calibri"/>
          <w:color w:val="000000" w:themeColor="text1"/>
          <w:szCs w:val="22"/>
        </w:rPr>
        <w:t xml:space="preserve">, so a prompt diagnosis is essential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{"citationItems":[{"id":"ITEM-1","itemData":{"DOI":"10.1016/S2213-2600(18)30274-1","ISSN":"2213-2619","PMID":"30076119","abstract":"Background: Invasive pulmonary aspergillosis typically occurs in an immunocompromised host. For almost a century, influenza has been known to set up for bacterial superinfections, but recently patients with severe influenza were also reported to develop invasive pulmonary aspergillosis. We aimed to measure the incidence of invasive pulmonary aspergillosis over several seasons in patients with influenza pneumonia in the intensive care unit (ICU) and to assess whether influenza was an independent risk factor for invasive pulmonary aspergillosis. Methods: We did a retrospective multicentre cohort study. Data were collected from adult patients with severe influenza admitted to seven ICUs across Belgium and The Netherlands during seven influenza seasons. Patients were older than 18 years, were admitted to the ICU for more than 24 h with acute respiratory failure, had pulmonary infiltrates on imaging, and a confirmed influenza infection based on a positive airway PCR test (influenza cohort). We used logistic regression analyses to determine if influenza was independently associated with invasive pulmonary aspergillosis in non-immunocompromised (ie, no European Organization for Research and Treatment of Cancer/Invasive Fungal Infections Cooperative Group and the National Institute of Allergy and Infectious Diseases Mycoses Study Group [EORTC/MSG] host factor) influenza-positive patients (influenza case group) compared with non-immunocompromised patients with severe community-acquired pneumonia who had a negative airway influenza PCR test (control group). Findings: Data were collected from patients admitted to the ICU between Jan 1, 2009, and June 30, 2016. Invasive pulmonary aspergillosis was diagnosed in 83 (19%) of 432 patients admitted with influenza (influenza cohort), a median of 3 days after admission to the ICU. The incidence was similar for influenza A and B. For patients with influenza who were immunocompromised, incidence of invasive pulmonary aspergillosis was as high as 32% (38 of 117 patients), whereas in the non-immunocompromised influenza case group, incidence was 14% (45 of 315 patients). Conversely, only 16 (5%) of 315 patients in the control group developed invasive pulmonary aspergillosis. The 90-day mortality was 51% in patients in the influenza cohort with invasive pulmonary aspergillosis and 28% in the influenza cohort without invasive pulmonary aspergillosis (p=0·0001). In this study, influenza was found to be independently associated wi…","author":[{"dropping-particle":"","family":"Schauwvlieghe","given":"Alexander F A D","non-dropping-particle":"","parse-names":false,"suffix":""},{"dropping-particle":"","family":"Rijnders","given":"Bart J A","non-dropping-particle":"","parse-names":false,"suffix":""},{"dropping-particle":"","family":"Philips","given":"Nele","non-dropping-particle":"","parse-names":false,"suffix":""},{"dropping-particle":"","family":"Verwijs","given":"Rosanne","non-dropping-particle":"","parse-names":false,"suffix":""},{"dropping-particle":"","family":"Vanderbeke","given":"Lore","non-dropping-particle":"","parse-names":false,"suffix":""},{"dropping-particle":"","family":"Tienen","given":"Carla","non-dropping-particle":"Van","parse-names":false,"suffix":""},{"dropping-particle":"","family":"Lagrou","given":"Katrien","non-dropping-particle":"","parse-names":false,"suffix":""},{"dropping-particle":"","family":"Verweij","given":"Paul E","non-dropping-particle":"","parse-names":false,"suffix":""},{"dropping-particle":"","family":"Veerdonk","given":"Frank L","non-dropping-particle":"Van de","parse-names":false,"suffix":""},{"dropping-particle":"","family":"Gommers","given":"Diederik","non-dropping-particle":"","parse-names":false,"suffix":""},{"dropping-particle":"","family":"Spronk","given":"Peter","non-dropping-particle":"","parse-names":false,"suffix":""},{"dropping-particle":"","family":"Bergmans","given":"Dennis C J J","non-dropping-particle":"","parse-names":false,"suffix":""},{"dropping-particle":"","family":"Hoedemaekers","given":"Astrid","non-dropping-particle":"","parse-names":false,"suffix":""},{"dropping-particle":"","family":"Andrinopoulou","given":"Eleni-rosalina","non-dropping-particle":"","parse-names":false,"suffix":""},{"dropping-particle":"","family":"Berg","given":"Charlotte H S B","non-dropping-particle":"van den","parse-names":false,"suffix":""},{"dropping-particle":"","family":"Juffermans","given":"Nicole P","non-dropping-particle":"","parse-names":false,"suffix":""},{"dropping-particle":"","family":"Hodiamont","given":"Casper J","non-dropping-particle":"","parse-names":false,"suffix":""},{"dropping-particle":"","family":"Vonk","given":"Alieke G","non-dropping-particle":"","parse-names":false,"suffix":""},{"dropping-particle":"","family":"Depuydt","given":"Pieter","non-dropping-particle":"","parse-names":false,"suffix":""},{"dropping-particle":"","family":"Boelens","given":"Jerina","non-dropping-particle":"","parse-names":false,"suffix":""},{"dropping-particle":"","family":"Wauters","given":"Joost","non-dropping-particle":"","parse-names":false,"suffix":""},{"dropping-particle":"","family":"Dutch-Belgian Mycosis study group","given":"","non-dropping-particle":"","parse-names":false,"suffix":""}],"container-title":"The Lancet. Respiratory medicine","id":"ITEM-1","issue":"10","issued":{"date-parts":[["2018"]]},"page":"782-792","publisher":"Elsevier Ltd","title":"Invasive aspergillosis in patients admitted to the intensive care unit with severe influenza: a retrospective cohort study.","type":"article-journal","volume":"6"},"uris":["http://www.mendeley.com/documents/?uuid=74539706-9b61-474b-8447-4a1ee7ef0b9b"]}],"mendeley":{"formattedCitation":"[7]","plainTextFormattedCitation":"[7]","previouslyFormattedCitation":"[7]"},"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[7]</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{"citationItems":[{"id":"ITEM-1","itemData":{"author":[{"dropping-particle":"","family":"European Centre for Disease Prevention and Control","given":"","non-dropping-particle":"","parse-names":false,"suffix":""}],"id":"ITEM-1","issue":"November","issued":{"date-parts":[["2018"]]},"number-of-pages":"1-6","publisher-place":"Stockholm","title":"RAPID RISK ASSESSMENT: Influenza-associated invasive pulmonary aspergillosis","type":"report"},"uris":["http://www.mendeley.com/documents/?uuid=e143b3f0-e354-4e71-94c9-8737d76e54d5"]}],"mendeley":{"formattedCitation":"[15]","plainTextFormattedCitation":"[15]","previouslyFormattedCitation":"[15]"},"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[15]</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p>
    <w:p w14:paraId="1DA944D6" w14:textId="77777777" w:rsidR="00065E52" w:rsidRPr="00073666" w:rsidRDefault="00065E52" w:rsidP="00065E52">
      <w:pPr>
        <w:autoSpaceDE w:val="0"/>
        <w:autoSpaceDN w:val="0"/>
        <w:adjustRightInd w:val="0"/>
        <w:rPr>
          <w:rFonts w:ascii="Calibri" w:hAnsi="Calibri" w:cs="Calibri"/>
          <w:color w:val="000000" w:themeColor="text1"/>
          <w:szCs w:val="22"/>
        </w:rPr>
      </w:pPr>
    </w:p>
    <w:p w14:paraId="6A7EB4CA" w14:textId="356E919A" w:rsidR="00065E52" w:rsidRPr="00073666" w:rsidRDefault="00065E52" w:rsidP="00065E52">
      <w:pPr>
        <w:rPr>
          <w:rFonts w:ascii="Calibri" w:hAnsi="Calibri" w:cs="Calibri"/>
          <w:b/>
        </w:rPr>
      </w:pPr>
      <w:r w:rsidRPr="00073666">
        <w:rPr>
          <w:rFonts w:ascii="Calibri" w:hAnsi="Calibri" w:cs="Calibri"/>
          <w:b/>
        </w:rPr>
        <w:t>1.2 Diagnostics</w:t>
      </w:r>
    </w:p>
    <w:p w14:paraId="01C294CC" w14:textId="77777777" w:rsidR="00065E52" w:rsidRPr="00073666" w:rsidRDefault="00065E52" w:rsidP="00065E52">
      <w:pPr>
        <w:autoSpaceDE w:val="0"/>
        <w:autoSpaceDN w:val="0"/>
        <w:adjustRightInd w:val="0"/>
        <w:rPr>
          <w:rFonts w:ascii="Calibri" w:hAnsi="Calibri" w:cs="Calibri"/>
          <w:b/>
          <w:color w:val="000000" w:themeColor="text1"/>
          <w:szCs w:val="22"/>
        </w:rPr>
      </w:pPr>
      <w:r w:rsidRPr="00073666">
        <w:rPr>
          <w:rFonts w:ascii="Calibri" w:hAnsi="Calibri" w:cs="Calibri"/>
          <w:b/>
          <w:color w:val="000000" w:themeColor="text1"/>
          <w:szCs w:val="22"/>
        </w:rPr>
        <w:t>Diagnosis of Influenza</w:t>
      </w:r>
    </w:p>
    <w:p w14:paraId="20D2FB6D" w14:textId="77777777" w:rsidR="00065E52" w:rsidRPr="00073666" w:rsidRDefault="00065E52" w:rsidP="00065E52">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 xml:space="preserve">Diagnosing severe Influenza on clinical grounds alone is extremely challenging because typical symptoms such as </w:t>
      </w:r>
      <w:proofErr w:type="spellStart"/>
      <w:r w:rsidRPr="00073666">
        <w:rPr>
          <w:rFonts w:ascii="Calibri" w:hAnsi="Calibri" w:cs="Calibri"/>
          <w:color w:val="000000" w:themeColor="text1"/>
          <w:szCs w:val="22"/>
        </w:rPr>
        <w:t>rhinorrhea</w:t>
      </w:r>
      <w:proofErr w:type="spellEnd"/>
      <w:r w:rsidRPr="00073666">
        <w:rPr>
          <w:rFonts w:ascii="Calibri" w:hAnsi="Calibri" w:cs="Calibri"/>
          <w:color w:val="000000" w:themeColor="text1"/>
          <w:szCs w:val="22"/>
        </w:rPr>
        <w:t xml:space="preserve"> and sore throat are present in fewer than a third of </w:t>
      </w:r>
      <w:proofErr w:type="spellStart"/>
      <w:r w:rsidRPr="00073666">
        <w:rPr>
          <w:rFonts w:ascii="Calibri" w:hAnsi="Calibri" w:cs="Calibri"/>
          <w:color w:val="000000" w:themeColor="text1"/>
          <w:szCs w:val="22"/>
        </w:rPr>
        <w:t>hospitilised</w:t>
      </w:r>
      <w:proofErr w:type="spellEnd"/>
      <w:r w:rsidRPr="00073666">
        <w:rPr>
          <w:rFonts w:ascii="Calibri" w:hAnsi="Calibri" w:cs="Calibri"/>
          <w:color w:val="000000" w:themeColor="text1"/>
          <w:szCs w:val="22"/>
        </w:rPr>
        <w:t xml:space="preserve"> patients </w:t>
      </w:r>
      <w:r w:rsidRPr="00073666">
        <w:rPr>
          <w:rFonts w:ascii="Calibri" w:hAnsi="Calibri" w:cs="Calibri"/>
          <w:color w:val="000000" w:themeColor="text1"/>
          <w:szCs w:val="22"/>
        </w:rPr>
        <w:lastRenderedPageBreak/>
        <w:fldChar w:fldCharType="begin" w:fldLock="1"/>
      </w:r>
      <w:r w:rsidRPr="00073666">
        <w:rPr>
          <w:rFonts w:ascii="Calibri" w:hAnsi="Calibri" w:cs="Calibri"/>
          <w:color w:val="000000" w:themeColor="text1"/>
          <w:szCs w:val="22"/>
        </w:rPr>
        <w:instrText>ADDIN CSL_CITATION {"citationItems":[{"id":"ITEM-1","itemData":{"DOI":"10.3851/IMP2059","ISBN":"1359-6535","ISSN":"13596535","PMID":"22311561","abstract":"Annual influenza epidemics and periodic pandemics result in excess hospital admissions. Hospitalization typically occurs in those with underlying medical conditions, those at the extremes of age and in pregnant woman; young adults and obese individuals were also at increased risk during the 2009 H1N1 pandemic. Severe influenza pneumonia, exacerbation of underlying lung diseases, cardiovascular and cerebrovascular events and bacterial superinfection are common reasons for hospitalization. Clinical diagnosis is unreliable and virological confirmation can be challenging. Overall mortality among adults hospitalized with influenza ranges from 4% to 8%, although higher mortality (&gt;10-15%) may be seen during pandemics and among the immunocompromised. Recent data have suggested that neuraminidase inhibitors, particularly when given early, can accelerate viral clearance and improve clinical outcomes in hospitalized adults; thus, antiviral treatment should be considered in all cases. Controlled clinical trials are urgently needed in this population to evaluate comparative treatment efficacy of different agents and combinations, including emergence of antiviral resistance, and to address issues related to dosage, duration and parenteral route.","author":[{"dropping-particle":"","family":"Lee","given":"Nelson","non-dropping-particle":"","parse-names":false,"suffix":""},{"dropping-particle":"","family":"Ison","given":"Michael G.","non-dropping-particle":"","parse-names":false,"suffix":""}],"container-title":"Antiviral Therapy","id":"ITEM-1","issue":"1 PART B","issued":{"date-parts":[["2012"]]},"page":"143-157","title":"Diagnosis, management and outcomes of adults hospitalized with influenza","type":"article-journal","volume":"17"},"uris":["http://www.mendeley.com/documents/?uuid=03229580-1c37-4703-a8b5-2801aa848748"]}],"mendeley":{"formattedCitation":"[16]","plainTextFormattedCitation":"[16]","previouslyFormattedCitation":"[16]"},"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[16]</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For this reason a liberal testing policy is employed at many hospitals during influenza season to include any patient with suspected respiratory infection or exacerbation of chronic lung disease</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10.1016/j.jhin.2018.11.010","ISSN":"01956701","author":[{"dropping-particle":"","family":"Youngs","given":"Jonathan","non-dropping-particle":"","parse-names":false,"suffix":""},{"dropping-particle":"","family":"Marshall","given":"Benjamin","non-dropping-particle":"","parse-names":false,"suffix":""},{"dropping-particle":"","family":"Farragher","given":"Melissa","non-dropping-particle":"","parse-names":false,"suffix":""},{"dropping-particle":"","family":"Whitney","given":"Laura","non-dropping-particle":"","parse-names":false,"suffix":""},{"dropping-particle":"","family":"Glass","given":"Stephen","non-dropping-particle":"","parse-names":false,"suffix":""},{"dropping-particle":"","family":"Pope","given":"Cassie","non-dropping-particle":"","parse-names":false,"suffix":""},{"dropping-particle":"","family":"Planche","given":"Timothy","non-dropping-particle":"","parse-names":false,"suffix":""},{"dropping-particle":"","family":"Riley","given":"Peter","non-dropping-particle":"","parse-names":false,"suffix":""},{"dropping-particle":"","family":"Carrington","given":"David","non-dropping-particle":"","parse-names":false,"suffix":""}],"container-title":"Journal of Hospital Infection","id":"ITEM-1","issued":{"date-parts":[["2018"]]},"publisher":"The Healthcare Infection Society","title":"Implementation of influenza point-of-care-testing and patient-cohorting during a high-incidence season: a retrospective analysis of impact on infection prevention and control and clinical outcomes","type":"article-journal","volume":"[In press]"},"uris":["http://www.mendeley.com/documents/?uuid=0dc82371-3ac7-4d4c-a8f5-55c22fa5a28b"]}],"mendeley":{"formattedCitation":"[17]","plainTextFormattedCitation":"[17]","previouslyFormattedCitation":"[17]"},"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[17]</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p>
    <w:p w14:paraId="5904499C" w14:textId="77777777" w:rsidR="00065E52" w:rsidRPr="00073666" w:rsidRDefault="00065E52" w:rsidP="00065E52">
      <w:pPr>
        <w:autoSpaceDE w:val="0"/>
        <w:autoSpaceDN w:val="0"/>
        <w:adjustRightInd w:val="0"/>
        <w:rPr>
          <w:rFonts w:ascii="Calibri" w:hAnsi="Calibri" w:cs="Calibri"/>
          <w:color w:val="000000" w:themeColor="text1"/>
          <w:szCs w:val="22"/>
        </w:rPr>
      </w:pPr>
    </w:p>
    <w:p w14:paraId="1488BB51" w14:textId="77777777" w:rsidR="00065E52" w:rsidRPr="00073666" w:rsidRDefault="00065E52" w:rsidP="00065E52">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Once testing is performed, confirming a diagnosis of influenza is usually straightforward. Polymerase chain reaction (PCR) is used to detect viral RNA in nasal and throat swabs (or other respiratory specimen) with extremely high degree of sensitivity and specificity</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{"citationItems":[{"id":"ITEM-1","itemData":{"DOI":"10.1128/JCM.01691-17","ISSN":"1098660X","PMID":"29263204","abstract":"&lt;p&gt;Rapid identification of respiratory pathogens such as influenza viruses A (FluA), B (FluB) and respiratory syncytial virus (RSV) reduces unnecessary antimicrobial use and enhances infection control practice. We performed a comparative evaluation of three molecular methods; 1) ARIES Flu A/B &amp;amp; RSV, 2) Xpert Xpress Flu/RSV and 3) Cobas Flu A/B &amp;amp; RSV. The clinical performance of the three methods was evaluated using 200 remnant nasopharyngeal swab (NPS) specimens against a combined reference standard. The limits of detection (LODs) of the ARIES and the Xpert Xpress assays were determined using titer-known FluA, FluB, and RSV control strains. The 95% limits of detection were between 1.702 and 0.0003 TCID50 with no significant differences revealed among the three assays. Perfect qualitative detection agreement was obtained in the reproducibility study. The Cobas failed at the first run on 13 clinical specimens, resulting in an invalid rate of 6.5%. Sensitivities and specificities for all assays were 96.0-100.0% and 99.3-100% for all three viruses. For on-demand single-specimen and batched 12-specimen workflows, test turnaround time was 115.5 and 128.8 min for the ARIES (12 sample capacity), 34.2 and 44.2 min for the Xpress (16 sample capacity), and 21.0 and 254.4 min for the Cobas (one instrument), respectively. In summary, the ARIES, Xpress and Cobas Liat assays demonstrated excellent sensitivities and specificities for simultaneous detection and identification of FluA, FluB and RSV from NPS specimens in cancer patients. Test turnaround time was significantly shorter on the Xpress when instrument scalability is unlimited.&lt;/p&gt;","author":[{"dropping-particle":"","family":"Ling","given":"Lifen","non-dropping-particle":"","parse-names":false,"suffix":""},{"dropping-particle":"","family":"Kaplan","given":"Samuel E.","non-dropping-particle":"","parse-names":false,"suffix":""},{"dropping-particle":"","family":"Lopez","given":"Juan C.","non-dropping-particle":"","parse-names":false,"suffix":""},{"dropping-particle":"","family":"Stiles","given":"Jeffrey","non-dropping-particle":"","parse-names":false,"suffix":""},{"dropping-particle":"","family":"Lu","given":"Xuedong","non-dropping-particle":"","parse-names":false,"suffix":""},{"dropping-particle":"","family":"Tang","given":"Yi Wei","non-dropping-particle":"","parse-names":false,"suffix":""}],"container-title":"Journal of Clinical Microbiology","id":"ITEM-1","issue":"3","issued":{"date-parts":[["2018"]]},"page":"1-22","title":"Parallel validation of three molecular devices for simultaneous detection and identification of influenza A and B and respiratory syncytial viruses","type":"article-journal","volume":"56"},"uris":["http://www.mendeley.com/documents/?uuid=5b3df942-d0ba-4aaa-9aa8-41038732630c"]}],"mendeley":{"formattedCitation":"[18]","plainTextFormattedCitation":"[18]","previouslyFormattedCitation":"[18]"},"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[18]</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p>
    <w:p w14:paraId="3CEC77DA" w14:textId="4140005C" w:rsidR="00065E52" w:rsidRPr="00073666" w:rsidRDefault="00065E52" w:rsidP="00065E52">
      <w:pPr>
        <w:pStyle w:val="Heading1"/>
        <w:rPr>
          <w:rFonts w:ascii="Calibri" w:hAnsi="Calibri" w:cs="Calibri"/>
          <w:color w:val="000000" w:themeColor="text1"/>
          <w:sz w:val="24"/>
          <w:szCs w:val="24"/>
        </w:rPr>
      </w:pPr>
      <w:bookmarkStart w:id="2" w:name="_Toc17128380"/>
      <w:r w:rsidRPr="00073666">
        <w:rPr>
          <w:rFonts w:ascii="Calibri" w:hAnsi="Calibri" w:cs="Calibri"/>
          <w:color w:val="000000" w:themeColor="text1"/>
          <w:sz w:val="24"/>
          <w:szCs w:val="24"/>
        </w:rPr>
        <w:t>Diagnosis of Invasive Aspergillosis</w:t>
      </w:r>
      <w:bookmarkEnd w:id="2"/>
    </w:p>
    <w:p w14:paraId="56BEC5CE" w14:textId="77777777" w:rsidR="00065E52" w:rsidRPr="00073666" w:rsidRDefault="00065E52" w:rsidP="00065E52">
      <w:pPr>
        <w:rPr>
          <w:rFonts w:ascii="Calibri" w:hAnsi="Calibri" w:cs="Calibri"/>
          <w:color w:val="000000" w:themeColor="text1"/>
          <w:szCs w:val="22"/>
        </w:rPr>
      </w:pPr>
      <w:r w:rsidRPr="00073666">
        <w:rPr>
          <w:rFonts w:ascii="Calibri" w:hAnsi="Calibri" w:cs="Calibri"/>
          <w:color w:val="000000" w:themeColor="text1"/>
          <w:szCs w:val="22"/>
        </w:rPr>
        <w:t xml:space="preserve">Whilst respiratory sample PCR makes the diagnosis of Influenza simple, the diagnosis of IA is notoriously challenging. This may be one reason why the potentially high incidence of IA in severe influenza has gone largely unrecognized until recent years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{"citationItems":[{"id":"ITEM-1","itemData":{"DOI":"10.1093/ofid/ofw171","author":[{"dropping-particle":"","family":"Crum-cianflone","given":"Nancy F","non-dropping-particle":"","parse-names":false,"suffix":""}],"container-title":"Open Forum Infectious Diseases","id":"ITEM-1","issue":"3","issued":{"date-parts":[["2016"]]},"page":"1-8","title":"Invasive Aspergillosis Associated With Severe Influenza Infections","type":"article-journal","volume":"3"},"uris":["http://www.mendeley.com/documents/?uuid=0c224a23-f98e-4219-8e5a-c67773d4f7a8"]}],"mendeley":{"formattedCitation":"[6]","plainTextFormattedCitation":"[6]","previouslyFormattedCitation":"[6]"},"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[6]</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w:t>
      </w:r>
    </w:p>
    <w:p w14:paraId="6FB740FB" w14:textId="77777777" w:rsidR="00065E52" w:rsidRPr="00073666" w:rsidRDefault="00065E52" w:rsidP="00065E52">
      <w:pPr>
        <w:rPr>
          <w:rFonts w:ascii="Calibri" w:hAnsi="Calibri" w:cs="Calibri"/>
          <w:color w:val="000000" w:themeColor="text1"/>
          <w:szCs w:val="22"/>
        </w:rPr>
      </w:pPr>
    </w:p>
    <w:p w14:paraId="6444D285" w14:textId="77777777" w:rsidR="00065E52" w:rsidRPr="00073666" w:rsidRDefault="00065E52" w:rsidP="00065E52">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 xml:space="preserve">There are two principal difficulties in diagnosing IPA. Firstly, evidence of the presence of </w:t>
      </w:r>
      <w:r w:rsidRPr="00073666">
        <w:rPr>
          <w:rFonts w:ascii="Calibri" w:hAnsi="Calibri" w:cs="Calibri"/>
          <w:i/>
          <w:color w:val="000000" w:themeColor="text1"/>
          <w:szCs w:val="22"/>
        </w:rPr>
        <w:t xml:space="preserve">Aspergillus </w:t>
      </w:r>
      <w:r w:rsidRPr="00073666">
        <w:rPr>
          <w:rFonts w:ascii="Calibri" w:hAnsi="Calibri" w:cs="Calibri"/>
          <w:color w:val="000000" w:themeColor="text1"/>
          <w:szCs w:val="22"/>
        </w:rPr>
        <w:t xml:space="preserve">must be found and secondly IA must be distinguished from clinically irrelevant </w:t>
      </w:r>
      <w:r w:rsidRPr="00073666">
        <w:rPr>
          <w:rFonts w:ascii="Calibri" w:hAnsi="Calibri" w:cs="Calibri"/>
          <w:i/>
          <w:color w:val="000000" w:themeColor="text1"/>
          <w:szCs w:val="22"/>
        </w:rPr>
        <w:t>Aspergillus</w:t>
      </w:r>
      <w:r w:rsidRPr="00073666">
        <w:rPr>
          <w:rFonts w:ascii="Calibri" w:hAnsi="Calibri" w:cs="Calibri"/>
          <w:color w:val="000000" w:themeColor="text1"/>
          <w:szCs w:val="22"/>
        </w:rPr>
        <w:t xml:space="preserve"> colonization. Focusing on the second problem, the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 developed by Blot et al. take as their starting point an </w:t>
      </w:r>
      <w:r w:rsidRPr="00073666">
        <w:rPr>
          <w:rFonts w:ascii="Calibri" w:eastAsiaTheme="minorHAnsi" w:hAnsi="Calibri" w:cs="Calibri"/>
          <w:color w:val="000000" w:themeColor="text1"/>
          <w:szCs w:val="22"/>
        </w:rPr>
        <w:t xml:space="preserve">Aspergillus-positive lower respiratory tract specimen culture. The </w:t>
      </w:r>
      <w:proofErr w:type="spellStart"/>
      <w:r w:rsidRPr="00073666">
        <w:rPr>
          <w:rFonts w:ascii="Calibri" w:eastAsiaTheme="minorHAnsi" w:hAnsi="Calibri" w:cs="Calibri"/>
          <w:color w:val="000000" w:themeColor="text1"/>
          <w:szCs w:val="22"/>
        </w:rPr>
        <w:t>AspICU</w:t>
      </w:r>
      <w:proofErr w:type="spellEnd"/>
      <w:r w:rsidRPr="00073666">
        <w:rPr>
          <w:rFonts w:ascii="Calibri" w:eastAsiaTheme="minorHAnsi" w:hAnsi="Calibri" w:cs="Calibri"/>
          <w:color w:val="000000" w:themeColor="text1"/>
          <w:szCs w:val="22"/>
        </w:rPr>
        <w:t xml:space="preserve"> criteria were then modified in the Dutch-Belgian study by removing the requirement for a positive culture, which has a sensitivity of only 29-58% when compared against ‘proven’ cases of IA.</w:t>
      </w:r>
      <w:r w:rsidRPr="00073666">
        <w:rPr>
          <w:rFonts w:ascii="Calibri" w:eastAsiaTheme="minorHAnsi" w:hAnsi="Calibri" w:cs="Calibri"/>
          <w:color w:val="000000" w:themeColor="text1"/>
          <w:szCs w:val="22"/>
        </w:rPr>
        <w:fldChar w:fldCharType="begin" w:fldLock="1"/>
      </w:r>
      <w:r w:rsidRPr="00073666">
        <w:rPr>
          <w:rFonts w:ascii="Calibri" w:eastAsiaTheme="minorHAnsi" w:hAnsi="Calibri" w:cs="Calibri"/>
          <w:color w:val="000000" w:themeColor="text1"/>
          <w:szCs w:val="22"/>
        </w:rPr>
        <w:instrText>ADDIN CSL_CITATION {"citationItems":[{"id":"ITEM-1","itemData":{"DOI":"10.1164/rccm.200704-606oc","ISSN":"1073-449X","abstract":"Rationale: Invasive aspergillosis (IA) is an important cause of mortality in patients with hematologic malignancies. However, IA appears to be gaining a foothold in the intensive care unit (ICU) in patients without classical risk factors. A recent study described 89 cases of IA in patients in a medical ICU without leukemia or cancer. The diagnosis of IA remains difficult and is often established too late. Galactomannan (GM) is an exo-antigen released from Aspergillus hyphae while they invade host tissue.Objectives: This prospective single-center study was conducted to investigate the role of GM in bronchoalveolar lavage (BAL) fluid as a tool for early diagnosis of IA in the ICU.Methods: All patients with risk factors identified in our earlier study were evaluated. BAL for culture and GM detection, serum GM levels, and computed tomography scan were obtained for all included patients with signs of pneumonia. Patients were classified as having proven, probable, or possible IA.Measurements and Main Results: A...","author":[{"dropping-particle":"","family":"Meersseman","given":"Wouter","non-dropping-particle":"","parse-names":false,"suffix":""},{"dropping-particle":"","family":"Lagrou","given":"Katrien","non-dropping-particle":"","parse-names":false,"suffix":""},{"dropping-particle":"","family":"Maertens","given":"Johan","non-dropping-particle":"","parse-names":false,"suffix":""},{"dropping-particle":"","family":"Wilmer","given":"Alexander","non-dropping-particle":"","parse-names":false,"suffix":""},{"dropping-particle":"","family":"Hermans","given":"Greet","non-dropping-particle":"","parse-names":false,"suffix":""},{"dropping-particle":"","family":"Vanderschueren","given":"Steven","non-dropping-particle":"","parse-names":false,"suffix":""},{"dropping-particle":"","family":"Spriet","given":"Isabel","non-dropping-particle":"","parse-names":false,"suffix":""},{"dropping-particle":"","family":"Verbeken","given":"Eric","non-dropping-particle":"","parse-names":false,"suffix":""},{"dropping-particle":"","family":"Wijngaerden","given":"Eric","non-dropping-particle":"Van","parse-names":false,"suffix":""}],"container-title":"American Journal of Respiratory and Critical Care Medicine","id":"ITEM-1","issue":"1","issued":{"date-parts":[["2007"]]},"page":"27-34","title":"Galactomannan in Bronchoalveolar Lavage Fluid","type":"article-journal","volume":"177"},"uris":["http://www.mendeley.com/documents/?uuid=9f1026b5-519b-4a30-9e64-7430a58bb96f"]}],"mendeley":{"formattedCitation":"[5]","plainTextFormattedCitation":"[5]","previouslyFormattedCitation":"[5]"},"properties":{"noteIndex":0},"schema":"https://github.com/citation-style-language/schema/raw/master/csl-citation.json"}</w:instrText>
      </w:r>
      <w:r w:rsidRPr="00073666">
        <w:rPr>
          <w:rFonts w:ascii="Calibri" w:eastAsiaTheme="minorHAnsi" w:hAnsi="Calibri" w:cs="Calibri"/>
          <w:color w:val="000000" w:themeColor="text1"/>
          <w:szCs w:val="22"/>
        </w:rPr>
        <w:fldChar w:fldCharType="separate"/>
      </w:r>
      <w:r w:rsidRPr="00073666">
        <w:rPr>
          <w:rFonts w:ascii="Calibri" w:eastAsiaTheme="minorHAnsi" w:hAnsi="Calibri" w:cs="Calibri"/>
          <w:noProof/>
          <w:color w:val="000000" w:themeColor="text1"/>
          <w:szCs w:val="22"/>
        </w:rPr>
        <w:t>[5]</w:t>
      </w:r>
      <w:r w:rsidRPr="00073666">
        <w:rPr>
          <w:rFonts w:ascii="Calibri" w:eastAsiaTheme="minorHAnsi" w:hAnsi="Calibri" w:cs="Calibri"/>
          <w:color w:val="000000" w:themeColor="text1"/>
          <w:szCs w:val="22"/>
        </w:rPr>
        <w:fldChar w:fldCharType="end"/>
      </w:r>
      <w:r w:rsidRPr="00073666">
        <w:rPr>
          <w:rFonts w:ascii="Calibri" w:eastAsiaTheme="minorHAnsi" w:hAnsi="Calibri" w:cs="Calibri"/>
          <w:color w:val="000000" w:themeColor="text1"/>
          <w:szCs w:val="22"/>
        </w:rPr>
        <w:fldChar w:fldCharType="begin" w:fldLock="1"/>
      </w:r>
      <w:r w:rsidRPr="00073666">
        <w:rPr>
          <w:rFonts w:ascii="Calibri" w:eastAsiaTheme="minorHAnsi" w:hAnsi="Calibri" w:cs="Calibri"/>
          <w:color w:val="000000" w:themeColor="text1"/>
          <w:szCs w:val="22"/>
        </w:rPr>
        <w:instrText>ADDIN CSL_CITATION {"citationItems":[{"id":"ITEM-1","itemData":{"DOI":"10.1111/myc.12881","author":[{"dropping-particle":"","family":"Jenks","given":"Jeffrey D","non-dropping-particle":"","parse-names":false,"suffix":""},{"dropping-particle":"","family":"Mehta","given":"Sanjay R","non-dropping-particle":"","parse-names":false,"suffix":""},{"dropping-particle":"","family":"Taplitz","given":"Randy","non-dropping-particle":"","parse-names":false,"suffix":""},{"dropping-particle":"","family":"Aslam","given":"Saima","non-dropping-particle":"","parse-names":false,"suffix":""},{"dropping-particle":"","family":"Reed","given":"Sharon L","non-dropping-particle":"","parse-names":false,"suffix":""},{"dropping-particle":"","family":"Hoenigl","given":"Martin","non-dropping-particle":"","parse-names":false,"suffix":""},{"dropping-particle":"","family":"Diego","given":"San","non-dropping-particle":"","parse-names":false,"suffix":""},{"dropping-particle":"","family":"States","given":"United","non-dropping-particle":"","parse-names":false,"suffix":""},{"dropping-particle":"","family":"Diego","given":"San","non-dropping-particle":"","parse-names":false,"suffix":""},{"dropping-particle":"","family":"States","given":"United","non-dropping-particle":"","parse-names":false,"suffix":""}],"container-title":"Mycoses","id":"ITEM-1","issue":"3","issued":{"date-parts":[["2019"]]},"page":"230-236","title":"Point-of care Diagnosis of Invasive Aspergillosis in in Non-Neutropenic Patients: Aspergillus Galactomannan Lateral Flow Assay versus Aspergillus-specific Lateral Flow device test in Bronchoalveolar Lavage","type":"article-journal","volume":"62"},"uris":["http://www.mendeley.com/documents/?uuid=d6313339-2037-4004-a9fd-b4e4f6a818fb"]}],"mendeley":{"formattedCitation":"[8]","plainTextFormattedCitation":"[8]","previouslyFormattedCitation":"[8]"},"properties":{"noteIndex":0},"schema":"https://github.com/citation-style-language/schema/raw/master/csl-citation.json"}</w:instrText>
      </w:r>
      <w:r w:rsidRPr="00073666">
        <w:rPr>
          <w:rFonts w:ascii="Calibri" w:eastAsiaTheme="minorHAnsi" w:hAnsi="Calibri" w:cs="Calibri"/>
          <w:color w:val="000000" w:themeColor="text1"/>
          <w:szCs w:val="22"/>
        </w:rPr>
        <w:fldChar w:fldCharType="separate"/>
      </w:r>
      <w:r w:rsidRPr="00073666">
        <w:rPr>
          <w:rFonts w:ascii="Calibri" w:eastAsiaTheme="minorHAnsi" w:hAnsi="Calibri" w:cs="Calibri"/>
          <w:noProof/>
          <w:color w:val="000000" w:themeColor="text1"/>
          <w:szCs w:val="22"/>
        </w:rPr>
        <w:t>[8]</w:t>
      </w:r>
      <w:r w:rsidRPr="00073666">
        <w:rPr>
          <w:rFonts w:ascii="Calibri" w:eastAsiaTheme="minorHAnsi" w:hAnsi="Calibri" w:cs="Calibri"/>
          <w:color w:val="000000" w:themeColor="text1"/>
          <w:szCs w:val="22"/>
        </w:rPr>
        <w:fldChar w:fldCharType="end"/>
      </w:r>
    </w:p>
    <w:p w14:paraId="3F4D238A" w14:textId="77777777" w:rsidR="00065E52" w:rsidRPr="00073666" w:rsidRDefault="00065E52" w:rsidP="00065E52">
      <w:pPr>
        <w:autoSpaceDE w:val="0"/>
        <w:autoSpaceDN w:val="0"/>
        <w:adjustRightInd w:val="0"/>
        <w:rPr>
          <w:rFonts w:ascii="Calibri" w:hAnsi="Calibri" w:cs="Calibri"/>
          <w:b/>
          <w:bCs/>
          <w:color w:val="000000" w:themeColor="text1"/>
          <w:szCs w:val="22"/>
        </w:rPr>
      </w:pPr>
    </w:p>
    <w:p w14:paraId="0D593C34" w14:textId="77777777" w:rsidR="00065E52" w:rsidRPr="00073666" w:rsidRDefault="00065E52" w:rsidP="00065E52">
      <w:pPr>
        <w:autoSpaceDE w:val="0"/>
        <w:autoSpaceDN w:val="0"/>
        <w:adjustRightInd w:val="0"/>
        <w:rPr>
          <w:rFonts w:ascii="Calibri" w:hAnsi="Calibri" w:cs="Calibri"/>
          <w:color w:val="000000" w:themeColor="text1"/>
          <w:szCs w:val="22"/>
        </w:rPr>
      </w:pPr>
      <w:r w:rsidRPr="00073666">
        <w:rPr>
          <w:rFonts w:ascii="Calibri" w:eastAsiaTheme="minorHAnsi" w:hAnsi="Calibri" w:cs="Calibri"/>
          <w:color w:val="000000" w:themeColor="text1"/>
          <w:szCs w:val="22"/>
        </w:rPr>
        <w:t xml:space="preserve">The ‘modified </w:t>
      </w:r>
      <w:proofErr w:type="spellStart"/>
      <w:r w:rsidRPr="00073666">
        <w:rPr>
          <w:rFonts w:ascii="Calibri" w:eastAsiaTheme="minorHAnsi" w:hAnsi="Calibri" w:cs="Calibri"/>
          <w:color w:val="000000" w:themeColor="text1"/>
          <w:szCs w:val="22"/>
        </w:rPr>
        <w:t>AspICU</w:t>
      </w:r>
      <w:proofErr w:type="spellEnd"/>
      <w:r w:rsidRPr="00073666">
        <w:rPr>
          <w:rFonts w:ascii="Calibri" w:eastAsiaTheme="minorHAnsi" w:hAnsi="Calibri" w:cs="Calibri"/>
          <w:color w:val="000000" w:themeColor="text1"/>
          <w:szCs w:val="22"/>
        </w:rPr>
        <w:t>’ definition of IA requires at least one ‘clinical’, ‘radiological’ and ‘mycological’ criterion to be met (Table 1).  It can be seen that these criteria are fairly broad and non-specific; in particular the ‘clinical’ and ‘radiological’ criteria might be met by many patients on ICU with severe influenza.</w:t>
      </w:r>
      <w:r w:rsidRPr="00073666">
        <w:rPr>
          <w:rFonts w:ascii="Calibri" w:hAnsi="Calibri" w:cs="Calibri"/>
          <w:color w:val="000000" w:themeColor="text1"/>
          <w:szCs w:val="22"/>
        </w:rPr>
        <w:t xml:space="preserve"> </w:t>
      </w:r>
      <w:proofErr w:type="gramStart"/>
      <w:r w:rsidRPr="00073666">
        <w:rPr>
          <w:rFonts w:ascii="Calibri" w:hAnsi="Calibri" w:cs="Calibri"/>
          <w:color w:val="000000" w:themeColor="text1"/>
          <w:szCs w:val="22"/>
        </w:rPr>
        <w:t>Thus</w:t>
      </w:r>
      <w:proofErr w:type="gramEnd"/>
      <w:r w:rsidRPr="00073666">
        <w:rPr>
          <w:rFonts w:ascii="Calibri" w:hAnsi="Calibri" w:cs="Calibri"/>
          <w:color w:val="000000" w:themeColor="text1"/>
          <w:szCs w:val="22"/>
        </w:rPr>
        <w:t xml:space="preserve"> the diagnosis of IA in critically ill patients relied heavily upon the ‘mycological’ criteria, in particular the use of biomarkers such as galactomannan (below).</w:t>
      </w:r>
    </w:p>
    <w:p w14:paraId="33674CEA" w14:textId="77777777" w:rsidR="00065E52" w:rsidRPr="00073666" w:rsidRDefault="00065E52" w:rsidP="00065E52">
      <w:pPr>
        <w:autoSpaceDE w:val="0"/>
        <w:autoSpaceDN w:val="0"/>
        <w:adjustRightInd w:val="0"/>
        <w:rPr>
          <w:rFonts w:ascii="Calibri" w:hAnsi="Calibri" w:cs="Calibri"/>
          <w:color w:val="000000" w:themeColor="text1"/>
          <w:szCs w:val="22"/>
        </w:rPr>
      </w:pPr>
    </w:p>
    <w:p w14:paraId="1CFE856D" w14:textId="5B51BF72" w:rsidR="00065E52" w:rsidRPr="00073666" w:rsidRDefault="00065E52" w:rsidP="00065E52">
      <w:pPr>
        <w:autoSpaceDE w:val="0"/>
        <w:autoSpaceDN w:val="0"/>
        <w:adjustRightInd w:val="0"/>
        <w:rPr>
          <w:rFonts w:ascii="Calibri" w:hAnsi="Calibri" w:cs="Calibri"/>
          <w:color w:val="000000" w:themeColor="text1"/>
          <w:szCs w:val="22"/>
          <w:lang w:val="en-US" w:eastAsia="en-GB"/>
        </w:rPr>
      </w:pPr>
      <w:r w:rsidRPr="00073666">
        <w:rPr>
          <w:rFonts w:ascii="Calibri" w:hAnsi="Calibri" w:cs="Calibri"/>
          <w:color w:val="000000" w:themeColor="text1"/>
          <w:szCs w:val="22"/>
        </w:rPr>
        <w:t xml:space="preserve">Of note, the Dutch-Belgian study assessed for the prevalence of Invasive </w:t>
      </w:r>
      <w:r w:rsidRPr="00073666">
        <w:rPr>
          <w:rFonts w:ascii="Calibri" w:hAnsi="Calibri" w:cs="Calibri"/>
          <w:i/>
          <w:color w:val="000000" w:themeColor="text1"/>
          <w:szCs w:val="22"/>
        </w:rPr>
        <w:t>Pulmonary</w:t>
      </w:r>
      <w:r w:rsidRPr="00073666">
        <w:rPr>
          <w:rFonts w:ascii="Calibri" w:hAnsi="Calibri" w:cs="Calibri"/>
          <w:color w:val="000000" w:themeColor="text1"/>
          <w:szCs w:val="22"/>
        </w:rPr>
        <w:t xml:space="preserve"> Aspergillosis (IPA) rather than Invasive Aspergillosis (IA). For this reason, the presence of trac</w:t>
      </w:r>
      <w:r w:rsidR="00A540B6" w:rsidRPr="00073666">
        <w:rPr>
          <w:rFonts w:ascii="Calibri" w:hAnsi="Calibri" w:cs="Calibri"/>
          <w:color w:val="000000" w:themeColor="text1"/>
          <w:szCs w:val="22"/>
        </w:rPr>
        <w:t>heobronchitis at bronchoscopy (</w:t>
      </w:r>
      <w:r w:rsidRPr="00073666">
        <w:rPr>
          <w:rFonts w:ascii="Calibri" w:hAnsi="Calibri" w:cs="Calibri"/>
          <w:color w:val="000000" w:themeColor="text1"/>
          <w:szCs w:val="22"/>
        </w:rPr>
        <w:t xml:space="preserve">an EORTC / MSG ‘clinical criterion’ for IA) did not feature in their modified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 (Table 1). In one review, 19 (15%) of patients with IAA had tracheal plaques noted at bronchoscopy</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as opposed to the angio-invasive pulmonary disease seen in patients with classic EORTC / MSG host factors. </w:t>
      </w:r>
      <w:r w:rsidRPr="00073666">
        <w:rPr>
          <w:rFonts w:ascii="Calibri" w:hAnsi="Calibri" w:cs="Calibri"/>
          <w:color w:val="000000" w:themeColor="text1"/>
          <w:szCs w:val="22"/>
          <w:lang w:val="en-US" w:eastAsia="en-GB"/>
        </w:rPr>
        <w:t xml:space="preserve">Given that radiological manifestations of tracheobronchitis are subtle or may be absent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in order to capture this patient group, for this study we have further modified the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to include the presence of tracheobronchitis (an EORTC/MSG clinical criterion) together with a mycological criterion (</w:t>
      </w:r>
      <w:r w:rsidRPr="00073666">
        <w:rPr>
          <w:rFonts w:ascii="Calibri" w:hAnsi="Calibri" w:cs="Calibri"/>
          <w:i/>
          <w:color w:val="000000" w:themeColor="text1"/>
          <w:szCs w:val="22"/>
        </w:rPr>
        <w:t>not</w:t>
      </w:r>
      <w:r w:rsidRPr="00073666">
        <w:rPr>
          <w:rFonts w:ascii="Calibri" w:hAnsi="Calibri" w:cs="Calibri"/>
          <w:color w:val="000000" w:themeColor="text1"/>
          <w:szCs w:val="22"/>
        </w:rPr>
        <w:t xml:space="preserve"> requiring a radiological criterion) in the definition of putative IA.</w:t>
      </w:r>
    </w:p>
    <w:p w14:paraId="1145A921" w14:textId="77777777" w:rsidR="00A540B6" w:rsidRPr="00073666" w:rsidRDefault="00A540B6" w:rsidP="00065E52">
      <w:pPr>
        <w:pStyle w:val="NormalWeb"/>
        <w:rPr>
          <w:rFonts w:ascii="Calibri" w:hAnsi="Calibri" w:cs="Calibri"/>
          <w:b/>
          <w:color w:val="000000" w:themeColor="text1"/>
          <w:sz w:val="22"/>
          <w:szCs w:val="22"/>
          <w:lang w:val="en"/>
        </w:rPr>
      </w:pPr>
    </w:p>
    <w:p w14:paraId="6B5166F5" w14:textId="77777777" w:rsidR="00065E52" w:rsidRPr="00073666" w:rsidRDefault="00065E52" w:rsidP="00065E52">
      <w:pPr>
        <w:pStyle w:val="NormalWeb"/>
        <w:rPr>
          <w:rFonts w:ascii="Calibri" w:hAnsi="Calibri" w:cs="Calibri"/>
          <w:b/>
          <w:color w:val="000000" w:themeColor="text1"/>
          <w:lang w:val="en"/>
        </w:rPr>
      </w:pPr>
      <w:r w:rsidRPr="00073666">
        <w:rPr>
          <w:rFonts w:ascii="Calibri" w:hAnsi="Calibri" w:cs="Calibri"/>
          <w:b/>
          <w:color w:val="000000" w:themeColor="text1"/>
          <w:lang w:val="en"/>
        </w:rPr>
        <w:t>Galactomannan</w:t>
      </w:r>
    </w:p>
    <w:p w14:paraId="2CE7C655" w14:textId="4F5AA3DC" w:rsidR="00065E52" w:rsidRPr="00073666" w:rsidRDefault="00065E52" w:rsidP="00065E52">
      <w:pPr>
        <w:pStyle w:val="NormalWeb"/>
        <w:rPr>
          <w:rFonts w:ascii="Calibri" w:hAnsi="Calibri" w:cs="Calibri"/>
          <w:color w:val="000000" w:themeColor="text1"/>
        </w:rPr>
      </w:pPr>
      <w:r w:rsidRPr="00073666">
        <w:rPr>
          <w:rFonts w:ascii="Calibri" w:eastAsiaTheme="minorHAnsi" w:hAnsi="Calibri" w:cs="Calibri"/>
          <w:color w:val="000000" w:themeColor="text1"/>
        </w:rPr>
        <w:t xml:space="preserve">Because of the low sensitivity of </w:t>
      </w:r>
      <w:r w:rsidRPr="00073666">
        <w:rPr>
          <w:rFonts w:ascii="Calibri" w:eastAsiaTheme="minorHAnsi" w:hAnsi="Calibri" w:cs="Calibri"/>
          <w:i/>
          <w:color w:val="000000" w:themeColor="text1"/>
        </w:rPr>
        <w:t>Aspergillus</w:t>
      </w:r>
      <w:r w:rsidRPr="00073666">
        <w:rPr>
          <w:rFonts w:ascii="Calibri" w:eastAsiaTheme="minorHAnsi" w:hAnsi="Calibri" w:cs="Calibri"/>
          <w:color w:val="000000" w:themeColor="text1"/>
        </w:rPr>
        <w:t xml:space="preserve"> culture, galactomannan is crucial in providing evidence of IA. </w:t>
      </w:r>
      <w:r w:rsidRPr="00073666">
        <w:rPr>
          <w:rFonts w:ascii="Calibri" w:hAnsi="Calibri" w:cs="Calibri"/>
          <w:color w:val="000000" w:themeColor="text1"/>
        </w:rPr>
        <w:t>Using the EORTC criteria, proven IA is only rarely diagnosed (usually post mortem) and diagnosis is most commonly ‘probable’, based on a host factor with suggestive radiological findings and a positive galactomannan in serum or BAL fluid.</w:t>
      </w:r>
    </w:p>
    <w:p w14:paraId="634D11FA" w14:textId="77777777" w:rsidR="00065E52" w:rsidRPr="00073666" w:rsidRDefault="00065E52" w:rsidP="00065E52">
      <w:pPr>
        <w:pStyle w:val="NormalWeb"/>
        <w:rPr>
          <w:rFonts w:ascii="Calibri" w:hAnsi="Calibri" w:cs="Calibri"/>
          <w:b/>
          <w:color w:val="000000" w:themeColor="text1"/>
          <w:sz w:val="22"/>
          <w:szCs w:val="22"/>
          <w:lang w:val="en"/>
        </w:rPr>
      </w:pPr>
    </w:p>
    <w:p w14:paraId="52B07223" w14:textId="02634A96" w:rsidR="00065E52" w:rsidRPr="00073666" w:rsidRDefault="00065E52" w:rsidP="00065E52">
      <w:pPr>
        <w:rPr>
          <w:rFonts w:ascii="Calibri" w:hAnsi="Calibri" w:cs="Calibri"/>
          <w:color w:val="000000" w:themeColor="text1"/>
          <w:szCs w:val="22"/>
        </w:rPr>
      </w:pPr>
      <w:r w:rsidRPr="00073666">
        <w:rPr>
          <w:rFonts w:ascii="Calibri" w:hAnsi="Calibri" w:cs="Calibri"/>
          <w:color w:val="000000" w:themeColor="text1"/>
          <w:szCs w:val="22"/>
          <w:lang w:val="en"/>
        </w:rPr>
        <w:t xml:space="preserve">Galactomannan (GM) is an </w:t>
      </w:r>
      <w:proofErr w:type="spellStart"/>
      <w:r w:rsidRPr="00073666">
        <w:rPr>
          <w:rFonts w:ascii="Calibri" w:hAnsi="Calibri" w:cs="Calibri"/>
          <w:color w:val="000000" w:themeColor="text1"/>
          <w:szCs w:val="22"/>
          <w:lang w:val="en"/>
        </w:rPr>
        <w:t>exo</w:t>
      </w:r>
      <w:proofErr w:type="spellEnd"/>
      <w:r w:rsidRPr="00073666">
        <w:rPr>
          <w:rFonts w:ascii="Calibri" w:hAnsi="Calibri" w:cs="Calibri"/>
          <w:color w:val="000000" w:themeColor="text1"/>
          <w:szCs w:val="22"/>
          <w:lang w:val="en"/>
        </w:rPr>
        <w:t>-antigen released from Aspergillus hyphae as they invade host tissue, so should distinguish infection from colonization</w:t>
      </w:r>
      <w:r w:rsidRPr="00073666">
        <w:rPr>
          <w:rFonts w:ascii="Calibri" w:hAnsi="Calibri" w:cs="Calibri"/>
          <w:color w:val="000000" w:themeColor="text1"/>
          <w:szCs w:val="22"/>
          <w:lang w:val="en"/>
        </w:rPr>
        <w:fldChar w:fldCharType="begin" w:fldLock="1"/>
      </w:r>
      <w:r w:rsidRPr="00073666">
        <w:rPr>
          <w:rFonts w:ascii="Calibri" w:hAnsi="Calibri" w:cs="Calibri"/>
          <w:color w:val="000000" w:themeColor="text1"/>
          <w:szCs w:val="22"/>
          <w:lang w:val="en"/>
        </w:rPr>
        <w:instrText>ADDIN CSL_CITATION {"citationItems":[{"id":"ITEM-1","itemData":{"DOI":"10.1164/rccm.200704-606oc","ISSN":"1073-449X","abstract":"Rationale: Invasive aspergillosis (IA) is an important cause of mortality in patients with hematologic malignancies. However, IA appears to be gaining a foothold in the intensive care unit (ICU) in patients without classical risk factors. A recent study described 89 cases of IA in patients in a medical ICU without leukemia or cancer. The diagnosis of IA remains difficult and is often established too late. Galactomannan (GM) is an exo-antigen released from Aspergillus hyphae while they invade host tissue.Objectives: This prospective single-center study was conducted to investigate the role of GM in bronchoalveolar lavage (BAL) fluid as a tool for early diagnosis of IA in the ICU.Methods: All patients with risk factors identified in our earlier study were evaluated. BAL for culture and GM detection, serum GM levels, and computed tomography scan were obtained for all included patients with signs of pneumonia. Patients were classified as having proven, probable, or possible IA.Measurements and Main Results: A...","author":[{"dropping-particle":"","family":"Meersseman","given":"Wouter","non-dropping-particle":"","parse-names":false,"suffix":""},{"dropping-particle":"","family":"Lagrou","given":"Katrien","non-dropping-particle":"","parse-names":false,"suffix":""},{"dropping-particle":"","family":"Maertens","given":"Johan","non-dropping-particle":"","parse-names":false,"suffix":""},{"dropping-particle":"","family":"Wilmer","given":"Alexander","non-dropping-particle":"","parse-names":false,"suffix":""},{"dropping-particle":"","family":"Hermans","given":"Greet","non-dropping-particle":"","parse-names":false,"suffix":""},{"dropping-particle":"","family":"Vanderschueren","given":"Steven","non-dropping-particle":"","parse-names":false,"suffix":""},{"dropping-particle":"","family":"Spriet","given":"Isabel","non-dropping-particle":"","parse-names":false,"suffix":""},{"dropping-particle":"","family":"Verbeken","given":"Eric","non-dropping-particle":"","parse-names":false,"suffix":""},{"dropping-particle":"","family":"Wijngaerden","given":"Eric","non-dropping-particle":"Van","parse-names":false,"suffix":""}],"container-title":"American Journal of Respiratory and Critical Care Medicine","id":"ITEM-1","issue":"1","issued":{"date-parts":[["2007"]]},"page":"27-34","title":"Galactomannan in Bronchoalveolar Lavage Fluid","type":"article-journal","volume":"177"},"uris":["http://www.mendeley.com/documents/?uuid=9f1026b5-519b-4a30-9e64-7430a58bb96f"]}],"mendeley":{"formattedCitation":"[5]","plainTextFormattedCitation":"[5]","previouslyFormattedCitation":"[5]"},"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Pr="00073666">
        <w:rPr>
          <w:rFonts w:ascii="Calibri" w:hAnsi="Calibri" w:cs="Calibri"/>
          <w:noProof/>
          <w:color w:val="000000" w:themeColor="text1"/>
          <w:szCs w:val="22"/>
          <w:lang w:val="en"/>
        </w:rPr>
        <w:t>[5]</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w:t>
      </w:r>
      <w:r w:rsidRPr="00073666">
        <w:rPr>
          <w:rFonts w:ascii="Calibri" w:hAnsi="Calibri" w:cs="Calibri"/>
          <w:color w:val="000000" w:themeColor="text1"/>
          <w:szCs w:val="22"/>
        </w:rPr>
        <w:t xml:space="preserve"> Its presence can be measured using an E</w:t>
      </w:r>
      <w:r w:rsidRPr="00073666">
        <w:rPr>
          <w:rFonts w:ascii="Calibri" w:hAnsi="Calibri" w:cs="Calibri"/>
          <w:color w:val="000000" w:themeColor="text1"/>
          <w:szCs w:val="22"/>
          <w:shd w:val="clear" w:color="auto" w:fill="FFFFFF"/>
        </w:rPr>
        <w:t>nzyme-linked immunosorbent assay (EIA)</w:t>
      </w:r>
      <w:r w:rsidRPr="00073666">
        <w:rPr>
          <w:rFonts w:ascii="Calibri" w:hAnsi="Calibri" w:cs="Calibri"/>
          <w:color w:val="000000" w:themeColor="text1"/>
          <w:szCs w:val="22"/>
        </w:rPr>
        <w:t xml:space="preserve"> - a one-stage sandwich microplate assay</w:t>
      </w:r>
      <w:r w:rsidRPr="00073666">
        <w:rPr>
          <w:rFonts w:ascii="Calibri" w:hAnsi="Calibri" w:cs="Calibri"/>
          <w:color w:val="000000" w:themeColor="text1"/>
          <w:szCs w:val="22"/>
        </w:rPr>
        <w:fldChar w:fldCharType="begin" w:fldLock="1"/>
      </w:r>
      <w:r w:rsidR="007E648C" w:rsidRPr="00073666">
        <w:rPr>
          <w:rFonts w:ascii="Calibri" w:hAnsi="Calibri" w:cs="Calibri"/>
          <w:color w:val="000000" w:themeColor="text1"/>
          <w:szCs w:val="22"/>
        </w:rPr>
        <w:instrText>ADDIN CSL_CITATION {"citationItems":[{"id":"ITEM-1","itemData":{"author":[{"dropping-particle":"","family":"Bio-Rad Laboratories","given":"","non-dropping-particle":"","parse-names":false,"suffix":""}],"id":"ITEM-1","issued":{"date-parts":[["2013"]]},"page":"1-60","title":"PLATELIA™ ASPERGILLUS Ag Product Insert 62794","type":"article-journal"},"uris":["http://www.mendeley.com/documents/?uuid=8e343f89-4939-4f7b-bb48-11e6601bcc27"]}],"mendeley":{"formattedCitation":"[19]","plainTextFormattedCitation":"[19]","previouslyFormattedCitation":"[20]"},"properties":{"noteIndex":0},"schema":"https://github.com/citation-style-language/schema/raw/master/csl-citation.json"}</w:instrText>
      </w:r>
      <w:r w:rsidRPr="00073666">
        <w:rPr>
          <w:rFonts w:ascii="Calibri" w:hAnsi="Calibri" w:cs="Calibri"/>
          <w:color w:val="000000" w:themeColor="text1"/>
          <w:szCs w:val="22"/>
        </w:rPr>
        <w:fldChar w:fldCharType="separate"/>
      </w:r>
      <w:r w:rsidR="007E648C" w:rsidRPr="00073666">
        <w:rPr>
          <w:rFonts w:ascii="Calibri" w:hAnsi="Calibri" w:cs="Calibri"/>
          <w:noProof/>
          <w:color w:val="000000" w:themeColor="text1"/>
          <w:szCs w:val="22"/>
        </w:rPr>
        <w:t>[19]</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Heat-treated BAL and conjugate </w:t>
      </w:r>
      <w:proofErr w:type="gramStart"/>
      <w:r w:rsidRPr="00073666">
        <w:rPr>
          <w:rFonts w:ascii="Calibri" w:hAnsi="Calibri" w:cs="Calibri"/>
          <w:color w:val="000000" w:themeColor="text1"/>
          <w:szCs w:val="22"/>
        </w:rPr>
        <w:t>is</w:t>
      </w:r>
      <w:proofErr w:type="gramEnd"/>
      <w:r w:rsidRPr="00073666">
        <w:rPr>
          <w:rFonts w:ascii="Calibri" w:hAnsi="Calibri" w:cs="Calibri"/>
          <w:color w:val="000000" w:themeColor="text1"/>
          <w:szCs w:val="22"/>
        </w:rPr>
        <w:t xml:space="preserve"> added to microplate wells treated with a monoclonal antibody and incubated. If </w:t>
      </w:r>
      <w:r w:rsidRPr="00073666">
        <w:rPr>
          <w:rFonts w:ascii="Calibri" w:hAnsi="Calibri" w:cs="Calibri"/>
          <w:color w:val="000000" w:themeColor="text1"/>
          <w:szCs w:val="22"/>
        </w:rPr>
        <w:lastRenderedPageBreak/>
        <w:t xml:space="preserve">galactomannan is present it will form a monoclonal antibody-peroxidase complex that is detected through an enzyme-mediated </w:t>
      </w:r>
      <w:r w:rsidRPr="00073666">
        <w:rPr>
          <w:rFonts w:ascii="Calibri" w:hAnsi="Calibri" w:cs="Calibri"/>
          <w:i/>
          <w:color w:val="000000" w:themeColor="text1"/>
          <w:szCs w:val="22"/>
        </w:rPr>
        <w:t xml:space="preserve">blue to yellow </w:t>
      </w:r>
      <w:r w:rsidRPr="00073666">
        <w:rPr>
          <w:rFonts w:ascii="Calibri" w:hAnsi="Calibri" w:cs="Calibri"/>
          <w:color w:val="000000" w:themeColor="text1"/>
          <w:szCs w:val="22"/>
        </w:rPr>
        <w:t xml:space="preserve">colour reaction measured by a </w:t>
      </w:r>
      <w:r w:rsidRPr="00073666">
        <w:rPr>
          <w:rFonts w:ascii="Calibri" w:eastAsiaTheme="minorHAnsi" w:hAnsi="Calibri" w:cs="Calibri"/>
          <w:color w:val="000000" w:themeColor="text1"/>
          <w:szCs w:val="22"/>
          <w:lang w:val="en-US"/>
        </w:rPr>
        <w:t>spectrophotometer</w:t>
      </w:r>
      <w:r w:rsidRPr="00073666">
        <w:rPr>
          <w:rFonts w:ascii="Calibri" w:hAnsi="Calibri" w:cs="Calibri"/>
          <w:color w:val="000000" w:themeColor="text1"/>
          <w:szCs w:val="22"/>
          <w:lang w:val="en-US"/>
        </w:rPr>
        <w:t>.</w:t>
      </w:r>
    </w:p>
    <w:p w14:paraId="5D7A0475" w14:textId="02D00A28" w:rsidR="00065E52" w:rsidRPr="00073666" w:rsidRDefault="00065E52" w:rsidP="00065E52">
      <w:pPr>
        <w:rPr>
          <w:rFonts w:ascii="Calibri" w:hAnsi="Calibri" w:cs="Calibri"/>
        </w:rPr>
      </w:pPr>
      <w:r w:rsidRPr="00073666">
        <w:rPr>
          <w:rFonts w:ascii="Calibri" w:hAnsi="Calibri" w:cs="Calibri"/>
          <w:color w:val="000000" w:themeColor="text1"/>
          <w:szCs w:val="22"/>
        </w:rPr>
        <w:t xml:space="preserve">In one prospective study including 26 cases of proven IPA in ICU patients (EORTC / MSG criteria) a BAL cut off of &gt;1 produced a sensitivity of 85 and specificity of &gt;90%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{"citationItems":[{"id":"ITEM-1","itemData":{"DOI":"10.1164/rccm.200704-606oc","ISSN":"1073-449X","abstract":"Rationale: Invasive aspergillosis (IA) is an important cause of mortality in patients with hematologic malignancies. However, IA appears to be gaining a foothold in the intensive care unit (ICU) in patients without classical risk factors. A recent study described 89 cases of IA in patients in a medical ICU without leukemia or cancer. The diagnosis of IA remains difficult and is often established too late. Galactomannan (GM) is an exo-antigen released from Aspergillus hyphae while they invade host tissue.Objectives: This prospective single-center study was conducted to investigate the role of GM in bronchoalveolar lavage (BAL) fluid as a tool for early diagnosis of IA in the ICU.Methods: All patients with risk factors identified in our earlier study were evaluated. BAL for culture and GM detection, serum GM levels, and computed tomography scan were obtained for all included patients with signs of pneumonia. Patients were classified as having proven, probable, or possible IA.Measurements and Main Results: A...","author":[{"dropping-particle":"","family":"Meersseman","given":"Wouter","non-dropping-particle":"","parse-names":false,"suffix":""},{"dropping-particle":"","family":"Lagrou","given":"Katrien","non-dropping-particle":"","parse-names":false,"suffix":""},{"dropping-particle":"","family":"Maertens","given":"Johan","non-dropping-particle":"","parse-names":false,"suffix":""},{"dropping-particle":"","family":"Wilmer","given":"Alexander","non-dropping-particle":"","parse-names":false,"suffix":""},{"dropping-particle":"","family":"Hermans","given":"Greet","non-dropping-particle":"","parse-names":false,"suffix":""},{"dropping-particle":"","family":"Vanderschueren","given":"Steven","non-dropping-particle":"","parse-names":false,"suffix":""},{"dropping-particle":"","family":"Spriet","given":"Isabel","non-dropping-particle":"","parse-names":false,"suffix":""},{"dropping-particle":"","family":"Verbeken","given":"Eric","non-dropping-particle":"","parse-names":false,"suffix":""},{"dropping-particle":"","family":"Wijngaerden","given":"Eric","non-dropping-particle":"Van","parse-names":false,"suffix":""}],"container-title":"American Journal of Respiratory and Critical Care Medicine","id":"ITEM-1","issue":"1","issued":{"date-parts":[["2007"]]},"page":"27-34","title":"Galactomannan in Bronchoalveolar Lavage Fluid","type":"article-journal","volume":"177"},"uris":["http://www.mendeley.com/documents/?uuid=9f1026b5-519b-4a30-9e64-7430a58bb96f"]}],"mendeley":{"formattedCitation":"[5]","plainTextFormattedCitation":"[5]","previouslyFormattedCitation":"[5]"},"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[5]</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In another prospective study of </w:t>
      </w:r>
      <w:r w:rsidRPr="00073666">
        <w:rPr>
          <w:rFonts w:ascii="Calibri" w:hAnsi="Calibri" w:cs="Calibri"/>
          <w:color w:val="000000" w:themeColor="text1"/>
          <w:szCs w:val="22"/>
          <w:lang w:val="en"/>
        </w:rPr>
        <w:t xml:space="preserve">patients with IA as per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 those with a positive galactomannan in BAL (</w:t>
      </w:r>
      <w:r w:rsidRPr="00073666">
        <w:rPr>
          <w:rFonts w:ascii="Calibri" w:hAnsi="Calibri" w:cs="Calibri"/>
          <w:color w:val="333333"/>
          <w:szCs w:val="22"/>
          <w:shd w:val="clear" w:color="auto" w:fill="FFFFFF"/>
        </w:rPr>
        <w:t xml:space="preserve">≥0.5) </w:t>
      </w:r>
      <w:r w:rsidRPr="00073666">
        <w:rPr>
          <w:rFonts w:ascii="Calibri" w:hAnsi="Calibri" w:cs="Calibri"/>
          <w:color w:val="000000" w:themeColor="text1"/>
          <w:szCs w:val="22"/>
        </w:rPr>
        <w:t xml:space="preserve">had similar patient characteristics, ICU scores, radiological findings and outcomes when compared to those with a positive Aspergillus culture suggesting that the prevalence of ‘true’ IPA was similar between groups </w:t>
      </w:r>
      <w:r w:rsidRPr="00073666">
        <w:rPr>
          <w:rFonts w:ascii="Calibri" w:hAnsi="Calibri" w:cs="Calibri"/>
          <w:color w:val="000000" w:themeColor="text1"/>
          <w:szCs w:val="22"/>
        </w:rPr>
        <w:fldChar w:fldCharType="begin" w:fldLock="1"/>
      </w:r>
      <w:r w:rsidR="007E648C" w:rsidRPr="00073666">
        <w:rPr>
          <w:rFonts w:ascii="Calibri" w:hAnsi="Calibri" w:cs="Calibri"/>
          <w:color w:val="000000" w:themeColor="text1"/>
          <w:szCs w:val="22"/>
        </w:rPr>
        <w:instrText>ADDIN CSL_CITATION {"citationItems":[{"id":"ITEM-1","itemData":{"DOI":"10.1186/s13054-016-1326-1","ISSN":"1466609X","abstract":"© 2016 Schroeder et al.Background: An algorithm for distinguishing invasive pulmonary aspergillosis (IPA) in critically ill patients (AspICU) has been proposed but not tested. Methods: This was a prospective observational study applying the AspICU protocol to patients with positive Aspergillus culture (PAC group) and those with negative aspergillus culture but positive galactomannan test in respiratory tract samples (only positive galactomannan (OPG group)). Patients underwent a standardized diagnostic workup with bronchoscopy, computed tomography (CT), and galactomannan determination in serum and bronchoalveolar lavage fluid (BALF). Results: We included 85 patients in the study. Of these, 43 had positive aspergillus cultures and 42 patients had only a positive galactomannan test. There were no statistically significant differences in baseline characteristics, underlying conditions or ICU scores between the two groups. The galactomannan titre in BALF was significantly higher in the positive aspergillus culture (PAC) group (enzyme immunoassay (EIA) 5.9, IQR 3.2-5.7) than in the OPG group (EIA 1.7, IQR 0.9-4.5) (p &lt; 0.001). Classic features of IPA were detected on CT in 37.5 % and 36.6 % of patients in the PAC and OPG groups, respectively. There were no statistically significant differences between the PAC and the OPG group in relation to AspICU or European Organization for the Research and Treatment of Cancer (EORTC) criteria. A positive aspergillus culture was a stronger trigger for initiating antimycotic treatment than positive BALF galactomannan: 88.4 % of patients in the PAC group were regarded by clinicians as having IPA and received antimycotic treatment as opposed to 59.5 % in the OPG group (p = 0.002). The 180-day mortality was 58.1 % in the PAC group and 59.5 % in the OPG group. Conclusions: The inclusion of BALF galactomannan as an additional entry criterion for the AspICU clinical algorithm could increase the diagnostic sensitivity for IPA in ICU patients. Trial registration: The study was registered at ClinicalTrials.gov (registration number NCT01866020) on 27 May 2013.","author":[{"dropping-particle":"","family":"Schroeder","given":"Maria","non-dropping-particle":"","parse-names":false,"suffix":""},{"dropping-particle":"","family":"Simon","given":"Marcel","non-dropping-particle":"","parse-names":false,"suffix":""},{"dropping-particle":"","family":"Katchanov","given":"Juri","non-dropping-particle":"","parse-names":false,"suffix":""},{"dropping-particle":"","family":"Wijaya","given":"Charles","non-dropping-particle":"","parse-names":false,"suffix":""},{"dropping-particle":"","family":"Rohde","given":"Holger","non-dropping-particle":"","parse-names":false,"suffix":""},{"dropping-particle":"","family":"Christner","given":"Martin","non-dropping-particle":"","parse-names":false,"suffix":""},{"dropping-particle":"","family":"Laqmani","given":"Azien","non-dropping-particle":"","parse-names":false,"suffix":""},{"dropping-particle":"","family":"Wichmann","given":"Dominic","non-dropping-particle":"","parse-names":false,"suffix":""},{"dropping-particle":"","family":"Fuhrmann","given":"Valentin","non-dropping-particle":"","parse-names":false,"suffix":""},{"dropping-particle":"","family":"Kluge","given":"Stefan","non-dropping-particle":"","parse-names":false,"suffix":""}],"container-title":"Critical Care","id":"ITEM-1","issue":"1","issued":{"date-parts":[["2016"]]},"page":"1-10","publisher":"Critical Care","title":"Does galactomannan testing increase diagnostic accuracy for IPA in the ICU? A prospective observational study","type":"article-journal","volume":"20"},"uris":["http://www.mendeley.com/documents/?uuid=ca951aa2-5fcb-4b84-b6c7-6b6e8d723594"]}],"mendeley":{"formattedCitation":"[20]","plainTextFormattedCitation":"[20]","previouslyFormattedCitation":"[21]"},"properties":{"noteIndex":0},"schema":"https://github.com/citation-style-language/schema/raw/master/csl-citation.json"}</w:instrText>
      </w:r>
      <w:r w:rsidRPr="00073666">
        <w:rPr>
          <w:rFonts w:ascii="Calibri" w:hAnsi="Calibri" w:cs="Calibri"/>
          <w:color w:val="000000" w:themeColor="text1"/>
          <w:szCs w:val="22"/>
        </w:rPr>
        <w:fldChar w:fldCharType="separate"/>
      </w:r>
      <w:r w:rsidR="007E648C" w:rsidRPr="00073666">
        <w:rPr>
          <w:rFonts w:ascii="Calibri" w:hAnsi="Calibri" w:cs="Calibri"/>
          <w:noProof/>
          <w:color w:val="000000" w:themeColor="text1"/>
          <w:szCs w:val="22"/>
        </w:rPr>
        <w:t>[20]</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Unfortunately, galactomannan is not available on-site at most UK hospital laboratories and prolonged turn-around-times of up to 2 weeks impede its utility</w:t>
      </w:r>
      <w:r w:rsidRPr="00073666">
        <w:rPr>
          <w:rFonts w:ascii="Calibri" w:hAnsi="Calibri" w:cs="Calibri"/>
          <w:color w:val="000000" w:themeColor="text1"/>
          <w:szCs w:val="22"/>
        </w:rPr>
        <w:fldChar w:fldCharType="begin" w:fldLock="1"/>
      </w:r>
      <w:r w:rsidR="007E648C" w:rsidRPr="00073666">
        <w:rPr>
          <w:rFonts w:ascii="Calibri" w:hAnsi="Calibri" w:cs="Calibri"/>
          <w:color w:val="000000" w:themeColor="text1"/>
          <w:szCs w:val="22"/>
        </w:rPr>
        <w:instrText>ADDIN CSL_CITATION {"citationItems":[{"id":"ITEM-1","itemData":{"DOI":"10.1093/jac/dky389","ISSN":"14602091","abstract":"Background The need for antifungal stewardship is gaining recognition with increasing incidence of invasive fungal infection (IFI) and antifungal resistance alongside the high cost of antifungal drugs. Following an audit showing suboptimal practice we initiated an antifungal stewardship programme and prospectively evaluated its impact on clinical and financial outcomes. Patients and methods From October 2010 to September 2016, adult inpatients receiving amphotericin B, echinocandins, intravenous fluconazole, flucytosine or voriconazole were reviewed weekly by an infectious diseases consultant and antimicrobial pharmacist. Demographics, diagnosis by European Organization for Research and Treatment of Cancer (EORTC) criteria, drug, indication, advice, acceptance and in-hospital mortality were recorded. Antifungal consumption and expenditure, and candidaemia species and susceptibility data were extracted from pharmacy and microbiology databases. Results A total of 432 patients were reviewed, most commonly receiving AmBisome® (35%) or intravenous fluconazole (29%). Empirical treatment was often unnecessary, with 82% having no evidence of IFI. Advice was given in 64% of reviews (most commonly de-escalating or stopping treatment) and was followed in 84%. Annual antifungal expenditure initially reduced by 30% (£0.98 million to £0.73 million), then increased to 20% above baseline over a 5 year period; this was a significantly lower rise compared with national figures, which showed a doubling of expenditure over the same period. Inpatient mortality, Candida species distribution and rates of resistance were not adversely affected by the intervention. Conclusions Provision of specialist input to optimize antifungal prescribing resulted in significant cost savings without compromising on microbiological or clinical outcomes. Our model is readily implementable by hospitals with high numbers of at-risk patients and antifungal expenditure.","author":[{"dropping-particle":"","family":"Whitney","given":"Laura","non-dropping-particle":"","parse-names":false,"suffix":""},{"dropping-particle":"","family":"Al-Ghusein","given":"Hasan","non-dropping-particle":"","parse-names":false,"suffix":""},{"dropping-particle":"","family":"Glass","given":"Stephen","non-dropping-particle":"","parse-names":false,"suffix":""},{"dropping-particle":"","family":"Koh","given":"Mickey","non-dropping-particle":"","parse-names":false,"suffix":""},{"dropping-particle":"","family":"Klammer","given":"Matthias","non-dropping-particle":"","parse-names":false,"suffix":""},{"dropping-particle":"","family":"Ball","given":"Jonathan","non-dropping-particle":"","parse-names":false,"suffix":""},{"dropping-particle":"","family":"Youngs","given":"Jonathan","non-dropping-particle":"","parse-names":false,"suffix":""},{"dropping-particle":"","family":"Wake","given":"Rachel","non-dropping-particle":"","parse-names":false,"suffix":""},{"dropping-particle":"","family":"Houston","given":"Angela","non-dropping-particle":"","parse-names":false,"suffix":""},{"dropping-particle":"","family":"Bicanic","given":"Tihana","non-dropping-particle":"","parse-names":false,"suffix":""}],"container-title":"Journal of Antimicrobial Chemotherapy","id":"ITEM-1","issue":"1","issued":{"date-parts":[["2019"]]},"page":"234-241","title":"Effectiveness of an antifungal stewardship programme at a London teaching hospital 2010-16","type":"article-journal","volume":"74"},"uris":["http://www.mendeley.com/documents/?uuid=9b375873-bafe-4510-8d7d-33b68e70db03"]}],"mendeley":{"formattedCitation":"[21]","plainTextFormattedCitation":"[21]","previouslyFormattedCitation":"[22]"},"properties":{"noteIndex":0},"schema":"https://github.com/citation-style-language/schema/raw/master/csl-citation.json"}</w:instrText>
      </w:r>
      <w:r w:rsidRPr="00073666">
        <w:rPr>
          <w:rFonts w:ascii="Calibri" w:hAnsi="Calibri" w:cs="Calibri"/>
          <w:color w:val="000000" w:themeColor="text1"/>
          <w:szCs w:val="22"/>
        </w:rPr>
        <w:fldChar w:fldCharType="separate"/>
      </w:r>
      <w:r w:rsidR="007E648C" w:rsidRPr="00073666">
        <w:rPr>
          <w:rFonts w:ascii="Calibri" w:hAnsi="Calibri" w:cs="Calibri"/>
          <w:noProof/>
          <w:color w:val="000000" w:themeColor="text1"/>
          <w:szCs w:val="22"/>
        </w:rPr>
        <w:t>[21]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p>
    <w:p w14:paraId="21E66549" w14:textId="77777777" w:rsidR="00065E52" w:rsidRPr="00073666" w:rsidRDefault="00065E52" w:rsidP="00065E52">
      <w:pPr>
        <w:rPr>
          <w:rFonts w:ascii="Calibri" w:hAnsi="Calibri" w:cs="Calibri"/>
        </w:rPr>
      </w:pPr>
    </w:p>
    <w:p w14:paraId="2D09E0E9" w14:textId="5EACF729" w:rsidR="00065E52" w:rsidRPr="00073666" w:rsidRDefault="00065E52" w:rsidP="00065E52">
      <w:pPr>
        <w:pStyle w:val="NormalWeb"/>
        <w:rPr>
          <w:rFonts w:ascii="Calibri" w:hAnsi="Calibri" w:cs="Calibri"/>
          <w:b/>
          <w:color w:val="000000" w:themeColor="text1"/>
        </w:rPr>
      </w:pPr>
      <w:r w:rsidRPr="00073666">
        <w:rPr>
          <w:rFonts w:ascii="Calibri" w:hAnsi="Calibri" w:cs="Calibri"/>
          <w:b/>
          <w:i/>
          <w:color w:val="000000" w:themeColor="text1"/>
        </w:rPr>
        <w:t>Aspergillus</w:t>
      </w:r>
      <w:r w:rsidRPr="00073666">
        <w:rPr>
          <w:rFonts w:ascii="Calibri" w:hAnsi="Calibri" w:cs="Calibri"/>
          <w:b/>
          <w:color w:val="000000" w:themeColor="text1"/>
        </w:rPr>
        <w:t xml:space="preserve"> lateral-flow device (</w:t>
      </w:r>
      <w:proofErr w:type="spellStart"/>
      <w:r w:rsidRPr="00073666">
        <w:rPr>
          <w:rFonts w:ascii="Calibri" w:hAnsi="Calibri" w:cs="Calibri"/>
          <w:b/>
          <w:color w:val="000000" w:themeColor="text1"/>
        </w:rPr>
        <w:t>AspLFD</w:t>
      </w:r>
      <w:proofErr w:type="spellEnd"/>
      <w:r w:rsidRPr="00073666">
        <w:rPr>
          <w:rFonts w:ascii="Calibri" w:hAnsi="Calibri" w:cs="Calibri"/>
          <w:b/>
          <w:color w:val="000000" w:themeColor="text1"/>
        </w:rPr>
        <w:t>)</w:t>
      </w:r>
    </w:p>
    <w:p w14:paraId="6F060D67" w14:textId="7DFAF6B1" w:rsidR="00065E52" w:rsidRPr="00073666" w:rsidRDefault="00065E52" w:rsidP="00065E52">
      <w:pPr>
        <w:pStyle w:val="NormalWeb"/>
        <w:rPr>
          <w:rFonts w:ascii="Calibri" w:hAnsi="Calibri" w:cs="Calibri"/>
          <w:b/>
          <w:color w:val="000000" w:themeColor="text1"/>
        </w:rPr>
      </w:pPr>
      <w:r w:rsidRPr="00073666">
        <w:rPr>
          <w:rFonts w:ascii="Calibri" w:hAnsi="Calibri" w:cs="Calibri"/>
          <w:color w:val="000000" w:themeColor="text1"/>
        </w:rPr>
        <w:t xml:space="preserve">A new CE-marked POC </w:t>
      </w:r>
      <w:r w:rsidRPr="00073666">
        <w:rPr>
          <w:rFonts w:ascii="Calibri" w:hAnsi="Calibri" w:cs="Calibri"/>
          <w:i/>
          <w:color w:val="000000" w:themeColor="text1"/>
        </w:rPr>
        <w:t>Aspergillus</w:t>
      </w:r>
      <w:r w:rsidRPr="00073666">
        <w:rPr>
          <w:rFonts w:ascii="Calibri" w:hAnsi="Calibri" w:cs="Calibri"/>
          <w:color w:val="000000" w:themeColor="text1"/>
        </w:rPr>
        <w:t xml:space="preserve"> lateral-flow device </w:t>
      </w:r>
      <w:r w:rsidRPr="00073666">
        <w:rPr>
          <w:rFonts w:ascii="Calibri" w:hAnsi="Calibri" w:cs="Calibri"/>
          <w:color w:val="000000" w:themeColor="text1"/>
          <w:lang w:eastAsia="en-GB"/>
        </w:rPr>
        <w:t>(</w:t>
      </w:r>
      <w:proofErr w:type="spellStart"/>
      <w:r w:rsidRPr="00073666">
        <w:rPr>
          <w:rFonts w:ascii="Calibri" w:hAnsi="Calibri" w:cs="Calibri"/>
          <w:color w:val="000000" w:themeColor="text1"/>
          <w:lang w:eastAsia="en-GB"/>
        </w:rPr>
        <w:t>AspLFD</w:t>
      </w:r>
      <w:proofErr w:type="spellEnd"/>
      <w:r w:rsidRPr="00073666">
        <w:rPr>
          <w:rFonts w:ascii="Calibri" w:hAnsi="Calibri" w:cs="Calibri"/>
          <w:color w:val="000000" w:themeColor="text1"/>
          <w:lang w:eastAsia="en-GB"/>
        </w:rPr>
        <w:t>, OLM Diagnostic, Newcastle UK)</w:t>
      </w:r>
      <w:r w:rsidRPr="00073666">
        <w:rPr>
          <w:rFonts w:ascii="Calibri" w:hAnsi="Calibri" w:cs="Calibri"/>
          <w:color w:val="000000" w:themeColor="text1"/>
        </w:rPr>
        <w:t xml:space="preserve"> that detects extracellular glycoprotein antigen produced by the</w:t>
      </w:r>
      <w:r w:rsidRPr="00073666">
        <w:rPr>
          <w:rFonts w:ascii="Calibri" w:hAnsi="Calibri" w:cs="Calibri"/>
          <w:i/>
          <w:iCs/>
          <w:color w:val="000000" w:themeColor="text1"/>
        </w:rPr>
        <w:t xml:space="preserve"> </w:t>
      </w:r>
      <w:r w:rsidRPr="00073666">
        <w:rPr>
          <w:rFonts w:ascii="Calibri" w:hAnsi="Calibri" w:cs="Calibri"/>
          <w:iCs/>
          <w:color w:val="000000" w:themeColor="text1"/>
        </w:rPr>
        <w:t>fungus</w:t>
      </w:r>
      <w:r w:rsidRPr="00073666">
        <w:rPr>
          <w:rFonts w:ascii="Calibri" w:hAnsi="Calibri" w:cs="Calibri"/>
          <w:color w:val="000000" w:themeColor="text1"/>
        </w:rPr>
        <w:t xml:space="preserve"> during active growth provides a locally implementable alternative to galactomannan </w:t>
      </w:r>
      <w:r w:rsidRPr="00073666">
        <w:rPr>
          <w:rFonts w:ascii="Calibri" w:hAnsi="Calibri" w:cs="Calibri"/>
          <w:color w:val="000000" w:themeColor="text1"/>
        </w:rPr>
        <w:fldChar w:fldCharType="begin" w:fldLock="1"/>
      </w:r>
      <w:r w:rsidR="007E648C" w:rsidRPr="00073666">
        <w:rPr>
          <w:rFonts w:ascii="Calibri" w:hAnsi="Calibri" w:cs="Calibri"/>
          <w:color w:val="000000" w:themeColor="text1"/>
        </w:rPr>
        <w:instrText>ADDIN CSL_CITATION {"citationItems":[{"id":"ITEM-1","itemData":{"abstract":"Introduction: D-dimer assay, generally evaluated according to cutoff points calibrated for VTE exclusion, is used to estimate the individual risk of recurrence after a first idiopathic event of venous thromboembolism (VTE). Methods: Commercial D-dimer assays, evaluated according to predetermined cutoff levels for each assay, specific for age (lower in subjects &lt;70 years) and gender (lower in males), were used in the recent DULCIS study. The present analysis compared the results obtained in the DULCIS with those that might have been had using the following different cutoff criteria: traditional cutoff for VTE exclusion, higher levels in subjects aged ≥60 years, or age multiplied by 10. Results: In young subjects, the DULCIS low cutoff levels resulted in half the recurrent events that would have occurred using the other criteria. In elderly patients, the DULCIS results were similar to those calculated for the two age-adjusted criteria. The adoption of traditional VTE exclusion criteria would have led to positive results in the large majority of elderly subjects, without a significant reduction in the rate of recurrent event. Conclusion: The results confirm the usefulness of the cutoff levels used in DULCIS.","author":[{"dropping-particle":"","family":"Hoenigl","given":"Martin","non-dropping-particle":"","parse-names":false,"suffix":""},{"dropping-particle":"","family":"Eigl","given":"Susanne","non-dropping-particle":"","parse-names":false,"suffix":""},{"dropping-particle":"","family":"Heldt","given":"Sven","non-dropping-particle":"","parse-names":false,"suffix":""},{"dropping-particle":"","family":"Duettmann","given":"Wiebke","non-dropping-particle":"","parse-names":false,"suffix":""},{"dropping-particle":"","family":"Thornton","given":"Christopher","non-dropping-particle":"","parse-names":false,"suffix":""},{"dropping-particle":"","family":"Prattes","given":"Juergen","non-dropping-particle":"","parse-names":false,"suffix":""}],"container-title":"Mycoses","id":"ITEM-1","issue":"1","issued":{"date-parts":[["2018"]]},"page":"40-43","title":"Clinical Evaluation of the Newly Formatted Lateral-Flow Device for Invasive Pulmonary Aspergillosis","type":"article-journal","volume":"61"},"uris":["http://www.mendeley.com/documents/?uuid=ffa3469a-3b65-4305-b0db-daf57e8339b8"]}],"mendeley":{"formattedCitation":"[22]","plainTextFormattedCitation":"[22]","previouslyFormattedCitation":"[23]"},"properties":{"noteIndex":0},"schema":"https://github.com/citation-style-language/schema/raw/master/csl-citation.json"}</w:instrText>
      </w:r>
      <w:r w:rsidRPr="00073666">
        <w:rPr>
          <w:rFonts w:ascii="Calibri" w:hAnsi="Calibri" w:cs="Calibri"/>
          <w:color w:val="000000" w:themeColor="text1"/>
        </w:rPr>
        <w:fldChar w:fldCharType="separate"/>
      </w:r>
      <w:r w:rsidR="007E648C" w:rsidRPr="00073666">
        <w:rPr>
          <w:rFonts w:ascii="Calibri" w:hAnsi="Calibri" w:cs="Calibri"/>
          <w:noProof/>
          <w:color w:val="000000" w:themeColor="text1"/>
        </w:rPr>
        <w:t>[22]</w:t>
      </w:r>
      <w:r w:rsidRPr="00073666">
        <w:rPr>
          <w:rFonts w:ascii="Calibri" w:hAnsi="Calibri" w:cs="Calibri"/>
          <w:color w:val="000000" w:themeColor="text1"/>
        </w:rPr>
        <w:fldChar w:fldCharType="end"/>
      </w:r>
      <w:r w:rsidRPr="00073666">
        <w:rPr>
          <w:rFonts w:ascii="Calibri" w:hAnsi="Calibri" w:cs="Calibri"/>
          <w:color w:val="000000" w:themeColor="text1"/>
        </w:rPr>
        <w:t>.</w:t>
      </w:r>
      <w:r w:rsidRPr="00073666">
        <w:rPr>
          <w:rFonts w:ascii="Calibri" w:hAnsi="Calibri" w:cs="Calibri"/>
          <w:color w:val="000000" w:themeColor="text1"/>
          <w:lang w:eastAsia="en-GB"/>
        </w:rPr>
        <w:t xml:space="preserve"> It is a rapid </w:t>
      </w:r>
      <w:r w:rsidRPr="00073666">
        <w:rPr>
          <w:rFonts w:ascii="Calibri" w:hAnsi="Calibri" w:cs="Calibri"/>
          <w:color w:val="000000" w:themeColor="text1"/>
        </w:rPr>
        <w:t>immunochromatographic test that involves pipetting untreated serum or centrifuged BAL sample direct into the port of a cassette and leaving for 30 minutes</w:t>
      </w:r>
      <w:r w:rsidRPr="00073666">
        <w:rPr>
          <w:rFonts w:ascii="Calibri" w:hAnsi="Calibri" w:cs="Calibri"/>
          <w:color w:val="000000" w:themeColor="text1"/>
        </w:rPr>
        <w:fldChar w:fldCharType="begin" w:fldLock="1"/>
      </w:r>
      <w:r w:rsidR="007E648C" w:rsidRPr="00073666">
        <w:rPr>
          <w:rFonts w:ascii="Calibri" w:hAnsi="Calibri" w:cs="Calibri"/>
          <w:color w:val="000000" w:themeColor="text1"/>
        </w:rPr>
        <w:instrText>ADDIN CSL_CITATION {"citationItems":[{"id":"ITEM-1","itemData":{"author":[{"dropping-particle":"","family":"OLM Diagnostics Ltd","given":"","non-dropping-particle":"","parse-names":false,"suffix":""}],"id":"ITEM-1","issued":{"date-parts":[["2019"]]},"page":"1-12","title":"Aspergillus Lateral-Flow Device Kit Handbook HB002","type":"article-journal"},"uris":["http://www.mendeley.com/documents/?uuid=ff067ecb-29ba-4428-bc59-a7c69ba1e6f3"]}],"mendeley":{"formattedCitation":"[23]","plainTextFormattedCitation":"[23]","previouslyFormattedCitation":"[24]"},"properties":{"noteIndex":0},"schema":"https://github.com/citation-style-language/schema/raw/master/csl-citation.json"}</w:instrText>
      </w:r>
      <w:r w:rsidRPr="00073666">
        <w:rPr>
          <w:rFonts w:ascii="Calibri" w:hAnsi="Calibri" w:cs="Calibri"/>
          <w:color w:val="000000" w:themeColor="text1"/>
        </w:rPr>
        <w:fldChar w:fldCharType="separate"/>
      </w:r>
      <w:r w:rsidR="007E648C" w:rsidRPr="00073666">
        <w:rPr>
          <w:rFonts w:ascii="Calibri" w:hAnsi="Calibri" w:cs="Calibri"/>
          <w:noProof/>
          <w:color w:val="000000" w:themeColor="text1"/>
        </w:rPr>
        <w:t>[23]</w:t>
      </w:r>
      <w:r w:rsidRPr="00073666">
        <w:rPr>
          <w:rFonts w:ascii="Calibri" w:hAnsi="Calibri" w:cs="Calibri"/>
          <w:color w:val="000000" w:themeColor="text1"/>
        </w:rPr>
        <w:fldChar w:fldCharType="end"/>
      </w:r>
      <w:r w:rsidRPr="00073666">
        <w:rPr>
          <w:rFonts w:ascii="Calibri" w:hAnsi="Calibri" w:cs="Calibri"/>
          <w:color w:val="000000" w:themeColor="text1"/>
        </w:rPr>
        <w:t>. If Aspergillus antigen is present, it will form a monoclonal antibody complex which will appear as red line on the strip.</w:t>
      </w:r>
    </w:p>
    <w:p w14:paraId="0EC1F446" w14:textId="77777777" w:rsidR="001E7194" w:rsidRPr="00073666" w:rsidRDefault="001E7194" w:rsidP="00065E52">
      <w:pPr>
        <w:pStyle w:val="NormalWeb"/>
        <w:rPr>
          <w:rFonts w:ascii="Calibri" w:eastAsiaTheme="minorHAnsi" w:hAnsi="Calibri" w:cs="Calibri"/>
          <w:color w:val="000000" w:themeColor="text1"/>
          <w:sz w:val="22"/>
          <w:szCs w:val="22"/>
        </w:rPr>
      </w:pPr>
    </w:p>
    <w:p w14:paraId="0325BB4F" w14:textId="51CF16B4" w:rsidR="00065E52" w:rsidRPr="00073666" w:rsidRDefault="00065E52" w:rsidP="00065E52">
      <w:pPr>
        <w:pStyle w:val="NormalWeb"/>
        <w:rPr>
          <w:rFonts w:ascii="Calibri" w:eastAsiaTheme="minorHAnsi" w:hAnsi="Calibri" w:cs="Calibri"/>
          <w:color w:val="000000" w:themeColor="text1"/>
          <w:sz w:val="22"/>
          <w:szCs w:val="22"/>
        </w:rPr>
      </w:pPr>
      <w:r w:rsidRPr="00073666">
        <w:rPr>
          <w:rFonts w:ascii="Calibri" w:eastAsiaTheme="minorHAnsi" w:hAnsi="Calibri" w:cs="Calibri"/>
          <w:color w:val="000000" w:themeColor="text1"/>
          <w:sz w:val="22"/>
          <w:szCs w:val="22"/>
        </w:rPr>
        <w:t xml:space="preserve">Figure 1 example of </w:t>
      </w:r>
      <w:proofErr w:type="spellStart"/>
      <w:r w:rsidRPr="00073666">
        <w:rPr>
          <w:rFonts w:ascii="Calibri" w:eastAsiaTheme="minorHAnsi" w:hAnsi="Calibri" w:cs="Calibri"/>
          <w:color w:val="000000" w:themeColor="text1"/>
          <w:sz w:val="22"/>
          <w:szCs w:val="22"/>
        </w:rPr>
        <w:t>AspLFD</w:t>
      </w:r>
      <w:proofErr w:type="spellEnd"/>
      <w:r w:rsidRPr="00073666">
        <w:rPr>
          <w:rFonts w:ascii="Calibri" w:eastAsiaTheme="minorHAnsi" w:hAnsi="Calibri" w:cs="Calibri"/>
          <w:color w:val="000000" w:themeColor="text1"/>
          <w:sz w:val="22"/>
          <w:szCs w:val="22"/>
        </w:rPr>
        <w:t xml:space="preserve"> device readout showing double red line, sample plus control, produced if positive (reproduced from </w:t>
      </w:r>
      <w:r w:rsidRPr="00073666">
        <w:rPr>
          <w:rFonts w:ascii="Calibri" w:eastAsiaTheme="minorHAnsi" w:hAnsi="Calibri" w:cs="Calibri"/>
          <w:color w:val="000000" w:themeColor="text1"/>
          <w:sz w:val="22"/>
          <w:szCs w:val="22"/>
        </w:rPr>
        <w:fldChar w:fldCharType="begin" w:fldLock="1"/>
      </w:r>
      <w:r w:rsidR="007E648C" w:rsidRPr="00073666">
        <w:rPr>
          <w:rFonts w:ascii="Calibri" w:eastAsiaTheme="minorHAnsi" w:hAnsi="Calibri" w:cs="Calibri"/>
          <w:color w:val="000000" w:themeColor="text1"/>
          <w:sz w:val="22"/>
          <w:szCs w:val="22"/>
        </w:rPr>
        <w:instrText>ADDIN CSL_CITATION {"citationItems":[{"id":"ITEM-1","itemData":{"author":[{"dropping-particle":"","family":"OLM Diagnostics Ltd","given":"","non-dropping-particle":"","parse-names":false,"suffix":""}],"id":"ITEM-1","issued":{"date-parts":[["2019"]]},"page":"1-12","title":"Aspergillus Lateral-Flow Device Kit Handbook HB002","type":"article-journal"},"uris":["http://www.mendeley.com/documents/?uuid=ff067ecb-29ba-4428-bc59-a7c69ba1e6f3"]}],"mendeley":{"formattedCitation":"[23]","plainTextFormattedCitation":"[23]","previouslyFormattedCitation":"[24]"},"properties":{"noteIndex":0},"schema":"https://github.com/citation-style-language/schema/raw/master/csl-citation.json"}</w:instrText>
      </w:r>
      <w:r w:rsidRPr="00073666">
        <w:rPr>
          <w:rFonts w:ascii="Calibri" w:eastAsiaTheme="minorHAnsi" w:hAnsi="Calibri" w:cs="Calibri"/>
          <w:color w:val="000000" w:themeColor="text1"/>
          <w:sz w:val="22"/>
          <w:szCs w:val="22"/>
        </w:rPr>
        <w:fldChar w:fldCharType="separate"/>
      </w:r>
      <w:r w:rsidR="007E648C" w:rsidRPr="00073666">
        <w:rPr>
          <w:rFonts w:ascii="Calibri" w:eastAsiaTheme="minorHAnsi" w:hAnsi="Calibri" w:cs="Calibri"/>
          <w:noProof/>
          <w:color w:val="000000" w:themeColor="text1"/>
          <w:sz w:val="22"/>
          <w:szCs w:val="22"/>
        </w:rPr>
        <w:t>[23]</w:t>
      </w:r>
      <w:r w:rsidRPr="00073666">
        <w:rPr>
          <w:rFonts w:ascii="Calibri" w:eastAsiaTheme="minorHAnsi" w:hAnsi="Calibri" w:cs="Calibri"/>
          <w:color w:val="000000" w:themeColor="text1"/>
          <w:sz w:val="22"/>
          <w:szCs w:val="22"/>
        </w:rPr>
        <w:fldChar w:fldCharType="end"/>
      </w:r>
      <w:r w:rsidRPr="00073666">
        <w:rPr>
          <w:rFonts w:ascii="Calibri" w:eastAsiaTheme="minorHAnsi" w:hAnsi="Calibri" w:cs="Calibri"/>
          <w:color w:val="000000" w:themeColor="text1"/>
          <w:sz w:val="22"/>
          <w:szCs w:val="22"/>
        </w:rPr>
        <w:t>)</w:t>
      </w:r>
    </w:p>
    <w:p w14:paraId="6FD528C5" w14:textId="088E9081" w:rsidR="00065E52" w:rsidRPr="00073666" w:rsidRDefault="00B24D33" w:rsidP="00065E52">
      <w:pPr>
        <w:pStyle w:val="NormalWeb"/>
        <w:rPr>
          <w:rFonts w:ascii="Calibri" w:hAnsi="Calibri" w:cs="Calibri"/>
        </w:rPr>
      </w:pPr>
      <w:r w:rsidRPr="00073666">
        <w:rPr>
          <w:rFonts w:ascii="Calibri" w:eastAsiaTheme="minorHAnsi" w:hAnsi="Calibri" w:cs="Calibri"/>
          <w:noProof/>
          <w:color w:val="000000" w:themeColor="text1"/>
          <w:szCs w:val="22"/>
          <w:lang w:val="en-US"/>
        </w:rPr>
        <w:drawing>
          <wp:anchor distT="0" distB="0" distL="114300" distR="114300" simplePos="0" relativeHeight="251660288" behindDoc="0" locked="0" layoutInCell="1" allowOverlap="1" wp14:anchorId="171017CD" wp14:editId="555FF6B8">
            <wp:simplePos x="0" y="0"/>
            <wp:positionH relativeFrom="column">
              <wp:posOffset>0</wp:posOffset>
            </wp:positionH>
            <wp:positionV relativeFrom="paragraph">
              <wp:posOffset>84201</wp:posOffset>
            </wp:positionV>
            <wp:extent cx="2762250" cy="2466294"/>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email">
                      <a:extLst>
                        <a:ext uri="{28A0092B-C50C-407E-A947-70E740481C1C}">
                          <a14:useLocalDpi xmlns:a14="http://schemas.microsoft.com/office/drawing/2010/main"/>
                        </a:ext>
                      </a:extLst>
                    </a:blip>
                    <a:stretch>
                      <a:fillRect/>
                    </a:stretch>
                  </pic:blipFill>
                  <pic:spPr>
                    <a:xfrm>
                      <a:off x="0" y="0"/>
                      <a:ext cx="2762250" cy="2466294"/>
                    </a:xfrm>
                    <a:prstGeom prst="rect">
                      <a:avLst/>
                    </a:prstGeom>
                  </pic:spPr>
                </pic:pic>
              </a:graphicData>
            </a:graphic>
            <wp14:sizeRelH relativeFrom="page">
              <wp14:pctWidth>0</wp14:pctWidth>
            </wp14:sizeRelH>
            <wp14:sizeRelV relativeFrom="page">
              <wp14:pctHeight>0</wp14:pctHeight>
            </wp14:sizeRelV>
          </wp:anchor>
        </w:drawing>
      </w:r>
    </w:p>
    <w:p w14:paraId="4C8A23F8" w14:textId="008D1C1F" w:rsidR="00065E52" w:rsidRPr="00073666" w:rsidRDefault="00065E52" w:rsidP="00065E52">
      <w:pPr>
        <w:pStyle w:val="NormalWeb"/>
        <w:rPr>
          <w:rFonts w:ascii="Calibri" w:hAnsi="Calibri" w:cs="Calibri"/>
        </w:rPr>
      </w:pPr>
    </w:p>
    <w:p w14:paraId="4A589B05" w14:textId="77777777" w:rsidR="00760261" w:rsidRPr="00073666" w:rsidRDefault="00760261" w:rsidP="00065E52">
      <w:pPr>
        <w:pStyle w:val="NormalWeb"/>
        <w:rPr>
          <w:rFonts w:ascii="Calibri" w:hAnsi="Calibri" w:cs="Calibri"/>
        </w:rPr>
      </w:pPr>
    </w:p>
    <w:p w14:paraId="443FE61C" w14:textId="77777777" w:rsidR="00760261" w:rsidRPr="00073666" w:rsidRDefault="00760261" w:rsidP="00065E52">
      <w:pPr>
        <w:pStyle w:val="NormalWeb"/>
        <w:rPr>
          <w:rFonts w:ascii="Calibri" w:hAnsi="Calibri" w:cs="Calibri"/>
        </w:rPr>
      </w:pPr>
    </w:p>
    <w:p w14:paraId="626B8B19" w14:textId="77777777" w:rsidR="00760261" w:rsidRPr="00073666" w:rsidRDefault="00760261" w:rsidP="00065E52">
      <w:pPr>
        <w:pStyle w:val="NormalWeb"/>
        <w:rPr>
          <w:rFonts w:ascii="Calibri" w:hAnsi="Calibri" w:cs="Calibri"/>
        </w:rPr>
      </w:pPr>
    </w:p>
    <w:p w14:paraId="52C4307F" w14:textId="77777777" w:rsidR="00760261" w:rsidRPr="00073666" w:rsidRDefault="00760261" w:rsidP="00065E52">
      <w:pPr>
        <w:pStyle w:val="NormalWeb"/>
        <w:rPr>
          <w:rFonts w:ascii="Calibri" w:hAnsi="Calibri" w:cs="Calibri"/>
        </w:rPr>
      </w:pPr>
    </w:p>
    <w:p w14:paraId="4B855FFD" w14:textId="77777777" w:rsidR="00760261" w:rsidRPr="00073666" w:rsidRDefault="00760261" w:rsidP="00065E52">
      <w:pPr>
        <w:pStyle w:val="NormalWeb"/>
        <w:rPr>
          <w:rFonts w:ascii="Calibri" w:hAnsi="Calibri" w:cs="Calibri"/>
        </w:rPr>
      </w:pPr>
    </w:p>
    <w:p w14:paraId="56C03D4F" w14:textId="77777777" w:rsidR="00760261" w:rsidRPr="00073666" w:rsidRDefault="00760261" w:rsidP="00065E52">
      <w:pPr>
        <w:pStyle w:val="NormalWeb"/>
        <w:rPr>
          <w:rFonts w:ascii="Calibri" w:hAnsi="Calibri" w:cs="Calibri"/>
        </w:rPr>
      </w:pPr>
    </w:p>
    <w:p w14:paraId="27FCD5B8" w14:textId="77777777" w:rsidR="00760261" w:rsidRPr="00073666" w:rsidRDefault="00760261" w:rsidP="00065E52">
      <w:pPr>
        <w:pStyle w:val="NormalWeb"/>
        <w:rPr>
          <w:rFonts w:ascii="Calibri" w:hAnsi="Calibri" w:cs="Calibri"/>
        </w:rPr>
      </w:pPr>
    </w:p>
    <w:p w14:paraId="299FBB67" w14:textId="77777777" w:rsidR="00760261" w:rsidRPr="00073666" w:rsidRDefault="00760261" w:rsidP="00065E52">
      <w:pPr>
        <w:pStyle w:val="NormalWeb"/>
        <w:rPr>
          <w:rFonts w:ascii="Calibri" w:hAnsi="Calibri" w:cs="Calibri"/>
        </w:rPr>
      </w:pPr>
    </w:p>
    <w:p w14:paraId="6FE523CD" w14:textId="77777777" w:rsidR="00760261" w:rsidRPr="00073666" w:rsidRDefault="00760261" w:rsidP="00065E52">
      <w:pPr>
        <w:pStyle w:val="NormalWeb"/>
        <w:rPr>
          <w:rFonts w:ascii="Calibri" w:hAnsi="Calibri" w:cs="Calibri"/>
        </w:rPr>
      </w:pPr>
    </w:p>
    <w:p w14:paraId="449B50F4" w14:textId="77777777" w:rsidR="00760261" w:rsidRPr="00073666" w:rsidRDefault="00760261" w:rsidP="00065E52">
      <w:pPr>
        <w:pStyle w:val="NormalWeb"/>
        <w:rPr>
          <w:rFonts w:ascii="Calibri" w:hAnsi="Calibri" w:cs="Calibri"/>
        </w:rPr>
      </w:pPr>
    </w:p>
    <w:p w14:paraId="157D869F" w14:textId="77777777" w:rsidR="00760261" w:rsidRPr="00073666" w:rsidRDefault="00760261" w:rsidP="00065E52">
      <w:pPr>
        <w:pStyle w:val="NormalWeb"/>
        <w:rPr>
          <w:rFonts w:ascii="Calibri" w:hAnsi="Calibri" w:cs="Calibri"/>
        </w:rPr>
      </w:pPr>
    </w:p>
    <w:p w14:paraId="0BA23D68" w14:textId="77777777" w:rsidR="00760261" w:rsidRPr="00073666" w:rsidRDefault="00760261" w:rsidP="00065E52">
      <w:pPr>
        <w:pStyle w:val="NormalWeb"/>
        <w:rPr>
          <w:rFonts w:ascii="Calibri" w:hAnsi="Calibri" w:cs="Calibri"/>
        </w:rPr>
      </w:pPr>
    </w:p>
    <w:p w14:paraId="6A1A88BC" w14:textId="77777777" w:rsidR="00760261" w:rsidRPr="00073666" w:rsidRDefault="00760261" w:rsidP="00065E52">
      <w:pPr>
        <w:pStyle w:val="NormalWeb"/>
        <w:rPr>
          <w:rFonts w:ascii="Calibri" w:hAnsi="Calibri" w:cs="Calibri"/>
        </w:rPr>
      </w:pPr>
    </w:p>
    <w:p w14:paraId="38361350" w14:textId="3C4BEF6C" w:rsidR="00065E52" w:rsidRPr="00073666" w:rsidRDefault="00065E52" w:rsidP="00065E52">
      <w:pPr>
        <w:pStyle w:val="NormalWeb"/>
        <w:rPr>
          <w:rFonts w:ascii="Calibri" w:hAnsi="Calibri" w:cs="Calibri"/>
          <w:color w:val="000000" w:themeColor="text1"/>
        </w:rPr>
      </w:pPr>
      <w:r w:rsidRPr="00073666">
        <w:rPr>
          <w:rFonts w:ascii="Calibri" w:hAnsi="Calibri" w:cs="Calibri"/>
          <w:color w:val="000000" w:themeColor="text1"/>
        </w:rPr>
        <w:t xml:space="preserve">In a prospective study of 106 patients with haematological malignancy BAL </w:t>
      </w:r>
      <w:proofErr w:type="spellStart"/>
      <w:r w:rsidRPr="00073666">
        <w:rPr>
          <w:rFonts w:ascii="Calibri" w:hAnsi="Calibri" w:cs="Calibri"/>
          <w:color w:val="000000" w:themeColor="text1"/>
        </w:rPr>
        <w:t>AspLFD</w:t>
      </w:r>
      <w:proofErr w:type="spellEnd"/>
      <w:r w:rsidRPr="00073666">
        <w:rPr>
          <w:rFonts w:ascii="Calibri" w:hAnsi="Calibri" w:cs="Calibri"/>
          <w:color w:val="000000" w:themeColor="text1"/>
        </w:rPr>
        <w:t xml:space="preserve"> had a sensitivity and specificity of 73% and 87% respectively for differentiating probable IA versus no IA using EORTC / MSG criteria </w:t>
      </w:r>
      <w:r w:rsidRPr="00073666">
        <w:rPr>
          <w:rFonts w:ascii="Calibri" w:hAnsi="Calibri" w:cs="Calibri"/>
          <w:color w:val="000000" w:themeColor="text1"/>
        </w:rPr>
        <w:fldChar w:fldCharType="begin" w:fldLock="1"/>
      </w:r>
      <w:r w:rsidR="007E648C" w:rsidRPr="00073666">
        <w:rPr>
          <w:rFonts w:ascii="Calibri" w:hAnsi="Calibri" w:cs="Calibri"/>
          <w:color w:val="000000" w:themeColor="text1"/>
        </w:rPr>
        <w:instrText>ADDIN CSL_CITATION {"citationItems":[{"id":"ITEM-1","itemData":{"DOI":"10.1016/j.jinf.2018.05.001","ISSN":"15322742","abstract":"Background: Aspergillus spp. induce elevated levels of several cytokines. It remains unknown whether these cytokines hold value for clinical routine and enhance diagnostic performances of established and novel biomarkers/tests for invasive aspergillosis (IA). Methods: This cohort study included 106 prospectively enrolled (2014–2017) adult cases with underlying hematological malignancies and suspected pulmonary infection undergoing bronchoscopy. Serum samples were collected within 24 hours of bronchoalveolar lavage fluid (BALF) sampling. Both, serum and BALF samples were used to evaluate diagnostic performances of the Aspergillus-specific lateral-flow device test (LFD), Aspergillus PCR, β-D-glucan, and cytokines that have shown significant associations with IA before. Results: Among 106 cases, 11 had probable IA, and 32 possible IA; 80% received mold-active antifungals at the time of sampling. Diagnostic tests and biomarkers showed better performance in BALF versus blood, with the exception of serum interleukin (IL)-8 which was the most reliable blood biomarker. Combinations of serum IL-8 with either BALF LFD (sensitivity 100%, specificity 94%) or BALF PCR (sensitivity 91%, specificity 97%) showed promise for differentiating probable IA from no IA. Conclusions: High serum IL-8 levels were highly specific, and when combined with either the BALF Aspergillus-specific LFD, or BALF Aspergillus PCR also highly sensitive for diagnosis of IA.","author":[{"dropping-particle":"","family":"Heldt","given":"Sven","non-dropping-particle":"","parse-names":false,"suffix":""},{"dropping-particle":"","family":"Prattes","given":"Juergen","non-dropping-particle":"","parse-names":false,"suffix":""},{"dropping-particle":"","family":"Eigl","given":"Susanne","non-dropping-particle":"","parse-names":false,"suffix":""},{"dropping-particle":"","family":"Spiess","given":"Birgit","non-dropping-particle":"","parse-names":false,"suffix":""},{"dropping-particle":"","family":"Flick","given":"Holger","non-dropping-particle":"","parse-names":false,"suffix":""},{"dropping-particle":"","family":"Rabensteiner","given":"Jasmin","non-dropping-particle":"","parse-names":false,"suffix":""},{"dropping-particle":"","family":"Johnson","given":"Gemma","non-dropping-particle":"","parse-names":false,"suffix":""},{"dropping-particle":"","family":"Prüller","given":"Florian","non-dropping-particle":"","parse-names":false,"suffix":""},{"dropping-particle":"","family":"Wölfler","given":"Albert","non-dropping-particle":"","parse-names":false,"suffix":""},{"dropping-particle":"","family":"Niedrist","given":"Tobias","non-dropping-particle":"","parse-names":false,"suffix":""},{"dropping-particle":"","family":"Boch","given":"Tobias","non-dropping-particle":"","parse-names":false,"suffix":""},{"dropping-particle":"","family":"Neumeister","given":"Peter","non-dropping-particle":"","parse-names":false,"suffix":""},{"dropping-particle":"","family":"Strohmaier","given":"Heimo","non-dropping-particle":"","parse-names":false,"suffix":""},{"dropping-particle":"","family":"Krause","given":"Robert","non-dropping-particle":"","parse-names":false,"suffix":""},{"dropping-particle":"","family":"Buchheidt","given":"Dieter","non-dropping-particle":"","parse-names":false,"suffix":""},{"dropping-particle":"","family":"Hoenigl","given":"Martin","non-dropping-particle":"","parse-names":false,"suffix":""}],"container-title":"Journal of Infection","id":"ITEM-1","issue":"3","issued":{"date-parts":[["2018"]]},"page":"235-241","publisher":"Elsevier Ltd","title":"Diagnosis of invasive aspergillosis in hematological malignancy patients: Performance of cytokines, Asp LFD, and Aspergillus PCR in same day blood and bronchoalveolar lavage samples","type":"article-journal","volume":"77"},"uris":["http://www.mendeley.com/documents/?uuid=7c47e1e6-2609-4b6b-97db-437363ccc624"]}],"mendeley":{"formattedCitation":"[24]","plainTextFormattedCitation":"[24]","previouslyFormattedCitation":"[25]"},"properties":{"noteIndex":0},"schema":"https://github.com/citation-style-language/schema/raw/master/csl-citation.json"}</w:instrText>
      </w:r>
      <w:r w:rsidRPr="00073666">
        <w:rPr>
          <w:rFonts w:ascii="Calibri" w:hAnsi="Calibri" w:cs="Calibri"/>
          <w:color w:val="000000" w:themeColor="text1"/>
        </w:rPr>
        <w:fldChar w:fldCharType="separate"/>
      </w:r>
      <w:r w:rsidR="007E648C" w:rsidRPr="00073666">
        <w:rPr>
          <w:rFonts w:ascii="Calibri" w:hAnsi="Calibri" w:cs="Calibri"/>
          <w:noProof/>
          <w:color w:val="000000" w:themeColor="text1"/>
        </w:rPr>
        <w:t>[24]</w:t>
      </w:r>
      <w:r w:rsidRPr="00073666">
        <w:rPr>
          <w:rFonts w:ascii="Calibri" w:hAnsi="Calibri" w:cs="Calibri"/>
          <w:color w:val="000000" w:themeColor="text1"/>
        </w:rPr>
        <w:fldChar w:fldCharType="end"/>
      </w:r>
      <w:r w:rsidRPr="00073666">
        <w:rPr>
          <w:rFonts w:ascii="Calibri" w:hAnsi="Calibri" w:cs="Calibri"/>
          <w:color w:val="000000" w:themeColor="text1"/>
        </w:rPr>
        <w:t xml:space="preserve">. Furthermore, in a study of 82 patients </w:t>
      </w:r>
      <w:r w:rsidRPr="00073666">
        <w:rPr>
          <w:rFonts w:ascii="Calibri" w:hAnsi="Calibri" w:cs="Calibri"/>
          <w:i/>
          <w:color w:val="000000" w:themeColor="text1"/>
        </w:rPr>
        <w:t>without</w:t>
      </w:r>
      <w:r w:rsidRPr="00073666">
        <w:rPr>
          <w:rFonts w:ascii="Calibri" w:hAnsi="Calibri" w:cs="Calibri"/>
          <w:color w:val="000000" w:themeColor="text1"/>
        </w:rPr>
        <w:t xml:space="preserve"> underlying haematological malignancy, BAL </w:t>
      </w:r>
      <w:proofErr w:type="spellStart"/>
      <w:r w:rsidRPr="00073666">
        <w:rPr>
          <w:rFonts w:ascii="Calibri" w:hAnsi="Calibri" w:cs="Calibri"/>
          <w:color w:val="000000" w:themeColor="text1"/>
        </w:rPr>
        <w:t>AspLFD</w:t>
      </w:r>
      <w:proofErr w:type="spellEnd"/>
      <w:r w:rsidRPr="00073666">
        <w:rPr>
          <w:rFonts w:ascii="Calibri" w:hAnsi="Calibri" w:cs="Calibri"/>
          <w:color w:val="000000" w:themeColor="text1"/>
        </w:rPr>
        <w:t xml:space="preserve"> had a sensitivity of 69% and specificity of 71% in those with putative/proven IA using a modified </w:t>
      </w:r>
      <w:proofErr w:type="spellStart"/>
      <w:r w:rsidRPr="00073666">
        <w:rPr>
          <w:rFonts w:ascii="Calibri" w:hAnsi="Calibri" w:cs="Calibri"/>
          <w:color w:val="000000" w:themeColor="text1"/>
        </w:rPr>
        <w:t>AspICU</w:t>
      </w:r>
      <w:proofErr w:type="spellEnd"/>
      <w:r w:rsidRPr="00073666">
        <w:rPr>
          <w:rFonts w:ascii="Calibri" w:hAnsi="Calibri" w:cs="Calibri"/>
          <w:color w:val="000000" w:themeColor="text1"/>
        </w:rPr>
        <w:t xml:space="preserve"> criteria (Table 1)</w:t>
      </w:r>
      <w:r w:rsidRPr="00073666">
        <w:rPr>
          <w:rFonts w:ascii="Calibri" w:hAnsi="Calibri" w:cs="Calibri"/>
          <w:color w:val="000000" w:themeColor="text1"/>
        </w:rPr>
        <w:fldChar w:fldCharType="begin" w:fldLock="1"/>
      </w:r>
      <w:r w:rsidRPr="00073666">
        <w:rPr>
          <w:rFonts w:ascii="Calibri" w:hAnsi="Calibri" w:cs="Calibri"/>
          <w:color w:val="000000" w:themeColor="text1"/>
        </w:rPr>
        <w:instrText>ADDIN CSL_CITATION {"citationItems":[{"id":"ITEM-1","itemData":{"DOI":"10.1111/myc.12881","author":[{"dropping-particle":"","family":"Jenks","given":"Jeffrey D","non-dropping-particle":"","parse-names":false,"suffix":""},{"dropping-particle":"","family":"Mehta","given":"Sanjay R","non-dropping-particle":"","parse-names":false,"suffix":""},{"dropping-particle":"","family":"Taplitz","given":"Randy","non-dropping-particle":"","parse-names":false,"suffix":""},{"dropping-particle":"","family":"Aslam","given":"Saima","non-dropping-particle":"","parse-names":false,"suffix":""},{"dropping-particle":"","family":"Reed","given":"Sharon L","non-dropping-particle":"","parse-names":false,"suffix":""},{"dropping-particle":"","family":"Hoenigl","given":"Martin","non-dropping-particle":"","parse-names":false,"suffix":""},{"dropping-particle":"","family":"Diego","given":"San","non-dropping-particle":"","parse-names":false,"suffix":""},{"dropping-particle":"","family":"States","given":"United","non-dropping-particle":"","parse-names":false,"suffix":""},{"dropping-particle":"","family":"Diego","given":"San","non-dropping-particle":"","parse-names":false,"suffix":""},{"dropping-particle":"","family":"States","given":"United","non-dropping-particle":"","parse-names":false,"suffix":""}],"container-title":"Mycoses","id":"ITEM-1","issue":"3","issued":{"date-parts":[["2019"]]},"page":"230-236","title":"Point-of care Diagnosis of Invasive Aspergillosis in in Non-Neutropenic Patients: Aspergillus Galactomannan Lateral Flow Assay versus Aspergillus-specific Lateral Flow device test in Bronchoalveolar Lavage","type":"article-journal","volume":"62"},"uris":["http://www.mendeley.com/documents/?uuid=d6313339-2037-4004-a9fd-b4e4f6a818fb"]}],"mendeley":{"formattedCitation":"[8]","plainTextFormattedCitation":"[8]","previouslyFormattedCitation":"[8]"},"properties":{"noteIndex":0},"schema":"https://github.com/citation-style-language/schema/raw/master/csl-citation.json"}</w:instrText>
      </w:r>
      <w:r w:rsidRPr="00073666">
        <w:rPr>
          <w:rFonts w:ascii="Calibri" w:hAnsi="Calibri" w:cs="Calibri"/>
          <w:color w:val="000000" w:themeColor="text1"/>
        </w:rPr>
        <w:fldChar w:fldCharType="separate"/>
      </w:r>
      <w:r w:rsidRPr="00073666">
        <w:rPr>
          <w:rFonts w:ascii="Calibri" w:hAnsi="Calibri" w:cs="Calibri"/>
          <w:noProof/>
          <w:color w:val="000000" w:themeColor="text1"/>
        </w:rPr>
        <w:t>[8]</w:t>
      </w:r>
      <w:r w:rsidRPr="00073666">
        <w:rPr>
          <w:rFonts w:ascii="Calibri" w:hAnsi="Calibri" w:cs="Calibri"/>
          <w:color w:val="000000" w:themeColor="text1"/>
        </w:rPr>
        <w:fldChar w:fldCharType="end"/>
      </w:r>
      <w:r w:rsidRPr="00073666">
        <w:rPr>
          <w:rFonts w:ascii="Calibri" w:hAnsi="Calibri" w:cs="Calibri"/>
          <w:color w:val="000000" w:themeColor="text1"/>
        </w:rPr>
        <w:t xml:space="preserve">. Only 15 (18.3%) were ICU patients, however, and none had influenza and thus the </w:t>
      </w:r>
      <w:proofErr w:type="spellStart"/>
      <w:r w:rsidRPr="00073666">
        <w:rPr>
          <w:rFonts w:ascii="Calibri" w:hAnsi="Calibri" w:cs="Calibri"/>
          <w:color w:val="000000" w:themeColor="text1"/>
        </w:rPr>
        <w:t>AspLFD</w:t>
      </w:r>
      <w:proofErr w:type="spellEnd"/>
      <w:r w:rsidRPr="00073666">
        <w:rPr>
          <w:rFonts w:ascii="Calibri" w:hAnsi="Calibri" w:cs="Calibri"/>
          <w:color w:val="000000" w:themeColor="text1"/>
        </w:rPr>
        <w:t xml:space="preserve"> urgently requires validation in this cohort.</w:t>
      </w:r>
    </w:p>
    <w:p w14:paraId="0B767281" w14:textId="77777777" w:rsidR="00065E52" w:rsidRPr="00073666" w:rsidRDefault="00065E52" w:rsidP="00065E52">
      <w:pPr>
        <w:pStyle w:val="NormalWeb"/>
        <w:rPr>
          <w:rFonts w:ascii="Calibri" w:hAnsi="Calibri" w:cs="Calibri"/>
          <w:color w:val="000000" w:themeColor="text1"/>
        </w:rPr>
      </w:pPr>
    </w:p>
    <w:p w14:paraId="0D8FB212" w14:textId="59C4EC43" w:rsidR="00065E52" w:rsidRPr="00073666" w:rsidRDefault="00065E52" w:rsidP="00065E52">
      <w:pPr>
        <w:pStyle w:val="NormalWeb"/>
        <w:rPr>
          <w:rFonts w:ascii="Calibri" w:eastAsiaTheme="minorHAnsi" w:hAnsi="Calibri" w:cs="Calibri"/>
          <w:color w:val="000000" w:themeColor="text1"/>
        </w:rPr>
      </w:pPr>
      <w:r w:rsidRPr="00073666">
        <w:rPr>
          <w:rFonts w:ascii="Calibri" w:hAnsi="Calibri" w:cs="Calibri"/>
          <w:color w:val="000000" w:themeColor="text1"/>
        </w:rPr>
        <w:t xml:space="preserve">Use of </w:t>
      </w:r>
      <w:proofErr w:type="spellStart"/>
      <w:r w:rsidRPr="00073666">
        <w:rPr>
          <w:rFonts w:ascii="Calibri" w:hAnsi="Calibri" w:cs="Calibri"/>
          <w:color w:val="000000" w:themeColor="text1"/>
        </w:rPr>
        <w:t>galactommanan</w:t>
      </w:r>
      <w:proofErr w:type="spellEnd"/>
      <w:r w:rsidRPr="00073666">
        <w:rPr>
          <w:rFonts w:ascii="Calibri" w:hAnsi="Calibri" w:cs="Calibri"/>
          <w:color w:val="000000" w:themeColor="text1"/>
        </w:rPr>
        <w:t xml:space="preserve"> on BAL (with a cut-off of </w:t>
      </w:r>
      <w:r w:rsidRPr="00073666">
        <w:rPr>
          <w:rFonts w:ascii="Calibri" w:eastAsiaTheme="minorHAnsi" w:hAnsi="Calibri" w:cs="Calibri"/>
          <w:color w:val="000000" w:themeColor="text1"/>
        </w:rPr>
        <w:t>≥ 1</w:t>
      </w:r>
      <w:r w:rsidRPr="00073666">
        <w:rPr>
          <w:rFonts w:ascii="Calibri" w:hAnsi="Calibri" w:cs="Calibri"/>
          <w:color w:val="000000" w:themeColor="text1"/>
        </w:rPr>
        <w:t xml:space="preserve">) is endorsed in the most recent 2017 </w:t>
      </w:r>
      <w:r w:rsidRPr="00073666">
        <w:rPr>
          <w:rFonts w:ascii="Calibri" w:eastAsiaTheme="minorHAnsi" w:hAnsi="Calibri" w:cs="Calibri"/>
          <w:color w:val="000000" w:themeColor="text1"/>
        </w:rPr>
        <w:t xml:space="preserve">ESCMID </w:t>
      </w:r>
      <w:r w:rsidRPr="00073666">
        <w:rPr>
          <w:rFonts w:ascii="Calibri" w:eastAsiaTheme="minorHAnsi" w:hAnsi="Calibri" w:cs="Calibri"/>
          <w:i/>
          <w:color w:val="000000" w:themeColor="text1"/>
        </w:rPr>
        <w:t>Aspergillus</w:t>
      </w:r>
      <w:r w:rsidRPr="00073666">
        <w:rPr>
          <w:rFonts w:ascii="Calibri" w:eastAsiaTheme="minorHAnsi" w:hAnsi="Calibri" w:cs="Calibri"/>
          <w:color w:val="000000" w:themeColor="text1"/>
        </w:rPr>
        <w:t xml:space="preserve"> guidelines, but the </w:t>
      </w:r>
      <w:proofErr w:type="spellStart"/>
      <w:r w:rsidRPr="00073666">
        <w:rPr>
          <w:rFonts w:ascii="Calibri" w:eastAsiaTheme="minorHAnsi" w:hAnsi="Calibri" w:cs="Calibri"/>
          <w:color w:val="000000" w:themeColor="text1"/>
        </w:rPr>
        <w:t>AspLFD</w:t>
      </w:r>
      <w:proofErr w:type="spellEnd"/>
      <w:r w:rsidRPr="00073666">
        <w:rPr>
          <w:rFonts w:ascii="Calibri" w:eastAsiaTheme="minorHAnsi" w:hAnsi="Calibri" w:cs="Calibri"/>
          <w:color w:val="000000" w:themeColor="text1"/>
        </w:rPr>
        <w:t xml:space="preserve"> is not </w:t>
      </w:r>
      <w:r w:rsidR="001E7194" w:rsidRPr="00073666">
        <w:rPr>
          <w:rFonts w:ascii="Calibri" w:eastAsiaTheme="minorHAnsi" w:hAnsi="Calibri" w:cs="Calibri"/>
          <w:color w:val="000000" w:themeColor="text1"/>
        </w:rPr>
        <w:t xml:space="preserve">fully </w:t>
      </w:r>
      <w:proofErr w:type="spellStart"/>
      <w:r w:rsidR="001E7194" w:rsidRPr="00073666">
        <w:rPr>
          <w:rFonts w:ascii="Calibri" w:eastAsiaTheme="minorHAnsi" w:hAnsi="Calibri" w:cs="Calibri"/>
          <w:color w:val="000000" w:themeColor="text1"/>
        </w:rPr>
        <w:t>discussedas</w:t>
      </w:r>
      <w:proofErr w:type="spellEnd"/>
      <w:r w:rsidR="001E7194" w:rsidRPr="00073666">
        <w:rPr>
          <w:rFonts w:ascii="Calibri" w:eastAsiaTheme="minorHAnsi" w:hAnsi="Calibri" w:cs="Calibri"/>
          <w:color w:val="000000" w:themeColor="text1"/>
        </w:rPr>
        <w:t xml:space="preserve"> it was </w:t>
      </w:r>
      <w:r w:rsidRPr="00073666">
        <w:rPr>
          <w:rFonts w:ascii="Calibri" w:eastAsiaTheme="minorHAnsi" w:hAnsi="Calibri" w:cs="Calibri"/>
          <w:color w:val="000000" w:themeColor="text1"/>
        </w:rPr>
        <w:t xml:space="preserve">not </w:t>
      </w:r>
      <w:r w:rsidR="001E7194" w:rsidRPr="00073666">
        <w:rPr>
          <w:rFonts w:ascii="Calibri" w:eastAsiaTheme="minorHAnsi" w:hAnsi="Calibri" w:cs="Calibri"/>
          <w:color w:val="000000" w:themeColor="text1"/>
        </w:rPr>
        <w:t xml:space="preserve">yet </w:t>
      </w:r>
      <w:r w:rsidRPr="00073666">
        <w:rPr>
          <w:rFonts w:ascii="Calibri" w:eastAsiaTheme="minorHAnsi" w:hAnsi="Calibri" w:cs="Calibri"/>
          <w:color w:val="000000" w:themeColor="text1"/>
        </w:rPr>
        <w:t xml:space="preserve">commercially available at the time of writing </w:t>
      </w:r>
      <w:r w:rsidRPr="00073666">
        <w:rPr>
          <w:rFonts w:ascii="Calibri" w:eastAsiaTheme="minorHAnsi" w:hAnsi="Calibri" w:cs="Calibri"/>
          <w:color w:val="000000" w:themeColor="text1"/>
        </w:rPr>
        <w:fldChar w:fldCharType="begin" w:fldLock="1"/>
      </w:r>
      <w:r w:rsidR="007E648C" w:rsidRPr="00073666">
        <w:rPr>
          <w:rFonts w:ascii="Calibri" w:eastAsiaTheme="minorHAnsi" w:hAnsi="Calibri" w:cs="Calibri"/>
          <w:color w:val="000000" w:themeColor="text1"/>
        </w:rPr>
        <w:instrText>ADDIN CSL_CITATION {"citationItems":[{"id":"ITEM-1","itemData":{"DOI":"10.1016/j.cmi.2018.01.002","ISSN":"14690691","abstract":"The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Infection","id":"ITEM-1","issued":{"date-parts":[["2018"]]},"page":"e1-e38","title":"Diagnosis and management of Aspergillus diseases: executive summary of the 2017 ESCMID-ECMM-ERS guideline","type":"article-journal","volume":"24"},"uris":["http://www.mendeley.com/documents/?uuid=45c620bd-4cc5-4c6a-b726-5898eba213c9"]}],"mendeley":{"formattedCitation":"[25]","plainTextFormattedCitation":"[25]","previouslyFormattedCitation":"[26]"},"properties":{"noteIndex":0},"schema":"https://github.com/citation-style-language/schema/raw/master/csl-citation.json"}</w:instrText>
      </w:r>
      <w:r w:rsidRPr="00073666">
        <w:rPr>
          <w:rFonts w:ascii="Calibri" w:eastAsiaTheme="minorHAnsi" w:hAnsi="Calibri" w:cs="Calibri"/>
          <w:color w:val="000000" w:themeColor="text1"/>
        </w:rPr>
        <w:fldChar w:fldCharType="separate"/>
      </w:r>
      <w:r w:rsidR="007E648C" w:rsidRPr="00073666">
        <w:rPr>
          <w:rFonts w:ascii="Calibri" w:eastAsiaTheme="minorHAnsi" w:hAnsi="Calibri" w:cs="Calibri"/>
          <w:noProof/>
          <w:color w:val="000000" w:themeColor="text1"/>
        </w:rPr>
        <w:t>[25]</w:t>
      </w:r>
      <w:r w:rsidRPr="00073666">
        <w:rPr>
          <w:rFonts w:ascii="Calibri" w:eastAsiaTheme="minorHAnsi" w:hAnsi="Calibri" w:cs="Calibri"/>
          <w:color w:val="000000" w:themeColor="text1"/>
        </w:rPr>
        <w:fldChar w:fldCharType="end"/>
      </w:r>
      <w:r w:rsidRPr="00073666">
        <w:rPr>
          <w:rFonts w:ascii="Calibri" w:eastAsiaTheme="minorHAnsi" w:hAnsi="Calibri" w:cs="Calibri"/>
          <w:color w:val="000000" w:themeColor="text1"/>
        </w:rPr>
        <w:t xml:space="preserve">. The guidelines also endorse the use of serum </w:t>
      </w:r>
      <w:r w:rsidRPr="00073666">
        <w:rPr>
          <w:rFonts w:ascii="Calibri" w:hAnsi="Calibri" w:cs="Calibri"/>
          <w:color w:val="000000" w:themeColor="text1"/>
        </w:rPr>
        <w:t xml:space="preserve">galactomannan (with a cut-off of </w:t>
      </w:r>
      <w:r w:rsidRPr="00073666">
        <w:rPr>
          <w:rFonts w:ascii="Calibri" w:eastAsiaTheme="minorHAnsi" w:hAnsi="Calibri" w:cs="Calibri"/>
          <w:color w:val="000000" w:themeColor="text1"/>
        </w:rPr>
        <w:t>≥ 0.5</w:t>
      </w:r>
      <w:r w:rsidRPr="00073666">
        <w:rPr>
          <w:rFonts w:ascii="Calibri" w:hAnsi="Calibri" w:cs="Calibri"/>
          <w:color w:val="000000" w:themeColor="text1"/>
        </w:rPr>
        <w:t>) bu</w:t>
      </w:r>
      <w:r w:rsidR="001E7194" w:rsidRPr="00073666">
        <w:rPr>
          <w:rFonts w:ascii="Calibri" w:hAnsi="Calibri" w:cs="Calibri"/>
          <w:color w:val="000000" w:themeColor="text1"/>
        </w:rPr>
        <w:t>t note</w:t>
      </w:r>
      <w:r w:rsidRPr="00073666">
        <w:rPr>
          <w:rFonts w:ascii="Calibri" w:hAnsi="Calibri" w:cs="Calibri"/>
          <w:color w:val="000000" w:themeColor="text1"/>
        </w:rPr>
        <w:t xml:space="preserve"> that it is less sensitive in non-neutropenic patients.</w:t>
      </w:r>
    </w:p>
    <w:p w14:paraId="36EB2738" w14:textId="0F824B5C" w:rsidR="00065E52" w:rsidRPr="00073666" w:rsidRDefault="00065E52" w:rsidP="00065E52">
      <w:pPr>
        <w:pStyle w:val="NormalWeb"/>
        <w:rPr>
          <w:rFonts w:ascii="Calibri" w:eastAsiaTheme="minorHAnsi" w:hAnsi="Calibri" w:cs="Calibri"/>
          <w:b/>
          <w:color w:val="000000" w:themeColor="text1"/>
          <w:sz w:val="22"/>
          <w:szCs w:val="22"/>
        </w:rPr>
      </w:pPr>
    </w:p>
    <w:p w14:paraId="36F62BD0" w14:textId="3801F51E" w:rsidR="00065E52" w:rsidRPr="00073666" w:rsidRDefault="00065E52" w:rsidP="00065E52">
      <w:pPr>
        <w:rPr>
          <w:rFonts w:ascii="Calibri" w:hAnsi="Calibri" w:cs="Calibri"/>
          <w:b/>
        </w:rPr>
      </w:pPr>
      <w:r w:rsidRPr="00073666">
        <w:rPr>
          <w:rFonts w:ascii="Calibri" w:hAnsi="Calibri" w:cs="Calibri"/>
          <w:b/>
        </w:rPr>
        <w:t>1.3 Standard of Care</w:t>
      </w:r>
    </w:p>
    <w:p w14:paraId="1491C318" w14:textId="77777777" w:rsidR="00065E52" w:rsidRPr="00073666" w:rsidRDefault="00065E52" w:rsidP="00065E52">
      <w:pPr>
        <w:pStyle w:val="NormalWeb"/>
        <w:rPr>
          <w:rFonts w:ascii="Calibri" w:eastAsiaTheme="minorHAnsi" w:hAnsi="Calibri" w:cs="Calibri"/>
          <w:b/>
          <w:color w:val="000000" w:themeColor="text1"/>
        </w:rPr>
      </w:pPr>
    </w:p>
    <w:p w14:paraId="413A4FD1" w14:textId="5A137137" w:rsidR="00065E52" w:rsidRPr="00073666" w:rsidRDefault="00065E52" w:rsidP="00065E52">
      <w:pPr>
        <w:pStyle w:val="NormalWeb"/>
        <w:rPr>
          <w:rFonts w:ascii="Calibri" w:eastAsiaTheme="minorHAnsi" w:hAnsi="Calibri" w:cs="Calibri"/>
          <w:color w:val="000000" w:themeColor="text1"/>
        </w:rPr>
      </w:pPr>
      <w:r w:rsidRPr="00073666">
        <w:rPr>
          <w:rFonts w:ascii="Calibri" w:eastAsiaTheme="minorHAnsi" w:hAnsi="Calibri" w:cs="Calibri"/>
          <w:b/>
          <w:color w:val="000000" w:themeColor="text1"/>
        </w:rPr>
        <w:t>Standard of care:</w:t>
      </w:r>
      <w:r w:rsidRPr="00073666">
        <w:rPr>
          <w:rFonts w:ascii="Calibri" w:hAnsi="Calibri" w:cs="Calibri"/>
          <w:b/>
          <w:color w:val="000000" w:themeColor="text1"/>
        </w:rPr>
        <w:t xml:space="preserve"> Severe influenza</w:t>
      </w:r>
    </w:p>
    <w:p w14:paraId="7514E581" w14:textId="22BC3D12" w:rsidR="00065E52" w:rsidRPr="00073666" w:rsidRDefault="00065E52" w:rsidP="00065E52">
      <w:pPr>
        <w:rPr>
          <w:rFonts w:ascii="Calibri" w:hAnsi="Calibri" w:cs="Calibri"/>
          <w:color w:val="000000" w:themeColor="text1"/>
          <w:szCs w:val="22"/>
        </w:rPr>
      </w:pPr>
      <w:r w:rsidRPr="00073666">
        <w:rPr>
          <w:rFonts w:ascii="Calibri" w:hAnsi="Calibri" w:cs="Calibri"/>
          <w:color w:val="000000" w:themeColor="text1"/>
          <w:szCs w:val="22"/>
        </w:rPr>
        <w:t xml:space="preserve">Treatment of severe influenza revolves around supportive care, treatment with </w:t>
      </w:r>
      <w:r w:rsidRPr="00073666">
        <w:rPr>
          <w:rFonts w:ascii="Calibri" w:eastAsiaTheme="minorHAnsi" w:hAnsi="Calibri" w:cs="Calibri"/>
          <w:color w:val="000000" w:themeColor="text1"/>
          <w:szCs w:val="22"/>
        </w:rPr>
        <w:t xml:space="preserve">neuraminidase inhibitors (NAIs) and identification and treatment of secondary complications. </w:t>
      </w:r>
      <w:r w:rsidRPr="00073666">
        <w:rPr>
          <w:rFonts w:ascii="Calibri" w:hAnsi="Calibri" w:cs="Calibri"/>
          <w:color w:val="000000" w:themeColor="text1"/>
          <w:szCs w:val="22"/>
        </w:rPr>
        <w:t>A proportion of patients with respiratory failure secondary to severe influenza will require intubation ventilation. Where respiratory failure is unresponsive to conventional measures, referral to an ECMO centre may be considered if the respiratory failure is considered potentially reversible</w:t>
      </w:r>
      <w:r w:rsidRPr="00073666">
        <w:rPr>
          <w:rFonts w:ascii="Calibri" w:hAnsi="Calibri" w:cs="Calibri"/>
          <w:b/>
          <w:color w:val="000000" w:themeColor="text1"/>
          <w:szCs w:val="22"/>
        </w:rPr>
        <w:fldChar w:fldCharType="begin" w:fldLock="1"/>
      </w:r>
      <w:r w:rsidRPr="00073666">
        <w:rPr>
          <w:rFonts w:ascii="Calibri" w:hAnsi="Calibri" w:cs="Calibri"/>
          <w:b/>
          <w:color w:val="000000" w:themeColor="text1"/>
          <w:szCs w:val="22"/>
        </w:rPr>
        <w:instrText>ADDIN CSL_CITATION {"citationItems":[{"id":"ITEM-1","itemData":{"DOI":"10.4103/0971-9784.197820","ISSN":"0971-9784","abstract":"© 2017 Annals of Cardiac Anaesthesia Published by Wolters Kluwer - Medknow. Introduction: Extracorporeal membrane oxygenation (ECMO) has been extensively used for potentially reversible acute respiratory failure associated with severe influenza A (H1N1) pneumonia; however, it remains an expensive, resource-intensive therapy, with a high associated mortality. This systematic review and meta-analysis aims to summarize and pool outcomes data available in the published literature to guide clinical decision-making and further research. Methods: We conducted a systematic search of MEDLINE (1966 to April 15, 2015), EMBASE (1980 to April 15, 2015), CENTRAL, and Google Scholar for patients with severe H1N1 pneumonia and respiratory failure who received ECMO. The study validity was appraised by Newcastle-Ottawa Scale. The primary outcome was all-cause mortality. The secondary outcomes were duration of ECMO therapy, mechanical ventilation, and Intensive Care Unit (ICU) length of stay. Results: Of 698 abstracts screened and 142 full-text articles reviewed, we included 13 studies with a total of 494 patients receiving ECMO in our final review and meta-analysis. The study validity was satisfactory. The overall mortality was 37.1% (95% confidence interval: 30-45%) limited by underlying heterogeneity (I 2 = 65%, P value of Q statistic = 0.006). The median duration for ECMO was 10 days, mechanical ventilation was 19 days, and ICU length of stay was 33 days. Exploratory meta-regression did not identify any statistically significant moderator of mortality (P  &lt;  0.05), except for the duration of pre-ECMO mechanical ventilation in days (coefficient 0.19, standard error: 0.09, Z = 2.01, P  &lt;  0.04, R 2 = 0.16). The visual inspection of funnel plots did not suggest the presence of publication bias. Conclusions: ECMO therapy may be used as an adjunct or salvage therapy for severe H1N1 pneumonia with respiratory failure. It is associated with a prolonged duration of ventilator support, ICU length of stay, and high mortality. Initiating ECMO early once the patient has been instituted on mechanical ventilation may result in improved survival.","author":[{"dropping-particle":"","family":"Sukhal","given":"Shashvat","non-dropping-particle":"","parse-names":false,"suffix":""},{"dropping-particle":"","family":"Sethi","given":"Jaskaran","non-dropping-particle":"","parse-names":false,"suffix":""},{"dropping-particle":"","family":"Ganesh","given":"Malini","non-dropping-particle":"","parse-names":false,"suffix":""},{"dropping-particle":"","family":"Villablanca","given":"PedroA","non-dropping-particle":"","parse-names":false,"suffix":""},{"dropping-particle":"","family":"Malhotra","given":"AnitaK","non-dropping-particle":"","parse-names":false,"suffix":""},{"dropping-particle":"","family":"Ramakrishna","given":"Harish","non-dropping-particle":"","parse-names":false,"suffix":""}],"container-title":"Annals of Cardiac Anaesthesia","id":"ITEM-1","issue":"1","issued":{"date-parts":[["2017"]]},"page":"14","title":"Extracorporeal membrane oxygenation in severe influenza infection with respiratory failure: A systematic review and meta-analysis","type":"article-journal","volume":"20"},"uris":["http://www.mendeley.com/documents/?uuid=aa242837-e92f-4e78-8c02-0d482101574b"]}],"mendeley":{"formattedCitation":"[3]","plainTextFormattedCitation":"[3]","previouslyFormattedCitation":"[3]"},"properties":{"noteIndex":0},"schema":"https://github.com/citation-style-language/schema/raw/master/csl-citation.json"}</w:instrText>
      </w:r>
      <w:r w:rsidRPr="00073666">
        <w:rPr>
          <w:rFonts w:ascii="Calibri" w:hAnsi="Calibri" w:cs="Calibri"/>
          <w:b/>
          <w:color w:val="000000" w:themeColor="text1"/>
          <w:szCs w:val="22"/>
        </w:rPr>
        <w:fldChar w:fldCharType="separate"/>
      </w:r>
      <w:r w:rsidRPr="00073666">
        <w:rPr>
          <w:rFonts w:ascii="Calibri" w:hAnsi="Calibri" w:cs="Calibri"/>
          <w:noProof/>
          <w:color w:val="000000" w:themeColor="text1"/>
          <w:szCs w:val="22"/>
        </w:rPr>
        <w:t>[3]</w:t>
      </w:r>
      <w:r w:rsidRPr="00073666">
        <w:rPr>
          <w:rFonts w:ascii="Calibri" w:hAnsi="Calibri" w:cs="Calibri"/>
          <w:b/>
          <w:color w:val="000000" w:themeColor="text1"/>
          <w:szCs w:val="22"/>
        </w:rPr>
        <w:fldChar w:fldCharType="end"/>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Large meta</w:t>
      </w:r>
      <w:r w:rsidRPr="00073666">
        <w:rPr>
          <w:rFonts w:ascii="Calibri" w:hAnsi="Calibri" w:cs="Calibri"/>
          <w:color w:val="000000" w:themeColor="text1"/>
          <w:szCs w:val="22"/>
        </w:rPr>
        <w:t>-</w:t>
      </w:r>
      <w:r w:rsidRPr="00073666">
        <w:rPr>
          <w:rFonts w:ascii="Calibri" w:eastAsia="Calibri" w:hAnsi="Calibri" w:cs="Calibri"/>
          <w:color w:val="000000" w:themeColor="text1"/>
          <w:szCs w:val="22"/>
        </w:rPr>
        <w:t>analysis</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of</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cohort</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data</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suggest</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that</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NAI</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use</w:t>
      </w:r>
      <w:r w:rsidRPr="00073666">
        <w:rPr>
          <w:rFonts w:ascii="Calibri" w:hAnsi="Calibri" w:cs="Calibri"/>
          <w:color w:val="000000" w:themeColor="text1"/>
          <w:szCs w:val="22"/>
        </w:rPr>
        <w:t xml:space="preserve"> (especially </w:t>
      </w:r>
      <w:r w:rsidRPr="00073666">
        <w:rPr>
          <w:rFonts w:ascii="Calibri" w:eastAsia="Calibri" w:hAnsi="Calibri" w:cs="Calibri"/>
          <w:color w:val="000000" w:themeColor="text1"/>
          <w:szCs w:val="22"/>
        </w:rPr>
        <w:t xml:space="preserve">within </w:t>
      </w:r>
      <w:r w:rsidRPr="00073666">
        <w:rPr>
          <w:rFonts w:ascii="Calibri" w:hAnsi="Calibri" w:cs="Calibri"/>
          <w:color w:val="000000" w:themeColor="text1"/>
          <w:szCs w:val="22"/>
        </w:rPr>
        <w:t>48</w:t>
      </w:r>
      <w:r w:rsidRPr="00073666">
        <w:rPr>
          <w:rFonts w:ascii="Calibri" w:eastAsia="Calibri" w:hAnsi="Calibri" w:cs="Calibri"/>
          <w:color w:val="000000" w:themeColor="text1"/>
          <w:szCs w:val="22"/>
        </w:rPr>
        <w:t>H</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of</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symptoms)</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may</w:t>
      </w:r>
      <w:r w:rsidRPr="00073666">
        <w:rPr>
          <w:rFonts w:ascii="Calibri" w:hAnsi="Calibri" w:cs="Calibri"/>
          <w:color w:val="000000" w:themeColor="text1"/>
          <w:szCs w:val="22"/>
        </w:rPr>
        <w:t xml:space="preserve"> significantly </w:t>
      </w:r>
      <w:r w:rsidRPr="00073666">
        <w:rPr>
          <w:rFonts w:ascii="Calibri" w:eastAsia="Calibri" w:hAnsi="Calibri" w:cs="Calibri"/>
          <w:color w:val="000000" w:themeColor="text1"/>
          <w:szCs w:val="22"/>
        </w:rPr>
        <w:t>reduce</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mortality</w:t>
      </w:r>
      <w:r w:rsidRPr="00073666">
        <w:rPr>
          <w:rFonts w:ascii="Calibri" w:hAnsi="Calibri" w:cs="Calibri"/>
          <w:color w:val="000000" w:themeColor="text1"/>
          <w:szCs w:val="22"/>
        </w:rPr>
        <w:t xml:space="preserve"> </w:t>
      </w:r>
      <w:r w:rsidRPr="00073666">
        <w:rPr>
          <w:rFonts w:ascii="Calibri" w:eastAsia="Calibri" w:hAnsi="Calibri" w:cs="Calibri"/>
          <w:color w:val="000000" w:themeColor="text1"/>
          <w:szCs w:val="22"/>
        </w:rPr>
        <w:t>in patients with severe influenza</w:t>
      </w:r>
      <w:r w:rsidRPr="00073666">
        <w:rPr>
          <w:rFonts w:ascii="Calibri" w:hAnsi="Calibri" w:cs="Calibri"/>
          <w:color w:val="000000" w:themeColor="text1"/>
          <w:szCs w:val="22"/>
        </w:rPr>
        <w:fldChar w:fldCharType="begin" w:fldLock="1"/>
      </w:r>
      <w:r w:rsidR="007E648C" w:rsidRPr="00073666">
        <w:rPr>
          <w:rFonts w:ascii="Calibri" w:hAnsi="Calibri" w:cs="Calibri"/>
          <w:color w:val="000000" w:themeColor="text1"/>
          <w:szCs w:val="22"/>
        </w:rPr>
        <w:instrText>ADDIN CSL_CITATION {"citationItems":[{"id":"ITEM-1","itemData":{"DOI":"10.1016/S2213-2600(14)70041-4","ISBN":"2213-2600","ISSN":"22132619","PMID":"24815805","abstract":"Background: Neuraminidase inhibitors were widely used during the 2009-10 influenza A H1N1 pandemic, but evidence for their eff ectiveness in reducing mortality is uncertain. We did a meta-analysis of individual participant data to investigate the association between use of neuraminidase inhibitors and mortality in patients admitted to hospital with pandemic influenza A H1N1pdm09 virus infection. Methods: We assembled data for patients (all ages) admitted to hospital worldwide with laboratory confi rmed or clinically diagnosed pandemic influenza A H1N1pdm09 virus infection. We identifi ed potential data contributors from an earlier systematic review of reported studies addressing the same research question. In our systematic review, eligible studies were done between March 1, 2009 (Mexico), or April 1, 2009 (rest of the world), until the WHO declaration of the end of the pandemic (Aug 10, 2010); however, we continued to receive data up to March 14, 2011, from ongoing studies. We did a meta-analysis of individual participant data to assess the association between neuraminidase inhibitor treatment and mortality (primary outcome), adjusting for both treatment propensity and potential confounders, using generalised linear mixed modelling. We assessed the association with time to treatment using time-dependent Cox regression shared frailty modelling. Findings: We included data for 29 234 patients from 78 studies of patients admitted to hospital between Jan 2, 2009, and March 14, 2011. Compared with no treatment, neuraminidase inhibitor treatment (irrespective of timing) was associated with a reduction in mortality risk (adjusted odds ratio [OR] 0.81; 95% CI 0.70-0.93; p=0.0024). Compared with later treatment, early treatment (within 2 days of symptom onset) was associated with a reduction in mortality risk (adjusted OR 0.48; 95% CI 0.41-0.56; p&lt;0.0001). Early treatment versus no treatment was also associated with a reduction in mortality (adjusted OR 0.50; 95% CI 0.37-0.67; p&lt;0.0001). These associations with reduced mortality risk were less pronounced and not signifi cant in children. There was an increase in the mortality hazard rate with each day's delay in initiation of treatment up to day 5 as compared with treatment initiated within 2 days of symptom onset (adjusted hazard ratio [HR 1.23] [95% CI 1.18-1.28]; p&lt;0.0001 for the increasing HR with each day's delay). Interpretation We advocate early instigation of neuraminidase inhibitor treatment in adults a…","author":[{"dropping-particle":"","family":"Muthuri","given":"Stella G.","non-dropping-particle":"","parse-names":false,"suffix":""},{"dropping-particle":"","family":"Venkatesan","given":"Sudhir","non-dropping-particle":"","parse-names":false,"suffix":""},{"dropping-particle":"","family":"Myles","given":"Puja R.","non-dropping-particle":"","parse-names":false,"suffix":""},{"dropping-particle":"","family":"Leonardi-Bee","given":"Jo","non-dropping-particle":"","parse-names":false,"suffix":""},{"dropping-particle":"","family":"Khuwaitir","given":"Tarig S.A.","non-dropping-particle":"Al","parse-names":false,"suffix":""},{"dropping-particle":"","family":"Mamun","given":"Adbullah","non-dropping-particle":"Al","parse-names":false,"suffix":""},{"dropping-particle":"","family":"Anovadiya","given":"Ashish P.","non-dropping-particle":"","parse-names":false,"suffix":""},{"dropping-particle":"","family":"Azziz-Baumgartner","given":"Eduardo","non-dropping-particle":"","parse-names":false,"suffix":""},{"dropping-particle":"","family":"Báez","given":"Clarisa","non-dropping-particle":"","parse-names":false,"suffix":""},{"dropping-particle":"","family":"Bassetti","given":"Matteo","non-dropping-particle":"","parse-names":false,"suffix":""},{"dropping-particle":"","family":"Beovic","given":"Bojana","non-dropping-particle":"","parse-names":false,"suffix":""},{"dropping-particle":"","family":"Bertisch","given":"Barbara","non-dropping-particle":"","parse-names":false,"suffix":""},{"dropping-particle":"","family":"Bonmarin","given":"Isabelle","non-dropping-particle":"","parse-names":false,"suffix":""},{"dropping-particle":"","family":"Booy","given":"Robert","non-dropping-particle":"","parse-names":false,"suffix":""},{"dropping-particle":"","family":"Borja-Aburto","given":"Victor H.","non-dropping-particle":"","parse-names":false,"suffix":""},{"dropping-particle":"","family":"Burgmann","given":"Heinz","non-dropping-particle":"","parse-names":false,"suffix":""},{"dropping-particle":"","family":"Cao","given":"Bin","non-dropping-particle":"","parse-names":false,"suffix":""},{"dropping-particle":"","family":"Carratala","given":"Jordi","non-dropping-particle":"","parse-names":false,"suffix":""},{"dropping-particle":"","family":"Denholm","given":"Justin T.","non-dropping-particle":"","parse-names":false,"suffix":""},{"dropping-particle":"","family":"Dominguez","given":"Samuel R.","non-dropping-particle":"","parse-names":false,"suffix":""},{"dropping-particle":"","family":"Duarte","given":"Pericles A.D.","non-dropping-particle":"","parse-names":false,"suffix":""},{"dropping-particle":"","family":"Dubnov-Raz","given":"Gal","non-dropping-particle":"","parse-names":false,"suffix":""},{"dropping-particle":"","family":"Echavarria","given":"Marcela","non-dropping-particle":"","parse-names":false,"suffix":""},{"dropping-particle":"","family":"Fanella","given":"Sergio","non-dropping-particle":"","parse-names":false,"suffix":""},{"dropping-particle":"","family":"Gao","given":"Zhancheng","non-dropping-particle":"","parse-names":false,"suffix":""},{"dropping-particle":"","family":"Gérardin","given":"Patrick","non-dropping-particle":"","parse-names":false,"suffix":""},{"dropping-particle":"","family":"Giannella","given":"Maddalena","non-dropping-particle":"","parse-names":false,"suffix":""},{"dropping-particle":"","family":"Gubbels","given":"Sophie","non-dropping-particle":"","parse-names":false,"suffix":""},{"dropping-particle":"","family":"Herberg","given":"Jethro","non-dropping-particle":"","parse-names":false,"suffix":""},{"dropping-particle":"","family":"Higuera Iglesias","given":"Anjarath L.","non-dropping-particle":"","parse-names":false,"suffix":""},{"dropping-particle":"","family":"Hoger","given":"Peter H.","non-dropping-particle":"","parse-names":false,"suffix":""},{"dropping-particle":"","family":"Hu","given":"Xiaoyun","non-dropping-particle":"","parse-names":false,"suffix":""},{"dropping-particle":"","family":"Islam","given":"Quazi T.","non-dropping-particle":"","parse-names":false,"suffix":""},{"dropping-particle":"","family":"Jiménez","given":"Mirela F.","non-dropping-particle":"","parse-names":false,"suffix":""},{"dropping-particle":"","family":"Kandeel","given":"Amr","non-dropping-particle":"","parse-names":false,"suffix":""},{"dropping-particle":"","family":"Keijzers","given":"Gerben","non-dropping-particle":"","parse-names":false,"suffix":""},{"dropping-particle":"","family":"Khalili","given":"Hossein","non-dropping-particle":"","parse-names":false,"suffix":""},{"dropping-particle":"","family":"Knight","given":"Marian","non-dropping-particle":"","parse-names":false,"suffix":""},{"dropping-particle":"","family":"Kudo","given":"Koichiro","non-dropping-particle":"","parse-names":false,"suffix":""},{"dropping-particle":"","family":"Kusznierz","given":"Gabriela","non-dropping-particle":"","parse-names":false,"suffix":""},{"dropping-particle":"","family":"Kuzman","given":"Ilija","non-dropping-particle":"","parse-names":false,"suffix":""},{"dropping-particle":"","family":"Kwan","given":"Arthur M.C.","non-dropping-particle":"","parse-names":false,"suffix":""},{"dropping-particle":"","family":"Amine","given":"Idriss Lahlou","non-dropping-particle":"","parse-names":false,"suffix":""},{"dropping-particle":"","family":"Langenegger","given":"Eduard","non-dropping-particle":"","parse-names":false,"suffix":""},{"dropping-particle":"","family":"Lankarani","given":"Kamran B.","non-dropping-particle":"","parse-names":false,"suffix":""},{"dropping-particle":"","family":"Leo","given":"Yee Sin","non-dropping-particle":"","parse-names":false,"suffix":""},{"dropping-particle":"","family":"Linko","given":"Rita","non-dropping-particle":"","parse-names":false,"suffix":""},{"dropping-particle":"","family":"Liu","given":"Pei","non-dropping-particle":"","parse-names":false,"suffix":""},{"dropping-particle":"","family":"Madanat","given":"Faris","non-dropping-particle":"","parse-names":false,"suffix":""},{"dropping-particle":"","family":"Mayo-Montero","given":"Elga","non-dropping-particle":"","parse-names":false,"suffix":""},{"dropping-particle":"","family":"McGeer","given":"Allison","non-dropping-particle":"","parse-names":false,"suffix":""},{"dropping-particle":"","family":"Memish","given":"Ziad","non-dropping-particle":"","parse-names":false,"suffix":""},{"dropping-particle":"","family":"Metan","given":"Gokhan","non-dropping-particle":"","parse-names":false,"suffix":""},{"dropping-particle":"","family":"Mickiene","given":"Aukse","non-dropping-particle":"","parse-names":false,"suffix":""},{"dropping-particle":"","family":"Mikic","given":"Dragan","non-dropping-particle":"","parse-names":false,"suffix":""},{"dropping-particle":"","family":"Mohn","given":"Kristin G.I.","non-dropping-particle":"","parse-names":false,"suffix":""},{"dropping-particle":"","family":"Moradi","given":"Ahmadreza","non-dropping-particle":"","parse-names":false,"suffix":""},{"dropping-particle":"","family":"Nymadawa","given":"Pagbajabyn","non-dropping-particle":"","parse-names":false,"suffix":""},{"dropping-particle":"","family":"Oliva","given":"Maria E.","non-dropping-particle":"","parse-names":false,"suffix":""},{"dropping-particle":"","family":"Ozkan","given":"Mehpare","non-dropping-particle":"","parse-names":false,"suffix":""},{"dropping-particle":"","family":"Parekh","given":"Dhruv","non-dropping-particle":"","parse-names":false,"suffix":""},{"dropping-particle":"","family":"Paul","given":"Mical","non-dropping-particle":"","parse-names":false,"suffix":""},{"dropping-particle":"","family":"Polack","given":"Fernando P.","non-dropping-particle":"","parse-names":false,"suffix":""},{"dropping-particle":"","family":"Rath","given":"Barbara A.","non-dropping-particle":"","parse-names":false,"suffix":""},{"dropping-particle":"","family":"Rodríguez","given":"Alejandro H.","non-dropping-particle":"","parse-names":false,"suffix":""},{"dropping-particle":"","family":"Sarrouf","given":"Elena B.","non-dropping-particle":"","parse-names":false,"suffix":""},{"dropping-particle":"","family":"Seale","given":"Anna C.","non-dropping-particle":"","parse-names":false,"suffix":""},{"dropping-particle":"","family":"Sertogullarindan","given":"Bunyamin","non-dropping-particle":"","parse-names":false,"suffix":""},{"dropping-particle":"","family":"Siqueira","given":"Marilda M.","non-dropping-particle":"","parse-names":false,"suffix":""},{"dropping-particle":"","family":"Skret-Magierlo","given":"Joanna","non-dropping-particle":"","parse-names":false,"suffix":""},{"dropping-particle":"","family":"Stephan","given":"Frank","non-dropping-particle":"","parse-names":false,"suffix":""},{"dropping-particle":"","family":"Talarek","given":"Ewa","non-dropping-particle":"","parse-names":false,"suffix":""},{"dropping-particle":"","family":"Tang","given":"Julian W.","non-dropping-particle":"","parse-names":false,"suffix":""},{"dropping-particle":"","family":"To","given":"Kelvin K.W.","non-dropping-particle":"","parse-names":false,"suffix":""},{"dropping-particle":"","family":"Torres","given":"Antoni","non-dropping-particle":"","parse-names":false,"suffix":""},{"dropping-particle":"","family":"Törün","given":"Selda H.","non-dropping-particle":"","parse-names":false,"suffix":""},{"dropping-particle":"","family":"Tran","given":"Dat","non-dropping-particle":"","parse-names":false,"suffix":""},{"dropping-particle":"","family":"Uyeki","given":"Timothy M.","non-dropping-particle":"","parse-names":false,"suffix":""},{"dropping-particle":"","family":"Zwol","given":"Annelies","non-dropping-particle":"van","parse-names":false,"suffix":""},{"dropping-particle":"","family":"Vaudry","given":"Wendy","non-dropping-particle":"","parse-names":false,"suffix":""},{"dropping-particle":"","family":"Vidmar","given":"Tjasa","non-dropping-particle":"","parse-names":false,"suffix":""},{"dropping-particle":"","family":"Yokota","given":"Renata T.C.","non-dropping-particle":"","parse-names":false,"suffix":""},{"dropping-particle":"","family":"Zarogoulidis","given":"Paul","non-dropping-particle":"","parse-names":false,"suffix":""},{"dropping-particle":"","family":"Nguyen-van-Tam","given":"Jonathan S.","non-dropping-particle":"","parse-names":false,"suffix":""},{"dropping-particle":"","family":"Aguiar-Oliveira","given":"Maria de Lourdes","non-dropping-particle":"","parse-names":false,"suffix":""},{"dropping-particle":"","family":"Masri","given":"Malakita","non-dropping-particle":"Al","parse-names":false,"suffix":""},{"dropping-particle":"","family":"Amin","given":"Robed","non-dropping-particle":"","parse-names":false,"suffix":""},{"dropping-particle":"","family":"Araújo","given":"Wildo N.","non-dropping-particle":"","parse-names":false,"suffix":""},{"dropping-particle":"","family":"Ballester-Orcal","given":"Elena","non-dropping-particle":"","parse-names":false,"suffix":""},{"dropping-particle":"","family":"Bantar","given":"Carlos","non-dropping-particle":"","parse-names":false,"suffix":""},{"dropping-particle":"","family":"Bao","given":"Jing","non-dropping-particle":"","parse-names":false,"suffix":""},{"dropping-particle":"","family":"Barhoush","given":"Mazen M.","non-dropping-particle":"","parse-names":false,"suffix":""},{"dropping-particle":"","family":"Basher","given":"Ariful","non-dropping-particle":"","parse-names":false,"suffix":""},{"dropping-particle":"","family":"Bautista","given":"Edgar","non-dropping-particle":"","parse-names":false,"suffix":""},{"dropping-particle":"","family":"Bettinger","given":"Julie","non-dropping-particle":"","parse-names":false,"suffix":""},{"dropping-particle":"","family":"Bingisser","given":"Roland","non-dropping-particle":"","parse-names":false,"suffix":""},{"dropping-particle":"","family":"Bouza","given":"Emilio","non-dropping-particle":"","parse-names":false,"suffix":""},{"dropping-particle":"","family":"Bozkurt","given":"Ilkay","non-dropping-particle":"","parse-names":false,"suffix":""},{"dropping-particle":"","family":"Celjuska-Tošev","given":"Elvira","non-dropping-particle":"","parse-names":false,"suffix":""},{"dropping-particle":"","family":"Chan","given":"Kenny K.C.","non-dropping-particle":"","parse-names":false,"suffix":""},{"dropping-particle":"","family":"Chen","given":"Yusheng","non-dropping-particle":"","parse-names":false,"suffix":""},{"dropping-particle":"","family":"Chinbayar","given":"Tserendorj","non-dropping-particle":"","parse-names":false,"suffix":""},{"dropping-particle":"","family":"Cilloniz","given":"Catia","non-dropping-particle":"","parse-names":false,"suffix":""},{"dropping-particle":"","family":"Cox","given":"Rebecca J.","non-dropping-particle":"","parse-names":false,"suffix":""},{"dropping-particle":"","family":"Cuezzo","given":"María R.","non-dropping-particle":"","parse-names":false,"suffix":""},{"dropping-particle":"","family":"Cui","given":"Wei","non-dropping-particle":"","parse-names":false,"suffix":""},{"dropping-particle":"","family":"Dashti-Khavidaki","given":"Simin","non-dropping-particle":"","parse-names":false,"suffix":""},{"dropping-particle":"","family":"du","given":"Bin","non-dropping-particle":"","parse-names":false,"suffix":""},{"dropping-particle":"","family":"Rhaffouli","given":"Hicham","non-dropping-particle":"El","parse-names":false,"suffix":""},{"dropping-particle":"","family":"Escobar","given":"Hernan","non-dropping-particle":"","parse-names":false,"suffix":""},{"dropping-particle":"","family":"Florek-Michalska","given":"Agnieszka","non-dropping-particle":"","parse-names":false,"suffix":""},{"dropping-particle":"","family":"Fraser","given":"James","non-dropping-particle":"","parse-names":false,"suffix":""},{"dropping-particle":"","family":"Gerrard","given":"John","non-dropping-particle":"","parse-names":false,"suffix":""},{"dropping-particle":"","family":"Gormley","given":"Stuart","non-dropping-particle":"","parse-names":false,"suffix":""},{"dropping-particle":"","family":"Götberg","given":"Sandra","non-dropping-particle":"","parse-names":false,"suffix":""},{"dropping-particle":"","family":"Hoffmann","given":"Matthias","non-dropping-particle":"","parse-names":false,"suffix":""},{"dropping-particle":"","family":"Honarvar","given":"Behnam","non-dropping-particle":"","parse-names":false,"suffix":""},{"dropping-particle":"","family":"Hu","given":"Jianmin","non-dropping-particle":"","parse-names":false,"suffix":""},{"dropping-particle":"","family":"Kemen","given":"Christoph","non-dropping-particle":"","parse-names":false,"suffix":""},{"dropping-particle":"","family":"Khandaker","given":"Gulam","non-dropping-particle":"","parse-names":false,"suffix":""},{"dropping-particle":"","family":"Koay","given":"Evelyn S.C.","non-dropping-particle":"","parse-names":false,"suffix":""},{"dropping-particle":"","family":"Kojic","given":"Miroslav","non-dropping-particle":"","parse-names":false,"suffix":""},{"dropping-particle":"","family":"Kyaw","given":"Win M.","non-dropping-particle":"","parse-names":false,"suffix":""},{"dropping-particle":"","family":"Leibovici","given":"Leonard","non-dropping-particle":"","parse-names":false,"suffix":""},{"dropping-particle":"","family":"Li","given":"Hongru","non-dropping-particle":"","parse-names":false,"suffix":""},{"dropping-particle":"","family":"Li","given":"Xiao Li","non-dropping-particle":"","parse-names":false,"suffix":""},{"dropping-particle":"","family":"Libster","given":"Romina","non-dropping-particle":"","parse-names":false,"suffix":""},{"dropping-particle":"","family":"Loh","given":"Tze P.","non-dropping-particle":"","parse-names":false,"suffix":""},{"dropping-particle":"","family":"Macbeth","given":"Deborough","non-dropping-particle":"","parse-names":false,"suffix":""},{"dropping-particle":"","family":"Maltezos","given":"Efstratios","non-dropping-particle":"","parse-names":false,"suffix":""},{"dropping-particle":"","family":"Manabe","given":"Toshie","non-dropping-particle":"","parse-names":false,"suffix":""},{"dropping-particle":"","family":"Marcone","given":"Débora N.","non-dropping-particle":"","parse-names":false,"suffix":""},{"dropping-particle":"","family":"Marczynska","given":"Magdalena","non-dropping-particle":"","parse-names":false,"suffix":""},{"dropping-particle":"","family":"Mastalir","given":"Fabiane P.","non-dropping-particle":"","parse-names":false,"suffix":""},{"dropping-particle":"","family":"Moghadami","given":"Mohsen","non-dropping-particle":"","parse-names":false,"suffix":""},{"dropping-particle":"","family":"Moriconi","given":"Lilian","non-dropping-particle":"","parse-names":false,"suffix":""},{"dropping-particle":"","family":"Ozbay","given":"Bulent","non-dropping-particle":"","parse-names":false,"suffix":""},{"dropping-particle":"","family":"Pečavar","given":"Blaž","non-dropping-particle":"","parse-names":false,"suffix":""},{"dropping-particle":"","family":"Poeppl","given":"Wolfgang","non-dropping-particle":"","parse-names":false,"suffix":""},{"dropping-particle":"","family":"Poliquin","given":"Philippe G.","non-dropping-particle":"","parse-names":false,"suffix":""},{"dropping-particle":"","family":"Rahman","given":"Mahmudur","non-dropping-particle":"","parse-names":false,"suffix":""},{"dropping-particle":"","family":"Rascon-Pacheco","given":"Alberto","non-dropping-particle":"","parse-names":false,"suffix":""},{"dropping-particle":"","family":"Refaey","given":"Samir","non-dropping-particle":"","parse-names":false,"suffix":""},{"dropping-particle":"","family":"Schweiger","given":"Brunhilde","non-dropping-particle":"","parse-names":false,"suffix":""},{"dropping-particle":"","family":"Smith","given":"Fang G.","non-dropping-particle":"","parse-names":false,"suffix":""},{"dropping-particle":"","family":"Somer","given":"Ayper","non-dropping-particle":"","parse-names":false,"suffix":""},{"dropping-particle":"","family":"Souza","given":"Thiago M.L.","non-dropping-particle":"","parse-names":false,"suffix":""},{"dropping-particle":"","family":"Tabarsi","given":"Payam","non-dropping-particle":"","parse-names":false,"suffix":""},{"dropping-particle":"","family":"Tripathi","given":"Chandrabhanu B.","non-dropping-particle":"","parse-names":false,"suffix":""},{"dropping-particle":"","family":"Velyvyte","given":"Daiva","non-dropping-particle":"","parse-names":false,"suffix":""},{"dropping-particle":"","family":"Viasus","given":"Diego","non-dropping-particle":"","parse-names":false,"suffix":""},{"dropping-particle":"","family":"Yu","given":"Qin","non-dropping-particle":"","parse-names":false,"suffix":""},{"dropping-particle":"","family":"Yuen","given":"Kwok Yung","non-dropping-particle":"","parse-names":false,"suffix":""},{"dropping-particle":"","family":"Zhang","given":"Wei","non-dropping-particle":"","parse-names":false,"suffix":""},{"dropping-particle":"","family":"Zuo","given":"Wei","non-dropping-particle":"","parse-names":false,"suffix":""}],"container-title":"The Lancet Respiratory Medicine","id":"ITEM-1","issue":"5","issued":{"date-parts":[["2014"]]},"page":"395-404","title":"Effectiveness of neuraminidase inhibitors in reducing mortality in patients admitted to hospital with influenza A H1N1pdm09 virus infection: A meta-analysis of individual participant data","type":"article-journal","volume":"2"},"uris":["http://www.mendeley.com/documents/?uuid=d3ef84bd-56f8-4439-ac7b-eb5e96c81195"]}],"mendeley":{"formattedCitation":"[26]","plainTextFormattedCitation":"[26]","previouslyFormattedCitation":"[27]"},"properties":{"noteIndex":0},"schema":"https://github.com/citation-style-language/schema/raw/master/csl-citation.json"}</w:instrText>
      </w:r>
      <w:r w:rsidRPr="00073666">
        <w:rPr>
          <w:rFonts w:ascii="Calibri" w:hAnsi="Calibri" w:cs="Calibri"/>
          <w:color w:val="000000" w:themeColor="text1"/>
          <w:szCs w:val="22"/>
        </w:rPr>
        <w:fldChar w:fldCharType="separate"/>
      </w:r>
      <w:r w:rsidR="007E648C" w:rsidRPr="00073666">
        <w:rPr>
          <w:rFonts w:ascii="Calibri" w:hAnsi="Calibri" w:cs="Calibri"/>
          <w:noProof/>
          <w:color w:val="000000" w:themeColor="text1"/>
          <w:szCs w:val="22"/>
        </w:rPr>
        <w:t>[26]</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fldChar w:fldCharType="begin" w:fldLock="1"/>
      </w:r>
      <w:r w:rsidR="007E648C" w:rsidRPr="00073666">
        <w:rPr>
          <w:rFonts w:ascii="Calibri" w:hAnsi="Calibri" w:cs="Calibri"/>
          <w:color w:val="000000" w:themeColor="text1"/>
          <w:szCs w:val="22"/>
        </w:rPr>
        <w:instrText>ADDIN CSL_CITATION {"citationItems":[{"id":"ITEM-1","itemData":{"author":[{"dropping-particle":"","family":"Domínguez","given":"A.","non-dropping-particle":"","parse-names":false,"suffix":""},{"dropping-particle":"","family":"Romero-Tamarit","given":"N.","non-dropping-particle":"","parse-names":false,"suffix":""},{"dropping-particle":"","family":"Soldevila","given":"P.","non-dropping-particle":"","parse-names":false,"suffix":""},{"dropping-particle":"","family":"Godoy","given":"M.","non-dropping-particle":"","parse-names":false,"suffix":""},{"dropping-particle":"","family":"Jané","given":"A.","non-dropping-particle":"","parse-names":false,"suffix":""},{"dropping-particle":"","family":"Martínez","given":"N.","non-dropping-particle":"","parse-names":false,"suffix":""},{"dropping-particle":"","family":"Torner","given":"J.","non-dropping-particle":"","parse-names":false,"suffix":""},{"dropping-particle":"","family":"Caylà","given":"C.","non-dropping-particle":"","parse-names":false,"suffix":""}],"container-title":"Epidemiology and Infection","id":"ITEM-1","issue":"7","issued":{"date-parts":[["2018"]]},"page":"799-808","title":"Effectiveness of antiviral treatment in preventing death in hospitalized cases of severe influenza over six influenza seasons","type":"article-journal","volume":"146"},"uris":["http://www.mendeley.com/documents/?uuid=bd9d8ac8-a65d-47ea-9b4d-b8ac3299fab5"]}],"mendeley":{"formattedCitation":"[27]","plainTextFormattedCitation":"[27]","previouslyFormattedCitation":"[28]"},"properties":{"noteIndex":0},"schema":"https://github.com/citation-style-language/schema/raw/master/csl-citation.json"}</w:instrText>
      </w:r>
      <w:r w:rsidRPr="00073666">
        <w:rPr>
          <w:rFonts w:ascii="Calibri" w:hAnsi="Calibri" w:cs="Calibri"/>
          <w:color w:val="000000" w:themeColor="text1"/>
          <w:szCs w:val="22"/>
        </w:rPr>
        <w:fldChar w:fldCharType="separate"/>
      </w:r>
      <w:r w:rsidR="007E648C" w:rsidRPr="00073666">
        <w:rPr>
          <w:rFonts w:ascii="Calibri" w:hAnsi="Calibri" w:cs="Calibri"/>
          <w:noProof/>
          <w:color w:val="000000" w:themeColor="text1"/>
          <w:szCs w:val="22"/>
        </w:rPr>
        <w:t>[27]</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As such, both PHE </w:t>
      </w:r>
      <w:r w:rsidRPr="00073666">
        <w:rPr>
          <w:rFonts w:ascii="Calibri" w:eastAsiaTheme="minorHAnsi" w:hAnsi="Calibri" w:cs="Calibri"/>
          <w:color w:val="000000" w:themeColor="text1"/>
          <w:szCs w:val="22"/>
        </w:rPr>
        <w:fldChar w:fldCharType="begin" w:fldLock="1"/>
      </w:r>
      <w:r w:rsidR="007E648C" w:rsidRPr="00073666">
        <w:rPr>
          <w:rFonts w:ascii="Calibri" w:eastAsiaTheme="minorHAnsi" w:hAnsi="Calibri" w:cs="Calibri"/>
          <w:color w:val="000000" w:themeColor="text1"/>
          <w:szCs w:val="22"/>
        </w:rPr>
        <w:instrText>ADDIN CSL_CITATION {"citationItems":[{"id":"ITEM-1","itemData":{"URL":"PHE guidance on use of antiviral agents for the treatment and pr…","author":[{"dropping-particle":"","family":"Public Health England","given":"","non-dropping-particle":"","parse-names":false,"suffix":""}],"id":"ITEM-1","issue":"January","issued":{"date-parts":[["2019"]]},"page":"1-42","title":"PHE guidance on use of antiviral agents for the treatment and prophylaxis of seasonal influenza About Public Health England","type":"webpage"},"uris":["http://www.mendeley.com/documents/?uuid=bbd01fed-9ec7-4e33-8725-7d6ef190e3eb"]}],"mendeley":{"formattedCitation":"[28]","plainTextFormattedCitation":"[28]","previouslyFormattedCitation":"[29]"},"properties":{"noteIndex":0},"schema":"https://github.com/citation-style-language/schema/raw/master/csl-citation.json"}</w:instrText>
      </w:r>
      <w:r w:rsidRPr="00073666">
        <w:rPr>
          <w:rFonts w:ascii="Calibri" w:eastAsiaTheme="minorHAnsi" w:hAnsi="Calibri" w:cs="Calibri"/>
          <w:color w:val="000000" w:themeColor="text1"/>
          <w:szCs w:val="22"/>
        </w:rPr>
        <w:fldChar w:fldCharType="separate"/>
      </w:r>
      <w:r w:rsidR="007E648C" w:rsidRPr="00073666">
        <w:rPr>
          <w:rFonts w:ascii="Calibri" w:eastAsiaTheme="minorHAnsi" w:hAnsi="Calibri" w:cs="Calibri"/>
          <w:noProof/>
          <w:color w:val="000000" w:themeColor="text1"/>
          <w:szCs w:val="22"/>
        </w:rPr>
        <w:t>[28]</w:t>
      </w:r>
      <w:r w:rsidRPr="00073666">
        <w:rPr>
          <w:rFonts w:ascii="Calibri" w:eastAsiaTheme="minorHAnsi" w:hAnsi="Calibri" w:cs="Calibri"/>
          <w:color w:val="000000" w:themeColor="text1"/>
          <w:szCs w:val="22"/>
        </w:rPr>
        <w:fldChar w:fldCharType="end"/>
      </w:r>
      <w:r w:rsidRPr="00073666">
        <w:rPr>
          <w:rFonts w:ascii="Calibri" w:hAnsi="Calibri" w:cs="Calibri"/>
          <w:color w:val="000000" w:themeColor="text1"/>
          <w:szCs w:val="22"/>
        </w:rPr>
        <w:t xml:space="preserve"> and </w:t>
      </w:r>
      <w:r w:rsidRPr="00073666">
        <w:rPr>
          <w:rStyle w:val="Emphasis"/>
          <w:rFonts w:ascii="Calibri" w:eastAsiaTheme="majorEastAsia" w:hAnsi="Calibri" w:cs="Calibri"/>
          <w:bCs/>
          <w:i w:val="0"/>
          <w:iCs w:val="0"/>
          <w:color w:val="000000" w:themeColor="text1"/>
          <w:szCs w:val="22"/>
        </w:rPr>
        <w:t>Infectious Diseases Society</w:t>
      </w:r>
      <w:r w:rsidRPr="00073666">
        <w:rPr>
          <w:rStyle w:val="apple-converted-space"/>
          <w:rFonts w:ascii="Calibri" w:eastAsiaTheme="majorEastAsia" w:hAnsi="Calibri" w:cs="Calibri"/>
          <w:color w:val="000000" w:themeColor="text1"/>
          <w:szCs w:val="22"/>
          <w:shd w:val="clear" w:color="auto" w:fill="FFFFFF"/>
        </w:rPr>
        <w:t> </w:t>
      </w:r>
      <w:r w:rsidRPr="00073666">
        <w:rPr>
          <w:rFonts w:ascii="Calibri" w:hAnsi="Calibri" w:cs="Calibri"/>
          <w:color w:val="000000" w:themeColor="text1"/>
          <w:szCs w:val="22"/>
          <w:shd w:val="clear" w:color="auto" w:fill="FFFFFF"/>
        </w:rPr>
        <w:t>of America (IDSA)</w:t>
      </w:r>
      <w:r w:rsidRPr="00073666">
        <w:rPr>
          <w:rFonts w:ascii="Calibri" w:hAnsi="Calibri" w:cs="Calibri"/>
          <w:color w:val="000000" w:themeColor="text1"/>
          <w:szCs w:val="22"/>
        </w:rPr>
        <w:t xml:space="preserve"> </w:t>
      </w:r>
      <w:r w:rsidRPr="00073666">
        <w:rPr>
          <w:rFonts w:ascii="Calibri" w:hAnsi="Calibri" w:cs="Calibri"/>
          <w:color w:val="000000" w:themeColor="text1"/>
          <w:szCs w:val="22"/>
        </w:rPr>
        <w:fldChar w:fldCharType="begin" w:fldLock="1"/>
      </w:r>
      <w:r w:rsidR="007E648C" w:rsidRPr="00073666">
        <w:rPr>
          <w:rFonts w:ascii="Calibri" w:hAnsi="Calibri" w:cs="Calibri"/>
          <w:color w:val="000000" w:themeColor="text1"/>
          <w:szCs w:val="22"/>
        </w:rPr>
        <w:instrText>ADDIN CSL_CITATION {"citationItems":[{"id":"ITEM-1","itemData":{"DOI":"10.1093/cid/ciz044","ISSN":"15376591","abstract":"These clinical practice guidelines are an update of the guidelines published by the Infectious Diseases Society of America (IDSA) in 2009, prior to the 2009 H1N1 influenza pandemic. This document addresses new information regarding diagnostic testing, treatment and chemoprophylaxis with antiviral medications, and issues related to institutional outbreak management for seasonal influenza. It is intended for use by primary care clinicians, obstetricians, emergency medicine providers, hospitalists, laboratorians, and infectious disease specialists, as well as other clinicians managing patients with suspected or laboratory-confirmed influenza. The guidelines consider the care of children and adults, including special populations such as pregnant and postpartum women and immunocompromised patients.","author":[{"dropping-particle":"","family":"Uyeki","given":"T. M.","non-dropping-particle":"","parse-names":false,"suffix":""},{"dropping-particle":"","family":"Bernstein","given":"H. H.","non-dropping-particle":"","parse-names":false,"suffix":""},{"dropping-particle":"","family":"Bradley","given":"J. S.","non-dropping-particle":"","parse-names":false,"suffix":""}],"container-title":"Clinical Infectious Diseases","id":"ITEM-1","issue":"10","issued":{"date-parts":[["2019"]]},"page":"1790","title":"Clinical practice guidelines by the infectious diseases Society of America: 2018 update on diagnosis, treatment, chemoprophylaxis, and institutional outbreak management of seasonal influenza (Clinical Infectious Diseases DOI: 10.1093/cid/ciy866)","type":"article-journal","volume":"68"},"uris":["http://www.mendeley.com/documents/?uuid=e735136c-fbd7-4ceb-8ca6-9aa239fd02ed"]}],"mendeley":{"formattedCitation":"[29]","plainTextFormattedCitation":"[29]","previouslyFormattedCitation":"[30]"},"properties":{"noteIndex":0},"schema":"https://github.com/citation-style-language/schema/raw/master/csl-citation.json"}</w:instrText>
      </w:r>
      <w:r w:rsidRPr="00073666">
        <w:rPr>
          <w:rFonts w:ascii="Calibri" w:hAnsi="Calibri" w:cs="Calibri"/>
          <w:color w:val="000000" w:themeColor="text1"/>
          <w:szCs w:val="22"/>
        </w:rPr>
        <w:fldChar w:fldCharType="separate"/>
      </w:r>
      <w:r w:rsidR="007E648C" w:rsidRPr="00073666">
        <w:rPr>
          <w:rFonts w:ascii="Calibri" w:hAnsi="Calibri" w:cs="Calibri"/>
          <w:noProof/>
          <w:color w:val="000000" w:themeColor="text1"/>
          <w:szCs w:val="22"/>
        </w:rPr>
        <w:t>[29]</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guidelines</w:t>
      </w:r>
      <w:r w:rsidRPr="00073666">
        <w:rPr>
          <w:rFonts w:ascii="Calibri" w:hAnsi="Calibri" w:cs="Calibri"/>
          <w:color w:val="000000" w:themeColor="text1"/>
          <w:szCs w:val="22"/>
          <w:shd w:val="clear" w:color="auto" w:fill="FFFFFF"/>
        </w:rPr>
        <w:t xml:space="preserve"> advocate their use.</w:t>
      </w:r>
      <w:r w:rsidRPr="00073666">
        <w:rPr>
          <w:rFonts w:ascii="Calibri" w:hAnsi="Calibri" w:cs="Calibri"/>
          <w:color w:val="000000" w:themeColor="text1"/>
          <w:szCs w:val="22"/>
        </w:rPr>
        <w:t xml:space="preserve"> IDSA guidelines recommend that clinicians should investigate and empirically treat bacterial coinfection in patients who either present with severe disease, deteriorate after initial treatment, or fail to improve after 3-5 days of NAI therapy </w:t>
      </w:r>
      <w:r w:rsidRPr="00073666">
        <w:rPr>
          <w:rFonts w:ascii="Calibri" w:hAnsi="Calibri" w:cs="Calibri"/>
          <w:color w:val="000000" w:themeColor="text1"/>
          <w:szCs w:val="22"/>
        </w:rPr>
        <w:fldChar w:fldCharType="begin" w:fldLock="1"/>
      </w:r>
      <w:r w:rsidR="007E648C" w:rsidRPr="00073666">
        <w:rPr>
          <w:rFonts w:ascii="Calibri" w:hAnsi="Calibri" w:cs="Calibri"/>
          <w:color w:val="000000" w:themeColor="text1"/>
          <w:szCs w:val="22"/>
        </w:rPr>
        <w:instrText>ADDIN CSL_CITATION {"citationItems":[{"id":"ITEM-1","itemData":{"DOI":"10.1093/cid/ciz044","ISSN":"15376591","abstract":"These clinical practice guidelines are an update of the guidelines published by the Infectious Diseases Society of America (IDSA) in 2009, prior to the 2009 H1N1 influenza pandemic. This document addresses new information regarding diagnostic testing, treatment and chemoprophylaxis with antiviral medications, and issues related to institutional outbreak management for seasonal influenza. It is intended for use by primary care clinicians, obstetricians, emergency medicine providers, hospitalists, laboratorians, and infectious disease specialists, as well as other clinicians managing patients with suspected or laboratory-confirmed influenza. The guidelines consider the care of children and adults, including special populations such as pregnant and postpartum women and immunocompromised patients.","author":[{"dropping-particle":"","family":"Uyeki","given":"T. M.","non-dropping-particle":"","parse-names":false,"suffix":""},{"dropping-particle":"","family":"Bernstein","given":"H. H.","non-dropping-particle":"","parse-names":false,"suffix":""},{"dropping-particle":"","family":"Bradley","given":"J. S.","non-dropping-particle":"","parse-names":false,"suffix":""}],"container-title":"Clinical Infectious Diseases","id":"ITEM-1","issue":"10","issued":{"date-parts":[["2019"]]},"page":"1790","title":"Clinical practice guidelines by the infectious diseases Society of America: 2018 update on diagnosis, treatment, chemoprophylaxis, and institutional outbreak management of seasonal influenza (Clinical Infectious Diseases DOI: 10.1093/cid/ciy866)","type":"article-journal","volume":"68"},"uris":["http://www.mendeley.com/documents/?uuid=e735136c-fbd7-4ceb-8ca6-9aa239fd02ed"]}],"mendeley":{"formattedCitation":"[29]","plainTextFormattedCitation":"[29]","previouslyFormattedCitation":"[30]"},"properties":{"noteIndex":0},"schema":"https://github.com/citation-style-language/schema/raw/master/csl-citation.json"}</w:instrText>
      </w:r>
      <w:r w:rsidRPr="00073666">
        <w:rPr>
          <w:rFonts w:ascii="Calibri" w:hAnsi="Calibri" w:cs="Calibri"/>
          <w:color w:val="000000" w:themeColor="text1"/>
          <w:szCs w:val="22"/>
        </w:rPr>
        <w:fldChar w:fldCharType="separate"/>
      </w:r>
      <w:r w:rsidR="007E648C" w:rsidRPr="00073666">
        <w:rPr>
          <w:rFonts w:ascii="Calibri" w:hAnsi="Calibri" w:cs="Calibri"/>
          <w:noProof/>
          <w:color w:val="000000" w:themeColor="text1"/>
          <w:szCs w:val="22"/>
        </w:rPr>
        <w:t>[29]</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For patients intubated on ICU investigation of such bacterial co-infection would usually involve a BAL.</w:t>
      </w:r>
    </w:p>
    <w:p w14:paraId="3DB58B3C" w14:textId="77777777" w:rsidR="00065E52" w:rsidRPr="00073666" w:rsidRDefault="00065E52" w:rsidP="00065E52">
      <w:pPr>
        <w:rPr>
          <w:rFonts w:ascii="Calibri" w:hAnsi="Calibri" w:cs="Calibri"/>
          <w:color w:val="000000" w:themeColor="text1"/>
          <w:szCs w:val="22"/>
        </w:rPr>
      </w:pPr>
    </w:p>
    <w:p w14:paraId="78AB62EC" w14:textId="77777777" w:rsidR="00065E52" w:rsidRPr="00073666" w:rsidRDefault="00065E52" w:rsidP="00065E52">
      <w:pPr>
        <w:rPr>
          <w:rFonts w:ascii="Calibri" w:hAnsi="Calibri" w:cs="Calibri"/>
          <w:b/>
          <w:color w:val="000000" w:themeColor="text1"/>
          <w:szCs w:val="22"/>
        </w:rPr>
      </w:pPr>
      <w:r w:rsidRPr="00073666">
        <w:rPr>
          <w:rFonts w:ascii="Calibri" w:eastAsiaTheme="minorHAnsi" w:hAnsi="Calibri" w:cs="Calibri"/>
          <w:b/>
          <w:color w:val="000000" w:themeColor="text1"/>
          <w:szCs w:val="22"/>
        </w:rPr>
        <w:t>Standard of care:</w:t>
      </w:r>
      <w:r w:rsidRPr="00073666">
        <w:rPr>
          <w:rFonts w:ascii="Calibri" w:hAnsi="Calibri" w:cs="Calibri"/>
          <w:b/>
          <w:color w:val="000000" w:themeColor="text1"/>
          <w:szCs w:val="22"/>
        </w:rPr>
        <w:t xml:space="preserve"> Invasive Aspergillosis (IA)</w:t>
      </w:r>
    </w:p>
    <w:p w14:paraId="61FEE7AD" w14:textId="43289FDE" w:rsidR="00065E52" w:rsidRPr="00073666" w:rsidRDefault="00065E52" w:rsidP="00065E52">
      <w:pPr>
        <w:rPr>
          <w:rFonts w:ascii="Calibri" w:hAnsi="Calibri" w:cs="Calibri"/>
        </w:rPr>
      </w:pPr>
      <w:r w:rsidRPr="00073666">
        <w:rPr>
          <w:rFonts w:ascii="Calibri" w:hAnsi="Calibri" w:cs="Calibri"/>
          <w:color w:val="000000" w:themeColor="text1"/>
          <w:szCs w:val="22"/>
        </w:rPr>
        <w:t xml:space="preserve">RCT evidence supports the use of Voriconazole over Amphotericin B for the treatment of IA </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author":[{"dropping-particle":"","family":"Herbrecht","given":"R","non-dropping-particle":"","parse-names":false,"suffix":""},{"dropping-particle":"","family":"Denning","given":"DW","non-dropping-particle":"","parse-names":false,"suffix":""},{"dropping-particle":"","family":"Patterson","given":"TF","non-dropping-particle":"","parse-names":false,"suffix":""},{"dropping-particle":"","family":"Bennett","given":"JE","non-dropping-particle":"","parse-names":false,"suffix":""},{"dropping-particle":"","family":"Greene","given":"RE","non-dropping-particle":"","parse-names":false,"suffix":""},{"dropping-particle":"","family":"Oestmann","given":"JW","non-dropping-particle":"","parse-names":false,"suffix":""}],"container-title":"N Engl J Med","id":"ITEM-1","issue":"6","issued":{"date-parts":[["2002"]]},"page":"408-415","title":"Voriconazole versus amphotericin B for primary therapy of invasive aspergillosis","type":"article-journal","volume":"347"},"uris":["http://www.mendeley.com/documents/?uuid=57077164-b4b2-42e6-bfb1-b2f22e724c2e"]}],"mendeley":{"formattedCitation":"[30]","plainTextFormattedCitation":"[30]","previouslyFormattedCitation":"[32]"},"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[30]</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 xml:space="preserve"> and so it is the current standard of care according </w:t>
      </w:r>
      <w:r w:rsidRPr="00073666">
        <w:rPr>
          <w:rFonts w:ascii="Calibri" w:eastAsiaTheme="minorHAnsi" w:hAnsi="Calibri" w:cs="Calibri"/>
          <w:color w:val="000000" w:themeColor="text1"/>
          <w:szCs w:val="22"/>
          <w:lang w:val="en-US"/>
        </w:rPr>
        <w:t>to ECIL/ESCMID-ECMM-ERS</w:t>
      </w:r>
      <w:r w:rsidRPr="00073666">
        <w:rPr>
          <w:rFonts w:ascii="Calibri" w:eastAsiaTheme="minorHAnsi" w:hAnsi="Calibri" w:cs="Calibri"/>
          <w:color w:val="000000" w:themeColor="text1"/>
          <w:szCs w:val="22"/>
          <w:lang w:val="en-US"/>
        </w:rPr>
        <w:fldChar w:fldCharType="begin" w:fldLock="1"/>
      </w:r>
      <w:r w:rsidR="007E648C" w:rsidRPr="00073666">
        <w:rPr>
          <w:rFonts w:ascii="Calibri" w:eastAsiaTheme="minorHAnsi" w:hAnsi="Calibri" w:cs="Calibri"/>
          <w:color w:val="000000" w:themeColor="text1"/>
          <w:szCs w:val="22"/>
          <w:lang w:val="en-US"/>
        </w:rPr>
        <w:instrText>ADDIN CSL_CITATION {"citationItems":[{"id":"ITEM-1","itemData":{"DOI":"10.1016/j.cmi.2018.01.002","ISSN":"14690691","abstract":"The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Infection","id":"ITEM-1","issued":{"date-parts":[["2018"]]},"page":"e1-e38","title":"Diagnosis and management of Aspergillus diseases: executive summary of the 2017 ESCMID-ECMM-ERS guideline","type":"article-journal","volume":"24"},"uris":["http://www.mendeley.com/documents/?uuid=45c620bd-4cc5-4c6a-b726-5898eba213c9"]}],"mendeley":{"formattedCitation":"[25]","plainTextFormattedCitation":"[25]","previouslyFormattedCitation":"[26]"},"properties":{"noteIndex":0},"schema":"https://github.com/citation-style-language/schema/raw/master/csl-citation.json"}</w:instrText>
      </w:r>
      <w:r w:rsidRPr="00073666">
        <w:rPr>
          <w:rFonts w:ascii="Calibri" w:eastAsiaTheme="minorHAnsi" w:hAnsi="Calibri" w:cs="Calibri"/>
          <w:color w:val="000000" w:themeColor="text1"/>
          <w:szCs w:val="22"/>
          <w:lang w:val="en-US"/>
        </w:rPr>
        <w:fldChar w:fldCharType="separate"/>
      </w:r>
      <w:r w:rsidR="007E648C" w:rsidRPr="00073666">
        <w:rPr>
          <w:rFonts w:ascii="Calibri" w:eastAsiaTheme="minorHAnsi" w:hAnsi="Calibri" w:cs="Calibri"/>
          <w:noProof/>
          <w:color w:val="000000" w:themeColor="text1"/>
          <w:szCs w:val="22"/>
          <w:lang w:val="en-US"/>
        </w:rPr>
        <w:t>[25]</w:t>
      </w:r>
      <w:r w:rsidRPr="00073666">
        <w:rPr>
          <w:rFonts w:ascii="Calibri" w:eastAsiaTheme="minorHAnsi" w:hAnsi="Calibri" w:cs="Calibri"/>
          <w:color w:val="000000" w:themeColor="text1"/>
          <w:szCs w:val="22"/>
          <w:lang w:val="en-US"/>
        </w:rPr>
        <w:fldChar w:fldCharType="end"/>
      </w:r>
      <w:r w:rsidRPr="00073666">
        <w:rPr>
          <w:rFonts w:ascii="Calibri" w:eastAsiaTheme="minorHAnsi" w:hAnsi="Calibri" w:cs="Calibri"/>
          <w:color w:val="000000" w:themeColor="text1"/>
          <w:szCs w:val="22"/>
          <w:lang w:val="en-US"/>
        </w:rPr>
        <w:t xml:space="preserve"> and IDSA guidelines</w:t>
      </w:r>
      <w:r w:rsidRPr="00073666">
        <w:rPr>
          <w:rFonts w:ascii="Calibri" w:eastAsiaTheme="minorHAnsi" w:hAnsi="Calibri" w:cs="Calibri"/>
          <w:color w:val="000000" w:themeColor="text1"/>
          <w:szCs w:val="22"/>
          <w:lang w:val="en-US"/>
        </w:rPr>
        <w:fldChar w:fldCharType="begin" w:fldLock="1"/>
      </w:r>
      <w:r w:rsidR="007E648C" w:rsidRPr="00073666">
        <w:rPr>
          <w:rFonts w:ascii="Calibri" w:eastAsiaTheme="minorHAnsi" w:hAnsi="Calibri" w:cs="Calibri"/>
          <w:color w:val="000000" w:themeColor="text1"/>
          <w:szCs w:val="22"/>
          <w:lang w:val="en-US"/>
        </w:rPr>
        <w:instrText>ADDIN CSL_CITATION {"citationItems":[{"id":"ITEM-1","itemData":{"DOI":"10.1093/cid/ciw444","ISSN":"15376591","abstract":"It is important to realize that guidelines cannot always account for individual variation among patients. They are not intended to supplant physician judgment with respect to particular patients or special clinical situations. IDSA considers adherence to these guidelines to be voluntary, with the ultimate determination regarding their application to be made by the physician in the light of each patient's individual circumstances.","author":[{"dropping-particle":"","family":"Patterson","given":"Thomas F.","non-dropping-particle":"","parse-names":false,"suffix":""},{"dropping-particle":"","family":"Thompson","given":"George R.","non-dropping-particle":"","parse-names":false,"suffix":""},{"dropping-particle":"","family":"Denning","given":"David W.","non-dropping-particle":"","parse-names":false,"suffix":""},{"dropping-particle":"","family":"Fishman","given":"Jay A.","non-dropping-particle":"","parse-names":false,"suffix":""},{"dropping-particle":"","family":"Hadley","given":"Susan","non-dropping-particle":"","parse-names":false,"suffix":""},{"dropping-particle":"","family":"Herbrecht","given":"Raoul","non-dropping-particle":"","parse-names":false,"suffix":""},{"dropping-particle":"","family":"Kontoyiannis","given":"Dimitrios P.","non-dropping-particle":"","parse-names":false,"suffix":""},{"dropping-particle":"","family":"Marr","given":"Kieren A.","non-dropping-particle":"","parse-names":false,"suffix":""},{"dropping-particle":"","family":"Morrison","given":"Vicki A.","non-dropping-particle":"","parse-names":false,"suffix":""},{"dropping-particle":"","family":"Nguyen","given":"M. Hong","non-dropping-particle":"","parse-names":false,"suffix":""},{"dropping-particle":"","family":"Segal","given":"Brahm H.","non-dropping-particle":"","parse-names":false,"suffix":""},{"dropping-particle":"","family":"Steinbach","given":"William J.","non-dropping-particle":"","parse-names":false,"suffix":""},{"dropping-particle":"","family":"Stevens","given":"David A.","non-dropping-particle":"","parse-names":false,"suffix":""},{"dropping-particle":"","family":"Walsh","given":"Thomas J.","non-dropping-particle":"","parse-names":false,"suffix":""},{"dropping-particle":"","family":"Wingard","given":"John R.","non-dropping-particle":"","parse-names":false,"suffix":""},{"dropping-particle":"","family":"Young","given":"Jo Anne H.","non-dropping-particle":"","parse-names":false,"suffix":""},{"dropping-particle":"","family":"Bennett","given":"John E.","non-dropping-particle":"","parse-names":false,"suffix":""}],"container-title":"Clinical Infectious Diseases","id":"ITEM-1","issue":"4","issued":{"date-parts":[["2016"]]},"page":"433-442","title":"Executive summary: Practice guidelines for the diagnosis and management of aspergillosis: 2016 update by the infectious diseases society of America","type":"article-journal","volume":"63"},"uris":["http://www.mendeley.com/documents/?uuid=011c3777-d0d5-4ad7-8155-78fe51a006b4"]}],"mendeley":{"formattedCitation":"[31]","plainTextFormattedCitation":"[31]","previouslyFormattedCitation":"[33]"},"properties":{"noteIndex":0},"schema":"https://github.com/citation-style-language/schema/raw/master/csl-citation.json"}</w:instrText>
      </w:r>
      <w:r w:rsidRPr="00073666">
        <w:rPr>
          <w:rFonts w:ascii="Calibri" w:eastAsiaTheme="minorHAnsi" w:hAnsi="Calibri" w:cs="Calibri"/>
          <w:color w:val="000000" w:themeColor="text1"/>
          <w:szCs w:val="22"/>
          <w:lang w:val="en-US"/>
        </w:rPr>
        <w:fldChar w:fldCharType="separate"/>
      </w:r>
      <w:r w:rsidR="007E648C" w:rsidRPr="00073666">
        <w:rPr>
          <w:rFonts w:ascii="Calibri" w:eastAsiaTheme="minorHAnsi" w:hAnsi="Calibri" w:cs="Calibri"/>
          <w:noProof/>
          <w:color w:val="000000" w:themeColor="text1"/>
          <w:szCs w:val="22"/>
          <w:lang w:val="en-US"/>
        </w:rPr>
        <w:t>[31]</w:t>
      </w:r>
      <w:r w:rsidRPr="00073666">
        <w:rPr>
          <w:rFonts w:ascii="Calibri" w:eastAsiaTheme="minorHAnsi" w:hAnsi="Calibri" w:cs="Calibri"/>
          <w:color w:val="000000" w:themeColor="text1"/>
          <w:szCs w:val="22"/>
          <w:lang w:val="en-US"/>
        </w:rPr>
        <w:fldChar w:fldCharType="end"/>
      </w:r>
      <w:r w:rsidRPr="00073666">
        <w:rPr>
          <w:rFonts w:ascii="Calibri" w:eastAsiaTheme="minorHAnsi" w:hAnsi="Calibri" w:cs="Calibri"/>
          <w:color w:val="000000" w:themeColor="text1"/>
          <w:szCs w:val="22"/>
          <w:lang w:val="en-US"/>
        </w:rPr>
        <w:t xml:space="preserve">. Voriconazole can cause adverse effects such as photosensitivity, rash, visual disturbance and derangement of liver function. It has multiple drug interactions and unpredictable </w:t>
      </w:r>
      <w:r w:rsidRPr="00073666">
        <w:rPr>
          <w:rFonts w:ascii="Calibri" w:hAnsi="Calibri" w:cs="Calibri"/>
          <w:bCs/>
          <w:color w:val="222222"/>
          <w:szCs w:val="22"/>
        </w:rPr>
        <w:t>Pharmacokinetics (</w:t>
      </w:r>
      <w:r w:rsidRPr="00073666">
        <w:rPr>
          <w:rFonts w:ascii="Calibri" w:eastAsiaTheme="minorHAnsi" w:hAnsi="Calibri" w:cs="Calibri"/>
          <w:color w:val="000000" w:themeColor="text1"/>
          <w:szCs w:val="22"/>
          <w:lang w:val="en-US"/>
        </w:rPr>
        <w:t xml:space="preserve">PK): therapeutic drug monitoring is required. Liposomal amphotericin B or </w:t>
      </w:r>
      <w:proofErr w:type="spellStart"/>
      <w:r w:rsidRPr="00073666">
        <w:rPr>
          <w:rFonts w:ascii="Calibri" w:eastAsiaTheme="minorHAnsi" w:hAnsi="Calibri" w:cs="Calibri"/>
          <w:color w:val="000000" w:themeColor="text1"/>
          <w:szCs w:val="22"/>
          <w:lang w:val="en-US"/>
        </w:rPr>
        <w:t>Isavuconazole</w:t>
      </w:r>
      <w:proofErr w:type="spellEnd"/>
      <w:r w:rsidRPr="00073666">
        <w:rPr>
          <w:rFonts w:ascii="Calibri" w:eastAsiaTheme="minorHAnsi" w:hAnsi="Calibri" w:cs="Calibri"/>
          <w:color w:val="000000" w:themeColor="text1"/>
          <w:szCs w:val="22"/>
          <w:lang w:val="en-US"/>
        </w:rPr>
        <w:t xml:space="preserve">, a newer azole with a more favorable toxicity profile, are alternatives </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{"citationItems":[{"id":"ITEM-1","itemData":{"DOI":"10.1016/j.cmi.2018.01.002","ISSN":"14690691","abstract":"The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Infection","id":"ITEM-1","issued":{"date-parts":[["2018"]]},"page":"e1-e38","title":"Diagnosis and management of Aspergillus diseases: executive summary of the 2017 ESCMID-ECMM-ERS guideline","type":"article-journal","volume":"24"},"uris":["http://www.mendeley.com/documents/?uuid=45c620bd-4cc5-4c6a-b726-5898eba213c9"]}],"mendeley":{"formattedCitation":"[25]","plainTextFormattedCitation":"[25]","previouslyFormattedCitation":"[26]"},"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[25]</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 xml:space="preserve">. Once the diagnosis of IA is suspected, timely treatment is essential </w:t>
      </w:r>
      <w:r w:rsidRPr="00073666">
        <w:rPr>
          <w:rFonts w:ascii="Calibri" w:hAnsi="Calibri" w:cs="Calibri"/>
          <w:color w:val="000000" w:themeColor="text1"/>
          <w:szCs w:val="22"/>
          <w:lang w:val="en"/>
        </w:rPr>
        <w:fldChar w:fldCharType="begin" w:fldLock="1"/>
      </w:r>
      <w:r w:rsidRPr="00073666">
        <w:rPr>
          <w:rFonts w:ascii="Calibri" w:hAnsi="Calibri" w:cs="Calibri"/>
          <w:color w:val="000000" w:themeColor="text1"/>
          <w:szCs w:val="22"/>
          <w:lang w:val="en"/>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Pr="00073666">
        <w:rPr>
          <w:rFonts w:ascii="Calibri" w:hAnsi="Calibri" w:cs="Calibri"/>
          <w:noProof/>
          <w:color w:val="000000" w:themeColor="text1"/>
          <w:szCs w:val="22"/>
          <w:lang w:val="en"/>
        </w:rPr>
        <w:t>[1]</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 xml:space="preserve">. In one retrospective study </w:t>
      </w:r>
      <w:r w:rsidRPr="00073666">
        <w:rPr>
          <w:rFonts w:ascii="Calibri" w:eastAsiaTheme="minorHAnsi" w:hAnsi="Calibri" w:cs="Calibri"/>
          <w:color w:val="000000" w:themeColor="text1"/>
          <w:szCs w:val="22"/>
          <w:lang w:val="en-US"/>
        </w:rPr>
        <w:t xml:space="preserve">of IAA, patients who survived had received antifungal therapy at a median of 2 days after influenza diagnosis, compared with 9 days in patients who had died </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{"citationItems":[{"id":"ITEM-1","itemData":{"DOI":"10.1164/rccm.201612-2540le","ISSN":"1073-449X","abstract":"Yeast mitogen-activated protein kinase (MAPK) signaling pathways transduce external stimuli into cellular responses very precisely. The MAPKs Slt2/Mpk1 and Hog1 regulate transcriptional responses of adaptation to cell wall and osmotic stresses, respectively. Unexpectedly, we observe that the activation of a cell wall integrity (CWI) response to the cell wall damage caused by zymolyase (beta-1,3 glucanase) requires both the HOG and SLT2 pathways. Zymolyase activates both MAPKs and Slt2 activation depends on the Sho1 branch of the HOG pathway under these conditions. Moreover, adaptation to zymolyase requires essential components of the CWI pathway, namely the redundant MAPKKs Mkk1/Mkk2, the MAPKKK Bck1, and Pkc1, but it does not require upstream elements, including the sensors and the guanine nucleotide exchange factors of this pathway. In addition, the transcriptional activation of genes involved in adaptation to cell wall stress, like CRH1, depends on the transcriptional factor Rlm1 regulated by Slt2, but not on the transcription factors regulated by Hog1. Consistent with these findings, both MAPK pathways are essential for cell survival under these circumstances because mutant strains deficient in different components of both pathways are hypersensitive to zymolyase. Thus, a sequential activation of two MAPK pathways is required for cellular adaptation to cell wall damage","author":[{"dropping-particle":"","family":"Veerdonk","given":"Frank L.","non-dropping-particle":"van de","parse-names":false,"suffix":""},{"dropping-particle":"","family":"Kolwijck","given":"Eva","non-dropping-particle":"","parse-names":false,"suffix":""},{"dropping-particle":"","family":"Lestrade","given":"Pieter P. A.","non-dropping-particle":"","parse-names":false,"suffix":""},{"dropping-particle":"","family":"Hodiamont","given":"Caspar J.","non-dropping-particle":"","parse-names":false,"suffix":""},{"dropping-particle":"","family":"Rijnders","given":"Bart J. A.","non-dropping-particle":"","parse-names":false,"suffix":""},{"dropping-particle":"","family":"Paassen","given":"Judith","non-dropping-particle":"van","parse-names":false,"suffix":""},{"dropping-particle":"","family":"Haas","given":"Pieter-Jan","non-dropping-particle":"","parse-names":false,"suffix":""},{"dropping-particle":"","family":"Oliveira dos Santos","given":"Claudy","non-dropping-particle":"","parse-names":false,"suffix":""},{"dropping-particle":"","family":"Kampinga","given":"Greetje A.","non-dropping-particle":"","parse-names":false,"suffix":""},{"dropping-particle":"","family":"Bergmans","given":"Dennis C. J. J.","non-dropping-particle":"","parse-names":false,"suffix":""},{"dropping-particle":"","family":"Dijk","given":"Karin","non-dropping-particle":"van","parse-names":false,"suffix":""},{"dropping-particle":"","family":"Haan","given":"Anton F. J.","non-dropping-particle":"de","parse-names":false,"suffix":""},{"dropping-particle":"","family":"Dissel","given":"Jaap","non-dropping-particle":"van","parse-names":false,"suffix":""},{"dropping-particle":"","family":"Hoeven","given":"Hans G.","non-dropping-particle":"van der","parse-names":false,"suffix":""},{"dropping-particle":"","family":"Verweij","given":"Paul E.","non-dropping-particle":"","parse-names":false,"suffix":""},{"dropping-particle":"","family":"Rahamat-Langendoen","given":"Janette C.","non-dropping-particle":"","parse-names":false,"suffix":""},{"dropping-particle":"","family":"Kullberg","given":"Bart-Jan","non-dropping-particle":"","parse-names":false,"suffix":""},{"dropping-particle":"","family":"Netea","given":"Mihai G.","non-dropping-particle":"","parse-names":false,"suffix":""},{"dropping-particle":"","family":"Brüggeman","given":"Roger J.","non-dropping-particle":"","parse-names":false,"suffix":""},{"dropping-particle":"","family":"Hoedemaekers","given":"Astrid W.","non-dropping-particle":"","parse-names":false,"suffix":""},{"dropping-particle":"","family":"Melchers","given":"Willem J. G.","non-dropping-particle":"","parse-names":false,"suffix":""},{"dropping-particle":"","family":"Freudenburg","given":"Wieke","non-dropping-particle":"","parse-names":false,"suffix":""},{"dropping-particle":"","family":"Roescher","given":"Nienke","non-dropping-particle":"","parse-names":false,"suffix":""},{"dropping-particle":"","family":"Wiersinga","given":"W. Joost","non-dropping-particle":"","parse-names":false,"suffix":""},{"dropping-particle":"","family":"Berg","given":"Charlotte H. S. B.","non-dropping-particle":"van den","parse-names":false,"suffix":""},{"dropping-particle":"","family":"Vonk","given":"Alieke G.","non-dropping-particle":"","parse-names":false,"suffix":""},{"dropping-particle":"van","family":"Tienen","given":"Carla","non-dropping-particle":"","parse-names":false,"suffix":""},{"dropping-particle":"van der","family":"Hoven","given":"Ben","non-dropping-particle":"","parse-names":false,"suffix":""},{"dropping-particle":"","family":"Beek","given":"Martha T.","non-dropping-particle":"van der","parse-names":false,"suffix":""},{"dropping-particle":"","family":"Derde","given":"Lennie P.G.","non-dropping-particle":"","parse-names":false,"suffix":""},{"dropping-particle":"van","family":"Leer","given":"Coretta","non-dropping-particle":"","parse-names":false,"suffix":""},{"dropping-particle":"","family":"Aardema","given":"Heleen","non-dropping-particle":"","parse-names":false,"suffix":""},{"dropping-particle":"","family":"Lashof","given":"Astrid Oude","non-dropping-particle":"","parse-names":false,"suffix":""},{"dropping-particle":"","family":"Ang","given":"C. Wim","non-dropping-particle":"","parse-names":false,"suffix":""}],"container-title":"American Journal of Respiratory and Critical Care Medicine","id":"ITEM-1","issue":"4","issued":{"date-parts":[["2017"]]},"page":"524-527","title":"Influenza-associated Aspergillosis in Critically Ill Patients","type":"article-journal","volume":"196"},"uris":["http://www.mendeley.com/documents/?uuid=fe47a7e3-c149-4b52-9844-591300cf45a1"]}],"mendeley":{"formattedCitation":"[32]","plainTextFormattedCitation":"[32]","previouslyFormattedCitation":"[34]"},"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[32]</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 xml:space="preserve">. </w:t>
      </w:r>
    </w:p>
    <w:p w14:paraId="0B0AC014" w14:textId="77777777" w:rsidR="00065E52" w:rsidRPr="00073666" w:rsidRDefault="00065E52" w:rsidP="00065E52">
      <w:pPr>
        <w:autoSpaceDE w:val="0"/>
        <w:autoSpaceDN w:val="0"/>
        <w:adjustRightInd w:val="0"/>
        <w:rPr>
          <w:rFonts w:ascii="Calibri" w:eastAsiaTheme="minorHAnsi" w:hAnsi="Calibri" w:cs="Calibri"/>
          <w:b/>
          <w:color w:val="000000" w:themeColor="text1"/>
          <w:szCs w:val="22"/>
          <w:lang w:val="en-US"/>
        </w:rPr>
      </w:pPr>
    </w:p>
    <w:p w14:paraId="367765C8" w14:textId="617560E5" w:rsidR="00065E52" w:rsidRPr="00073666" w:rsidRDefault="00065E52" w:rsidP="00065E52">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lang w:val="en"/>
        </w:rPr>
        <w:t xml:space="preserve">Azole use for primary prophylaxis against Aspergilloses is currently only recommended in those with traditional </w:t>
      </w:r>
      <w:r w:rsidRPr="00073666">
        <w:rPr>
          <w:rFonts w:ascii="Calibri" w:hAnsi="Calibri" w:cs="Calibri"/>
          <w:color w:val="000000" w:themeColor="text1"/>
          <w:szCs w:val="22"/>
        </w:rPr>
        <w:t>EORTC / MSG host factors</w:t>
      </w:r>
      <w:r w:rsidRPr="00073666">
        <w:rPr>
          <w:rFonts w:ascii="Calibri" w:hAnsi="Calibri" w:cs="Calibri"/>
          <w:color w:val="000000" w:themeColor="text1"/>
          <w:szCs w:val="22"/>
          <w:lang w:val="en"/>
        </w:rPr>
        <w:t xml:space="preserve">  such as profound and prolonged neutropenia or following HSCT </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{"citationItems":[{"id":"ITEM-1","itemData":{"DOI":"10.1016/j.cmi.2018.01.002","ISSN":"14690691","abstract":"The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Infection","id":"ITEM-1","issued":{"date-parts":[["2018"]]},"page":"e1-e38","title":"Diagnosis and management of Aspergillus diseases: executive summary of the 2017 ESCMID-ECMM-ERS guideline","type":"article-journal","volume":"24"},"uris":["http://www.mendeley.com/documents/?uuid=45c620bd-4cc5-4c6a-b726-5898eba213c9"]}],"mendeley":{"formattedCitation":"[25]","plainTextFormattedCitation":"[25]","previouslyFormattedCitation":"[26]"},"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[25]</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 xml:space="preserve">. </w:t>
      </w:r>
      <w:r w:rsidRPr="00073666">
        <w:rPr>
          <w:rFonts w:ascii="Calibri" w:hAnsi="Calibri" w:cs="Calibri"/>
          <w:color w:val="000000" w:themeColor="text1"/>
          <w:szCs w:val="22"/>
        </w:rPr>
        <w:t xml:space="preserve">The Dutch-Belgian group are currently conducting a trial of </w:t>
      </w:r>
      <w:proofErr w:type="spellStart"/>
      <w:r w:rsidRPr="00073666">
        <w:rPr>
          <w:rFonts w:ascii="Calibri" w:hAnsi="Calibri" w:cs="Calibri"/>
          <w:color w:val="000000" w:themeColor="text1"/>
          <w:szCs w:val="22"/>
        </w:rPr>
        <w:t>Posaconazole</w:t>
      </w:r>
      <w:proofErr w:type="spellEnd"/>
      <w:r w:rsidRPr="00073666">
        <w:rPr>
          <w:rFonts w:ascii="Calibri" w:hAnsi="Calibri" w:cs="Calibri"/>
          <w:color w:val="000000" w:themeColor="text1"/>
          <w:szCs w:val="22"/>
        </w:rPr>
        <w:t xml:space="preserve"> prophylaxis for patients with severe influenza (POSA-FLU study, NCT03378479, clinical trials.gov). An alternative strategy would involve serial screening for, and prompt treatment of, patients that meet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w:t>
      </w:r>
      <w:r w:rsidRPr="00073666">
        <w:rPr>
          <w:rFonts w:ascii="Calibri" w:hAnsi="Calibri" w:cs="Calibri"/>
          <w:color w:val="000000" w:themeColor="text1"/>
          <w:szCs w:val="22"/>
          <w:lang w:val="en-US"/>
        </w:rPr>
        <w:t xml:space="preserve">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This has the advantage of improved antifungal stewardship, an important consideration with the emergence of voriconazole resistant </w:t>
      </w:r>
      <w:r w:rsidRPr="00073666">
        <w:rPr>
          <w:rFonts w:ascii="Calibri" w:hAnsi="Calibri" w:cs="Calibri"/>
          <w:i/>
          <w:color w:val="000000" w:themeColor="text1"/>
          <w:szCs w:val="22"/>
        </w:rPr>
        <w:t>Aspergillus</w:t>
      </w:r>
      <w:r w:rsidRPr="00073666">
        <w:rPr>
          <w:rFonts w:ascii="Calibri" w:hAnsi="Calibri" w:cs="Calibri"/>
          <w:color w:val="000000" w:themeColor="text1"/>
          <w:szCs w:val="22"/>
        </w:rPr>
        <w:fldChar w:fldCharType="begin" w:fldLock="1"/>
      </w:r>
      <w:r w:rsidR="007E648C" w:rsidRPr="00073666">
        <w:rPr>
          <w:rFonts w:ascii="Calibri" w:hAnsi="Calibri" w:cs="Calibri"/>
          <w:color w:val="000000" w:themeColor="text1"/>
          <w:szCs w:val="22"/>
        </w:rPr>
        <w:instrText>ADDIN CSL_CITATION {"citationItems":[{"id":"ITEM-1","itemData":{"DOI":"10.1093/jac/dky389","ISSN":"14602091","abstract":"Background The need for antifungal stewardship is gaining recognition with increasing incidence of invasive fungal infection (IFI) and antifungal resistance alongside the high cost of antifungal drugs. Following an audit showing suboptimal practice we initiated an antifungal stewardship programme and prospectively evaluated its impact on clinical and financial outcomes. Patients and methods From October 2010 to September 2016, adult inpatients receiving amphotericin B, echinocandins, intravenous fluconazole, flucytosine or voriconazole were reviewed weekly by an infectious diseases consultant and antimicrobial pharmacist. Demographics, diagnosis by European Organization for Research and Treatment of Cancer (EORTC) criteria, drug, indication, advice, acceptance and in-hospital mortality were recorded. Antifungal consumption and expenditure, and candidaemia species and susceptibility data were extracted from pharmacy and microbiology databases. Results A total of 432 patients were reviewed, most commonly receiving AmBisome® (35%) or intravenous fluconazole (29%). Empirical treatment was often unnecessary, with 82% having no evidence of IFI. Advice was given in 64% of reviews (most commonly de-escalating or stopping treatment) and was followed in 84%. Annual antifungal expenditure initially reduced by 30% (£0.98 million to £0.73 million), then increased to 20% above baseline over a 5 year period; this was a significantly lower rise compared with national figures, which showed a doubling of expenditure over the same period. Inpatient mortality, Candida species distribution and rates of resistance were not adversely affected by the intervention. Conclusions Provision of specialist input to optimize antifungal prescribing resulted in significant cost savings without compromising on microbiological or clinical outcomes. Our model is readily implementable by hospitals with high numbers of at-risk patients and antifungal expenditure.","author":[{"dropping-particle":"","family":"Whitney","given":"Laura","non-dropping-particle":"","parse-names":false,"suffix":""},{"dropping-particle":"","family":"Al-Ghusein","given":"Hasan","non-dropping-particle":"","parse-names":false,"suffix":""},{"dropping-particle":"","family":"Glass","given":"Stephen","non-dropping-particle":"","parse-names":false,"suffix":""},{"dropping-particle":"","family":"Koh","given":"Mickey","non-dropping-particle":"","parse-names":false,"suffix":""},{"dropping-particle":"","family":"Klammer","given":"Matthias","non-dropping-particle":"","parse-names":false,"suffix":""},{"dropping-particle":"","family":"Ball","given":"Jonathan","non-dropping-particle":"","parse-names":false,"suffix":""},{"dropping-particle":"","family":"Youngs","given":"Jonathan","non-dropping-particle":"","parse-names":false,"suffix":""},{"dropping-particle":"","family":"Wake","given":"Rachel","non-dropping-particle":"","parse-names":false,"suffix":""},{"dropping-particle":"","family":"Houston","given":"Angela","non-dropping-particle":"","parse-names":false,"suffix":""},{"dropping-particle":"","family":"Bicanic","given":"Tihana","non-dropping-particle":"","parse-names":false,"suffix":""}],"container-title":"Journal of Antimicrobial Chemotherapy","id":"ITEM-1","issue":"1","issued":{"date-parts":[["2019"]]},"page":"234-241","title":"Effectiveness of an antifungal stewardship programme at a London teaching hospital 2010-16","type":"article-journal","volume":"74"},"uris":["http://www.mendeley.com/documents/?uuid=9b375873-bafe-4510-8d7d-33b68e70db03"]}],"mendeley":{"formattedCitation":"[21]","plainTextFormattedCitation":"[21]","previouslyFormattedCitation":"[22]"},"properties":{"noteIndex":0},"schema":"https://github.com/citation-style-language/schema/raw/master/csl-citation.json"}</w:instrText>
      </w:r>
      <w:r w:rsidRPr="00073666">
        <w:rPr>
          <w:rFonts w:ascii="Calibri" w:hAnsi="Calibri" w:cs="Calibri"/>
          <w:color w:val="000000" w:themeColor="text1"/>
          <w:szCs w:val="22"/>
        </w:rPr>
        <w:fldChar w:fldCharType="separate"/>
      </w:r>
      <w:r w:rsidR="007E648C" w:rsidRPr="00073666">
        <w:rPr>
          <w:rFonts w:ascii="Calibri" w:hAnsi="Calibri" w:cs="Calibri"/>
          <w:noProof/>
          <w:color w:val="000000" w:themeColor="text1"/>
          <w:szCs w:val="22"/>
        </w:rPr>
        <w:t>[21]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p>
    <w:p w14:paraId="6F5F1422" w14:textId="77777777" w:rsidR="001E7194" w:rsidRPr="00073666" w:rsidRDefault="001E7194" w:rsidP="00065E52">
      <w:pPr>
        <w:pStyle w:val="NormalWeb"/>
        <w:rPr>
          <w:rFonts w:ascii="Calibri" w:eastAsiaTheme="minorHAnsi" w:hAnsi="Calibri" w:cs="Calibri"/>
          <w:b/>
          <w:color w:val="000000" w:themeColor="text1"/>
          <w:sz w:val="22"/>
          <w:szCs w:val="22"/>
        </w:rPr>
      </w:pPr>
    </w:p>
    <w:p w14:paraId="1D886B12" w14:textId="764C59D2" w:rsidR="00065E52" w:rsidRPr="00073666" w:rsidRDefault="00065E52" w:rsidP="00065E52">
      <w:pPr>
        <w:pStyle w:val="NormalWeb"/>
        <w:rPr>
          <w:rFonts w:ascii="Calibri" w:hAnsi="Calibri" w:cs="Calibri"/>
          <w:b/>
          <w:color w:val="000000" w:themeColor="text1"/>
        </w:rPr>
      </w:pPr>
      <w:r w:rsidRPr="00073666">
        <w:rPr>
          <w:rFonts w:ascii="Calibri" w:eastAsiaTheme="minorHAnsi" w:hAnsi="Calibri" w:cs="Calibri"/>
          <w:b/>
          <w:color w:val="000000" w:themeColor="text1"/>
        </w:rPr>
        <w:t>Standard of care:</w:t>
      </w:r>
      <w:r w:rsidRPr="00073666">
        <w:rPr>
          <w:rFonts w:ascii="Calibri" w:hAnsi="Calibri" w:cs="Calibri"/>
          <w:b/>
          <w:color w:val="000000" w:themeColor="text1"/>
        </w:rPr>
        <w:t xml:space="preserve"> Influenza-associated Aspergillosis (IAA)</w:t>
      </w:r>
    </w:p>
    <w:p w14:paraId="15805AF9" w14:textId="64624097" w:rsidR="00065E52" w:rsidRPr="00073666" w:rsidRDefault="00065E52" w:rsidP="00065E52">
      <w:pPr>
        <w:rPr>
          <w:rFonts w:ascii="Calibri" w:hAnsi="Calibri" w:cs="Calibri"/>
          <w:noProof/>
          <w:color w:val="000000" w:themeColor="text1"/>
          <w:szCs w:val="22"/>
          <w:lang w:val="en-US"/>
        </w:rPr>
      </w:pPr>
      <w:r w:rsidRPr="00073666">
        <w:rPr>
          <w:rFonts w:ascii="Calibri" w:hAnsi="Calibri" w:cs="Calibri"/>
          <w:color w:val="000000" w:themeColor="text1"/>
          <w:szCs w:val="22"/>
        </w:rPr>
        <w:t xml:space="preserve">The 2018 IDSA guidelines consider fungal co-infection as “rare” in influenza and thus make no specific recommendations </w:t>
      </w:r>
      <w:r w:rsidRPr="00073666">
        <w:rPr>
          <w:rFonts w:ascii="Calibri" w:hAnsi="Calibri" w:cs="Calibri"/>
          <w:color w:val="000000" w:themeColor="text1"/>
          <w:szCs w:val="22"/>
        </w:rPr>
        <w:fldChar w:fldCharType="begin" w:fldLock="1"/>
      </w:r>
      <w:r w:rsidR="007E648C" w:rsidRPr="00073666">
        <w:rPr>
          <w:rFonts w:ascii="Calibri" w:hAnsi="Calibri" w:cs="Calibri"/>
          <w:color w:val="000000" w:themeColor="text1"/>
          <w:szCs w:val="22"/>
        </w:rPr>
        <w:instrText>ADDIN CSL_CITATION {"citationItems":[{"id":"ITEM-1","itemData":{"DOI":"10.1093/cid/ciz044","ISSN":"15376591","abstract":"These clinical practice guidelines are an update of the guidelines published by the Infectious Diseases Society of America (IDSA) in 2009, prior to the 2009 H1N1 influenza pandemic. This document addresses new information regarding diagnostic testing, treatment and chemoprophylaxis with antiviral medications, and issues related to institutional outbreak management for seasonal influenza. It is intended for use by primary care clinicians, obstetricians, emergency medicine providers, hospitalists, laboratorians, and infectious disease specialists, as well as other clinicians managing patients with suspected or laboratory-confirmed influenza. The guidelines consider the care of children and adults, including special populations such as pregnant and postpartum women and immunocompromised patients.","author":[{"dropping-particle":"","family":"Uyeki","given":"T. M.","non-dropping-particle":"","parse-names":false,"suffix":""},{"dropping-particle":"","family":"Bernstein","given":"H. H.","non-dropping-particle":"","parse-names":false,"suffix":""},{"dropping-particle":"","family":"Bradley","given":"J. S.","non-dropping-particle":"","parse-names":false,"suffix":""}],"container-title":"Clinical Infectious Diseases","id":"ITEM-1","issue":"10","issued":{"date-parts":[["2019"]]},"page":"1790","title":"Clinical practice guidelines by the infectious diseases Society of America: 2018 update on diagnosis, treatment, chemoprophylaxis, and institutional outbreak management of seasonal influenza (Clinical Infectious Diseases DOI: 10.1093/cid/ciy866)","type":"article-journal","volume":"68"},"uris":["http://www.mendeley.com/documents/?uuid=e735136c-fbd7-4ceb-8ca6-9aa239fd02ed"]}],"mendeley":{"formattedCitation":"[29]","plainTextFormattedCitation":"[29]","previouslyFormattedCitation":"[30]"},"properties":{"noteIndex":0},"schema":"https://github.com/citation-style-language/schema/raw/master/csl-citation.json"}</w:instrText>
      </w:r>
      <w:r w:rsidRPr="00073666">
        <w:rPr>
          <w:rFonts w:ascii="Calibri" w:hAnsi="Calibri" w:cs="Calibri"/>
          <w:color w:val="000000" w:themeColor="text1"/>
          <w:szCs w:val="22"/>
        </w:rPr>
        <w:fldChar w:fldCharType="separate"/>
      </w:r>
      <w:r w:rsidR="007E648C" w:rsidRPr="00073666">
        <w:rPr>
          <w:rFonts w:ascii="Calibri" w:hAnsi="Calibri" w:cs="Calibri"/>
          <w:noProof/>
          <w:color w:val="000000" w:themeColor="text1"/>
          <w:szCs w:val="22"/>
        </w:rPr>
        <w:t>[29]</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Following publication of the Belgian-Dutch study, the </w:t>
      </w:r>
      <w:r w:rsidRPr="00073666">
        <w:rPr>
          <w:rFonts w:ascii="Calibri" w:hAnsi="Calibri" w:cs="Calibri"/>
          <w:noProof/>
          <w:color w:val="000000" w:themeColor="text1"/>
          <w:szCs w:val="22"/>
          <w:lang w:val="en-US"/>
        </w:rPr>
        <w:t>European Centre for Disease Prevention and Control (ECDC) published a rapid risk assessment in Nov 2018 which included the following reccomendations</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{"citationItems":[{"id":"ITEM-1","itemData":{"author":[{"dropping-particle":"","family":"European Centre for Disease Prevention and Control","given":"","non-dropping-particle":"","parse-names":false,"suffix":""}],"id":"ITEM-1","issue":"November","issued":{"date-parts":[["2018"]]},"number-of-pages":"1-6","publisher-place":"Stockholm","title":"RAPID RISK ASSESSMENT: Influenza-associated invasive pulmonary aspergillosis","type":"report"},"uris":["http://www.mendeley.com/documents/?uuid=e143b3f0-e354-4e71-94c9-8737d76e54d5"]}],"mendeley":{"formattedCitation":"[15]","plainTextFormattedCitation":"[15]","previouslyFormattedCitation":"[15]"},"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[15]</w:t>
      </w:r>
      <w:r w:rsidRPr="00073666">
        <w:rPr>
          <w:rFonts w:ascii="Calibri" w:hAnsi="Calibri" w:cs="Calibri"/>
          <w:color w:val="000000" w:themeColor="text1"/>
          <w:szCs w:val="22"/>
        </w:rPr>
        <w:fldChar w:fldCharType="end"/>
      </w:r>
      <w:r w:rsidRPr="00073666">
        <w:rPr>
          <w:rFonts w:ascii="Calibri" w:hAnsi="Calibri" w:cs="Calibri"/>
          <w:noProof/>
          <w:color w:val="000000" w:themeColor="text1"/>
          <w:szCs w:val="22"/>
          <w:lang w:val="en-US"/>
        </w:rPr>
        <w:t>:</w:t>
      </w:r>
    </w:p>
    <w:p w14:paraId="782EB63B" w14:textId="77777777" w:rsidR="00065E52" w:rsidRPr="00073666" w:rsidRDefault="00065E52" w:rsidP="00065E52">
      <w:pPr>
        <w:autoSpaceDE w:val="0"/>
        <w:autoSpaceDN w:val="0"/>
        <w:adjustRightInd w:val="0"/>
        <w:rPr>
          <w:rFonts w:ascii="Calibri" w:hAnsi="Calibri" w:cs="Calibri"/>
          <w:noProof/>
          <w:color w:val="000000" w:themeColor="text1"/>
          <w:szCs w:val="22"/>
          <w:lang w:val="en-US"/>
        </w:rPr>
      </w:pPr>
    </w:p>
    <w:p w14:paraId="3311E2FB" w14:textId="77777777" w:rsidR="00065E52" w:rsidRPr="00073666" w:rsidRDefault="00065E52" w:rsidP="004A650C">
      <w:pPr>
        <w:pStyle w:val="ListParagraph"/>
        <w:numPr>
          <w:ilvl w:val="0"/>
          <w:numId w:val="26"/>
        </w:numPr>
        <w:autoSpaceDE w:val="0"/>
        <w:autoSpaceDN w:val="0"/>
        <w:adjustRightInd w:val="0"/>
        <w:spacing w:after="0" w:line="240" w:lineRule="auto"/>
        <w:rPr>
          <w:rFonts w:ascii="Calibri" w:hAnsi="Calibri" w:cs="Calibri"/>
          <w:color w:val="000000" w:themeColor="text1"/>
        </w:rPr>
      </w:pPr>
      <w:r w:rsidRPr="00073666">
        <w:rPr>
          <w:rFonts w:ascii="Calibri" w:hAnsi="Calibri" w:cs="Calibri"/>
          <w:color w:val="000000" w:themeColor="text1"/>
        </w:rPr>
        <w:t>Public health authorities should raise awareness of IAA among ICU physicians and clinical microbiologists.</w:t>
      </w:r>
    </w:p>
    <w:p w14:paraId="503D803D" w14:textId="77777777" w:rsidR="00065E52" w:rsidRPr="00073666" w:rsidRDefault="00065E52" w:rsidP="004A650C">
      <w:pPr>
        <w:pStyle w:val="ListParagraph"/>
        <w:numPr>
          <w:ilvl w:val="0"/>
          <w:numId w:val="26"/>
        </w:numPr>
        <w:autoSpaceDE w:val="0"/>
        <w:autoSpaceDN w:val="0"/>
        <w:adjustRightInd w:val="0"/>
        <w:spacing w:after="0" w:line="240" w:lineRule="auto"/>
        <w:rPr>
          <w:rFonts w:ascii="Calibri" w:hAnsi="Calibri" w:cs="Calibri"/>
          <w:color w:val="000000" w:themeColor="text1"/>
        </w:rPr>
      </w:pPr>
      <w:r w:rsidRPr="00073666">
        <w:rPr>
          <w:rFonts w:ascii="Calibri" w:hAnsi="Calibri" w:cs="Calibri"/>
          <w:color w:val="000000" w:themeColor="text1"/>
        </w:rPr>
        <w:t>IA should be considered as a possible complication of severe influenza, and appropriate diagnostic procedures (including BAL) should be considered to be performed in time.</w:t>
      </w:r>
    </w:p>
    <w:p w14:paraId="626D81D2" w14:textId="77777777" w:rsidR="00065E52" w:rsidRPr="00073666" w:rsidRDefault="00065E52" w:rsidP="004A650C">
      <w:pPr>
        <w:pStyle w:val="ListParagraph"/>
        <w:numPr>
          <w:ilvl w:val="0"/>
          <w:numId w:val="26"/>
        </w:numPr>
        <w:spacing w:after="0" w:line="240" w:lineRule="auto"/>
        <w:rPr>
          <w:rFonts w:ascii="Calibri" w:hAnsi="Calibri" w:cs="Calibri"/>
          <w:color w:val="000000" w:themeColor="text1"/>
        </w:rPr>
      </w:pPr>
      <w:r w:rsidRPr="00073666">
        <w:rPr>
          <w:rFonts w:ascii="Calibri" w:hAnsi="Calibri" w:cs="Calibri"/>
          <w:color w:val="000000" w:themeColor="text1"/>
        </w:rPr>
        <w:lastRenderedPageBreak/>
        <w:t xml:space="preserve">Antifungal treatment should be initiated along the relevant national and international guidelines, when indicated, based on careful clinical judgement and also </w:t>
      </w:r>
      <w:proofErr w:type="gramStart"/>
      <w:r w:rsidRPr="00073666">
        <w:rPr>
          <w:rFonts w:ascii="Calibri" w:hAnsi="Calibri" w:cs="Calibri"/>
          <w:color w:val="000000" w:themeColor="text1"/>
        </w:rPr>
        <w:t>taking into account</w:t>
      </w:r>
      <w:proofErr w:type="gramEnd"/>
      <w:r w:rsidRPr="00073666">
        <w:rPr>
          <w:rFonts w:ascii="Calibri" w:hAnsi="Calibri" w:cs="Calibri"/>
          <w:color w:val="000000" w:themeColor="text1"/>
        </w:rPr>
        <w:t xml:space="preserve"> the side effects of antifungal drugs</w:t>
      </w:r>
    </w:p>
    <w:p w14:paraId="2131C620" w14:textId="77777777" w:rsidR="00F36A48" w:rsidRPr="00073666" w:rsidRDefault="00F36A48" w:rsidP="00065E52">
      <w:pPr>
        <w:rPr>
          <w:rFonts w:ascii="Calibri" w:eastAsiaTheme="minorHAnsi" w:hAnsi="Calibri" w:cs="Calibri"/>
          <w:color w:val="000000" w:themeColor="text1"/>
          <w:sz w:val="22"/>
          <w:szCs w:val="22"/>
        </w:rPr>
      </w:pPr>
    </w:p>
    <w:p w14:paraId="6DD9934C" w14:textId="77777777" w:rsidR="00065E52" w:rsidRPr="00073666" w:rsidRDefault="00065E52" w:rsidP="00065E52">
      <w:pPr>
        <w:rPr>
          <w:rFonts w:ascii="Calibri" w:hAnsi="Calibri" w:cs="Calibri"/>
          <w:b/>
          <w:color w:val="000000" w:themeColor="text1"/>
          <w:szCs w:val="22"/>
        </w:rPr>
      </w:pPr>
      <w:r w:rsidRPr="00073666">
        <w:rPr>
          <w:rFonts w:ascii="Calibri" w:hAnsi="Calibri" w:cs="Calibri"/>
          <w:color w:val="000000" w:themeColor="text1"/>
          <w:szCs w:val="22"/>
        </w:rPr>
        <w:t>A recent review article similarly advocated early BAL and biomarker use to diagnose IAA as soon as possible and also suggests this strategy be repeated in the event of a respiratory deterioration</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p>
    <w:p w14:paraId="1B751498" w14:textId="48CB2FAA" w:rsidR="00065E52" w:rsidRPr="00073666" w:rsidRDefault="00065E52" w:rsidP="00950AEE">
      <w:pPr>
        <w:pStyle w:val="NormalWeb"/>
        <w:rPr>
          <w:rFonts w:ascii="Calibri" w:hAnsi="Calibri" w:cs="Calibri"/>
          <w:color w:val="000000" w:themeColor="text1"/>
          <w:sz w:val="22"/>
          <w:szCs w:val="22"/>
        </w:rPr>
      </w:pPr>
      <w:r w:rsidRPr="00073666">
        <w:rPr>
          <w:rFonts w:ascii="Calibri" w:hAnsi="Calibri" w:cs="Calibri"/>
          <w:color w:val="000000" w:themeColor="text1"/>
          <w:sz w:val="22"/>
          <w:szCs w:val="22"/>
        </w:rPr>
        <w:t>There are no adjunctive treatments of proven benefit in severe influenza and the use of steroids is actively discouraged</w:t>
      </w:r>
      <w:r w:rsidRPr="00073666">
        <w:rPr>
          <w:rFonts w:ascii="Calibri" w:hAnsi="Calibri" w:cs="Calibri"/>
          <w:color w:val="000000" w:themeColor="text1"/>
          <w:sz w:val="22"/>
          <w:szCs w:val="22"/>
        </w:rPr>
        <w:fldChar w:fldCharType="begin" w:fldLock="1"/>
      </w:r>
      <w:r w:rsidR="007E648C" w:rsidRPr="00073666">
        <w:rPr>
          <w:rFonts w:ascii="Calibri" w:hAnsi="Calibri" w:cs="Calibri"/>
          <w:color w:val="000000" w:themeColor="text1"/>
          <w:sz w:val="22"/>
          <w:szCs w:val="22"/>
        </w:rPr>
        <w:instrText>ADDIN CSL_CITATION {"citationItems":[{"id":"ITEM-1","itemData":{"DOI":"10.1093/cid/ciz044","ISSN":"15376591","abstract":"These clinical practice guidelines are an update of the guidelines published by the Infectious Diseases Society of America (IDSA) in 2009, prior to the 2009 H1N1 influenza pandemic. This document addresses new information regarding diagnostic testing, treatment and chemoprophylaxis with antiviral medications, and issues related to institutional outbreak management for seasonal influenza. It is intended for use by primary care clinicians, obstetricians, emergency medicine providers, hospitalists, laboratorians, and infectious disease specialists, as well as other clinicians managing patients with suspected or laboratory-confirmed influenza. The guidelines consider the care of children and adults, including special populations such as pregnant and postpartum women and immunocompromised patients.","author":[{"dropping-particle":"","family":"Uyeki","given":"T. M.","non-dropping-particle":"","parse-names":false,"suffix":""},{"dropping-particle":"","family":"Bernstein","given":"H. H.","non-dropping-particle":"","parse-names":false,"suffix":""},{"dropping-particle":"","family":"Bradley","given":"J. S.","non-dropping-particle":"","parse-names":false,"suffix":""}],"container-title":"Clinical Infectious Diseases","id":"ITEM-1","issue":"10","issued":{"date-parts":[["2019"]]},"page":"1790","title":"Clinical practice guidelines by the infectious diseases Society of America: 2018 update on diagnosis, treatment, chemoprophylaxis, and institutional outbreak management of seasonal influenza (Clinical Infectious Diseases DOI: 10.1093/cid/ciy866)","type":"article-journal","volume":"68"},"uris":["http://www.mendeley.com/documents/?uuid=e735136c-fbd7-4ceb-8ca6-9aa239fd02ed"]}],"mendeley":{"formattedCitation":"[29]","plainTextFormattedCitation":"[29]","previouslyFormattedCitation":"[30]"},"properties":{"noteIndex":0},"schema":"https://github.com/citation-style-language/schema/raw/master/csl-citation.json"}</w:instrText>
      </w:r>
      <w:r w:rsidRPr="00073666">
        <w:rPr>
          <w:rFonts w:ascii="Calibri" w:hAnsi="Calibri" w:cs="Calibri"/>
          <w:color w:val="000000" w:themeColor="text1"/>
          <w:sz w:val="22"/>
          <w:szCs w:val="22"/>
        </w:rPr>
        <w:fldChar w:fldCharType="separate"/>
      </w:r>
      <w:r w:rsidR="007E648C" w:rsidRPr="00073666">
        <w:rPr>
          <w:rFonts w:ascii="Calibri" w:hAnsi="Calibri" w:cs="Calibri"/>
          <w:noProof/>
          <w:color w:val="000000" w:themeColor="text1"/>
          <w:sz w:val="22"/>
          <w:szCs w:val="22"/>
        </w:rPr>
        <w:t>[29]</w:t>
      </w:r>
      <w:r w:rsidRPr="00073666">
        <w:rPr>
          <w:rFonts w:ascii="Calibri" w:hAnsi="Calibri" w:cs="Calibri"/>
          <w:color w:val="000000" w:themeColor="text1"/>
          <w:sz w:val="22"/>
          <w:szCs w:val="22"/>
        </w:rPr>
        <w:fldChar w:fldCharType="end"/>
      </w:r>
      <w:r w:rsidRPr="00073666">
        <w:rPr>
          <w:rFonts w:ascii="Calibri" w:hAnsi="Calibri" w:cs="Calibri"/>
          <w:color w:val="000000" w:themeColor="text1"/>
          <w:sz w:val="22"/>
          <w:szCs w:val="22"/>
        </w:rPr>
        <w:t xml:space="preserve">. This is because a Cochrane meta-analysis has found that corticosteroid therapy use in influenza is </w:t>
      </w:r>
      <w:r w:rsidRPr="00073666">
        <w:rPr>
          <w:rFonts w:ascii="Calibri" w:hAnsi="Calibri" w:cs="Calibri"/>
          <w:color w:val="000000" w:themeColor="text1"/>
          <w:sz w:val="22"/>
          <w:szCs w:val="22"/>
          <w:shd w:val="clear" w:color="auto" w:fill="FFFFFF"/>
        </w:rPr>
        <w:t>associated with increased mortality (OR 3.06, 95% confidence interval (CI) 1.58 to 5.92)</w:t>
      </w:r>
      <w:r w:rsidRPr="00073666">
        <w:rPr>
          <w:rFonts w:ascii="Calibri" w:eastAsiaTheme="minorEastAsia" w:hAnsi="Calibri" w:cs="Calibri"/>
          <w:color w:val="000000" w:themeColor="text1"/>
          <w:sz w:val="22"/>
          <w:szCs w:val="22"/>
          <w:lang w:val="en-US" w:eastAsia="en-GB"/>
        </w:rPr>
        <w:t xml:space="preserve"> </w:t>
      </w:r>
      <w:r w:rsidRPr="00073666">
        <w:rPr>
          <w:rFonts w:ascii="Calibri" w:eastAsiaTheme="minorEastAsia" w:hAnsi="Calibri" w:cs="Calibri"/>
          <w:color w:val="000000" w:themeColor="text1"/>
          <w:sz w:val="22"/>
          <w:szCs w:val="22"/>
          <w:lang w:val="en-US" w:eastAsia="en-GB"/>
        </w:rPr>
        <w:fldChar w:fldCharType="begin" w:fldLock="1"/>
      </w:r>
      <w:r w:rsidR="007E648C" w:rsidRPr="00073666">
        <w:rPr>
          <w:rFonts w:ascii="Calibri" w:eastAsiaTheme="minorEastAsia" w:hAnsi="Calibri" w:cs="Calibri"/>
          <w:color w:val="000000" w:themeColor="text1"/>
          <w:sz w:val="22"/>
          <w:szCs w:val="22"/>
          <w:lang w:val="en-US" w:eastAsia="en-GB"/>
        </w:rPr>
        <w:instrText>ADDIN CSL_CITATION {"citationItems":[{"id":"ITEM-1","itemData":{"DOI":"10.1002/14651858.CD010406.pub2","ISSN":"1469-493X","PMID":"26950335","abstract":"BACKGROUND Specific treatments for influenza are limited to neuraminidase inhibitors and adamantanes. Corticosteroids show evidence of benefit in sepsis and related conditions, most likely due to their anti-inflammatory and immunomodulatory properties. Although commonly prescribed for severe influenza, there is uncertainty over their potential benefit or harm. OBJECTIVES To systematically assess the effectiveness and potential adverse effects of corticosteroids as adjunctive therapy in the treatment of influenza, taking into account differences in timing and doses of corticosteroids. SEARCH METHODS We searched CENTRAL (2015, Issue 5), MEDLINE (1946 to June week 1, 2015), EMBASE (1974 to June 2015), CINAHL (1981 to June 2015), LILACS (1982 to June 2015), Web of Science (1985 to June 2015), abstracts from the last three years of major infectious disease and microbiology conferences, and references of included articles. SELECTION CRITERIA We included randomised controlled trials (RCTs), quasi-RCTs and observational studies that compared corticosteroid treatment with no corticosteroid treatment for influenza or influenza-like illness. We did not restrict studies by language of publication, influenza subtypes, clinical setting or age of participants. We selected eligible studies in two stages: sequential examination of title and abstract, followed by full text. DATA COLLECTION AND ANALYSIS Two pairs of review authors independently extracted data and assessed risk of bias. We pooled estimates of effect using random-effects meta-analysis models, where appropriate. We assessed heterogeneity using the I(2) statistic and assessed the quality of the evidence using the Grading of Recommendations Assessment, Development and Evaluation (GRADE) framework. MAIN RESULTS We identified 19 eligible studies (3459 individuals), all observational; 13 studies (1917 individuals) were suitable for inclusion in the meta-analysis of mortality. Of these, 12 studied patients infected with 2009 influenza A H1N1 virus (H1N1pdm09). Risk of bias was greatest in the 'comparability domain' of the Newcastle-Ottawa scale, consistent with potential confounding by indication. Data specific to mortality were of very low quality. Reported doses of corticosteroids used were high and indications for their use were not well reported. On meta-analysis, corticosteroid therapy was associated with increased mortality (odds ratio (OR) 3.06, 95% confidence interval (CI) 1.58 to 5.92). Pooled subgroup an…","author":[{"dropping-particle":"","family":"Rodrigo","given":"Chamira","non-dropping-particle":"","parse-names":false,"suffix":""},{"dropping-particle":"","family":"Leonardi-Bee","given":"Jo","non-dropping-particle":"","parse-names":false,"suffix":""},{"dropping-particle":"","family":"Nguyen-Van-Tam","given":"Jonathan","non-dropping-particle":"","parse-names":false,"suffix":""},{"dropping-particle":"","family":"Lim","given":"Wei Shen","non-dropping-particle":"","parse-names":false,"suffix":""}],"container-title":"The Cochrane database of systematic reviews","id":"ITEM-1","issue":"2","issued":{"date-parts":[["2016"]]},"page":"CD010406","title":"Corticosteroids as adjunctive therapy in the treatment of influenza.","type":"article-journal","volume":"3"},"uris":["http://www.mendeley.com/documents/?uuid=1ee6a4c0-2437-4f61-a46a-b040626f547e"]}],"mendeley":{"formattedCitation":"[33]","plainTextFormattedCitation":"[33]","previouslyFormattedCitation":"[31]"},"properties":{"noteIndex":0},"schema":"https://github.com/citation-style-language/schema/raw/master/csl-citation.json"}</w:instrText>
      </w:r>
      <w:r w:rsidRPr="00073666">
        <w:rPr>
          <w:rFonts w:ascii="Calibri" w:eastAsiaTheme="minorEastAsia" w:hAnsi="Calibri" w:cs="Calibri"/>
          <w:color w:val="000000" w:themeColor="text1"/>
          <w:sz w:val="22"/>
          <w:szCs w:val="22"/>
          <w:lang w:val="en-US" w:eastAsia="en-GB"/>
        </w:rPr>
        <w:fldChar w:fldCharType="separate"/>
      </w:r>
      <w:r w:rsidR="007E648C" w:rsidRPr="00073666">
        <w:rPr>
          <w:rFonts w:ascii="Calibri" w:eastAsiaTheme="minorEastAsia" w:hAnsi="Calibri" w:cs="Calibri"/>
          <w:noProof/>
          <w:color w:val="000000" w:themeColor="text1"/>
          <w:sz w:val="22"/>
          <w:szCs w:val="22"/>
          <w:lang w:val="en-US" w:eastAsia="en-GB"/>
        </w:rPr>
        <w:t>[33]</w:t>
      </w:r>
      <w:r w:rsidRPr="00073666">
        <w:rPr>
          <w:rFonts w:ascii="Calibri" w:eastAsiaTheme="minorEastAsia" w:hAnsi="Calibri" w:cs="Calibri"/>
          <w:color w:val="000000" w:themeColor="text1"/>
          <w:sz w:val="22"/>
          <w:szCs w:val="22"/>
          <w:lang w:val="en-US" w:eastAsia="en-GB"/>
        </w:rPr>
        <w:fldChar w:fldCharType="end"/>
      </w:r>
      <w:r w:rsidRPr="00073666">
        <w:rPr>
          <w:rFonts w:ascii="Calibri" w:hAnsi="Calibri" w:cs="Calibri"/>
          <w:color w:val="000000" w:themeColor="text1"/>
          <w:sz w:val="22"/>
          <w:szCs w:val="22"/>
          <w:shd w:val="clear" w:color="auto" w:fill="FFFFFF"/>
        </w:rPr>
        <w:t>.</w:t>
      </w:r>
    </w:p>
    <w:p w14:paraId="284D0804" w14:textId="5E33C440" w:rsidR="00065E52" w:rsidRPr="00073666" w:rsidRDefault="00065E52" w:rsidP="00065E52">
      <w:pPr>
        <w:pStyle w:val="Heading1"/>
        <w:rPr>
          <w:rFonts w:ascii="Calibri" w:hAnsi="Calibri" w:cs="Calibri"/>
          <w:color w:val="000000" w:themeColor="text1"/>
          <w:sz w:val="24"/>
          <w:szCs w:val="24"/>
        </w:rPr>
      </w:pPr>
      <w:bookmarkStart w:id="3" w:name="_Toc17128382"/>
      <w:r w:rsidRPr="00073666">
        <w:rPr>
          <w:rFonts w:ascii="Calibri" w:hAnsi="Calibri" w:cs="Calibri"/>
          <w:color w:val="000000" w:themeColor="text1"/>
          <w:sz w:val="24"/>
          <w:szCs w:val="24"/>
        </w:rPr>
        <w:t xml:space="preserve">1.4 Pathogenesis of influenza-associated aspergillosis </w:t>
      </w:r>
      <w:bookmarkEnd w:id="3"/>
    </w:p>
    <w:p w14:paraId="2E3946C3" w14:textId="77777777" w:rsidR="00065E52" w:rsidRPr="00073666" w:rsidRDefault="00065E52" w:rsidP="00065E52">
      <w:pPr>
        <w:autoSpaceDE w:val="0"/>
        <w:autoSpaceDN w:val="0"/>
        <w:adjustRightInd w:val="0"/>
        <w:rPr>
          <w:rFonts w:ascii="Calibri" w:hAnsi="Calibri" w:cs="Calibri"/>
          <w:color w:val="000000"/>
          <w:sz w:val="20"/>
          <w:szCs w:val="20"/>
          <w:lang w:val="en-US" w:eastAsia="en-GB"/>
        </w:rPr>
      </w:pPr>
      <w:r w:rsidRPr="00073666">
        <w:rPr>
          <w:rFonts w:ascii="Calibri" w:hAnsi="Calibri" w:cs="Calibri"/>
          <w:color w:val="000000" w:themeColor="text1"/>
          <w:szCs w:val="22"/>
          <w:lang w:val="en-US"/>
        </w:rPr>
        <w:t>The reason for the association between severe influenza and IA is not fully understood but likely results from a combination of physical, immunological, microbiological and iatrogenic factors</w:t>
      </w:r>
      <w:r w:rsidRPr="00073666">
        <w:rPr>
          <w:rFonts w:ascii="Calibri" w:hAnsi="Calibri" w:cs="Calibri"/>
          <w:color w:val="000000" w:themeColor="text1"/>
          <w:szCs w:val="22"/>
          <w:lang w:val="en"/>
        </w:rPr>
        <w:t>.</w:t>
      </w:r>
      <w:r w:rsidRPr="00073666">
        <w:rPr>
          <w:rFonts w:ascii="Calibri" w:eastAsiaTheme="minorHAnsi" w:hAnsi="Calibri" w:cs="Calibri"/>
          <w:color w:val="000000" w:themeColor="text1"/>
          <w:szCs w:val="22"/>
          <w:lang w:val="en-US"/>
        </w:rPr>
        <w:t xml:space="preserve"> </w:t>
      </w:r>
    </w:p>
    <w:p w14:paraId="665C815A" w14:textId="77777777" w:rsidR="00065E52" w:rsidRPr="00073666" w:rsidRDefault="00065E52" w:rsidP="00065E52">
      <w:pPr>
        <w:autoSpaceDE w:val="0"/>
        <w:autoSpaceDN w:val="0"/>
        <w:adjustRightInd w:val="0"/>
        <w:rPr>
          <w:rFonts w:ascii="Calibri" w:hAnsi="Calibri" w:cs="Calibri"/>
          <w:color w:val="000000" w:themeColor="text1"/>
          <w:szCs w:val="22"/>
          <w:lang w:val="en-US"/>
        </w:rPr>
      </w:pPr>
    </w:p>
    <w:p w14:paraId="05DB43B9" w14:textId="77777777" w:rsidR="00065E52" w:rsidRPr="00073666" w:rsidRDefault="00065E52" w:rsidP="00065E52">
      <w:pPr>
        <w:autoSpaceDE w:val="0"/>
        <w:autoSpaceDN w:val="0"/>
        <w:adjustRightInd w:val="0"/>
        <w:rPr>
          <w:rFonts w:ascii="Calibri" w:hAnsi="Calibri" w:cs="Calibri"/>
          <w:b/>
          <w:color w:val="000000" w:themeColor="text1"/>
          <w:szCs w:val="22"/>
          <w:lang w:val="en"/>
        </w:rPr>
      </w:pPr>
      <w:r w:rsidRPr="00073666">
        <w:rPr>
          <w:rFonts w:ascii="Calibri" w:hAnsi="Calibri" w:cs="Calibri"/>
          <w:b/>
          <w:color w:val="000000" w:themeColor="text1"/>
          <w:szCs w:val="22"/>
          <w:lang w:val="en"/>
        </w:rPr>
        <w:t>Physical factors</w:t>
      </w:r>
    </w:p>
    <w:p w14:paraId="47C1C482" w14:textId="77777777" w:rsidR="00065E52" w:rsidRPr="00073666" w:rsidRDefault="00065E52" w:rsidP="00065E52">
      <w:pPr>
        <w:autoSpaceDE w:val="0"/>
        <w:autoSpaceDN w:val="0"/>
        <w:adjustRightInd w:val="0"/>
        <w:rPr>
          <w:rFonts w:ascii="Calibri" w:hAnsi="Calibri" w:cs="Calibri"/>
          <w:color w:val="000000" w:themeColor="text1"/>
          <w:szCs w:val="22"/>
        </w:rPr>
      </w:pPr>
      <w:r w:rsidRPr="00073666">
        <w:rPr>
          <w:rFonts w:ascii="Calibri" w:eastAsiaTheme="minorHAnsi" w:hAnsi="Calibri" w:cs="Calibri"/>
          <w:color w:val="000000" w:themeColor="text1"/>
          <w:szCs w:val="22"/>
          <w:lang w:val="en-US"/>
        </w:rPr>
        <w:t xml:space="preserve">The inflammation caused by severe influenza infection causes physical damage to the respiratory tract epithelial lining. This impedes </w:t>
      </w:r>
      <w:proofErr w:type="spellStart"/>
      <w:r w:rsidRPr="00073666">
        <w:rPr>
          <w:rFonts w:ascii="Calibri" w:eastAsiaTheme="minorHAnsi" w:hAnsi="Calibri" w:cs="Calibri"/>
          <w:color w:val="000000" w:themeColor="text1"/>
          <w:szCs w:val="22"/>
          <w:lang w:val="en-US"/>
        </w:rPr>
        <w:t>mucocilary</w:t>
      </w:r>
      <w:proofErr w:type="spellEnd"/>
      <w:r w:rsidRPr="00073666">
        <w:rPr>
          <w:rFonts w:ascii="Calibri" w:eastAsiaTheme="minorHAnsi" w:hAnsi="Calibri" w:cs="Calibri"/>
          <w:color w:val="000000" w:themeColor="text1"/>
          <w:szCs w:val="22"/>
          <w:lang w:val="en-US"/>
        </w:rPr>
        <w:t xml:space="preserve"> clearance and likely leaves the host vulnerable to invasive infection by </w:t>
      </w:r>
      <w:r w:rsidRPr="00073666">
        <w:rPr>
          <w:rFonts w:ascii="Calibri" w:eastAsiaTheme="minorHAnsi" w:hAnsi="Calibri" w:cs="Calibri"/>
          <w:i/>
          <w:color w:val="000000" w:themeColor="text1"/>
          <w:szCs w:val="22"/>
          <w:lang w:val="en-US"/>
        </w:rPr>
        <w:t>Aspergillus</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See discussion regarding tracheobronchitis in ‘Diagnosis of Invasive Aspergillosis’ above.</w:t>
      </w:r>
    </w:p>
    <w:p w14:paraId="6F9C80D2" w14:textId="77777777" w:rsidR="00065E52" w:rsidRPr="00073666" w:rsidRDefault="00065E52" w:rsidP="00065E52">
      <w:pPr>
        <w:autoSpaceDE w:val="0"/>
        <w:autoSpaceDN w:val="0"/>
        <w:adjustRightInd w:val="0"/>
        <w:rPr>
          <w:rFonts w:ascii="Calibri" w:eastAsiaTheme="minorHAnsi" w:hAnsi="Calibri" w:cs="Calibri"/>
          <w:b/>
          <w:color w:val="000000" w:themeColor="text1"/>
          <w:szCs w:val="22"/>
          <w:lang w:val="en-US"/>
        </w:rPr>
      </w:pPr>
    </w:p>
    <w:p w14:paraId="6206F112" w14:textId="77777777" w:rsidR="00065E52" w:rsidRPr="00073666" w:rsidRDefault="00065E52" w:rsidP="00065E52">
      <w:pPr>
        <w:autoSpaceDE w:val="0"/>
        <w:autoSpaceDN w:val="0"/>
        <w:adjustRightInd w:val="0"/>
        <w:rPr>
          <w:rFonts w:ascii="Calibri" w:eastAsiaTheme="minorHAnsi" w:hAnsi="Calibri" w:cs="Calibri"/>
          <w:b/>
          <w:color w:val="000000" w:themeColor="text1"/>
          <w:szCs w:val="22"/>
          <w:lang w:val="en-US"/>
        </w:rPr>
      </w:pPr>
      <w:r w:rsidRPr="00073666">
        <w:rPr>
          <w:rFonts w:ascii="Calibri" w:eastAsiaTheme="minorHAnsi" w:hAnsi="Calibri" w:cs="Calibri"/>
          <w:b/>
          <w:color w:val="000000" w:themeColor="text1"/>
          <w:szCs w:val="22"/>
          <w:lang w:val="en-US"/>
        </w:rPr>
        <w:t>Immunological factors</w:t>
      </w:r>
    </w:p>
    <w:p w14:paraId="3F5B3840" w14:textId="3FD627B2" w:rsidR="00065E52" w:rsidRPr="00073666" w:rsidRDefault="00065E52" w:rsidP="00065E52">
      <w:pPr>
        <w:autoSpaceDE w:val="0"/>
        <w:autoSpaceDN w:val="0"/>
        <w:adjustRightInd w:val="0"/>
        <w:rPr>
          <w:rFonts w:ascii="Calibri" w:eastAsiaTheme="minorHAnsi" w:hAnsi="Calibri" w:cs="Calibri"/>
          <w:color w:val="000000" w:themeColor="text1"/>
          <w:szCs w:val="22"/>
          <w:lang w:val="en-US"/>
        </w:rPr>
      </w:pPr>
      <w:r w:rsidRPr="00073666">
        <w:rPr>
          <w:rFonts w:ascii="Calibri" w:eastAsiaTheme="minorHAnsi" w:hAnsi="Calibri" w:cs="Calibri"/>
          <w:color w:val="000000" w:themeColor="text1"/>
          <w:szCs w:val="22"/>
          <w:lang w:val="en-US"/>
        </w:rPr>
        <w:t xml:space="preserve">The immune response to severe influenza can be broadly divided in to an ‘early’(innate) and ‘late’(adaptive) phase. In the early/innate phase (first week of symptoms) there is a sometimes excessive pro-inflammatory immune response with upregulation of </w:t>
      </w:r>
      <w:r w:rsidRPr="00073666">
        <w:rPr>
          <w:rFonts w:ascii="Calibri" w:hAnsi="Calibri" w:cs="Calibri"/>
          <w:color w:val="000000"/>
          <w:szCs w:val="22"/>
          <w:lang w:val="en-US" w:eastAsia="en-GB"/>
        </w:rPr>
        <w:t>Th1 proinflammatory</w:t>
      </w:r>
      <w:r w:rsidRPr="00073666">
        <w:rPr>
          <w:rFonts w:ascii="Calibri" w:eastAsiaTheme="minorHAnsi" w:hAnsi="Calibri" w:cs="Calibri"/>
          <w:color w:val="000000" w:themeColor="text1"/>
          <w:szCs w:val="22"/>
          <w:lang w:val="en-US"/>
        </w:rPr>
        <w:t xml:space="preserve"> </w:t>
      </w:r>
      <w:r w:rsidRPr="00073666">
        <w:rPr>
          <w:rFonts w:ascii="Calibri" w:hAnsi="Calibri" w:cs="Calibri"/>
          <w:color w:val="000000"/>
          <w:szCs w:val="22"/>
          <w:lang w:val="en-US" w:eastAsia="en-GB"/>
        </w:rPr>
        <w:t>cytokines such as TNF-α, IL-1 and IL-6</w:t>
      </w:r>
      <w:r w:rsidRPr="00073666">
        <w:rPr>
          <w:rFonts w:ascii="Calibri" w:hAnsi="Calibri" w:cs="Calibri"/>
          <w:color w:val="000000" w:themeColor="text1"/>
          <w:szCs w:val="22"/>
          <w:lang w:val="en"/>
        </w:rPr>
        <w:t xml:space="preserve"> </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{"citationItems":[{"id":"ITEM-1","itemData":{"DOI":"10.1007/s00134-019-05582-5","ISSN":"14321238","abstract":"file:///Users/mda06jy/Desktop/eji.201344404.pdf","author":[{"dropping-particle":"","family":"Tang","given":"Benjamin M.","non-dropping-particle":"","parse-names":false,"suffix":""},{"dropping-particle":"","family":"Feng","given":"Carl G.","non-dropping-particle":"","parse-names":false,"suffix":""},{"dropping-particle":"","family":"McLean","given":"Anthony S.","non-dropping-particle":"","parse-names":false,"suffix":""}],"container-title":"Intensive Care Medicine","id":"ITEM-1","issue":"7","issued":{"date-parts":[["2019"]]},"page":"1012-1014","publisher":"Springer Berlin Heidelberg","title":"Understanding the role of host response in influenza pneumonitis","type":"article-journal","volume":"45"},"uris":["http://www.mendeley.com/documents/?uuid=51e2f376-826a-40e0-8ea0-622e840fb245"]}],"mendeley":{"formattedCitation":"[34]","plainTextFormattedCitation":"[34]","previouslyFormattedCitation":"[35]"},"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[34]</w:t>
      </w:r>
      <w:r w:rsidRPr="00073666">
        <w:rPr>
          <w:rFonts w:ascii="Calibri" w:hAnsi="Calibri" w:cs="Calibri"/>
          <w:color w:val="000000" w:themeColor="text1"/>
          <w:szCs w:val="22"/>
          <w:lang w:val="en"/>
        </w:rPr>
        <w:fldChar w:fldCharType="end"/>
      </w:r>
      <w:r w:rsidRPr="00073666">
        <w:rPr>
          <w:rFonts w:ascii="Calibri" w:hAnsi="Calibri" w:cs="Calibri"/>
          <w:szCs w:val="22"/>
          <w:lang w:val="en-US" w:eastAsia="en-GB"/>
        </w:rPr>
        <w:fldChar w:fldCharType="begin" w:fldLock="1"/>
      </w:r>
      <w:r w:rsidR="007E648C" w:rsidRPr="00073666">
        <w:rPr>
          <w:rFonts w:ascii="Calibri" w:hAnsi="Calibri" w:cs="Calibri"/>
          <w:szCs w:val="22"/>
          <w:lang w:val="en-US" w:eastAsia="en-GB"/>
        </w:rPr>
        <w:instrText>ADDIN CSL_CITATION {"citationItems":[{"id":"ITEM-1","itemData":{"author":[{"dropping-particle":"","family":"Bermejo-martin","given":"Jesus F","non-dropping-particle":"","parse-names":false,"suffix":""},{"dropping-particle":"","family":"Martin-loeches","given":"Ignacio","non-dropping-particle":"","parse-names":false,"suffix":""},{"dropping-particle":"","family":"Rello","given":"Jordi","non-dropping-particle":"","parse-names":false,"suffix":""},{"dropping-particle":"","family":"Antón","given":"Andres","non-dropping-particle":"","parse-names":false,"suffix":""},{"dropping-particle":"","family":"Almansa","given":"Raquel","non-dropping-particle":"","parse-names":false,"suffix":""},{"dropping-particle":"","family":"Xu","given":"Luoling","non-dropping-particle":"","parse-names":false,"suffix":""},{"dropping-particle":"","family":"Lopez-campos","given":"Guillermo","non-dropping-particle":"","parse-names":false,"suffix":""},{"dropping-particle":"","family":"Pumarola","given":"Tomás","non-dropping-particle":"","parse-names":false,"suffix":""},{"dropping-particle":"","family":"Ran","given":"Longsi","non-dropping-particle":"","parse-names":false,"suffix":""},{"dropping-particle":"","family":"Ramirez","given":"Paula","non-dropping-particle":"","parse-names":false,"suffix":""},{"dropping-particle":"","family":"Banner","given":"David","non-dropping-particle":"","parse-names":false,"suffix":""},{"dropping-particle":"","family":"Ng","given":"Derek Cheuk","non-dropping-particle":"","parse-names":false,"suffix":""},{"dropping-particle":"","family":"Socias","given":"Lorenzo","non-dropping-particle":"","parse-names":false,"suffix":""},{"dropping-particle":"","family":"Loza","given":"Ana","non-dropping-particle":"","parse-names":false,"suffix":""},{"dropping-particle":"","family":"Andaluz","given":"David","non-dropping-particle":"","parse-names":false,"suffix":""},{"dropping-particle":"","family":"Maravi","given":"Enrique","non-dropping-particle":"","parse-names":false,"suffix":""},{"dropping-particle":"","family":"Gómez-sánchez","given":"Maria J","non-dropping-particle":"","parse-names":false,"suffix":""},{"dropping-particle":"","family":"Gordón","given":"Mónica","non-dropping-particle":"","parse-names":false,"suffix":""},{"dropping-particle":"","family":"Gallegos","given":"Maria C","non-dropping-particle":"","parse-names":false,"suffix":""},{"dropping-particle":"","family":"Fernandez","given":"Victoria","non-dropping-particle":"","parse-names":false,"suffix":""},{"dropping-particle":"","family":"Aldunate","given":"Sara","non-dropping-particle":"","parse-names":false,"suffix":""},{"dropping-particle":"","family":"León","given":"Cristobal","non-dropping-particle":"","parse-names":false,"suffix":""},{"dropping-particle":"","family":"Merino","given":"Pedro","non-dropping-particle":"","parse-names":false,"suffix":""},{"dropping-particle":"","family":"Blanco","given":"Jesús","non-dropping-particle":"","parse-names":false,"suffix":""},{"dropping-particle":"","family":"Gandía","given":"Francisco","non-dropping-particle":"","parse-names":false,"suffix":""},{"dropping-particle":"","family":"Bobillo","given":"Felipe","non-dropping-particle":"","parse-names":false,"suffix":""},{"dropping-particle":"","family":"Nogueira","given":"Begoña","non-dropping-particle":"","parse-names":false,"suffix":""},{"dropping-particle":"","family":"Rojo","given":"Silvia","non-dropping-particle":"","parse-names":false,"suffix":""},{"dropping-particle":"","family":"Resino","given":"Salvador","non-dropping-particle":"","parse-names":false,"suffix":""},{"dropping-particle":"","family":"Castro","given":"Carmen","non-dropping-particle":"","parse-names":false,"suffix":""}],"container-title":"Critical Care","id":"ITEM-1","issued":{"date-parts":[["2010"]]},"page":"1-12","title":"Host adaptive immunity deficiency in severe pandemic influenza","type":"article-journal","volume":"14"},"uris":["http://www.mendeley.com/documents/?uuid=b0a05180-2f72-49d8-8cf2-42f9fd6f21a7"]}],"mendeley":{"formattedCitation":"[35]","plainTextFormattedCitation":"[35]","previouslyFormattedCitation":"[36]"},"properties":{"noteIndex":0},"schema":"https://github.com/citation-style-language/schema/raw/master/csl-citation.json"}</w:instrText>
      </w:r>
      <w:r w:rsidRPr="00073666">
        <w:rPr>
          <w:rFonts w:ascii="Calibri" w:hAnsi="Calibri" w:cs="Calibri"/>
          <w:szCs w:val="22"/>
          <w:lang w:val="en-US" w:eastAsia="en-GB"/>
        </w:rPr>
        <w:fldChar w:fldCharType="separate"/>
      </w:r>
      <w:r w:rsidR="007E648C" w:rsidRPr="00073666">
        <w:rPr>
          <w:rFonts w:ascii="Calibri" w:hAnsi="Calibri" w:cs="Calibri"/>
          <w:noProof/>
          <w:szCs w:val="22"/>
          <w:lang w:val="en-US" w:eastAsia="en-GB"/>
        </w:rPr>
        <w:t>[35]</w:t>
      </w:r>
      <w:r w:rsidRPr="00073666">
        <w:rPr>
          <w:rFonts w:ascii="Calibri" w:hAnsi="Calibri" w:cs="Calibri"/>
          <w:szCs w:val="22"/>
          <w:lang w:val="en-US" w:eastAsia="en-GB"/>
        </w:rPr>
        <w:fldChar w:fldCharType="end"/>
      </w:r>
      <w:r w:rsidRPr="00073666">
        <w:rPr>
          <w:rFonts w:ascii="Calibri" w:hAnsi="Calibri" w:cs="Calibri"/>
          <w:szCs w:val="22"/>
          <w:lang w:val="en-US" w:eastAsia="en-GB"/>
        </w:rPr>
        <w:t>.</w:t>
      </w:r>
      <w:r w:rsidRPr="00073666">
        <w:rPr>
          <w:rFonts w:ascii="Calibri" w:hAnsi="Calibri" w:cs="Calibri"/>
          <w:color w:val="000000"/>
          <w:szCs w:val="22"/>
          <w:lang w:val="en-US" w:eastAsia="en-GB"/>
        </w:rPr>
        <w:t xml:space="preserve"> This leads to recruitment and activation of neutrophils with resulting tissue damage. </w:t>
      </w:r>
      <w:r w:rsidRPr="00073666">
        <w:rPr>
          <w:rFonts w:ascii="Calibri" w:eastAsiaTheme="minorHAnsi" w:hAnsi="Calibri" w:cs="Calibri"/>
          <w:color w:val="000000" w:themeColor="text1"/>
          <w:szCs w:val="22"/>
          <w:lang w:val="en-US"/>
        </w:rPr>
        <w:t xml:space="preserve">In those with severe infection these high levels of proinflammatory cytokines persist, but there is also a failure to down-regulate immunosuppressive cytokines such as IL-10. The result is ongoing inflammation alongside an impaired adaptive response </w:t>
      </w:r>
      <w:proofErr w:type="spellStart"/>
      <w:r w:rsidRPr="00073666">
        <w:rPr>
          <w:rFonts w:ascii="Calibri" w:eastAsiaTheme="minorHAnsi" w:hAnsi="Calibri" w:cs="Calibri"/>
          <w:color w:val="000000" w:themeColor="text1"/>
          <w:szCs w:val="22"/>
          <w:lang w:val="en-US"/>
        </w:rPr>
        <w:t>characterised</w:t>
      </w:r>
      <w:proofErr w:type="spellEnd"/>
      <w:r w:rsidRPr="00073666">
        <w:rPr>
          <w:rFonts w:ascii="Calibri" w:eastAsiaTheme="minorHAnsi" w:hAnsi="Calibri" w:cs="Calibri"/>
          <w:color w:val="000000" w:themeColor="text1"/>
          <w:szCs w:val="22"/>
          <w:lang w:val="en-US"/>
        </w:rPr>
        <w:t xml:space="preserve"> by lack of T helper cell differentiation and B cell development </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10.1016/s2213-2600(18)30332-1","ISSN":"22132600","author":[{"dropping-particle":"","family":"Lamoth","given":"Frederic","non-dropping-particle":"","parse-names":false,"suffix":""},{"dropping-particle":"","family":"Calandra","given":"Thierry","non-dropping-particle":"","parse-names":false,"suffix":""}],"container-title":"The Lancet Respiratory Medicine","id":"ITEM-1","issue":"10","issued":{"date-parts":[["2018"]]},"page":"733-735","title":"Let's add invasive aspergillosis to the list of influenza complications","type":"article-journal","volume":"6"},"uris":["http://www.mendeley.com/documents/?uuid=f1af5882-a3d0-41c6-a4e4-ef0d334a579c"]}],"mendeley":{"formattedCitation":"[36]","plainTextFormattedCitation":"[36]","previouslyFormattedCitation":"[37]"},"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[36]</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10.1016/j.jaci.2017.02.034","author":[{"dropping-particle":"","family":"Cunha","given":"C","non-dropping-particle":"","parse-names":false,"suffix":""},{"dropping-particle":"","family":"Goncalves","given":"SM","non-dropping-particle":"","parse-names":false,"suffix":""},{"dropping-particle":"","family":"Duarte-Oliveira","given":"C","non-dropping-particle":"","parse-names":false,"suffix":""},{"dropping-particle":"","family":"Leite","given":"L","non-dropping-particle":"","parse-names":false,"suffix":""},{"dropping-particle":"","family":"Lagrou","given":"K","non-dropping-particle":"","parse-names":false,"suffix":""},{"dropping-particle":"","family":"Marques","given":"A","non-dropping-particle":"","parse-names":false,"suffix":""}],"container-title":"J Allergy Clin Immunol","id":"ITEM-1","issue":"3","issued":{"date-parts":[["2017"]]},"page":"867-870","title":"IL-10 overexpression predisposes to invasive aspergillosis by suppressing antifungal immunity","type":"article-journal","volume":"140"},"uris":["http://www.mendeley.com/documents/?uuid=1319fdaf-8f10-42ae-b847-041b6e1e6bd7"]}],"mendeley":{"formattedCitation":"[37]","plainTextFormattedCitation":"[37]","previouslyFormattedCitation":"[38]"},"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[37]</w:t>
      </w:r>
      <w:r w:rsidRPr="00073666">
        <w:rPr>
          <w:rFonts w:ascii="Calibri" w:hAnsi="Calibri" w:cs="Calibri"/>
          <w:color w:val="000000" w:themeColor="text1"/>
          <w:szCs w:val="22"/>
          <w:lang w:val="en"/>
        </w:rPr>
        <w:fldChar w:fldCharType="end"/>
      </w:r>
      <w:r w:rsidRPr="00073666">
        <w:rPr>
          <w:rFonts w:ascii="Calibri" w:eastAsiaTheme="minorHAnsi" w:hAnsi="Calibri" w:cs="Calibri"/>
          <w:color w:val="000000" w:themeColor="text1"/>
          <w:szCs w:val="22"/>
          <w:lang w:val="en-US"/>
        </w:rPr>
        <w:fldChar w:fldCharType="begin" w:fldLock="1"/>
      </w:r>
      <w:r w:rsidR="007E648C" w:rsidRPr="00073666">
        <w:rPr>
          <w:rFonts w:ascii="Calibri" w:eastAsiaTheme="minorHAnsi" w:hAnsi="Calibri" w:cs="Calibri"/>
          <w:color w:val="000000" w:themeColor="text1"/>
          <w:szCs w:val="22"/>
          <w:lang w:val="en-US"/>
        </w:rPr>
        <w:instrText>ADDIN CSL_CITATION {"citationItems":[{"id":"ITEM-1","itemData":{"author":[{"dropping-particle":"","family":"Bermejo-martin","given":"Jesus F","non-dropping-particle":"","parse-names":false,"suffix":""},{"dropping-particle":"","family":"Martin-loeches","given":"Ignacio","non-dropping-particle":"","parse-names":false,"suffix":""},{"dropping-particle":"","family":"Rello","given":"Jordi","non-dropping-particle":"","parse-names":false,"suffix":""},{"dropping-particle":"","family":"Antón","given":"Andres","non-dropping-particle":"","parse-names":false,"suffix":""},{"dropping-particle":"","family":"Almansa","given":"Raquel","non-dropping-particle":"","parse-names":false,"suffix":""},{"dropping-particle":"","family":"Xu","given":"Luoling","non-dropping-particle":"","parse-names":false,"suffix":""},{"dropping-particle":"","family":"Lopez-campos","given":"Guillermo","non-dropping-particle":"","parse-names":false,"suffix":""},{"dropping-particle":"","family":"Pumarola","given":"Tomás","non-dropping-particle":"","parse-names":false,"suffix":""},{"dropping-particle":"","family":"Ran","given":"Longsi","non-dropping-particle":"","parse-names":false,"suffix":""},{"dropping-particle":"","family":"Ramirez","given":"Paula","non-dropping-particle":"","parse-names":false,"suffix":""},{"dropping-particle":"","family":"Banner","given":"David","non-dropping-particle":"","parse-names":false,"suffix":""},{"dropping-particle":"","family":"Ng","given":"Derek Cheuk","non-dropping-particle":"","parse-names":false,"suffix":""},{"dropping-particle":"","family":"Socias","given":"Lorenzo","non-dropping-particle":"","parse-names":false,"suffix":""},{"dropping-particle":"","family":"Loza","given":"Ana","non-dropping-particle":"","parse-names":false,"suffix":""},{"dropping-particle":"","family":"Andaluz","given":"David","non-dropping-particle":"","parse-names":false,"suffix":""},{"dropping-particle":"","family":"Maravi","given":"Enrique","non-dropping-particle":"","parse-names":false,"suffix":""},{"dropping-particle":"","family":"Gómez-sánchez","given":"Maria J","non-dropping-particle":"","parse-names":false,"suffix":""},{"dropping-particle":"","family":"Gordón","given":"Mónica","non-dropping-particle":"","parse-names":false,"suffix":""},{"dropping-particle":"","family":"Gallegos","given":"Maria C","non-dropping-particle":"","parse-names":false,"suffix":""},{"dropping-particle":"","family":"Fernandez","given":"Victoria","non-dropping-particle":"","parse-names":false,"suffix":""},{"dropping-particle":"","family":"Aldunate","given":"Sara","non-dropping-particle":"","parse-names":false,"suffix":""},{"dropping-particle":"","family":"León","given":"Cristobal","non-dropping-particle":"","parse-names":false,"suffix":""},{"dropping-particle":"","family":"Merino","given":"Pedro","non-dropping-particle":"","parse-names":false,"suffix":""},{"dropping-particle":"","family":"Blanco","given":"Jesús","non-dropping-particle":"","parse-names":false,"suffix":""},{"dropping-particle":"","family":"Gandía","given":"Francisco","non-dropping-particle":"","parse-names":false,"suffix":""},{"dropping-particle":"","family":"Bobillo","given":"Felipe","non-dropping-particle":"","parse-names":false,"suffix":""},{"dropping-particle":"","family":"Nogueira","given":"Begoña","non-dropping-particle":"","parse-names":false,"suffix":""},{"dropping-particle":"","family":"Rojo","given":"Silvia","non-dropping-particle":"","parse-names":false,"suffix":""},{"dropping-particle":"","family":"Resino","given":"Salvador","non-dropping-particle":"","parse-names":false,"suffix":""},{"dropping-particle":"","family":"Castro","given":"Carmen","non-dropping-particle":"","parse-names":false,"suffix":""}],"container-title":"Critical Care","id":"ITEM-1","issued":{"date-parts":[["2010"]]},"page":"1-12","title":"Host adaptive immunity deficiency in severe pandemic influenza","type":"article-journal","volume":"14"},"uris":["http://www.mendeley.com/documents/?uuid=b0a05180-2f72-49d8-8cf2-42f9fd6f21a7"]}],"mendeley":{"formattedCitation":"[35]","plainTextFormattedCitation":"[35]","previouslyFormattedCitation":"[36]"},"properties":{"noteIndex":0},"schema":"https://github.com/citation-style-language/schema/raw/master/csl-citation.json"}</w:instrText>
      </w:r>
      <w:r w:rsidRPr="00073666">
        <w:rPr>
          <w:rFonts w:ascii="Calibri" w:eastAsiaTheme="minorHAnsi" w:hAnsi="Calibri" w:cs="Calibri"/>
          <w:color w:val="000000" w:themeColor="text1"/>
          <w:szCs w:val="22"/>
          <w:lang w:val="en-US"/>
        </w:rPr>
        <w:fldChar w:fldCharType="separate"/>
      </w:r>
      <w:r w:rsidR="007E648C" w:rsidRPr="00073666">
        <w:rPr>
          <w:rFonts w:ascii="Calibri" w:eastAsiaTheme="minorHAnsi" w:hAnsi="Calibri" w:cs="Calibri"/>
          <w:noProof/>
          <w:color w:val="000000" w:themeColor="text1"/>
          <w:szCs w:val="22"/>
          <w:lang w:val="en-US"/>
        </w:rPr>
        <w:t>[35]</w:t>
      </w:r>
      <w:r w:rsidRPr="00073666">
        <w:rPr>
          <w:rFonts w:ascii="Calibri" w:eastAsiaTheme="minorHAnsi" w:hAnsi="Calibri" w:cs="Calibri"/>
          <w:color w:val="000000" w:themeColor="text1"/>
          <w:szCs w:val="22"/>
          <w:lang w:val="en-US"/>
        </w:rPr>
        <w:fldChar w:fldCharType="end"/>
      </w:r>
      <w:r w:rsidRPr="00073666">
        <w:rPr>
          <w:rFonts w:ascii="Calibri" w:eastAsiaTheme="minorHAnsi" w:hAnsi="Calibri" w:cs="Calibri"/>
          <w:color w:val="000000" w:themeColor="text1"/>
          <w:szCs w:val="22"/>
          <w:lang w:val="en-US"/>
        </w:rPr>
        <w:t>. This in turn allows for persistent viral replication, creating a vicious cycle.</w:t>
      </w:r>
    </w:p>
    <w:p w14:paraId="2989BAA1" w14:textId="65EC75BC" w:rsidR="00065E52" w:rsidRPr="00073666" w:rsidRDefault="00065E52" w:rsidP="00065E52">
      <w:pPr>
        <w:autoSpaceDE w:val="0"/>
        <w:autoSpaceDN w:val="0"/>
        <w:adjustRightInd w:val="0"/>
        <w:rPr>
          <w:rFonts w:ascii="Calibri" w:eastAsiaTheme="minorHAnsi" w:hAnsi="Calibri" w:cs="Calibri"/>
          <w:color w:val="000000" w:themeColor="text1"/>
          <w:szCs w:val="22"/>
          <w:lang w:val="en-US"/>
        </w:rPr>
      </w:pPr>
    </w:p>
    <w:p w14:paraId="3B6D9107" w14:textId="75618A50"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3A0417EC" w14:textId="4A169220"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5EF0A3D9" w14:textId="50CAADF2"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0A800F42" w14:textId="6DD6117E"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486A09A8" w14:textId="270147AD"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772782EC" w14:textId="41D69816"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609563AD" w14:textId="5E1DBBF6"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35C0BD96" w14:textId="3E35E894"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35283B60" w14:textId="637AA1E6"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72A1CE17" w14:textId="446C4AE1"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098183C4" w14:textId="48A8AA81"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09A1E877" w14:textId="235FC94A"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2CB9EE3B" w14:textId="73F518CF"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1CC5B310" w14:textId="67733C02"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4AD218B4" w14:textId="77777777" w:rsidR="00B468ED" w:rsidRPr="00073666" w:rsidRDefault="00B468ED" w:rsidP="00065E52">
      <w:pPr>
        <w:autoSpaceDE w:val="0"/>
        <w:autoSpaceDN w:val="0"/>
        <w:adjustRightInd w:val="0"/>
        <w:rPr>
          <w:rFonts w:ascii="Calibri" w:eastAsiaTheme="minorHAnsi" w:hAnsi="Calibri" w:cs="Calibri"/>
          <w:color w:val="000000" w:themeColor="text1"/>
          <w:szCs w:val="22"/>
          <w:lang w:val="en-US"/>
        </w:rPr>
      </w:pPr>
    </w:p>
    <w:p w14:paraId="23C981FD" w14:textId="7297E88F" w:rsidR="00065E52" w:rsidRPr="00073666" w:rsidRDefault="00065E52" w:rsidP="00065E52">
      <w:pPr>
        <w:autoSpaceDE w:val="0"/>
        <w:autoSpaceDN w:val="0"/>
        <w:adjustRightInd w:val="0"/>
        <w:rPr>
          <w:rFonts w:ascii="Calibri" w:hAnsi="Calibri" w:cs="Calibri"/>
          <w:color w:val="000000" w:themeColor="text1"/>
          <w:szCs w:val="22"/>
          <w:lang w:val="en"/>
        </w:rPr>
      </w:pPr>
      <w:r w:rsidRPr="00073666">
        <w:rPr>
          <w:rFonts w:ascii="Calibri" w:hAnsi="Calibri" w:cs="Calibri"/>
          <w:color w:val="000000" w:themeColor="text1"/>
          <w:szCs w:val="22"/>
          <w:lang w:val="en"/>
        </w:rPr>
        <w:lastRenderedPageBreak/>
        <w:t>Figure 2. Model of host immune deficiency in severe influenza, adapted from {36].</w:t>
      </w:r>
    </w:p>
    <w:p w14:paraId="48C1B0E8" w14:textId="3134036F" w:rsidR="00065E52" w:rsidRPr="00073666" w:rsidRDefault="00065E52" w:rsidP="00065E52">
      <w:pPr>
        <w:autoSpaceDE w:val="0"/>
        <w:autoSpaceDN w:val="0"/>
        <w:adjustRightInd w:val="0"/>
        <w:rPr>
          <w:rFonts w:ascii="Calibri" w:hAnsi="Calibri" w:cs="Calibri"/>
          <w:color w:val="000000" w:themeColor="text1"/>
          <w:szCs w:val="22"/>
          <w:lang w:val="en"/>
        </w:rPr>
      </w:pPr>
      <w:r w:rsidRPr="00073666">
        <w:rPr>
          <w:rFonts w:ascii="Calibri" w:hAnsi="Calibri" w:cs="Calibri"/>
          <w:noProof/>
          <w:color w:val="000000" w:themeColor="text1"/>
          <w:szCs w:val="22"/>
          <w:lang w:val="en-US"/>
        </w:rPr>
        <w:drawing>
          <wp:anchor distT="0" distB="0" distL="114300" distR="114300" simplePos="0" relativeHeight="251661312" behindDoc="0" locked="0" layoutInCell="1" allowOverlap="1" wp14:anchorId="107C1534" wp14:editId="20D1D0A7">
            <wp:simplePos x="0" y="0"/>
            <wp:positionH relativeFrom="column">
              <wp:posOffset>0</wp:posOffset>
            </wp:positionH>
            <wp:positionV relativeFrom="paragraph">
              <wp:posOffset>149225</wp:posOffset>
            </wp:positionV>
            <wp:extent cx="4486275" cy="2828925"/>
            <wp:effectExtent l="0" t="0" r="0"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4486275" cy="2828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424804" w14:textId="34291A3C" w:rsidR="00065E52" w:rsidRPr="00073666" w:rsidRDefault="00065E52" w:rsidP="00065E52">
      <w:pPr>
        <w:autoSpaceDE w:val="0"/>
        <w:autoSpaceDN w:val="0"/>
        <w:adjustRightInd w:val="0"/>
        <w:rPr>
          <w:rFonts w:ascii="Calibri" w:hAnsi="Calibri" w:cs="Calibri"/>
          <w:color w:val="000000" w:themeColor="text1"/>
          <w:szCs w:val="22"/>
          <w:lang w:val="en"/>
        </w:rPr>
      </w:pPr>
    </w:p>
    <w:p w14:paraId="2A7521FD" w14:textId="29897F61" w:rsidR="00065E52" w:rsidRPr="00073666" w:rsidRDefault="00065E52" w:rsidP="00065E52">
      <w:pPr>
        <w:autoSpaceDE w:val="0"/>
        <w:autoSpaceDN w:val="0"/>
        <w:adjustRightInd w:val="0"/>
        <w:rPr>
          <w:rFonts w:ascii="Calibri" w:hAnsi="Calibri" w:cs="Calibri"/>
          <w:color w:val="000000" w:themeColor="text1"/>
          <w:szCs w:val="22"/>
          <w:lang w:val="en"/>
        </w:rPr>
      </w:pPr>
    </w:p>
    <w:p w14:paraId="7000A409" w14:textId="63A1EF58" w:rsidR="00065E52" w:rsidRPr="00073666" w:rsidRDefault="00065E52" w:rsidP="00065E52">
      <w:pPr>
        <w:autoSpaceDE w:val="0"/>
        <w:autoSpaceDN w:val="0"/>
        <w:adjustRightInd w:val="0"/>
        <w:rPr>
          <w:rFonts w:ascii="Calibri" w:hAnsi="Calibri" w:cs="Calibri"/>
          <w:color w:val="000000" w:themeColor="text1"/>
          <w:szCs w:val="22"/>
          <w:lang w:val="en"/>
        </w:rPr>
      </w:pPr>
    </w:p>
    <w:p w14:paraId="5667E965" w14:textId="6B71AD24" w:rsidR="00065E52" w:rsidRPr="00073666" w:rsidRDefault="00065E52" w:rsidP="00065E52">
      <w:pPr>
        <w:autoSpaceDE w:val="0"/>
        <w:autoSpaceDN w:val="0"/>
        <w:adjustRightInd w:val="0"/>
        <w:rPr>
          <w:rFonts w:ascii="Calibri" w:hAnsi="Calibri" w:cs="Calibri"/>
          <w:color w:val="000000" w:themeColor="text1"/>
          <w:szCs w:val="22"/>
          <w:lang w:val="en"/>
        </w:rPr>
      </w:pPr>
    </w:p>
    <w:p w14:paraId="030C3C09" w14:textId="0767E5C9" w:rsidR="00065E52" w:rsidRPr="00073666" w:rsidRDefault="00065E52" w:rsidP="00065E52">
      <w:pPr>
        <w:autoSpaceDE w:val="0"/>
        <w:autoSpaceDN w:val="0"/>
        <w:adjustRightInd w:val="0"/>
        <w:rPr>
          <w:rFonts w:ascii="Calibri" w:hAnsi="Calibri" w:cs="Calibri"/>
          <w:color w:val="000000" w:themeColor="text1"/>
          <w:szCs w:val="22"/>
          <w:lang w:val="en"/>
        </w:rPr>
      </w:pPr>
    </w:p>
    <w:p w14:paraId="37E7128F" w14:textId="77777777" w:rsidR="00065E52" w:rsidRPr="00073666" w:rsidRDefault="00065E52" w:rsidP="00065E52">
      <w:pPr>
        <w:autoSpaceDE w:val="0"/>
        <w:autoSpaceDN w:val="0"/>
        <w:adjustRightInd w:val="0"/>
        <w:rPr>
          <w:rFonts w:ascii="Calibri" w:hAnsi="Calibri" w:cs="Calibri"/>
          <w:color w:val="000000" w:themeColor="text1"/>
          <w:szCs w:val="22"/>
          <w:lang w:val="en"/>
        </w:rPr>
      </w:pPr>
    </w:p>
    <w:p w14:paraId="7FA84499" w14:textId="755C99B0" w:rsidR="00065E52" w:rsidRPr="00073666" w:rsidRDefault="00065E52" w:rsidP="00065E52">
      <w:pPr>
        <w:autoSpaceDE w:val="0"/>
        <w:autoSpaceDN w:val="0"/>
        <w:adjustRightInd w:val="0"/>
        <w:rPr>
          <w:rFonts w:ascii="Calibri" w:hAnsi="Calibri" w:cs="Calibri"/>
          <w:color w:val="000000"/>
          <w:sz w:val="20"/>
          <w:szCs w:val="20"/>
          <w:lang w:val="en-US" w:eastAsia="en-GB"/>
        </w:rPr>
      </w:pPr>
    </w:p>
    <w:p w14:paraId="7C80FBBB" w14:textId="7B462C71" w:rsidR="00065E52" w:rsidRPr="00073666" w:rsidRDefault="00065E52" w:rsidP="00065E52">
      <w:pPr>
        <w:autoSpaceDE w:val="0"/>
        <w:autoSpaceDN w:val="0"/>
        <w:adjustRightInd w:val="0"/>
        <w:rPr>
          <w:rFonts w:ascii="Calibri" w:hAnsi="Calibri" w:cs="Calibri"/>
          <w:color w:val="000000"/>
          <w:sz w:val="20"/>
          <w:szCs w:val="20"/>
          <w:lang w:val="en-US" w:eastAsia="en-GB"/>
        </w:rPr>
      </w:pPr>
    </w:p>
    <w:p w14:paraId="4E23E076" w14:textId="516700FB" w:rsidR="00065E52" w:rsidRPr="00073666" w:rsidRDefault="00065E52" w:rsidP="00065E52">
      <w:pPr>
        <w:autoSpaceDE w:val="0"/>
        <w:autoSpaceDN w:val="0"/>
        <w:adjustRightInd w:val="0"/>
        <w:rPr>
          <w:rFonts w:ascii="Calibri" w:hAnsi="Calibri" w:cs="Calibri"/>
          <w:color w:val="000000"/>
          <w:sz w:val="20"/>
          <w:szCs w:val="20"/>
          <w:lang w:val="en-US" w:eastAsia="en-GB"/>
        </w:rPr>
      </w:pPr>
    </w:p>
    <w:p w14:paraId="779D8F85" w14:textId="77777777" w:rsidR="00065E52" w:rsidRPr="00073666" w:rsidRDefault="00065E52" w:rsidP="00065E52">
      <w:pPr>
        <w:autoSpaceDE w:val="0"/>
        <w:autoSpaceDN w:val="0"/>
        <w:adjustRightInd w:val="0"/>
        <w:rPr>
          <w:rFonts w:ascii="Calibri" w:hAnsi="Calibri" w:cs="Calibri"/>
          <w:color w:val="000000"/>
          <w:sz w:val="20"/>
          <w:szCs w:val="20"/>
          <w:lang w:val="en-US" w:eastAsia="en-GB"/>
        </w:rPr>
      </w:pPr>
    </w:p>
    <w:p w14:paraId="048C960A" w14:textId="614BBA39" w:rsidR="00065E52" w:rsidRPr="00073666" w:rsidRDefault="00065E52" w:rsidP="00065E52">
      <w:pPr>
        <w:autoSpaceDE w:val="0"/>
        <w:autoSpaceDN w:val="0"/>
        <w:adjustRightInd w:val="0"/>
        <w:rPr>
          <w:rFonts w:ascii="Calibri" w:eastAsiaTheme="minorHAnsi" w:hAnsi="Calibri" w:cs="Calibri"/>
          <w:color w:val="000000" w:themeColor="text1"/>
          <w:szCs w:val="22"/>
          <w:lang w:val="en-US"/>
        </w:rPr>
      </w:pPr>
    </w:p>
    <w:p w14:paraId="1A69A1FE" w14:textId="77777777" w:rsidR="00065E52" w:rsidRPr="00073666" w:rsidRDefault="00065E52" w:rsidP="00065E52">
      <w:pPr>
        <w:autoSpaceDE w:val="0"/>
        <w:autoSpaceDN w:val="0"/>
        <w:adjustRightInd w:val="0"/>
        <w:rPr>
          <w:rFonts w:ascii="Calibri" w:hAnsi="Calibri" w:cs="Calibri"/>
          <w:color w:val="000000"/>
          <w:szCs w:val="22"/>
          <w:lang w:val="en-US" w:eastAsia="en-GB"/>
        </w:rPr>
      </w:pPr>
    </w:p>
    <w:p w14:paraId="0F10E7DF" w14:textId="77777777" w:rsidR="00F36A48" w:rsidRPr="00073666" w:rsidRDefault="00F36A48" w:rsidP="00065E52">
      <w:pPr>
        <w:autoSpaceDE w:val="0"/>
        <w:autoSpaceDN w:val="0"/>
        <w:adjustRightInd w:val="0"/>
        <w:rPr>
          <w:rFonts w:ascii="Calibri" w:eastAsiaTheme="minorHAnsi" w:hAnsi="Calibri" w:cs="Calibri"/>
          <w:color w:val="000000" w:themeColor="text1"/>
          <w:szCs w:val="22"/>
          <w:lang w:val="en-US"/>
        </w:rPr>
      </w:pPr>
    </w:p>
    <w:p w14:paraId="169C0D9D" w14:textId="77777777" w:rsidR="00F36A48" w:rsidRPr="00073666" w:rsidRDefault="00F36A48" w:rsidP="00065E52">
      <w:pPr>
        <w:autoSpaceDE w:val="0"/>
        <w:autoSpaceDN w:val="0"/>
        <w:adjustRightInd w:val="0"/>
        <w:rPr>
          <w:rFonts w:ascii="Calibri" w:eastAsiaTheme="minorHAnsi" w:hAnsi="Calibri" w:cs="Calibri"/>
          <w:color w:val="000000" w:themeColor="text1"/>
          <w:szCs w:val="22"/>
          <w:lang w:val="en-US"/>
        </w:rPr>
      </w:pPr>
    </w:p>
    <w:p w14:paraId="7BC2EAF7" w14:textId="77777777" w:rsidR="00F36A48" w:rsidRPr="00073666" w:rsidRDefault="00F36A48" w:rsidP="00065E52">
      <w:pPr>
        <w:autoSpaceDE w:val="0"/>
        <w:autoSpaceDN w:val="0"/>
        <w:adjustRightInd w:val="0"/>
        <w:rPr>
          <w:rFonts w:ascii="Calibri" w:eastAsiaTheme="minorHAnsi" w:hAnsi="Calibri" w:cs="Calibri"/>
          <w:color w:val="000000" w:themeColor="text1"/>
          <w:szCs w:val="22"/>
          <w:lang w:val="en-US"/>
        </w:rPr>
      </w:pPr>
    </w:p>
    <w:p w14:paraId="7FBD0900" w14:textId="77777777" w:rsidR="00F36A48" w:rsidRPr="00073666" w:rsidRDefault="00F36A48" w:rsidP="00065E52">
      <w:pPr>
        <w:autoSpaceDE w:val="0"/>
        <w:autoSpaceDN w:val="0"/>
        <w:adjustRightInd w:val="0"/>
        <w:rPr>
          <w:rFonts w:ascii="Calibri" w:eastAsiaTheme="minorHAnsi" w:hAnsi="Calibri" w:cs="Calibri"/>
          <w:color w:val="000000" w:themeColor="text1"/>
          <w:szCs w:val="22"/>
          <w:lang w:val="en-US"/>
        </w:rPr>
      </w:pPr>
    </w:p>
    <w:p w14:paraId="120F4E32" w14:textId="77777777" w:rsidR="00F36A48" w:rsidRPr="00073666" w:rsidRDefault="00F36A48" w:rsidP="00065E52">
      <w:pPr>
        <w:autoSpaceDE w:val="0"/>
        <w:autoSpaceDN w:val="0"/>
        <w:adjustRightInd w:val="0"/>
        <w:rPr>
          <w:rFonts w:ascii="Calibri" w:eastAsiaTheme="minorHAnsi" w:hAnsi="Calibri" w:cs="Calibri"/>
          <w:color w:val="000000" w:themeColor="text1"/>
          <w:szCs w:val="22"/>
          <w:lang w:val="en-US"/>
        </w:rPr>
      </w:pPr>
    </w:p>
    <w:p w14:paraId="2FF87DAF" w14:textId="69EA3467" w:rsidR="00065E52" w:rsidRPr="00073666" w:rsidRDefault="00065E52" w:rsidP="00065E52">
      <w:pPr>
        <w:autoSpaceDE w:val="0"/>
        <w:autoSpaceDN w:val="0"/>
        <w:adjustRightInd w:val="0"/>
        <w:rPr>
          <w:rFonts w:ascii="Calibri" w:hAnsi="Calibri" w:cs="Calibri"/>
          <w:color w:val="000000" w:themeColor="text1"/>
          <w:szCs w:val="22"/>
          <w:lang w:val="en"/>
        </w:rPr>
      </w:pPr>
      <w:r w:rsidRPr="00073666">
        <w:rPr>
          <w:rFonts w:ascii="Calibri" w:eastAsiaTheme="minorHAnsi" w:hAnsi="Calibri" w:cs="Calibri"/>
          <w:color w:val="000000" w:themeColor="text1"/>
          <w:szCs w:val="22"/>
          <w:lang w:val="en-US"/>
        </w:rPr>
        <w:t>Long pentraxin 3 (PTX3) is an acute phase protein released by phagocytes and non-immune cells at sites of inflammation</w:t>
      </w:r>
      <w:r w:rsidRPr="00073666">
        <w:rPr>
          <w:rFonts w:ascii="Calibri" w:hAnsi="Calibri" w:cs="Calibri"/>
          <w:color w:val="000000" w:themeColor="text1"/>
          <w:szCs w:val="22"/>
          <w:lang w:val="en-US" w:eastAsia="en-GB"/>
        </w:rPr>
        <w:fldChar w:fldCharType="begin" w:fldLock="1"/>
      </w:r>
      <w:r w:rsidR="007E648C" w:rsidRPr="00073666">
        <w:rPr>
          <w:rFonts w:ascii="Calibri" w:hAnsi="Calibri" w:cs="Calibri"/>
          <w:color w:val="000000" w:themeColor="text1"/>
          <w:szCs w:val="22"/>
          <w:lang w:val="en-US" w:eastAsia="en-GB"/>
        </w:rPr>
        <w:instrText>ADDIN CSL_CITATION {"citationItems":[{"id":"ITEM-1","itemData":{"DOI":"10.1056/NEJMoa1211161","ISSN":"1533-4406","author":[{"dropping-particle":"","family":"Cunha","given":"Cristina","non-dropping-particle":"","parse-names":false,"suffix":""},{"dropping-particle":"","family":"Velardi","given":"Andrea","non-dropping-particle":"","parse-names":false,"suffix":""},{"dropping-particle":"","family":"Romani","given":"Luigina","non-dropping-particle":"","parse-names":false,"suffix":""},{"dropping-particle":"","family":"Carvalho","given":"Agostinho","non-dropping-particle":"","parse-names":false,"suffix":""},{"dropping-particle":"","family":"Bell","given":"Alain S.","non-dropping-particle":"","parse-names":false,"suffix":""},{"dropping-particle":"","family":"Aversa","given":"Franco","non-dropping-particle":"","parse-names":false,"suffix":""},{"dropping-particle":"","family":"Busca","given":"Alessandro","non-dropping-particle":"","parse-names":false,"suffix":""},{"dropping-particle":"","family":"Barbui","given":"Anna","non-dropping-particle":"","parse-names":false,"suffix":""},{"dropping-particle":"","family":"Inforzato","given":"Antonio","non-dropping-particle":"","parse-names":false,"suffix":""},{"dropping-particle":"","family":"Barbati","given":"Elisa","non-dropping-particle":"","parse-names":false,"suffix":""},{"dropping-particle":"","family":"Mantovani","given":"Alberto","non-dropping-particle":"","parse-names":false,"suffix":""},{"dropping-particle":"","family":"Potenza","given":"Leonardo","non-dropping-particle":"","parse-names":false,"suffix":""},{"dropping-particle":"","family":"Luppi","given":"Mario","non-dropping-particle":"","parse-names":false,"suffix":""},{"dropping-particle":"","family":"Caira","given":"Morena","non-dropping-particle":"","parse-names":false,"suffix":""},{"dropping-particle":"","family":"Pagano","given":"Livio","non-dropping-particle":"","parse-names":false,"suffix":""},{"dropping-particle":"","family":"Salvatori","given":"Giovanni","non-dropping-particle":"","parse-names":false,"suffix":""},{"dropping-particle":"","family":"Lacerda","given":"João F.","non-dropping-particle":"","parse-names":false,"suffix":""},{"dropping-particle":"","family":"Santos E Sousa","given":"Pedro","non-dropping-particle":"","parse-names":false,"suffix":""},{"dropping-particle":"","family":"Almeida","given":"Bruno","non-dropping-particle":"","parse-names":false,"suffix":""},{"dropping-particle":"","family":"Rodrigues","given":"Fernando","non-dropping-particle":"","parse-names":false,"suffix":""},{"dropping-particle":"","family":"Kurzai","given":"Oliver","non-dropping-particle":"","parse-names":false,"suffix":""},{"dropping-particle":"","family":"Grube","given":"Matthias","non-dropping-particle":"","parse-names":false,"suffix":""},{"dropping-particle":"","family":"Löffler","given":"Jürgen","non-dropping-particle":"","parse-names":false,"suffix":""},{"dropping-particle":"","family":"Maertens","given":"Johan A.","non-dropping-particle":"","parse-names":false,"suffix":""}],"container-title":"New England Journal of Medicine","id":"ITEM-1","issue":"5","issued":{"date-parts":[["2014"]]},"page":"421-432","title":"Genetic PTX3 deficiency and aspergillosis in stem-cell transplantation","type":"article-journal","volume":"370"},"uris":["http://www.mendeley.com/documents/?uuid=275c1bc5-60ce-489a-9941-47d470fd91ce"]}],"mendeley":{"formattedCitation":"[38]","plainTextFormattedCitation":"[38]","previouslyFormattedCitation":"[39]"},"properties":{"noteIndex":0},"schema":"https://github.com/citation-style-language/schema/raw/master/csl-citation.json"}</w:instrText>
      </w:r>
      <w:r w:rsidRPr="00073666">
        <w:rPr>
          <w:rFonts w:ascii="Calibri" w:hAnsi="Calibri" w:cs="Calibri"/>
          <w:color w:val="000000" w:themeColor="text1"/>
          <w:szCs w:val="22"/>
          <w:lang w:val="en-US" w:eastAsia="en-GB"/>
        </w:rPr>
        <w:fldChar w:fldCharType="separate"/>
      </w:r>
      <w:r w:rsidR="007E648C" w:rsidRPr="00073666">
        <w:rPr>
          <w:rFonts w:ascii="Calibri" w:hAnsi="Calibri" w:cs="Calibri"/>
          <w:noProof/>
          <w:color w:val="000000" w:themeColor="text1"/>
          <w:szCs w:val="22"/>
          <w:lang w:val="en-US" w:eastAsia="en-GB"/>
        </w:rPr>
        <w:t>[38]</w:t>
      </w:r>
      <w:r w:rsidRPr="00073666">
        <w:rPr>
          <w:rFonts w:ascii="Calibri" w:hAnsi="Calibri" w:cs="Calibri"/>
          <w:color w:val="000000" w:themeColor="text1"/>
          <w:szCs w:val="22"/>
          <w:lang w:val="en-US" w:eastAsia="en-GB"/>
        </w:rPr>
        <w:fldChar w:fldCharType="end"/>
      </w:r>
      <w:r w:rsidRPr="00073666">
        <w:rPr>
          <w:rFonts w:ascii="Calibri" w:eastAsiaTheme="minorHAnsi" w:hAnsi="Calibri" w:cs="Calibri"/>
          <w:color w:val="000000" w:themeColor="text1"/>
          <w:szCs w:val="22"/>
          <w:lang w:val="en-US"/>
        </w:rPr>
        <w:t xml:space="preserve">. It is a pattern-recognition receptor (PRR) that forms complexes with </w:t>
      </w:r>
      <w:r w:rsidRPr="00073666">
        <w:rPr>
          <w:rFonts w:ascii="Calibri" w:eastAsiaTheme="minorHAnsi" w:hAnsi="Calibri" w:cs="Calibri"/>
          <w:i/>
          <w:color w:val="000000" w:themeColor="text1"/>
          <w:szCs w:val="22"/>
          <w:lang w:val="en-US"/>
        </w:rPr>
        <w:t>Aspergillus</w:t>
      </w:r>
      <w:r w:rsidRPr="00073666">
        <w:rPr>
          <w:rFonts w:ascii="Calibri" w:eastAsiaTheme="minorHAnsi" w:hAnsi="Calibri" w:cs="Calibri"/>
          <w:color w:val="000000" w:themeColor="text1"/>
          <w:szCs w:val="22"/>
          <w:lang w:val="en-US"/>
        </w:rPr>
        <w:t xml:space="preserve"> enhancing recognition of the fungus by the innate immune system. Genetic polymorphisms in PTX3 production have been associated with increased incidence of IPA in </w:t>
      </w:r>
      <w:proofErr w:type="spellStart"/>
      <w:r w:rsidRPr="00073666">
        <w:rPr>
          <w:rFonts w:ascii="Calibri" w:eastAsiaTheme="minorHAnsi" w:hAnsi="Calibri" w:cs="Calibri"/>
          <w:color w:val="000000" w:themeColor="text1"/>
          <w:szCs w:val="22"/>
          <w:lang w:val="en-US"/>
        </w:rPr>
        <w:t>haematology</w:t>
      </w:r>
      <w:proofErr w:type="spellEnd"/>
      <w:r w:rsidRPr="00073666">
        <w:rPr>
          <w:rFonts w:ascii="Calibri" w:eastAsiaTheme="minorHAnsi" w:hAnsi="Calibri" w:cs="Calibri"/>
          <w:color w:val="000000" w:themeColor="text1"/>
          <w:szCs w:val="22"/>
          <w:lang w:val="en-US"/>
        </w:rPr>
        <w:t xml:space="preserve"> patients</w:t>
      </w:r>
      <w:r w:rsidRPr="00073666">
        <w:rPr>
          <w:rFonts w:ascii="Calibri" w:hAnsi="Calibri" w:cs="Calibri"/>
          <w:color w:val="000000" w:themeColor="text1"/>
          <w:szCs w:val="22"/>
          <w:lang w:val="en-US" w:eastAsia="en-GB"/>
        </w:rPr>
        <w:fldChar w:fldCharType="begin" w:fldLock="1"/>
      </w:r>
      <w:r w:rsidR="007E648C" w:rsidRPr="00073666">
        <w:rPr>
          <w:rFonts w:ascii="Calibri" w:hAnsi="Calibri" w:cs="Calibri"/>
          <w:color w:val="000000" w:themeColor="text1"/>
          <w:szCs w:val="22"/>
          <w:lang w:val="en-US" w:eastAsia="en-GB"/>
        </w:rPr>
        <w:instrText>ADDIN CSL_CITATION {"citationItems":[{"id":"ITEM-1","itemData":{"DOI":"10.1056/NEJMoa1211161","ISSN":"1533-4406","author":[{"dropping-particle":"","family":"Cunha","given":"Cristina","non-dropping-particle":"","parse-names":false,"suffix":""},{"dropping-particle":"","family":"Velardi","given":"Andrea","non-dropping-particle":"","parse-names":false,"suffix":""},{"dropping-particle":"","family":"Romani","given":"Luigina","non-dropping-particle":"","parse-names":false,"suffix":""},{"dropping-particle":"","family":"Carvalho","given":"Agostinho","non-dropping-particle":"","parse-names":false,"suffix":""},{"dropping-particle":"","family":"Bell","given":"Alain S.","non-dropping-particle":"","parse-names":false,"suffix":""},{"dropping-particle":"","family":"Aversa","given":"Franco","non-dropping-particle":"","parse-names":false,"suffix":""},{"dropping-particle":"","family":"Busca","given":"Alessandro","non-dropping-particle":"","parse-names":false,"suffix":""},{"dropping-particle":"","family":"Barbui","given":"Anna","non-dropping-particle":"","parse-names":false,"suffix":""},{"dropping-particle":"","family":"Inforzato","given":"Antonio","non-dropping-particle":"","parse-names":false,"suffix":""},{"dropping-particle":"","family":"Barbati","given":"Elisa","non-dropping-particle":"","parse-names":false,"suffix":""},{"dropping-particle":"","family":"Mantovani","given":"Alberto","non-dropping-particle":"","parse-names":false,"suffix":""},{"dropping-particle":"","family":"Potenza","given":"Leonardo","non-dropping-particle":"","parse-names":false,"suffix":""},{"dropping-particle":"","family":"Luppi","given":"Mario","non-dropping-particle":"","parse-names":false,"suffix":""},{"dropping-particle":"","family":"Caira","given":"Morena","non-dropping-particle":"","parse-names":false,"suffix":""},{"dropping-particle":"","family":"Pagano","given":"Livio","non-dropping-particle":"","parse-names":false,"suffix":""},{"dropping-particle":"","family":"Salvatori","given":"Giovanni","non-dropping-particle":"","parse-names":false,"suffix":""},{"dropping-particle":"","family":"Lacerda","given":"João F.","non-dropping-particle":"","parse-names":false,"suffix":""},{"dropping-particle":"","family":"Santos E Sousa","given":"Pedro","non-dropping-particle":"","parse-names":false,"suffix":""},{"dropping-particle":"","family":"Almeida","given":"Bruno","non-dropping-particle":"","parse-names":false,"suffix":""},{"dropping-particle":"","family":"Rodrigues","given":"Fernando","non-dropping-particle":"","parse-names":false,"suffix":""},{"dropping-particle":"","family":"Kurzai","given":"Oliver","non-dropping-particle":"","parse-names":false,"suffix":""},{"dropping-particle":"","family":"Grube","given":"Matthias","non-dropping-particle":"","parse-names":false,"suffix":""},{"dropping-particle":"","family":"Löffler","given":"Jürgen","non-dropping-particle":"","parse-names":false,"suffix":""},{"dropping-particle":"","family":"Maertens","given":"Johan A.","non-dropping-particle":"","parse-names":false,"suffix":""}],"container-title":"New England Journal of Medicine","id":"ITEM-1","issue":"5","issued":{"date-parts":[["2014"]]},"page":"421-432","title":"Genetic PTX3 deficiency and aspergillosis in stem-cell transplantation","type":"article-journal","volume":"370"},"uris":["http://www.mendeley.com/documents/?uuid=275c1bc5-60ce-489a-9941-47d470fd91ce"]}],"mendeley":{"formattedCitation":"[38]","plainTextFormattedCitation":"[38]","previouslyFormattedCitation":"[39]"},"properties":{"noteIndex":0},"schema":"https://github.com/citation-style-language/schema/raw/master/csl-citation.json"}</w:instrText>
      </w:r>
      <w:r w:rsidRPr="00073666">
        <w:rPr>
          <w:rFonts w:ascii="Calibri" w:hAnsi="Calibri" w:cs="Calibri"/>
          <w:color w:val="000000" w:themeColor="text1"/>
          <w:szCs w:val="22"/>
          <w:lang w:val="en-US" w:eastAsia="en-GB"/>
        </w:rPr>
        <w:fldChar w:fldCharType="separate"/>
      </w:r>
      <w:r w:rsidR="007E648C" w:rsidRPr="00073666">
        <w:rPr>
          <w:rFonts w:ascii="Calibri" w:hAnsi="Calibri" w:cs="Calibri"/>
          <w:noProof/>
          <w:color w:val="000000" w:themeColor="text1"/>
          <w:szCs w:val="22"/>
          <w:lang w:val="en-US" w:eastAsia="en-GB"/>
        </w:rPr>
        <w:t>[38]</w:t>
      </w:r>
      <w:r w:rsidRPr="00073666">
        <w:rPr>
          <w:rFonts w:ascii="Calibri" w:hAnsi="Calibri" w:cs="Calibri"/>
          <w:color w:val="000000" w:themeColor="text1"/>
          <w:szCs w:val="22"/>
          <w:lang w:val="en-US" w:eastAsia="en-GB"/>
        </w:rPr>
        <w:fldChar w:fldCharType="end"/>
      </w:r>
      <w:r w:rsidRPr="00073666">
        <w:rPr>
          <w:rFonts w:ascii="Calibri" w:hAnsi="Calibri" w:cs="Calibri"/>
          <w:color w:val="000000" w:themeColor="text1"/>
          <w:szCs w:val="22"/>
          <w:lang w:val="en-US" w:eastAsia="en-GB"/>
        </w:rPr>
        <w:fldChar w:fldCharType="begin" w:fldLock="1"/>
      </w:r>
      <w:r w:rsidR="007E648C" w:rsidRPr="00073666">
        <w:rPr>
          <w:rFonts w:ascii="Calibri" w:hAnsi="Calibri" w:cs="Calibri"/>
          <w:color w:val="000000" w:themeColor="text1"/>
          <w:szCs w:val="22"/>
          <w:lang w:val="en-US" w:eastAsia="en-GB"/>
        </w:rPr>
        <w:instrText>ADDIN CSL_CITATION {"citationItems":[{"id":"ITEM-1","itemData":{"DOI":"10.1093/mmy/myy057","ISSN":"14602709","author":[{"dropping-particle":"","family":"Cunha","given":"Cristina","non-dropping-particle":"","parse-names":false,"suffix":""},{"dropping-particle":"","family":"Carvalho","given":"Agostinho","non-dropping-particle":"","parse-names":false,"suffix":""}],"container-title":"Medical Mycology","id":"ITEM-1","issued":{"date-parts":[["2019"]]},"page":"S211-S218","title":"Genetic defects in fungal recognition and susceptibility to invasive pulmonary aspergillosis","type":"article-journal","volume":"57"},"uris":["http://www.mendeley.com/documents/?uuid=d97a3b8c-436b-41b7-a84a-74192f2a2828"]}],"mendeley":{"formattedCitation":"[39]","plainTextFormattedCitation":"[39]","previouslyFormattedCitation":"[40]"},"properties":{"noteIndex":0},"schema":"https://github.com/citation-style-language/schema/raw/master/csl-citation.json"}</w:instrText>
      </w:r>
      <w:r w:rsidRPr="00073666">
        <w:rPr>
          <w:rFonts w:ascii="Calibri" w:hAnsi="Calibri" w:cs="Calibri"/>
          <w:color w:val="000000" w:themeColor="text1"/>
          <w:szCs w:val="22"/>
          <w:lang w:val="en-US" w:eastAsia="en-GB"/>
        </w:rPr>
        <w:fldChar w:fldCharType="separate"/>
      </w:r>
      <w:r w:rsidR="007E648C" w:rsidRPr="00073666">
        <w:rPr>
          <w:rFonts w:ascii="Calibri" w:hAnsi="Calibri" w:cs="Calibri"/>
          <w:noProof/>
          <w:color w:val="000000" w:themeColor="text1"/>
          <w:szCs w:val="22"/>
          <w:lang w:val="en-US" w:eastAsia="en-GB"/>
        </w:rPr>
        <w:t>[39]</w:t>
      </w:r>
      <w:r w:rsidRPr="00073666">
        <w:rPr>
          <w:rFonts w:ascii="Calibri" w:hAnsi="Calibri" w:cs="Calibri"/>
          <w:color w:val="000000" w:themeColor="text1"/>
          <w:szCs w:val="22"/>
          <w:lang w:val="en-US" w:eastAsia="en-GB"/>
        </w:rPr>
        <w:fldChar w:fldCharType="end"/>
      </w:r>
      <w:r w:rsidRPr="00073666">
        <w:rPr>
          <w:rFonts w:ascii="Calibri" w:hAnsi="Calibri" w:cs="Calibri"/>
          <w:color w:val="000000" w:themeColor="text1"/>
          <w:szCs w:val="22"/>
          <w:lang w:val="en-US" w:eastAsia="en-GB"/>
        </w:rPr>
        <w:t>.</w:t>
      </w:r>
      <w:r w:rsidRPr="00073666">
        <w:rPr>
          <w:rFonts w:ascii="Calibri" w:eastAsiaTheme="minorHAnsi" w:hAnsi="Calibri" w:cs="Calibri"/>
          <w:color w:val="000000" w:themeColor="text1"/>
          <w:szCs w:val="22"/>
          <w:lang w:val="en-US"/>
        </w:rPr>
        <w:t xml:space="preserve"> </w:t>
      </w:r>
      <w:r w:rsidRPr="00073666">
        <w:rPr>
          <w:rFonts w:ascii="Calibri" w:hAnsi="Calibri" w:cs="Calibri"/>
          <w:color w:val="000000" w:themeColor="text1"/>
          <w:szCs w:val="22"/>
          <w:lang w:val="en"/>
        </w:rPr>
        <w:t xml:space="preserve">A key cytokine induced by </w:t>
      </w:r>
      <w:r w:rsidRPr="00073666">
        <w:rPr>
          <w:rFonts w:ascii="Calibri" w:eastAsiaTheme="minorHAnsi" w:hAnsi="Calibri" w:cs="Calibri"/>
          <w:color w:val="000000" w:themeColor="text1"/>
          <w:szCs w:val="22"/>
          <w:lang w:val="en-US"/>
        </w:rPr>
        <w:t xml:space="preserve">PTX3 is IL-8: </w:t>
      </w:r>
      <w:r w:rsidRPr="00073666">
        <w:rPr>
          <w:rFonts w:ascii="Calibri" w:hAnsi="Calibri" w:cs="Calibri"/>
          <w:color w:val="000000" w:themeColor="text1"/>
          <w:szCs w:val="22"/>
          <w:lang w:val="en"/>
        </w:rPr>
        <w:t xml:space="preserve">significantly raised levels of IL-8 were found in BAL fluid from hematology patients with IPA compared to matched controls </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{"citationItems":[{"id":"ITEM-1","itemData":{"DOI":"10.3389/fmicb.2017.02362","ISSN":"1664302X","abstract":"© 2017 Gonçalves, Lagrou, Rodrigues, Campos, Bernal-Martínez, Rodrigues, Silvestre, Alcazar-Fuoli, Maertens, Cunha and Carvalho. Background: Invasive pulmonary aspergillosis (IPA) is an infection that primarily affects immunocompromised hosts, including hematological patients and stem-cell transplant recipients. The diagnosis of IPA remains challenging, making desirable the availability of new specific biomarkers. High-throughput methods now allow us to interrogate the immune system for multiple markers of inflammation with enhanced resolution. Methods: To determine whether a signature of alveolar cytokines could be associated with the development of IPA and used as a diagnostic biomarker, we performed a nested case-control study involving 113 patients at-risk. Results: Among the 32 analytes tested, IL-1β, IL-6, IL-8, IL-17A, IL-23, and TNFa were significantly increased among patients with IPA, defining two clusters able to accurately differentiate cases of infection from controls. Genetic variants previously reported to confer increased risk of IPA compromised the production of specific cytokines and impaired their discriminatory potential toward infection. Collectively, our data indicated that IL-8 was the best performing cytokine, with alveolar levels ≥904 pg/mL predicting IPA with elevated sensitivity (90%), specificity (73%), and negative predictive value (88%). Conclusions: These findings highlight the existence of a specific profile of alveolar cytokines, with IL-8 being the dominant discriminator, which might be useful in supporting current diagnostic approaches for IPA.","author":[{"dropping-particle":"","family":"Gonçalves","given":"Samuel M","non-dropping-particle":"","parse-names":false,"suffix":""},{"dropping-particle":"","family":"Lagrou","given":"Katrien","non-dropping-particle":"","parse-names":false,"suffix":""},{"dropping-particle":"","family":"Rodrigues","given":"Cláudia S.","non-dropping-particle":"","parse-names":false,"suffix":""},{"dropping-particle":"","family":"Campos","given":"Cláudia F","non-dropping-particle":"","parse-names":false,"suffix":""},{"dropping-particle":"","family":"Bernal-Martínez","given":"Leticia","non-dropping-particle":"","parse-names":false,"suffix":""},{"dropping-particle":"","family":"Rodrigues","given":"Fernando","non-dropping-particle":"","parse-names":false,"suffix":""},{"dropping-particle":"","family":"Silvestre","given":"Ricardo","non-dropping-particle":"","parse-names":false,"suffix":""},{"dropping-particle":"","family":"Alcazar-Fuoli","given":"Laura","non-dropping-particle":"","parse-names":false,"suffix":""},{"dropping-particle":"","family":"Maertens","given":"Johan A","non-dropping-particle":"","parse-names":false,"suffix":""},{"dropping-particle":"","family":"Cunha","given":"Cristina","non-dropping-particle":"","parse-names":false,"suffix":""},{"dropping-particle":"","family":"Carvalho","given":"Agostinho","non-dropping-particle":"","parse-names":false,"suffix":""}],"container-title":"Frontiers in Microbiology","id":"ITEM-1","issue":"NOV","issued":{"date-parts":[["2017"]]},"page":"1-10","title":"Evaluation of bronchoalveolar lavage fluid cytokines as biomarkers for invasive pulmonary aspergillosis in at-risk patients","type":"article-journal","volume":"8"},"uris":["http://www.mendeley.com/documents/?uuid=fcdaa01f-3e30-4f8b-aa4a-f8ccd0d036a9"]}],"mendeley":{"formattedCitation":"[40]","plainTextFormattedCitation":"[40]","previouslyFormattedCitation":"[41]"},"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[40]</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 xml:space="preserve">. Measuring </w:t>
      </w:r>
      <w:r w:rsidRPr="00073666">
        <w:rPr>
          <w:rFonts w:ascii="Calibri" w:eastAsiaTheme="minorHAnsi" w:hAnsi="Calibri" w:cs="Calibri"/>
          <w:color w:val="000000" w:themeColor="text1"/>
          <w:szCs w:val="22"/>
          <w:lang w:val="en-US"/>
        </w:rPr>
        <w:t xml:space="preserve">the proportion of patients with IAA with such PTX3 polymorphisms, as well as cytokine production in BAL fluid could contribute to understanding of </w:t>
      </w:r>
      <w:r w:rsidRPr="00073666">
        <w:rPr>
          <w:rFonts w:ascii="Calibri" w:hAnsi="Calibri" w:cs="Calibri"/>
          <w:color w:val="000000" w:themeColor="text1"/>
          <w:szCs w:val="22"/>
        </w:rPr>
        <w:t>immunopathogenesis</w:t>
      </w:r>
      <w:r w:rsidRPr="00073666">
        <w:rPr>
          <w:rFonts w:ascii="Calibri" w:eastAsiaTheme="minorHAnsi" w:hAnsi="Calibri" w:cs="Calibri"/>
          <w:color w:val="000000" w:themeColor="text1"/>
          <w:szCs w:val="22"/>
          <w:lang w:val="en-US"/>
        </w:rPr>
        <w:t xml:space="preserve"> </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10.1016/s2213-2600(18)30332-1","ISSN":"22132600","author":[{"dropping-particle":"","family":"Lamoth","given":"Frederic","non-dropping-particle":"","parse-names":false,"suffix":""},{"dropping-particle":"","family":"Calandra","given":"Thierry","non-dropping-particle":"","parse-names":false,"suffix":""}],"container-title":"The Lancet Respiratory Medicine","id":"ITEM-1","issue":"10","issued":{"date-parts":[["2018"]]},"page":"733-735","title":"Let's add invasive aspergillosis to the list of influenza complications","type":"article-journal","volume":"6"},"uris":["http://www.mendeley.com/documents/?uuid=f1af5882-a3d0-41c6-a4e4-ef0d334a579c"]}],"mendeley":{"formattedCitation":"[36]","plainTextFormattedCitation":"[36]","previouslyFormattedCitation":"[37]"},"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[36]</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w:t>
      </w:r>
    </w:p>
    <w:p w14:paraId="6AFA6722" w14:textId="77777777" w:rsidR="00065E52" w:rsidRPr="00073666" w:rsidRDefault="00065E52" w:rsidP="00065E52">
      <w:pPr>
        <w:autoSpaceDE w:val="0"/>
        <w:autoSpaceDN w:val="0"/>
        <w:adjustRightInd w:val="0"/>
        <w:rPr>
          <w:rFonts w:ascii="Calibri" w:hAnsi="Calibri" w:cs="Calibri"/>
          <w:color w:val="000000" w:themeColor="text1"/>
          <w:szCs w:val="22"/>
          <w:lang w:val="en"/>
        </w:rPr>
      </w:pPr>
    </w:p>
    <w:p w14:paraId="235364E9" w14:textId="559936A6" w:rsidR="00065E52" w:rsidRPr="00073666" w:rsidRDefault="00065E52" w:rsidP="00065E52">
      <w:pPr>
        <w:autoSpaceDE w:val="0"/>
        <w:autoSpaceDN w:val="0"/>
        <w:adjustRightInd w:val="0"/>
        <w:rPr>
          <w:rFonts w:ascii="Calibri" w:hAnsi="Calibri" w:cs="Calibri"/>
          <w:color w:val="000000" w:themeColor="text1"/>
          <w:szCs w:val="22"/>
          <w:lang w:val="en"/>
        </w:rPr>
      </w:pPr>
      <w:r w:rsidRPr="00073666">
        <w:rPr>
          <w:rFonts w:ascii="Calibri" w:hAnsi="Calibri" w:cs="Calibri"/>
          <w:color w:val="000000" w:themeColor="text1"/>
          <w:szCs w:val="22"/>
          <w:lang w:val="en"/>
        </w:rPr>
        <w:t xml:space="preserve">Another PRR thought to play an important role in the pathogenesis of aspergillosis is Dectin-1 </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{"citationItems":[{"id":"ITEM-1","itemData":{"DOI":"10.1093/infdis/jiq102","ISSN":"00221899","abstract":"Dectin-1 is the major receptor for fungal β-glucans on myeloid cells. We investigated whether defective Dectin-1 receptor function, because of the early stop codon polymorphism Y238X, enhances susceptibility to invasive aspergillosis (IA) in at-risk patients.","author":[{"dropping-particle":"","family":"Chai","given":"Louis Y.A.","non-dropping-particle":"","parse-names":false,"suffix":""},{"dropping-particle":"","family":"Boer","given":"Mark G.J.","non-dropping-particle":"De","parse-names":false,"suffix":""},{"dropping-particle":"","family":"Velden","given":"Walter J.F.M.","non-dropping-particle":"Van Der","parse-names":false,"suffix":""},{"dropping-particle":"","family":"Plantinga","given":"Theo S.","non-dropping-particle":"","parse-names":false,"suffix":""},{"dropping-particle":"","family":"Spriel","given":"Annemiek B.","non-dropping-particle":"Van","parse-names":false,"suffix":""},{"dropping-particle":"","family":"Jacobs","given":"Cor","non-dropping-particle":"","parse-names":false,"suffix":""},{"dropping-particle":"","family":"Halkes","given":"Constantijn J.M.","non-dropping-particle":"","parse-names":false,"suffix":""},{"dropping-particle":"","family":"Vonk","given":"Alieke G.","non-dropping-particle":"","parse-names":false,"suffix":""},{"dropping-particle":"","family":"Blijlevens","given":"Nicole M.","non-dropping-particle":"","parse-names":false,"suffix":""},{"dropping-particle":"","family":"Dissel","given":"Jaap T.","non-dropping-particle":"Van","parse-names":false,"suffix":""},{"dropping-particle":"","family":"Donnelly","given":"Peter J.","non-dropping-particle":"","parse-names":false,"suffix":""},{"dropping-particle":"","family":"Kullberg","given":"Bart Jan","non-dropping-particle":"","parse-names":false,"suffix":""},{"dropping-particle":"","family":"Maertens","given":"Johan","non-dropping-particle":"","parse-names":false,"suffix":""},{"dropping-particle":"","family":"Netea","given":"Mihai G.","non-dropping-particle":"","parse-names":false,"suffix":""}],"container-title":"Journal of Infectious Diseases","id":"ITEM-1","issue":"5","issued":{"date-parts":[["2011"]]},"page":"736-743","title":"The Y238X stop codon polymorphism in the human b-glucan receptor dectin-1 and susceptibility to invasive aspergillosis","type":"article-journal","volume":"203"},"uris":["http://www.mendeley.com/documents/?uuid=ad2e025b-7bf4-42b3-9b9f-4361e8a4e267"]}],"mendeley":{"formattedCitation":"[41]","plainTextFormattedCitation":"[41]","previouslyFormattedCitation":"[42]"},"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[41]</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 xml:space="preserve">. Dectin-1 is a C-type lectin receptor present on immune cells that recognizes beta-1,3-glucan; a polysaccharide present on the cell walls of </w:t>
      </w:r>
      <w:r w:rsidRPr="00073666">
        <w:rPr>
          <w:rFonts w:ascii="Calibri" w:hAnsi="Calibri" w:cs="Calibri"/>
          <w:i/>
          <w:color w:val="000000" w:themeColor="text1"/>
          <w:szCs w:val="22"/>
          <w:lang w:val="en"/>
        </w:rPr>
        <w:t>Aspergillus</w:t>
      </w:r>
      <w:r w:rsidRPr="00073666">
        <w:rPr>
          <w:rFonts w:ascii="Calibri" w:hAnsi="Calibri" w:cs="Calibri"/>
          <w:color w:val="000000" w:themeColor="text1"/>
          <w:szCs w:val="22"/>
          <w:lang w:val="en"/>
        </w:rPr>
        <w:t xml:space="preserve"> (and other fungi). As with PTX3, genetic polymorphisms influencing the production of Dectin-1 have been associated with increased incidence of invasive aspergillosis in </w:t>
      </w:r>
      <w:proofErr w:type="spellStart"/>
      <w:r w:rsidRPr="00073666">
        <w:rPr>
          <w:rFonts w:ascii="Calibri" w:hAnsi="Calibri" w:cs="Calibri"/>
          <w:color w:val="000000" w:themeColor="text1"/>
          <w:szCs w:val="22"/>
          <w:lang w:val="en"/>
        </w:rPr>
        <w:t>haematology</w:t>
      </w:r>
      <w:proofErr w:type="spellEnd"/>
      <w:r w:rsidRPr="00073666">
        <w:rPr>
          <w:rFonts w:ascii="Calibri" w:hAnsi="Calibri" w:cs="Calibri"/>
          <w:color w:val="000000" w:themeColor="text1"/>
          <w:szCs w:val="22"/>
          <w:lang w:val="en"/>
        </w:rPr>
        <w:t xml:space="preserve"> patients but its role in severe influenza requires study</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10.1093/mmy/myy057","ISSN":"14602709","author":[{"dropping-particle":"","family":"Cunha","given":"Cristina","non-dropping-particle":"","parse-names":false,"suffix":""},{"dropping-particle":"","family":"Carvalho","given":"Agostinho","non-dropping-particle":"","parse-names":false,"suffix":""}],"container-title":"Medical Mycology","id":"ITEM-1","issued":{"date-parts":[["2019"]]},"page":"S211-S218","title":"Genetic defects in fungal recognition and susceptibility to invasive pulmonary aspergillosis","type":"article-journal","volume":"57"},"uris":["http://www.mendeley.com/documents/?uuid=d97a3b8c-436b-41b7-a84a-74192f2a2828"]}],"mendeley":{"formattedCitation":"[39]","plainTextFormattedCitation":"[39]","previouslyFormattedCitation":"[40]"},"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[39]</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w:t>
      </w:r>
    </w:p>
    <w:p w14:paraId="5153054D" w14:textId="77777777" w:rsidR="00065E52" w:rsidRPr="00073666" w:rsidRDefault="00065E52" w:rsidP="00065E52">
      <w:pPr>
        <w:autoSpaceDE w:val="0"/>
        <w:autoSpaceDN w:val="0"/>
        <w:adjustRightInd w:val="0"/>
        <w:rPr>
          <w:rFonts w:ascii="Calibri" w:eastAsiaTheme="minorHAnsi" w:hAnsi="Calibri" w:cs="Calibri"/>
          <w:color w:val="000000" w:themeColor="text1"/>
          <w:szCs w:val="22"/>
          <w:lang w:val="en-US"/>
        </w:rPr>
      </w:pPr>
    </w:p>
    <w:p w14:paraId="78FF3FD3" w14:textId="77777777" w:rsidR="00065E52" w:rsidRPr="00073666" w:rsidRDefault="00065E52" w:rsidP="00065E52">
      <w:pPr>
        <w:autoSpaceDE w:val="0"/>
        <w:autoSpaceDN w:val="0"/>
        <w:adjustRightInd w:val="0"/>
        <w:rPr>
          <w:rFonts w:ascii="Calibri" w:eastAsiaTheme="minorHAnsi" w:hAnsi="Calibri" w:cs="Calibri"/>
          <w:b/>
          <w:color w:val="000000" w:themeColor="text1"/>
          <w:szCs w:val="22"/>
          <w:lang w:val="en-US"/>
        </w:rPr>
      </w:pPr>
      <w:r w:rsidRPr="00073666">
        <w:rPr>
          <w:rFonts w:ascii="Calibri" w:eastAsiaTheme="minorHAnsi" w:hAnsi="Calibri" w:cs="Calibri"/>
          <w:b/>
          <w:color w:val="000000" w:themeColor="text1"/>
          <w:szCs w:val="22"/>
          <w:lang w:val="en-US"/>
        </w:rPr>
        <w:t>Microbiological factors</w:t>
      </w:r>
    </w:p>
    <w:p w14:paraId="73406E38" w14:textId="4B00E8F1" w:rsidR="00065E52" w:rsidRPr="00073666" w:rsidRDefault="00065E52" w:rsidP="00065E52">
      <w:pPr>
        <w:autoSpaceDE w:val="0"/>
        <w:autoSpaceDN w:val="0"/>
        <w:adjustRightInd w:val="0"/>
        <w:rPr>
          <w:rFonts w:ascii="Calibri" w:hAnsi="Calibri" w:cs="Calibri"/>
          <w:color w:val="000000" w:themeColor="text1"/>
          <w:szCs w:val="22"/>
          <w:lang w:val="en"/>
        </w:rPr>
      </w:pPr>
      <w:r w:rsidRPr="00073666">
        <w:rPr>
          <w:rFonts w:ascii="Calibri" w:eastAsiaTheme="minorHAnsi" w:hAnsi="Calibri" w:cs="Calibri"/>
          <w:color w:val="000000" w:themeColor="text1"/>
          <w:szCs w:val="22"/>
          <w:lang w:val="en-US"/>
        </w:rPr>
        <w:t xml:space="preserve">Influenza has long been associated with bacterial superinfection with pathogens such as </w:t>
      </w:r>
      <w:r w:rsidRPr="00073666">
        <w:rPr>
          <w:rFonts w:ascii="Calibri" w:hAnsi="Calibri" w:cs="Calibri"/>
          <w:i/>
          <w:color w:val="000000" w:themeColor="text1"/>
          <w:szCs w:val="22"/>
          <w:lang w:val="en-US" w:eastAsia="en-GB"/>
        </w:rPr>
        <w:t>Streptococcus pneumoniae</w:t>
      </w:r>
      <w:r w:rsidRPr="00073666">
        <w:rPr>
          <w:rFonts w:ascii="Calibri" w:hAnsi="Calibri" w:cs="Calibri"/>
          <w:color w:val="000000" w:themeColor="text1"/>
          <w:szCs w:val="22"/>
          <w:lang w:val="en-US" w:eastAsia="en-GB"/>
        </w:rPr>
        <w:t xml:space="preserve">, </w:t>
      </w:r>
      <w:r w:rsidRPr="00073666">
        <w:rPr>
          <w:rFonts w:ascii="Calibri" w:hAnsi="Calibri" w:cs="Calibri"/>
          <w:i/>
          <w:color w:val="000000" w:themeColor="text1"/>
          <w:szCs w:val="22"/>
          <w:lang w:val="en-US" w:eastAsia="en-GB"/>
        </w:rPr>
        <w:t>Staphylococcus aureus</w:t>
      </w:r>
      <w:r w:rsidRPr="00073666">
        <w:rPr>
          <w:rFonts w:ascii="Calibri" w:hAnsi="Calibri" w:cs="Calibri"/>
          <w:color w:val="000000" w:themeColor="text1"/>
          <w:szCs w:val="22"/>
          <w:lang w:val="en-US" w:eastAsia="en-GB"/>
        </w:rPr>
        <w:t xml:space="preserve"> and </w:t>
      </w:r>
      <w:r w:rsidRPr="00073666">
        <w:rPr>
          <w:rFonts w:ascii="Calibri" w:hAnsi="Calibri" w:cs="Calibri"/>
          <w:i/>
          <w:color w:val="000000" w:themeColor="text1"/>
          <w:szCs w:val="22"/>
          <w:lang w:val="en-US" w:eastAsia="en-GB"/>
        </w:rPr>
        <w:t>Streptococcus pyogenes</w:t>
      </w:r>
      <w:r w:rsidRPr="00073666">
        <w:rPr>
          <w:rFonts w:ascii="Calibri" w:hAnsi="Calibri" w:cs="Calibri"/>
          <w:color w:val="000000" w:themeColor="text1"/>
          <w:szCs w:val="22"/>
          <w:lang w:val="en-US" w:eastAsia="en-GB"/>
        </w:rPr>
        <w:t xml:space="preserve"> </w:t>
      </w:r>
      <w:r w:rsidRPr="00073666">
        <w:rPr>
          <w:rFonts w:ascii="Calibri" w:eastAsiaTheme="minorHAnsi" w:hAnsi="Calibri" w:cs="Calibri"/>
          <w:b/>
          <w:color w:val="000000" w:themeColor="text1"/>
          <w:szCs w:val="22"/>
          <w:lang w:val="en-US"/>
        </w:rPr>
        <w:fldChar w:fldCharType="begin" w:fldLock="1"/>
      </w:r>
      <w:r w:rsidR="007E648C" w:rsidRPr="00073666">
        <w:rPr>
          <w:rFonts w:ascii="Calibri" w:eastAsiaTheme="minorHAnsi" w:hAnsi="Calibri" w:cs="Calibri"/>
          <w:b/>
          <w:color w:val="000000" w:themeColor="text1"/>
          <w:szCs w:val="22"/>
          <w:lang w:val="en-US"/>
        </w:rPr>
        <w:instrText>ADDIN CSL_CITATION {"citationItems":[{"id":"ITEM-1","itemData":{"DOI":"10.1093/cid/ciz044","ISSN":"15376591","abstract":"These clinical practice guidelines are an update of the guidelines published by the Infectious Diseases Society of America (IDSA) in 2009, prior to the 2009 H1N1 influenza pandemic. This document addresses new information regarding diagnostic testing, treatment and chemoprophylaxis with antiviral medications, and issues related to institutional outbreak management for seasonal influenza. It is intended for use by primary care clinicians, obstetricians, emergency medicine providers, hospitalists, laboratorians, and infectious disease specialists, as well as other clinicians managing patients with suspected or laboratory-confirmed influenza. The guidelines consider the care of children and adults, including special populations such as pregnant and postpartum women and immunocompromised patients.","author":[{"dropping-particle":"","family":"Uyeki","given":"T. M.","non-dropping-particle":"","parse-names":false,"suffix":""},{"dropping-particle":"","family":"Bernstein","given":"H. H.","non-dropping-particle":"","parse-names":false,"suffix":""},{"dropping-particle":"","family":"Bradley","given":"J. S.","non-dropping-particle":"","parse-names":false,"suffix":""}],"container-title":"Clinical Infectious Diseases","id":"ITEM-1","issue":"10","issued":{"date-parts":[["2019"]]},"page":"1790","title":"Clinical practice guidelines by the infectious diseases Society of America: 2018 update on diagnosis, treatment, chemoprophylaxis, and institutional outbreak management of seasonal influenza (Clinical Infectious Diseases DOI: 10.1093/cid/ciy866)","type":"article-journal","volume":"68"},"uris":["http://www.mendeley.com/documents/?uuid=e735136c-fbd7-4ceb-8ca6-9aa239fd02ed"]}],"mendeley":{"formattedCitation":"[29]","plainTextFormattedCitation":"[29]","previouslyFormattedCitation":"[30]"},"properties":{"noteIndex":0},"schema":"https://github.com/citation-style-language/schema/raw/master/csl-citation.json"}</w:instrText>
      </w:r>
      <w:r w:rsidRPr="00073666">
        <w:rPr>
          <w:rFonts w:ascii="Calibri" w:eastAsiaTheme="minorHAnsi" w:hAnsi="Calibri" w:cs="Calibri"/>
          <w:b/>
          <w:color w:val="000000" w:themeColor="text1"/>
          <w:szCs w:val="22"/>
          <w:lang w:val="en-US"/>
        </w:rPr>
        <w:fldChar w:fldCharType="separate"/>
      </w:r>
      <w:r w:rsidR="007E648C" w:rsidRPr="00073666">
        <w:rPr>
          <w:rFonts w:ascii="Calibri" w:eastAsiaTheme="minorHAnsi" w:hAnsi="Calibri" w:cs="Calibri"/>
          <w:noProof/>
          <w:color w:val="000000" w:themeColor="text1"/>
          <w:szCs w:val="22"/>
          <w:lang w:val="en-US"/>
        </w:rPr>
        <w:t>[29]</w:t>
      </w:r>
      <w:r w:rsidRPr="00073666">
        <w:rPr>
          <w:rFonts w:ascii="Calibri" w:eastAsiaTheme="minorHAnsi" w:hAnsi="Calibri" w:cs="Calibri"/>
          <w:b/>
          <w:color w:val="000000" w:themeColor="text1"/>
          <w:szCs w:val="22"/>
          <w:lang w:val="en-US"/>
        </w:rPr>
        <w:fldChar w:fldCharType="end"/>
      </w:r>
      <w:r w:rsidRPr="00073666">
        <w:rPr>
          <w:rFonts w:ascii="Calibri" w:eastAsiaTheme="minorHAnsi" w:hAnsi="Calibri" w:cs="Calibri"/>
          <w:b/>
          <w:color w:val="000000" w:themeColor="text1"/>
          <w:szCs w:val="22"/>
          <w:lang w:val="en-US"/>
        </w:rPr>
        <w:t xml:space="preserve">. </w:t>
      </w:r>
      <w:r w:rsidRPr="00073666">
        <w:rPr>
          <w:rFonts w:ascii="Calibri" w:eastAsiaTheme="minorHAnsi" w:hAnsi="Calibri" w:cs="Calibri"/>
          <w:color w:val="000000" w:themeColor="text1"/>
          <w:szCs w:val="22"/>
          <w:lang w:val="en-US"/>
        </w:rPr>
        <w:t>But recent work suggests influenza may have more subtle effects on the lung microbiome, especially in patients intubated on ICU. It may be that influenza not only leads to IAA directly, but also through changes in the bacterial microbiome</w:t>
      </w:r>
      <w:r w:rsidRPr="00073666">
        <w:rPr>
          <w:rFonts w:ascii="Calibri" w:hAnsi="Calibri" w:cs="Calibri"/>
          <w:color w:val="000000" w:themeColor="text1"/>
          <w:szCs w:val="22"/>
          <w:lang w:val="en"/>
        </w:rPr>
        <w:fldChar w:fldCharType="begin" w:fldLock="1"/>
      </w:r>
      <w:r w:rsidR="007E648C" w:rsidRPr="00073666">
        <w:rPr>
          <w:rFonts w:ascii="Calibri" w:hAnsi="Calibri" w:cs="Calibri"/>
          <w:color w:val="000000" w:themeColor="text1"/>
          <w:szCs w:val="22"/>
          <w:lang w:val="en"/>
        </w:rPr>
        <w:instrText>ADDIN CSL_CITATION {"citationItems":[{"id":"ITEM-1","itemData":{"DOI":"10.1002/eji.201344404","ISSN":"15214141","abstract":"© 2014 WILEY-VCH Verlag GmbH  &amp;  Co. KGaA, Weinheim. Aspergillosis is an infection or allergic response caused by fungi of the genus Aspergillus. The most common forms of aspergillosis are allergic bronchopulmonary aspergillosis, chronic pulmonary aspergillosis, and invasive pulmonary aspergillosis. Aspergillus also plays an important role in fungal sensitized asthma. Humans inhale Aspergillus spores every day and when the host is immunocompromised, Aspergillus spp. may cause severe pulmonary disease. There is increasing evidence that the microbiome plays a significant role in immune regulation, chronic inflammatory diseases, metabolism, and other physiological processes, including recovery from the effects of antibiotic treatment. Bacterial microbiome mediated resistance mechanisms probably play a major role in limiting fungal colonization of the lungs, and may therefore prevent humans from contracting Aspergillus-related diseases. In this perspective, we review this emerging area of research and discuss the role of the microbiome in aspergillosis, role of Aspergillus in the microbiome, and the influence of the microbiome on anti-Aspergillus host defense and its role in preventing aspergillosis.","author":[{"dropping-particle":"","family":"Kolwijck","given":"Eva","non-dropping-particle":"","parse-names":false,"suffix":""},{"dropping-particle":"","family":"Veerdonk","given":"Frank L.","non-dropping-particle":"van de","parse-names":false,"suffix":""}],"container-title":"European Journal of Immunology","id":"ITEM-1","issue":"11","issued":{"date-parts":[["2014"]]},"page":"3156-3165","title":"The potential impact of the pulmonary microbiome on immunopathogenesis of Aspergillus-related lung disease","type":"article-journal","volume":"44"},"uris":["http://www.mendeley.com/documents/?uuid=615aeac3-1107-4602-8a1c-6d7721050e80"]}],"mendeley":{"formattedCitation":"[42]","plainTextFormattedCitation":"[42]","previouslyFormattedCitation":"[43]"},"properties":{"noteIndex":0},"schema":"https://github.com/citation-style-language/schema/raw/master/csl-citation.json"}</w:instrText>
      </w:r>
      <w:r w:rsidRPr="00073666">
        <w:rPr>
          <w:rFonts w:ascii="Calibri" w:hAnsi="Calibri" w:cs="Calibri"/>
          <w:color w:val="000000" w:themeColor="text1"/>
          <w:szCs w:val="22"/>
          <w:lang w:val="en"/>
        </w:rPr>
        <w:fldChar w:fldCharType="separate"/>
      </w:r>
      <w:r w:rsidR="007E648C" w:rsidRPr="00073666">
        <w:rPr>
          <w:rFonts w:ascii="Calibri" w:hAnsi="Calibri" w:cs="Calibri"/>
          <w:noProof/>
          <w:color w:val="000000" w:themeColor="text1"/>
          <w:szCs w:val="22"/>
          <w:lang w:val="en"/>
        </w:rPr>
        <w:t>[42]</w:t>
      </w:r>
      <w:r w:rsidRPr="00073666">
        <w:rPr>
          <w:rFonts w:ascii="Calibri" w:hAnsi="Calibri" w:cs="Calibri"/>
          <w:color w:val="000000" w:themeColor="text1"/>
          <w:szCs w:val="22"/>
          <w:lang w:val="en"/>
        </w:rPr>
        <w:fldChar w:fldCharType="end"/>
      </w:r>
      <w:r w:rsidRPr="00073666">
        <w:rPr>
          <w:rFonts w:ascii="Calibri" w:hAnsi="Calibri" w:cs="Calibri"/>
          <w:color w:val="000000" w:themeColor="text1"/>
          <w:szCs w:val="22"/>
          <w:lang w:val="en"/>
        </w:rPr>
        <w:t xml:space="preserve">. </w:t>
      </w:r>
      <w:r w:rsidRPr="00073666">
        <w:rPr>
          <w:rFonts w:ascii="Calibri" w:eastAsiaTheme="minorHAnsi" w:hAnsi="Calibri" w:cs="Calibri"/>
          <w:color w:val="000000" w:themeColor="text1"/>
          <w:szCs w:val="22"/>
          <w:lang w:val="en-US"/>
        </w:rPr>
        <w:t>Severe infection with H1N1 Influenza A appears to carry a higher risk of IAA</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w:t>
      </w:r>
      <w:r w:rsidRPr="00073666">
        <w:rPr>
          <w:rFonts w:ascii="Calibri" w:hAnsi="Calibri" w:cs="Calibri"/>
          <w:color w:val="000000" w:themeColor="text1"/>
          <w:szCs w:val="22"/>
        </w:rPr>
        <w:fldChar w:fldCharType="end"/>
      </w:r>
      <w:r w:rsidRPr="00073666">
        <w:rPr>
          <w:rFonts w:ascii="Calibri" w:eastAsiaTheme="minorHAnsi" w:hAnsi="Calibri" w:cs="Calibri"/>
          <w:color w:val="000000" w:themeColor="text1"/>
          <w:szCs w:val="22"/>
          <w:lang w:val="en-US"/>
        </w:rPr>
        <w:t xml:space="preserve"> than other strains of influenza. The effect of influenza strain and duration of viral shedding on the risk of IAA needs further characterization.</w:t>
      </w:r>
    </w:p>
    <w:p w14:paraId="09D16231" w14:textId="77777777" w:rsidR="00065E52" w:rsidRPr="00073666" w:rsidRDefault="00065E52" w:rsidP="00065E52">
      <w:pPr>
        <w:autoSpaceDE w:val="0"/>
        <w:autoSpaceDN w:val="0"/>
        <w:adjustRightInd w:val="0"/>
        <w:rPr>
          <w:rFonts w:ascii="Calibri" w:eastAsiaTheme="minorHAnsi" w:hAnsi="Calibri" w:cs="Calibri"/>
          <w:b/>
          <w:color w:val="000000" w:themeColor="text1"/>
          <w:szCs w:val="22"/>
          <w:lang w:val="en-US"/>
        </w:rPr>
      </w:pPr>
    </w:p>
    <w:p w14:paraId="40B0B16A" w14:textId="77777777" w:rsidR="00065E52" w:rsidRPr="00073666" w:rsidRDefault="00065E52" w:rsidP="00065E52">
      <w:pPr>
        <w:autoSpaceDE w:val="0"/>
        <w:autoSpaceDN w:val="0"/>
        <w:adjustRightInd w:val="0"/>
        <w:rPr>
          <w:rFonts w:ascii="Calibri" w:eastAsiaTheme="minorHAnsi" w:hAnsi="Calibri" w:cs="Calibri"/>
          <w:b/>
          <w:color w:val="000000" w:themeColor="text1"/>
          <w:szCs w:val="22"/>
          <w:lang w:val="en-US"/>
        </w:rPr>
      </w:pPr>
      <w:r w:rsidRPr="00073666">
        <w:rPr>
          <w:rFonts w:ascii="Calibri" w:eastAsiaTheme="minorHAnsi" w:hAnsi="Calibri" w:cs="Calibri"/>
          <w:b/>
          <w:color w:val="000000" w:themeColor="text1"/>
          <w:szCs w:val="22"/>
          <w:lang w:val="en-US"/>
        </w:rPr>
        <w:t>Iatrogenic factors: Steroids</w:t>
      </w:r>
    </w:p>
    <w:p w14:paraId="64868102" w14:textId="51FB0919" w:rsidR="00065E52" w:rsidRPr="00073666" w:rsidRDefault="00065E52" w:rsidP="00065E52">
      <w:pPr>
        <w:rPr>
          <w:rFonts w:ascii="Calibri" w:hAnsi="Calibri" w:cs="Calibri"/>
          <w:color w:val="000000" w:themeColor="text1"/>
          <w:szCs w:val="22"/>
          <w:shd w:val="clear" w:color="auto" w:fill="FFFFFF"/>
        </w:rPr>
      </w:pPr>
      <w:r w:rsidRPr="00073666">
        <w:rPr>
          <w:rFonts w:ascii="Calibri" w:hAnsi="Calibri" w:cs="Calibri"/>
          <w:color w:val="000000" w:themeColor="text1"/>
          <w:szCs w:val="22"/>
        </w:rPr>
        <w:t>In the Dutch-Belgian study, corticosteroid use (</w:t>
      </w:r>
      <w:r w:rsidRPr="00073666">
        <w:rPr>
          <w:rFonts w:ascii="Calibri" w:hAnsi="Calibri" w:cs="Calibri"/>
          <w:color w:val="000000" w:themeColor="text1"/>
          <w:szCs w:val="22"/>
          <w:lang w:val="en-US" w:eastAsia="en-GB"/>
        </w:rPr>
        <w:t>0.1 mg/kg/day prednisone equivalent)</w:t>
      </w:r>
      <w:r w:rsidRPr="00073666">
        <w:rPr>
          <w:rFonts w:ascii="Calibri" w:hAnsi="Calibri" w:cs="Calibri"/>
          <w:color w:val="000000" w:themeColor="text1"/>
          <w:szCs w:val="22"/>
        </w:rPr>
        <w:t xml:space="preserve"> in the 4 weeks prior to ICU admission was independently associated with IAA </w:t>
      </w:r>
      <w:r w:rsidRPr="00073666">
        <w:rPr>
          <w:rFonts w:ascii="Calibri" w:hAnsi="Calibri" w:cs="Calibri"/>
          <w:color w:val="000000" w:themeColor="text1"/>
          <w:szCs w:val="22"/>
          <w:lang w:val="en-US" w:eastAsia="en-GB"/>
        </w:rPr>
        <w:t>(</w:t>
      </w:r>
      <w:proofErr w:type="spellStart"/>
      <w:r w:rsidRPr="00073666">
        <w:rPr>
          <w:rFonts w:ascii="Calibri" w:hAnsi="Calibri" w:cs="Calibri"/>
          <w:color w:val="000000" w:themeColor="text1"/>
          <w:szCs w:val="22"/>
          <w:lang w:val="en-US" w:eastAsia="en-GB"/>
        </w:rPr>
        <w:t>aOR</w:t>
      </w:r>
      <w:proofErr w:type="spellEnd"/>
      <w:r w:rsidRPr="00073666">
        <w:rPr>
          <w:rFonts w:ascii="Calibri" w:hAnsi="Calibri" w:cs="Calibri"/>
          <w:color w:val="000000" w:themeColor="text1"/>
          <w:szCs w:val="22"/>
          <w:lang w:val="en-US" w:eastAsia="en-GB"/>
        </w:rPr>
        <w:t xml:space="preserve"> 1.59; 95% CI 1.30–1.99; p&lt;0.0001) </w:t>
      </w:r>
      <w:r w:rsidRPr="00073666">
        <w:rPr>
          <w:rFonts w:ascii="Calibri" w:hAnsi="Calibri" w:cs="Calibri"/>
          <w:color w:val="000000" w:themeColor="text1"/>
          <w:szCs w:val="22"/>
          <w:lang w:val="en-US" w:eastAsia="en-GB"/>
        </w:rPr>
        <w:fldChar w:fldCharType="begin" w:fldLock="1"/>
      </w:r>
      <w:r w:rsidRPr="00073666">
        <w:rPr>
          <w:rFonts w:ascii="Calibri" w:hAnsi="Calibri" w:cs="Calibri"/>
          <w:color w:val="000000" w:themeColor="text1"/>
          <w:szCs w:val="22"/>
          <w:lang w:val="en-US" w:eastAsia="en-GB"/>
        </w:rPr>
        <w:instrText>ADDIN CSL_CITATION {"citationItems":[{"id":"ITEM-1","itemData":{"DOI":"10.1016/S2213-2600(18)30274-1","ISSN":"2213-2619","PMID":"30076119","abstract":"Background: Invasive pulmonary aspergillosis typically occurs in an immunocompromised host. For almost a century, influenza has been known to set up for bacterial superinfections, but recently patients with severe influenza were also reported to develop invasive pulmonary aspergillosis. We aimed to measure the incidence of invasive pulmonary aspergillosis over several seasons in patients with influenza pneumonia in the intensive care unit (ICU) and to assess whether influenza was an independent risk factor for invasive pulmonary aspergillosis. Methods: We did a retrospective multicentre cohort study. Data were collected from adult patients with severe influenza admitted to seven ICUs across Belgium and The Netherlands during seven influenza seasons. Patients were older than 18 years, were admitted to the ICU for more than 24 h with acute respiratory failure, had pulmonary infiltrates on imaging, and a confirmed influenza infection based on a positive airway PCR test (influenza cohort). We used logistic regression analyses to determine if influenza was independently associated with invasive pulmonary aspergillosis in non-immunocompromised (ie, no European Organization for Research and Treatment of Cancer/Invasive Fungal Infections Cooperative Group and the National Institute of Allergy and Infectious Diseases Mycoses Study Group [EORTC/MSG] host factor) influenza-positive patients (influenza case group) compared with non-immunocompromised patients with severe community-acquired pneumonia who had a negative airway influenza PCR test (control group). Findings: Data were collected from patients admitted to the ICU between Jan 1, 2009, and June 30, 2016. Invasive pulmonary aspergillosis was diagnosed in 83 (19%) of 432 patients admitted with influenza (influenza cohort), a median of 3 days after admission to the ICU. The incidence was similar for influenza A and B. For patients with influenza who were immunocompromised, incidence of invasive pulmonary aspergillosis was as high as 32% (38 of 117 patients), whereas in the non-immunocompromised influenza case group, incidence was 14% (45 of 315 patients). Conversely, only 16 (5%) of 315 patients in the control group developed invasive pulmonary aspergillosis. The 90-day mortality was 51% in patients in the influenza cohort with invasive pulmonary aspergillosis and 28% in the influenza cohort without invasive pulmonary aspergillosis (p=0·0001). In this study, influenza was found to be independently associated wi…","author":[{"dropping-particle":"","family":"Schauwvlieghe","given":"Alexander F A D","non-dropping-particle":"","parse-names":false,"suffix":""},{"dropping-particle":"","family":"Rijnders","given":"Bart J A","non-dropping-particle":"","parse-names":false,"suffix":""},{"dropping-particle":"","family":"Philips","given":"Nele","non-dropping-particle":"","parse-names":false,"suffix":""},{"dropping-particle":"","family":"Verwijs","given":"Rosanne","non-dropping-particle":"","parse-names":false,"suffix":""},{"dropping-particle":"","family":"Vanderbeke","given":"Lore","non-dropping-particle":"","parse-names":false,"suffix":""},{"dropping-particle":"","family":"Tienen","given":"Carla","non-dropping-particle":"Van","parse-names":false,"suffix":""},{"dropping-particle":"","family":"Lagrou","given":"Katrien","non-dropping-particle":"","parse-names":false,"suffix":""},{"dropping-particle":"","family":"Verweij","given":"Paul E","non-dropping-particle":"","parse-names":false,"suffix":""},{"dropping-particle":"","family":"Veerdonk","given":"Frank L","non-dropping-particle":"Van de","parse-names":false,"suffix":""},{"dropping-particle":"","family":"Gommers","given":"Diederik","non-dropping-particle":"","parse-names":false,"suffix":""},{"dropping-particle":"","family":"Spronk","given":"Peter","non-dropping-particle":"","parse-names":false,"suffix":""},{"dropping-particle":"","family":"Bergmans","given":"Dennis C J J","non-dropping-particle":"","parse-names":false,"suffix":""},{"dropping-particle":"","family":"Hoedemaekers","given":"Astrid","non-dropping-particle":"","parse-names":false,"suffix":""},{"dropping-particle":"","family":"Andrinopoulou","given":"Eleni-rosalina","non-dropping-particle":"","parse-names":false,"suffix":""},{"dropping-particle":"","family":"Berg","given":"Charlotte H S B","non-dropping-particle":"van den","parse-names":false,"suffix":""},{"dropping-particle":"","family":"Juffermans","given":"Nicole P","non-dropping-particle":"","parse-names":false,"suffix":""},{"dropping-particle":"","family":"Hodiamont","given":"Casper J","non-dropping-particle":"","parse-names":false,"suffix":""},{"dropping-particle":"","family":"Vonk","given":"Alieke G","non-dropping-particle":"","parse-names":false,"suffix":""},{"dropping-particle":"","family":"Depuydt","given":"Pieter","non-dropping-particle":"","parse-names":false,"suffix":""},{"dropping-particle":"","family":"Boelens","given":"Jerina","non-dropping-particle":"","parse-names":false,"suffix":""},{"dropping-particle":"","family":"Wauters","given":"Joost","non-dropping-particle":"","parse-names":false,"suffix":""},{"dropping-particle":"","family":"Dutch-Belgian Mycosis study group","given":"","non-dropping-particle":"","parse-names":false,"suffix":""}],"container-title":"The Lancet. Respiratory medicine","id":"ITEM-1","issue":"10","issued":{"date-parts":[["2018"]]},"page":"782-792","publisher":"Elsevier Ltd","title":"Invasive aspergillosis in patients admitted to the intensive care unit with severe influenza: a retrospective cohort study.","type":"article-journal","volume":"6"},"uris":["http://www.mendeley.com/documents/?uuid=74539706-9b61-474b-8447-4a1ee7ef0b9b"]}],"mendeley":{"formattedCitation":"[7]","plainTextFormattedCitation":"[7]","previouslyFormattedCitation":"[7]"},"properties":{"noteIndex":0},"schema":"https://github.com/citation-style-language/schema/raw/master/csl-citation.json"}</w:instrText>
      </w:r>
      <w:r w:rsidRPr="00073666">
        <w:rPr>
          <w:rFonts w:ascii="Calibri" w:hAnsi="Calibri" w:cs="Calibri"/>
          <w:color w:val="000000" w:themeColor="text1"/>
          <w:szCs w:val="22"/>
          <w:lang w:val="en-US" w:eastAsia="en-GB"/>
        </w:rPr>
        <w:fldChar w:fldCharType="separate"/>
      </w:r>
      <w:r w:rsidRPr="00073666">
        <w:rPr>
          <w:rFonts w:ascii="Calibri" w:hAnsi="Calibri" w:cs="Calibri"/>
          <w:noProof/>
          <w:color w:val="000000" w:themeColor="text1"/>
          <w:szCs w:val="22"/>
          <w:lang w:val="en-US" w:eastAsia="en-GB"/>
        </w:rPr>
        <w:t>[7]</w:t>
      </w:r>
      <w:r w:rsidRPr="00073666">
        <w:rPr>
          <w:rFonts w:ascii="Calibri" w:hAnsi="Calibri" w:cs="Calibri"/>
          <w:color w:val="000000" w:themeColor="text1"/>
          <w:szCs w:val="22"/>
          <w:lang w:val="en-US" w:eastAsia="en-GB"/>
        </w:rPr>
        <w:fldChar w:fldCharType="end"/>
      </w:r>
      <w:r w:rsidRPr="00073666">
        <w:rPr>
          <w:rFonts w:ascii="Calibri" w:hAnsi="Calibri" w:cs="Calibri"/>
          <w:color w:val="000000" w:themeColor="text1"/>
          <w:szCs w:val="22"/>
          <w:lang w:val="en-US" w:eastAsia="en-GB"/>
        </w:rPr>
        <w:t xml:space="preserve"> . Similar findings are replicated elsewhere</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{"citationItems":[{"id":"ITEM-1","itemData":{"DOI":"10.1097/QCO.0000000000000504","ISBN":"0000000000000","ISSN":"14736527","abstract":"PURPOSE OF REVIEW Bacterial superinfection of critically ill influenza patients is well-known, but in recent years, more and more reports describe invasive aspergillosis as a frequent complication as well. This review summarizes the available literature on the association of invasive pulmonary aspergillosis (IPA) with severe influenza (influenza-associated aspergillosis, IAA), including epidemiology, diagnostic approaches and treatment options. RECENT FINDINGS Though IPA typically develops in immunodeficient patients, non-classically immunocompromised patients such as critically ill influenza patients are at high-risk for IPA as well. The morbidity and mortality of IPA in these patients is high and in the majority of them, the onset occurs early after intensive care unit admission. Currently, standard of care (SOC) consists of close follow-up of these critically ill influenza patients with high diagnostic awareness for IPA. As soon as there is clinical, mycological or radiological suspicion for IAA, antifungal azole-based therapy (e.g. voriconazole) is initiated, in combination with therapeutic drug monitoring (TDM). Antifungal treatment regimens should reflect local epidemiology of azole-resistant Aspergillus species and should be adjusted to clinical evolution. TDM is necessary as azoles like voriconazole are characterized by nonlinear pharmacokinetics, especially in critically ill patients. SUMMARY In light of the frequency, morbidity and mortality associated with influenza-associated aspergillosis in the intensive care unit (ICU), a high awareness of the diagnosis and prompt initiation of antifungal therapy is required. Further studies are needed to evaluate the incidence of IAA in a prospective multi-centric manner, to elucidate contributing host-derived factors to the pathogenesis of this superinfection, to further delineate the population at risk and to identify the preferred diagnostic and management strategy as well as the role of prophylaxis.","author":[{"dropping-particle":"","family":"Vanderbeke","given":"Lore","non-dropping-particle":"","parse-names":false,"suffix":""},{"dropping-particle":"","family":"Spriet","given":"Isabel","non-dropping-particle":"","parse-names":false,"suffix":""},{"dropping-particle":"","family":"Breynaert","given":"Christine","non-dropping-particle":"","parse-names":false,"suffix":""},{"dropping-particle":"","family":"Rijnders","given":"Bart J.A.","non-dropping-particle":"","parse-names":false,"suffix":""},{"dropping-particle":"","family":"Verweij","given":"Paul E.","non-dropping-particle":"","parse-names":false,"suffix":""},{"dropping-particle":"","family":"Wauters","given":"Joost","non-dropping-particle":"","parse-names":false,"suffix":""}],"container-title":"Current opinion in infectious diseases","id":"ITEM-1","issue":"6","issued":{"date-parts":[["2018"]]},"page":"471-480","title":"Invasive pulmonary aspergillosis complicating severe influenza: epidemiology, diagnosis and treatment","type":"article-journal","volume":"31"},"uris":["http://www.mendeley.com/documents/?uuid=f2dcb3e9-ed7b-40f2-991c-b0b3f4e53fdd"]}],"mendeley":{"formattedCitation":"[1]","plainTextFormattedCitation":"[1]","previouslyFormattedCitation":"[1]"},"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and supported by the Cochrane meta-analysis </w:t>
      </w:r>
      <w:r w:rsidRPr="00073666">
        <w:rPr>
          <w:rFonts w:ascii="Calibri" w:hAnsi="Calibri" w:cs="Calibri"/>
          <w:color w:val="000000" w:themeColor="text1"/>
          <w:szCs w:val="22"/>
        </w:rPr>
        <w:lastRenderedPageBreak/>
        <w:t xml:space="preserve">(mentioned above) that found that steroid use in influenza was </w:t>
      </w:r>
      <w:r w:rsidRPr="00073666">
        <w:rPr>
          <w:rFonts w:ascii="Calibri" w:hAnsi="Calibri" w:cs="Calibri"/>
          <w:color w:val="000000" w:themeColor="text1"/>
          <w:szCs w:val="22"/>
          <w:shd w:val="clear" w:color="auto" w:fill="FFFFFF"/>
        </w:rPr>
        <w:t xml:space="preserve">associated with increased mortality </w:t>
      </w:r>
      <w:r w:rsidRPr="00073666">
        <w:rPr>
          <w:rFonts w:ascii="Calibri" w:hAnsi="Calibri" w:cs="Calibri"/>
          <w:color w:val="000000" w:themeColor="text1"/>
          <w:szCs w:val="22"/>
          <w:lang w:val="en-US" w:eastAsia="en-GB"/>
        </w:rPr>
        <w:fldChar w:fldCharType="begin" w:fldLock="1"/>
      </w:r>
      <w:r w:rsidR="007E648C" w:rsidRPr="00073666">
        <w:rPr>
          <w:rFonts w:ascii="Calibri" w:hAnsi="Calibri" w:cs="Calibri"/>
          <w:color w:val="000000" w:themeColor="text1"/>
          <w:szCs w:val="22"/>
          <w:lang w:val="en-US" w:eastAsia="en-GB"/>
        </w:rPr>
        <w:instrText>ADDIN CSL_CITATION {"citationItems":[{"id":"ITEM-1","itemData":{"DOI":"10.1002/14651858.CD010406.pub2","ISSN":"1469-493X","PMID":"26950335","abstract":"BACKGROUND Specific treatments for influenza are limited to neuraminidase inhibitors and adamantanes. Corticosteroids show evidence of benefit in sepsis and related conditions, most likely due to their anti-inflammatory and immunomodulatory properties. Although commonly prescribed for severe influenza, there is uncertainty over their potential benefit or harm. OBJECTIVES To systematically assess the effectiveness and potential adverse effects of corticosteroids as adjunctive therapy in the treatment of influenza, taking into account differences in timing and doses of corticosteroids. SEARCH METHODS We searched CENTRAL (2015, Issue 5), MEDLINE (1946 to June week 1, 2015), EMBASE (1974 to June 2015), CINAHL (1981 to June 2015), LILACS (1982 to June 2015), Web of Science (1985 to June 2015), abstracts from the last three years of major infectious disease and microbiology conferences, and references of included articles. SELECTION CRITERIA We included randomised controlled trials (RCTs), quasi-RCTs and observational studies that compared corticosteroid treatment with no corticosteroid treatment for influenza or influenza-like illness. We did not restrict studies by language of publication, influenza subtypes, clinical setting or age of participants. We selected eligible studies in two stages: sequential examination of title and abstract, followed by full text. DATA COLLECTION AND ANALYSIS Two pairs of review authors independently extracted data and assessed risk of bias. We pooled estimates of effect using random-effects meta-analysis models, where appropriate. We assessed heterogeneity using the I(2) statistic and assessed the quality of the evidence using the Grading of Recommendations Assessment, Development and Evaluation (GRADE) framework. MAIN RESULTS We identified 19 eligible studies (3459 individuals), all observational; 13 studies (1917 individuals) were suitable for inclusion in the meta-analysis of mortality. Of these, 12 studied patients infected with 2009 influenza A H1N1 virus (H1N1pdm09). Risk of bias was greatest in the 'comparability domain' of the Newcastle-Ottawa scale, consistent with potential confounding by indication. Data specific to mortality were of very low quality. Reported doses of corticosteroids used were high and indications for their use were not well reported. On meta-analysis, corticosteroid therapy was associated with increased mortality (odds ratio (OR) 3.06, 95% confidence interval (CI) 1.58 to 5.92). Pooled subgroup an…","author":[{"dropping-particle":"","family":"Rodrigo","given":"Chamira","non-dropping-particle":"","parse-names":false,"suffix":""},{"dropping-particle":"","family":"Leonardi-Bee","given":"Jo","non-dropping-particle":"","parse-names":false,"suffix":""},{"dropping-particle":"","family":"Nguyen-Van-Tam","given":"Jonathan","non-dropping-particle":"","parse-names":false,"suffix":""},{"dropping-particle":"","family":"Lim","given":"Wei Shen","non-dropping-particle":"","parse-names":false,"suffix":""}],"container-title":"The Cochrane database of systematic reviews","id":"ITEM-1","issue":"2","issued":{"date-parts":[["2016"]]},"page":"CD010406","title":"Corticosteroids as adjunctive therapy in the treatment of influenza.","type":"article-journal","volume":"3"},"uris":["http://www.mendeley.com/documents/?uuid=1ee6a4c0-2437-4f61-a46a-b040626f547e"]}],"mendeley":{"formattedCitation":"[33]","plainTextFormattedCitation":"[33]","previouslyFormattedCitation":"[31]"},"properties":{"noteIndex":0},"schema":"https://github.com/citation-style-language/schema/raw/master/csl-citation.json"}</w:instrText>
      </w:r>
      <w:r w:rsidRPr="00073666">
        <w:rPr>
          <w:rFonts w:ascii="Calibri" w:hAnsi="Calibri" w:cs="Calibri"/>
          <w:color w:val="000000" w:themeColor="text1"/>
          <w:szCs w:val="22"/>
          <w:lang w:val="en-US" w:eastAsia="en-GB"/>
        </w:rPr>
        <w:fldChar w:fldCharType="separate"/>
      </w:r>
      <w:r w:rsidR="007E648C" w:rsidRPr="00073666">
        <w:rPr>
          <w:rFonts w:ascii="Calibri" w:hAnsi="Calibri" w:cs="Calibri"/>
          <w:noProof/>
          <w:color w:val="000000" w:themeColor="text1"/>
          <w:szCs w:val="22"/>
          <w:lang w:val="en-US" w:eastAsia="en-GB"/>
        </w:rPr>
        <w:t>[33]</w:t>
      </w:r>
      <w:r w:rsidRPr="00073666">
        <w:rPr>
          <w:rFonts w:ascii="Calibri" w:hAnsi="Calibri" w:cs="Calibri"/>
          <w:color w:val="000000" w:themeColor="text1"/>
          <w:szCs w:val="22"/>
          <w:lang w:val="en-US" w:eastAsia="en-GB"/>
        </w:rPr>
        <w:fldChar w:fldCharType="end"/>
      </w:r>
      <w:r w:rsidRPr="00073666">
        <w:rPr>
          <w:rFonts w:ascii="Calibri" w:hAnsi="Calibri" w:cs="Calibri"/>
          <w:color w:val="000000" w:themeColor="text1"/>
          <w:szCs w:val="22"/>
          <w:shd w:val="clear" w:color="auto" w:fill="FFFFFF"/>
        </w:rPr>
        <w:t>.</w:t>
      </w:r>
    </w:p>
    <w:p w14:paraId="0B4F6E42" w14:textId="5CFCE159" w:rsidR="00B24D33" w:rsidRPr="00073666" w:rsidRDefault="00B24D33" w:rsidP="003802A1">
      <w:pPr>
        <w:rPr>
          <w:rFonts w:ascii="Calibri" w:hAnsi="Calibri" w:cs="Calibri"/>
          <w:color w:val="0000FF"/>
        </w:rPr>
      </w:pPr>
      <w:r w:rsidRPr="00073666">
        <w:rPr>
          <w:rFonts w:ascii="Calibri" w:hAnsi="Calibri" w:cs="Calibri"/>
          <w:color w:val="0000FF"/>
        </w:rPr>
        <w:br w:type="page"/>
      </w:r>
    </w:p>
    <w:p w14:paraId="01459879" w14:textId="31EC7BB8" w:rsidR="00475FDA" w:rsidRPr="00073666" w:rsidRDefault="00475FDA" w:rsidP="003802A1">
      <w:pPr>
        <w:pStyle w:val="Heading1"/>
        <w:spacing w:before="0" w:after="120"/>
        <w:rPr>
          <w:rFonts w:ascii="Calibri" w:hAnsi="Calibri" w:cs="Calibri"/>
          <w:color w:val="auto"/>
          <w:sz w:val="24"/>
          <w:szCs w:val="24"/>
        </w:rPr>
      </w:pPr>
      <w:r w:rsidRPr="00073666">
        <w:rPr>
          <w:rFonts w:ascii="Calibri" w:hAnsi="Calibri" w:cs="Calibri"/>
          <w:color w:val="auto"/>
          <w:sz w:val="24"/>
          <w:szCs w:val="24"/>
        </w:rPr>
        <w:lastRenderedPageBreak/>
        <w:t>2</w:t>
      </w:r>
      <w:r w:rsidRPr="00073666">
        <w:rPr>
          <w:rFonts w:ascii="Calibri" w:hAnsi="Calibri" w:cs="Calibri"/>
          <w:color w:val="auto"/>
          <w:sz w:val="24"/>
          <w:szCs w:val="24"/>
        </w:rPr>
        <w:tab/>
        <w:t xml:space="preserve">RATIONALE </w:t>
      </w:r>
    </w:p>
    <w:p w14:paraId="1BE3B86C" w14:textId="5EBFBBC0" w:rsidR="00065E52" w:rsidRPr="00073666" w:rsidRDefault="00065E52" w:rsidP="00065E52">
      <w:pPr>
        <w:pStyle w:val="Heading1"/>
        <w:rPr>
          <w:rFonts w:ascii="Calibri" w:hAnsi="Calibri" w:cs="Calibri"/>
          <w:color w:val="000000" w:themeColor="text1"/>
          <w:sz w:val="24"/>
          <w:szCs w:val="24"/>
        </w:rPr>
      </w:pPr>
      <w:bookmarkStart w:id="4" w:name="_Toc17128383"/>
      <w:r w:rsidRPr="00073666">
        <w:rPr>
          <w:rFonts w:ascii="Calibri" w:hAnsi="Calibri" w:cs="Calibri"/>
          <w:color w:val="000000" w:themeColor="text1"/>
          <w:sz w:val="24"/>
          <w:szCs w:val="24"/>
        </w:rPr>
        <w:t>2.1 Potential for improved patient care</w:t>
      </w:r>
      <w:bookmarkEnd w:id="4"/>
      <w:r w:rsidRPr="00073666">
        <w:rPr>
          <w:rFonts w:ascii="Calibri" w:hAnsi="Calibri" w:cs="Calibri"/>
          <w:b w:val="0"/>
          <w:color w:val="000000" w:themeColor="text1"/>
          <w:sz w:val="24"/>
          <w:szCs w:val="24"/>
        </w:rPr>
        <w:t xml:space="preserve"> </w:t>
      </w:r>
    </w:p>
    <w:p w14:paraId="0A26D623" w14:textId="77777777" w:rsidR="00065E52" w:rsidRPr="00073666" w:rsidRDefault="00065E52" w:rsidP="00065E52">
      <w:pPr>
        <w:autoSpaceDE w:val="0"/>
        <w:autoSpaceDN w:val="0"/>
        <w:adjustRightInd w:val="0"/>
        <w:rPr>
          <w:rFonts w:ascii="Calibri" w:hAnsi="Calibri" w:cs="Calibri"/>
          <w:color w:val="000000" w:themeColor="text1"/>
          <w:szCs w:val="22"/>
          <w:lang w:val="en-US"/>
        </w:rPr>
      </w:pPr>
    </w:p>
    <w:p w14:paraId="0EF1BA76" w14:textId="77777777" w:rsidR="00065E52" w:rsidRPr="00073666" w:rsidRDefault="00065E52" w:rsidP="00065E52">
      <w:pPr>
        <w:autoSpaceDE w:val="0"/>
        <w:autoSpaceDN w:val="0"/>
        <w:adjustRightInd w:val="0"/>
        <w:rPr>
          <w:rFonts w:ascii="Calibri" w:hAnsi="Calibri" w:cs="Calibri"/>
          <w:color w:val="000000" w:themeColor="text1"/>
          <w:szCs w:val="22"/>
          <w:lang w:val="en-US"/>
        </w:rPr>
      </w:pPr>
      <w:r w:rsidRPr="00073666">
        <w:rPr>
          <w:rFonts w:ascii="Calibri" w:hAnsi="Calibri" w:cs="Calibri"/>
          <w:color w:val="000000" w:themeColor="text1"/>
          <w:szCs w:val="22"/>
          <w:lang w:val="en-US"/>
        </w:rPr>
        <w:t xml:space="preserve">The incidence of IA in patients with severe influenza may be much higher than previously realized. IAA is associated with significant mortality but antifungal therapy may be life-saving if initiated promptly. </w:t>
      </w:r>
      <w:proofErr w:type="gramStart"/>
      <w:r w:rsidRPr="00073666">
        <w:rPr>
          <w:rFonts w:ascii="Calibri" w:hAnsi="Calibri" w:cs="Calibri"/>
          <w:color w:val="000000" w:themeColor="text1"/>
          <w:szCs w:val="22"/>
          <w:lang w:val="en-US"/>
        </w:rPr>
        <w:t>Unfortunately</w:t>
      </w:r>
      <w:proofErr w:type="gramEnd"/>
      <w:r w:rsidRPr="00073666">
        <w:rPr>
          <w:rFonts w:ascii="Calibri" w:hAnsi="Calibri" w:cs="Calibri"/>
          <w:color w:val="000000" w:themeColor="text1"/>
          <w:szCs w:val="22"/>
          <w:lang w:val="en-US"/>
        </w:rPr>
        <w:t xml:space="preserve"> the diagnosis of IA can be elusive if appropriate diagnostic procedures (such as BAL and galactomannan testing) are not performed. This means the IAA is likely to remain under-diagnosed without increased awareness of IAA among ICU physicians and clinical microbiologists. </w:t>
      </w:r>
    </w:p>
    <w:p w14:paraId="6A8AE7C1" w14:textId="77777777" w:rsidR="00065E52" w:rsidRPr="00073666" w:rsidRDefault="00065E52" w:rsidP="00065E52">
      <w:pPr>
        <w:autoSpaceDE w:val="0"/>
        <w:autoSpaceDN w:val="0"/>
        <w:adjustRightInd w:val="0"/>
        <w:rPr>
          <w:rFonts w:ascii="Calibri" w:hAnsi="Calibri" w:cs="Calibri"/>
          <w:color w:val="000000" w:themeColor="text1"/>
          <w:szCs w:val="22"/>
          <w:lang w:val="en-US"/>
        </w:rPr>
      </w:pPr>
    </w:p>
    <w:p w14:paraId="6DE9BB5D" w14:textId="77777777" w:rsidR="00065E52" w:rsidRPr="00073666" w:rsidRDefault="00065E52" w:rsidP="00065E52">
      <w:pPr>
        <w:autoSpaceDE w:val="0"/>
        <w:autoSpaceDN w:val="0"/>
        <w:adjustRightInd w:val="0"/>
        <w:rPr>
          <w:rFonts w:ascii="Calibri" w:hAnsi="Calibri" w:cs="Calibri"/>
          <w:color w:val="000000" w:themeColor="text1"/>
          <w:szCs w:val="22"/>
          <w:lang w:val="en-US"/>
        </w:rPr>
      </w:pPr>
      <w:r w:rsidRPr="00073666">
        <w:rPr>
          <w:rFonts w:ascii="Calibri" w:hAnsi="Calibri" w:cs="Calibri"/>
          <w:color w:val="000000" w:themeColor="text1"/>
          <w:szCs w:val="22"/>
          <w:lang w:val="en-US"/>
        </w:rPr>
        <w:t>By evaluating the incidence of IAA across three London trusts, this study has the potential to increase awareness of IAA within the NHS and could inform future PHE policy. Determination of risk factors associated with IAA could help identify those patients most likely to benefit from further investigation or, potentially, antifungal prophylaxis.</w:t>
      </w:r>
    </w:p>
    <w:p w14:paraId="3AC5E056" w14:textId="77777777" w:rsidR="00065E52" w:rsidRPr="00073666" w:rsidRDefault="00065E52" w:rsidP="00065E52">
      <w:pPr>
        <w:autoSpaceDE w:val="0"/>
        <w:autoSpaceDN w:val="0"/>
        <w:adjustRightInd w:val="0"/>
        <w:rPr>
          <w:rFonts w:ascii="Calibri" w:hAnsi="Calibri" w:cs="Calibri"/>
          <w:color w:val="000000" w:themeColor="text1"/>
          <w:szCs w:val="22"/>
          <w:lang w:val="en-US"/>
        </w:rPr>
      </w:pPr>
    </w:p>
    <w:p w14:paraId="543C1F54" w14:textId="032E5A54" w:rsidR="00065E52" w:rsidRPr="00073666" w:rsidRDefault="00065E52" w:rsidP="00065E52">
      <w:pPr>
        <w:autoSpaceDE w:val="0"/>
        <w:autoSpaceDN w:val="0"/>
        <w:adjustRightInd w:val="0"/>
        <w:rPr>
          <w:rFonts w:ascii="Calibri" w:hAnsi="Calibri" w:cs="Calibri"/>
          <w:color w:val="000000" w:themeColor="text1"/>
          <w:szCs w:val="22"/>
          <w:lang w:eastAsia="en-GB"/>
        </w:rPr>
      </w:pPr>
      <w:r w:rsidRPr="00073666">
        <w:rPr>
          <w:rFonts w:ascii="Calibri" w:hAnsi="Calibri" w:cs="Calibri"/>
          <w:color w:val="000000" w:themeColor="text1"/>
          <w:szCs w:val="22"/>
          <w:lang w:eastAsia="en-GB"/>
        </w:rPr>
        <w:t xml:space="preserve">The validation of the </w:t>
      </w:r>
      <w:proofErr w:type="spellStart"/>
      <w:r w:rsidRPr="00073666">
        <w:rPr>
          <w:rFonts w:ascii="Calibri" w:hAnsi="Calibri" w:cs="Calibri"/>
          <w:color w:val="000000" w:themeColor="text1"/>
          <w:szCs w:val="22"/>
        </w:rPr>
        <w:t>AspLFD</w:t>
      </w:r>
      <w:proofErr w:type="spellEnd"/>
      <w:r w:rsidRPr="00073666">
        <w:rPr>
          <w:rFonts w:ascii="Calibri" w:hAnsi="Calibri" w:cs="Calibri"/>
          <w:color w:val="000000" w:themeColor="text1"/>
          <w:szCs w:val="22"/>
          <w:lang w:eastAsia="en-GB"/>
        </w:rPr>
        <w:t xml:space="preserve"> has the potential to improve NHS patient care by streamlining diagnostic pathways and improving turnaround time as part of implementation of the NHS England antifungal CQUINN 2019/20 (</w:t>
      </w:r>
      <w:hyperlink r:id="rId23" w:history="1">
        <w:r w:rsidRPr="00073666">
          <w:rPr>
            <w:rStyle w:val="Hyperlink"/>
            <w:rFonts w:ascii="Calibri" w:hAnsi="Calibri" w:cs="Calibri"/>
            <w:szCs w:val="22"/>
            <w:lang w:eastAsia="en-GB"/>
          </w:rPr>
          <w:t>https://www.england.nhs.uk/publication/pss1-meds-optimisation-pss-cquin-indicator/</w:t>
        </w:r>
      </w:hyperlink>
      <w:r w:rsidRPr="00073666">
        <w:rPr>
          <w:rFonts w:ascii="Calibri" w:hAnsi="Calibri" w:cs="Calibri"/>
          <w:color w:val="000000" w:themeColor="text1"/>
          <w:szCs w:val="22"/>
          <w:lang w:eastAsia="en-GB"/>
        </w:rPr>
        <w:t xml:space="preserve"> published Mar 2019).</w:t>
      </w:r>
    </w:p>
    <w:p w14:paraId="48036B8B" w14:textId="5F706160" w:rsidR="00CD09A9" w:rsidRPr="00073666" w:rsidRDefault="00065E52" w:rsidP="00CD09A9">
      <w:pPr>
        <w:pStyle w:val="Heading1"/>
        <w:rPr>
          <w:rFonts w:ascii="Calibri" w:hAnsi="Calibri" w:cs="Calibri"/>
          <w:color w:val="000000" w:themeColor="text1"/>
          <w:sz w:val="24"/>
          <w:szCs w:val="24"/>
        </w:rPr>
      </w:pPr>
      <w:bookmarkStart w:id="5" w:name="_Toc17128384"/>
      <w:r w:rsidRPr="00073666">
        <w:rPr>
          <w:rFonts w:ascii="Calibri" w:hAnsi="Calibri" w:cs="Calibri"/>
          <w:color w:val="000000" w:themeColor="text1"/>
          <w:sz w:val="24"/>
          <w:szCs w:val="24"/>
        </w:rPr>
        <w:t>2.2 Hypothesis</w:t>
      </w:r>
      <w:bookmarkEnd w:id="5"/>
    </w:p>
    <w:p w14:paraId="75548ACB" w14:textId="77777777" w:rsidR="00CD09A9" w:rsidRPr="00073666" w:rsidRDefault="00CD09A9" w:rsidP="00CD09A9"/>
    <w:p w14:paraId="2F926D58" w14:textId="447E1464" w:rsidR="00CD09A9" w:rsidRPr="00073666" w:rsidRDefault="00CD09A9" w:rsidP="00CD09A9">
      <w:pPr>
        <w:autoSpaceDE w:val="0"/>
        <w:autoSpaceDN w:val="0"/>
        <w:adjustRightInd w:val="0"/>
        <w:rPr>
          <w:rFonts w:ascii="Calibri" w:hAnsi="Calibri" w:cs="Calibri"/>
          <w:color w:val="000000" w:themeColor="text1"/>
          <w:szCs w:val="22"/>
          <w:lang w:val="en-US"/>
        </w:rPr>
      </w:pPr>
      <w:r w:rsidRPr="00073666">
        <w:rPr>
          <w:rFonts w:ascii="Calibri" w:hAnsi="Calibri" w:cs="Calibri"/>
          <w:color w:val="000000" w:themeColor="text1"/>
          <w:szCs w:val="22"/>
          <w:lang w:val="en-US"/>
        </w:rPr>
        <w:t>The incidence of IA in ICU patients with severe influenza will be comparable to the 20% found in a recent large retrospective study in the Netherlands/Belgium. IA will be associated with excess mortality and morbidity in those with severe influenza. Steroid use will emerge as an independent risk factor for the development of IA.</w:t>
      </w:r>
    </w:p>
    <w:p w14:paraId="59626A3C" w14:textId="77777777" w:rsidR="00CD09A9" w:rsidRPr="00073666" w:rsidRDefault="00CD09A9" w:rsidP="004E7F9D">
      <w:pPr>
        <w:autoSpaceDE w:val="0"/>
        <w:autoSpaceDN w:val="0"/>
        <w:adjustRightInd w:val="0"/>
        <w:rPr>
          <w:rFonts w:ascii="Calibri" w:hAnsi="Calibri" w:cs="Calibri"/>
          <w:color w:val="000000" w:themeColor="text1"/>
          <w:szCs w:val="22"/>
          <w:lang w:val="en-US"/>
        </w:rPr>
      </w:pPr>
    </w:p>
    <w:p w14:paraId="2BB75C00" w14:textId="3734D154" w:rsidR="004E7F9D" w:rsidRPr="00073666" w:rsidRDefault="004E7F9D" w:rsidP="004E7F9D">
      <w:pPr>
        <w:pStyle w:val="Heading1"/>
        <w:rPr>
          <w:rFonts w:ascii="Calibri" w:hAnsi="Calibri" w:cs="Calibri"/>
          <w:color w:val="000000" w:themeColor="text1"/>
          <w:sz w:val="24"/>
          <w:szCs w:val="24"/>
        </w:rPr>
      </w:pPr>
      <w:r w:rsidRPr="00073666">
        <w:rPr>
          <w:rFonts w:ascii="Calibri" w:hAnsi="Calibri" w:cs="Calibri"/>
          <w:color w:val="000000" w:themeColor="text1"/>
          <w:sz w:val="24"/>
          <w:szCs w:val="24"/>
        </w:rPr>
        <w:t>2.3 Need for a study</w:t>
      </w:r>
    </w:p>
    <w:p w14:paraId="787B429C" w14:textId="77777777" w:rsidR="004E7F9D" w:rsidRPr="00073666" w:rsidRDefault="004E7F9D" w:rsidP="00AF1D40">
      <w:pPr>
        <w:rPr>
          <w:rFonts w:ascii="Calibri" w:hAnsi="Calibri" w:cs="Calibri"/>
          <w:color w:val="0000FF"/>
          <w:szCs w:val="22"/>
        </w:rPr>
      </w:pPr>
    </w:p>
    <w:p w14:paraId="2D957FA2" w14:textId="77777777" w:rsidR="004E7F9D" w:rsidRPr="00073666" w:rsidRDefault="004E7F9D" w:rsidP="004E7F9D">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lang w:val="en-US"/>
        </w:rPr>
        <w:t xml:space="preserve">The Dutch-Belgian study provides the strongest evidence to date of a significant burden of IA in patients with severe influenza. But the incidence of IA might vary widely between hospitals and countries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{"citationItems":[{"id":"ITEM-1","itemData":{"author":[{"dropping-particle":"","family":"European Centre for Disease Prevention and Control","given":"","non-dropping-particle":"","parse-names":false,"suffix":""}],"id":"ITEM-1","issue":"November","issued":{"date-parts":[["2018"]]},"number-of-pages":"1-6","publisher-place":"Stockholm","title":"RAPID RISK ASSESSMENT: Influenza-associated invasive pulmonary aspergillosis","type":"report"},"uris":["http://www.mendeley.com/documents/?uuid=e143b3f0-e354-4e71-94c9-8737d76e54d5"]}],"mendeley":{"formattedCitation":"[15]","plainTextFormattedCitation":"[15]","previouslyFormattedCitation":"[15]"},"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[15]</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 xml:space="preserve">. An estimate of the incidence if IAA in the UK is necessary to guide NHS policy. </w:t>
      </w:r>
      <w:proofErr w:type="gramStart"/>
      <w:r w:rsidRPr="00073666">
        <w:rPr>
          <w:rFonts w:ascii="Calibri" w:hAnsi="Calibri" w:cs="Calibri"/>
          <w:color w:val="000000" w:themeColor="text1"/>
          <w:szCs w:val="22"/>
        </w:rPr>
        <w:t>Furthermore</w:t>
      </w:r>
      <w:proofErr w:type="gramEnd"/>
      <w:r w:rsidRPr="00073666">
        <w:rPr>
          <w:rFonts w:ascii="Calibri" w:hAnsi="Calibri" w:cs="Calibri"/>
          <w:color w:val="000000" w:themeColor="text1"/>
          <w:szCs w:val="22"/>
        </w:rPr>
        <w:t xml:space="preserve"> the Dutch-Belgian study was retrospective. By being prospective, this study will be less liable to bias by ensuring systematic data and sample collection.</w:t>
      </w:r>
    </w:p>
    <w:p w14:paraId="5B4E3D3F" w14:textId="77777777" w:rsidR="004E7F9D" w:rsidRPr="00073666" w:rsidRDefault="004E7F9D" w:rsidP="004E7F9D">
      <w:pPr>
        <w:autoSpaceDE w:val="0"/>
        <w:autoSpaceDN w:val="0"/>
        <w:adjustRightInd w:val="0"/>
        <w:rPr>
          <w:rFonts w:ascii="Calibri" w:hAnsi="Calibri" w:cs="Calibri"/>
          <w:color w:val="000000" w:themeColor="text1"/>
          <w:szCs w:val="22"/>
          <w:lang w:val="en-US"/>
        </w:rPr>
      </w:pPr>
    </w:p>
    <w:p w14:paraId="63907A18" w14:textId="0D25905C" w:rsidR="004E7F9D" w:rsidRPr="00073666" w:rsidRDefault="004E7F9D" w:rsidP="004E7F9D">
      <w:pPr>
        <w:autoSpaceDE w:val="0"/>
        <w:autoSpaceDN w:val="0"/>
        <w:adjustRightInd w:val="0"/>
        <w:rPr>
          <w:rFonts w:ascii="Calibri" w:hAnsi="Calibri" w:cs="Calibri"/>
          <w:color w:val="000000" w:themeColor="text1"/>
          <w:szCs w:val="22"/>
          <w:lang w:val="en-US"/>
        </w:rPr>
      </w:pPr>
      <w:r w:rsidRPr="00073666">
        <w:rPr>
          <w:rFonts w:ascii="Calibri" w:hAnsi="Calibri" w:cs="Calibri"/>
          <w:color w:val="000000" w:themeColor="text1"/>
          <w:szCs w:val="22"/>
          <w:lang w:val="en-US"/>
        </w:rPr>
        <w:t xml:space="preserve">Central to the diagnosis of IAA is biomarker testing, but </w:t>
      </w:r>
      <w:r w:rsidR="008F4EFB" w:rsidRPr="00073666">
        <w:rPr>
          <w:rFonts w:ascii="Calibri" w:hAnsi="Calibri" w:cs="Calibri"/>
          <w:color w:val="000000" w:themeColor="text1"/>
          <w:szCs w:val="22"/>
          <w:lang w:val="en-US"/>
        </w:rPr>
        <w:t>galactomannan</w:t>
      </w:r>
      <w:r w:rsidRPr="00073666">
        <w:rPr>
          <w:rFonts w:ascii="Calibri" w:hAnsi="Calibri" w:cs="Calibri"/>
          <w:color w:val="000000" w:themeColor="text1"/>
          <w:szCs w:val="22"/>
          <w:lang w:val="en-US"/>
        </w:rPr>
        <w:t xml:space="preserve"> testing for many ICUs suffers from prolonged turn-around times. </w:t>
      </w:r>
      <w:proofErr w:type="spellStart"/>
      <w:r w:rsidRPr="00073666">
        <w:rPr>
          <w:rFonts w:ascii="Calibri" w:hAnsi="Calibri" w:cs="Calibri"/>
          <w:color w:val="000000" w:themeColor="text1"/>
          <w:szCs w:val="22"/>
        </w:rPr>
        <w:t>AspLFD</w:t>
      </w:r>
      <w:proofErr w:type="spellEnd"/>
      <w:r w:rsidRPr="00073666">
        <w:rPr>
          <w:rFonts w:ascii="Calibri" w:hAnsi="Calibri" w:cs="Calibri"/>
          <w:color w:val="000000" w:themeColor="text1"/>
          <w:szCs w:val="22"/>
        </w:rPr>
        <w:t xml:space="preserve"> offers an attractive solution but validation is urgently needed in this cohort of patients.</w:t>
      </w:r>
    </w:p>
    <w:p w14:paraId="38A8CD40" w14:textId="77777777" w:rsidR="004E7F9D" w:rsidRPr="00073666" w:rsidRDefault="004E7F9D" w:rsidP="004E7F9D">
      <w:pPr>
        <w:rPr>
          <w:rFonts w:ascii="Calibri" w:hAnsi="Calibri" w:cs="Calibri"/>
          <w:color w:val="000000" w:themeColor="text1"/>
          <w:szCs w:val="22"/>
          <w:lang w:val="en-US"/>
        </w:rPr>
      </w:pPr>
    </w:p>
    <w:p w14:paraId="3ED6E49F" w14:textId="77777777" w:rsidR="004E7F9D" w:rsidRPr="00073666" w:rsidRDefault="004E7F9D" w:rsidP="004E7F9D">
      <w:pPr>
        <w:spacing w:before="60" w:after="60"/>
        <w:rPr>
          <w:rFonts w:ascii="Calibri" w:hAnsi="Calibri" w:cs="Calibri"/>
          <w:color w:val="000000" w:themeColor="text1"/>
          <w:szCs w:val="22"/>
        </w:rPr>
      </w:pPr>
      <w:r w:rsidRPr="00073666">
        <w:rPr>
          <w:rFonts w:ascii="Calibri" w:hAnsi="Calibri" w:cs="Calibri"/>
          <w:color w:val="000000" w:themeColor="text1"/>
          <w:szCs w:val="22"/>
        </w:rPr>
        <w:t xml:space="preserve">IAA is a disease distinct from IPA in patients with traditional EORTC / MSG host factors. Research is urgently needed to understand the biological mechanisms that underpin it, to inform future prevention and treatment strategies </w:t>
      </w:r>
      <w:r w:rsidRPr="00073666">
        <w:rPr>
          <w:rFonts w:ascii="Calibri" w:hAnsi="Calibri" w:cs="Calibri"/>
          <w:color w:val="000000" w:themeColor="text1"/>
          <w:szCs w:val="22"/>
        </w:rPr>
        <w:fldChar w:fldCharType="begin" w:fldLock="1"/>
      </w:r>
      <w:r w:rsidRPr="00073666">
        <w:rPr>
          <w:rFonts w:ascii="Calibri" w:hAnsi="Calibri" w:cs="Calibri"/>
          <w:color w:val="000000" w:themeColor="text1"/>
          <w:szCs w:val="22"/>
        </w:rPr>
        <w:instrText>ADDIN CSL_CITATION {"citationItems":[{"id":"ITEM-1","itemData":{"author":[{"dropping-particle":"","family":"European Centre for Disease Prevention and Control","given":"","non-dropping-particle":"","parse-names":false,"suffix":""}],"id":"ITEM-1","issue":"November","issued":{"date-parts":[["2018"]]},"number-of-pages":"1-6","publisher-place":"Stockholm","title":"RAPID RISK ASSESSMENT: Influenza-associated invasive pulmonary aspergillosis","type":"report"},"uris":["http://www.mendeley.com/documents/?uuid=e143b3f0-e354-4e71-94c9-8737d76e54d5"]}],"mendeley":{"formattedCitation":"[15]","plainTextFormattedCitation":"[15]","previouslyFormattedCitation":"[15]"},"properties":{"noteIndex":0},"schema":"https://github.com/citation-style-language/schema/raw/master/csl-citation.json"}</w:instrText>
      </w:r>
      <w:r w:rsidRPr="00073666">
        <w:rPr>
          <w:rFonts w:ascii="Calibri" w:hAnsi="Calibri" w:cs="Calibri"/>
          <w:color w:val="000000" w:themeColor="text1"/>
          <w:szCs w:val="22"/>
        </w:rPr>
        <w:fldChar w:fldCharType="separate"/>
      </w:r>
      <w:r w:rsidRPr="00073666">
        <w:rPr>
          <w:rFonts w:ascii="Calibri" w:hAnsi="Calibri" w:cs="Calibri"/>
          <w:noProof/>
          <w:color w:val="000000" w:themeColor="text1"/>
          <w:szCs w:val="22"/>
        </w:rPr>
        <w:t>[15]</w:t>
      </w:r>
      <w:r w:rsidRPr="00073666">
        <w:rPr>
          <w:rFonts w:ascii="Calibri" w:hAnsi="Calibri" w:cs="Calibri"/>
          <w:color w:val="000000" w:themeColor="text1"/>
          <w:szCs w:val="22"/>
        </w:rPr>
        <w:fldChar w:fldCharType="end"/>
      </w:r>
      <w:r w:rsidRPr="00073666">
        <w:rPr>
          <w:rFonts w:ascii="Calibri" w:hAnsi="Calibri" w:cs="Calibri"/>
          <w:color w:val="000000" w:themeColor="text1"/>
          <w:szCs w:val="22"/>
        </w:rPr>
        <w:t>.</w:t>
      </w:r>
    </w:p>
    <w:p w14:paraId="09C091E4" w14:textId="7385932B" w:rsidR="00B24D33" w:rsidRPr="00073666" w:rsidRDefault="00B24D33" w:rsidP="00AF1D40">
      <w:pPr>
        <w:rPr>
          <w:rFonts w:ascii="Calibri" w:hAnsi="Calibri" w:cs="Calibri"/>
          <w:color w:val="0000FF"/>
          <w:szCs w:val="22"/>
        </w:rPr>
      </w:pPr>
      <w:r w:rsidRPr="00073666">
        <w:rPr>
          <w:rFonts w:ascii="Calibri" w:hAnsi="Calibri" w:cs="Calibri"/>
          <w:color w:val="0000FF"/>
          <w:szCs w:val="22"/>
        </w:rPr>
        <w:br w:type="page"/>
      </w:r>
    </w:p>
    <w:p w14:paraId="4A559397" w14:textId="39850A43" w:rsidR="00042EF4" w:rsidRPr="00073666" w:rsidRDefault="00552E09" w:rsidP="00042EF4">
      <w:pPr>
        <w:pStyle w:val="BodyText"/>
        <w:tabs>
          <w:tab w:val="left" w:pos="709"/>
        </w:tabs>
        <w:spacing w:after="120"/>
        <w:rPr>
          <w:rFonts w:ascii="Calibri" w:hAnsi="Calibri" w:cs="Calibri"/>
          <w:b/>
          <w:i w:val="0"/>
          <w:szCs w:val="24"/>
        </w:rPr>
      </w:pPr>
      <w:r w:rsidRPr="00073666">
        <w:rPr>
          <w:rFonts w:ascii="Calibri" w:hAnsi="Calibri" w:cs="Calibri"/>
          <w:b/>
          <w:i w:val="0"/>
          <w:szCs w:val="24"/>
        </w:rPr>
        <w:lastRenderedPageBreak/>
        <w:t>3</w:t>
      </w:r>
      <w:r w:rsidRPr="00073666">
        <w:rPr>
          <w:rFonts w:ascii="Calibri" w:hAnsi="Calibri" w:cs="Calibri"/>
          <w:b/>
          <w:i w:val="0"/>
          <w:szCs w:val="24"/>
        </w:rPr>
        <w:tab/>
      </w:r>
      <w:r w:rsidR="00F83D7D" w:rsidRPr="00073666">
        <w:rPr>
          <w:rFonts w:ascii="Calibri" w:hAnsi="Calibri" w:cs="Calibri"/>
          <w:b/>
          <w:i w:val="0"/>
          <w:szCs w:val="24"/>
        </w:rPr>
        <w:t>THEORETICA</w:t>
      </w:r>
      <w:r w:rsidRPr="00073666">
        <w:rPr>
          <w:rFonts w:ascii="Calibri" w:hAnsi="Calibri" w:cs="Calibri"/>
          <w:b/>
          <w:i w:val="0"/>
          <w:szCs w:val="24"/>
        </w:rPr>
        <w:t xml:space="preserve">L </w:t>
      </w:r>
      <w:proofErr w:type="gramStart"/>
      <w:r w:rsidRPr="00073666">
        <w:rPr>
          <w:rFonts w:ascii="Calibri" w:hAnsi="Calibri" w:cs="Calibri"/>
          <w:b/>
          <w:i w:val="0"/>
          <w:szCs w:val="24"/>
        </w:rPr>
        <w:t>FRAMEWORK</w:t>
      </w:r>
      <w:proofErr w:type="gramEnd"/>
    </w:p>
    <w:p w14:paraId="5DB19AE2" w14:textId="77777777" w:rsidR="00870833" w:rsidRPr="00073666" w:rsidRDefault="00870833" w:rsidP="004E7F9D">
      <w:pPr>
        <w:rPr>
          <w:rFonts w:ascii="Calibri" w:hAnsi="Calibri" w:cstheme="minorHAnsi"/>
          <w:color w:val="0000FF"/>
          <w:szCs w:val="22"/>
        </w:rPr>
      </w:pPr>
    </w:p>
    <w:p w14:paraId="24CF1912" w14:textId="70379E1E" w:rsidR="00870833" w:rsidRPr="00073666" w:rsidRDefault="00870833" w:rsidP="00870833">
      <w:pPr>
        <w:rPr>
          <w:rFonts w:ascii="Calibri" w:hAnsi="Calibri" w:cstheme="minorHAnsi"/>
          <w:szCs w:val="22"/>
        </w:rPr>
      </w:pPr>
      <w:r w:rsidRPr="00073666">
        <w:rPr>
          <w:rFonts w:ascii="Calibri" w:hAnsi="Calibri" w:cstheme="minorHAnsi"/>
          <w:szCs w:val="22"/>
        </w:rPr>
        <w:t>Due to the difficulties in diagnosing IA as outlined above</w:t>
      </w:r>
      <w:r w:rsidR="00480F31" w:rsidRPr="00073666">
        <w:rPr>
          <w:rFonts w:ascii="Calibri" w:hAnsi="Calibri" w:cstheme="minorHAnsi"/>
          <w:szCs w:val="22"/>
        </w:rPr>
        <w:t>,</w:t>
      </w:r>
      <w:r w:rsidRPr="00073666">
        <w:rPr>
          <w:rFonts w:ascii="Calibri" w:hAnsi="Calibri" w:cstheme="minorHAnsi"/>
          <w:szCs w:val="22"/>
        </w:rPr>
        <w:t xml:space="preserve"> a</w:t>
      </w:r>
      <w:r w:rsidR="00D915A8" w:rsidRPr="00073666">
        <w:rPr>
          <w:rFonts w:ascii="Calibri" w:hAnsi="Calibri" w:cstheme="minorHAnsi"/>
          <w:szCs w:val="22"/>
        </w:rPr>
        <w:t xml:space="preserve"> prospective observational study is</w:t>
      </w:r>
      <w:r w:rsidRPr="00073666">
        <w:rPr>
          <w:rFonts w:ascii="Calibri" w:hAnsi="Calibri" w:cstheme="minorHAnsi"/>
          <w:szCs w:val="22"/>
        </w:rPr>
        <w:t xml:space="preserve"> required to accurately evaluate the incidence of IA in </w:t>
      </w:r>
      <w:r w:rsidR="00F36A48" w:rsidRPr="00073666">
        <w:rPr>
          <w:rFonts w:ascii="Calibri" w:hAnsi="Calibri" w:cstheme="minorHAnsi"/>
          <w:szCs w:val="22"/>
        </w:rPr>
        <w:t xml:space="preserve">UK NHS </w:t>
      </w:r>
      <w:r w:rsidRPr="00073666">
        <w:rPr>
          <w:rFonts w:ascii="Calibri" w:hAnsi="Calibri" w:cstheme="minorHAnsi"/>
          <w:szCs w:val="22"/>
        </w:rPr>
        <w:t xml:space="preserve">patients with severe influenza. This is to ensure that information pertinent to the </w:t>
      </w:r>
      <w:proofErr w:type="spellStart"/>
      <w:r w:rsidRPr="00073666">
        <w:rPr>
          <w:rFonts w:ascii="Calibri" w:hAnsi="Calibri" w:cstheme="minorHAnsi"/>
          <w:szCs w:val="22"/>
        </w:rPr>
        <w:t>AspICU</w:t>
      </w:r>
      <w:proofErr w:type="spellEnd"/>
      <w:r w:rsidRPr="00073666">
        <w:rPr>
          <w:rFonts w:ascii="Calibri" w:hAnsi="Calibri" w:cstheme="minorHAnsi"/>
          <w:szCs w:val="22"/>
        </w:rPr>
        <w:t xml:space="preserve"> classification is systematically recorded, and that the relevant diagnostic tests are systematically performed.</w:t>
      </w:r>
    </w:p>
    <w:p w14:paraId="5963DDF3" w14:textId="77777777" w:rsidR="00870833" w:rsidRPr="00073666" w:rsidRDefault="00870833" w:rsidP="00870833">
      <w:pPr>
        <w:rPr>
          <w:rFonts w:ascii="Calibri" w:hAnsi="Calibri" w:cstheme="minorHAnsi"/>
          <w:szCs w:val="22"/>
        </w:rPr>
      </w:pPr>
    </w:p>
    <w:p w14:paraId="380199F6" w14:textId="14F5DE30" w:rsidR="00870833" w:rsidRPr="00073666" w:rsidRDefault="00870833" w:rsidP="00870833">
      <w:pPr>
        <w:spacing w:after="160" w:line="259" w:lineRule="auto"/>
        <w:rPr>
          <w:rFonts w:ascii="Calibri" w:hAnsi="Calibri" w:cs="Calibri"/>
        </w:rPr>
      </w:pPr>
      <w:r w:rsidRPr="00073666">
        <w:rPr>
          <w:rFonts w:ascii="Calibri" w:hAnsi="Calibri" w:cs="Calibri"/>
        </w:rPr>
        <w:t xml:space="preserve">A multi-centre study is required to recruit a </w:t>
      </w:r>
      <w:r w:rsidR="00CD09A9" w:rsidRPr="00073666">
        <w:rPr>
          <w:rFonts w:ascii="Calibri" w:hAnsi="Calibri" w:cs="Calibri"/>
        </w:rPr>
        <w:t xml:space="preserve">sufficient </w:t>
      </w:r>
      <w:r w:rsidRPr="00073666">
        <w:rPr>
          <w:rFonts w:ascii="Calibri" w:hAnsi="Calibri" w:cs="Calibri"/>
        </w:rPr>
        <w:t>number of ventilated patients with severe influenza during a single influenza season. Increasing the number of patients enrolled and sites involved will ensure that the results are generalisable to a wider population of patients with severe influenza.</w:t>
      </w:r>
    </w:p>
    <w:p w14:paraId="190AE4CA" w14:textId="22C886A3" w:rsidR="00870833" w:rsidRPr="00073666" w:rsidRDefault="00870833" w:rsidP="004E7F9D">
      <w:pPr>
        <w:rPr>
          <w:rFonts w:ascii="Calibri" w:hAnsi="Calibri" w:cstheme="minorHAnsi"/>
          <w:szCs w:val="22"/>
        </w:rPr>
      </w:pPr>
      <w:r w:rsidRPr="00073666">
        <w:rPr>
          <w:rFonts w:ascii="Calibri" w:hAnsi="Calibri" w:cstheme="minorHAnsi"/>
          <w:szCs w:val="22"/>
        </w:rPr>
        <w:t xml:space="preserve">For the purpose of the </w:t>
      </w:r>
      <w:proofErr w:type="spellStart"/>
      <w:r w:rsidRPr="00073666">
        <w:rPr>
          <w:rFonts w:ascii="Calibri" w:hAnsi="Calibri" w:cstheme="minorHAnsi"/>
          <w:szCs w:val="22"/>
        </w:rPr>
        <w:t>AspLFD</w:t>
      </w:r>
      <w:proofErr w:type="spellEnd"/>
      <w:r w:rsidRPr="00073666">
        <w:rPr>
          <w:rFonts w:ascii="Calibri" w:hAnsi="Calibri" w:cstheme="minorHAnsi"/>
          <w:szCs w:val="22"/>
        </w:rPr>
        <w:t xml:space="preserve"> validation, serum and BAL samples will be retrospectively tested in parallel by both galactomannan EIA and the </w:t>
      </w:r>
      <w:proofErr w:type="spellStart"/>
      <w:r w:rsidRPr="00073666">
        <w:rPr>
          <w:rFonts w:ascii="Calibri" w:hAnsi="Calibri" w:cstheme="minorHAnsi"/>
          <w:szCs w:val="22"/>
        </w:rPr>
        <w:t>AspLFD</w:t>
      </w:r>
      <w:proofErr w:type="spellEnd"/>
      <w:r w:rsidRPr="00073666">
        <w:rPr>
          <w:rFonts w:ascii="Calibri" w:hAnsi="Calibri" w:cstheme="minorHAnsi"/>
          <w:szCs w:val="22"/>
        </w:rPr>
        <w:t xml:space="preserve"> after the influenza season. In the event that there is sample degradation over time, parallel testing will </w:t>
      </w:r>
      <w:r w:rsidR="00480F31" w:rsidRPr="00073666">
        <w:rPr>
          <w:rFonts w:ascii="Calibri" w:hAnsi="Calibri" w:cstheme="minorHAnsi"/>
          <w:szCs w:val="22"/>
        </w:rPr>
        <w:t>reduce the chance that this effect will impact on the measured performance of one test more than the other.</w:t>
      </w:r>
    </w:p>
    <w:p w14:paraId="4C4856EA" w14:textId="582BCE34" w:rsidR="00042EF4" w:rsidRPr="00073666" w:rsidRDefault="00042EF4" w:rsidP="00042EF4">
      <w:pPr>
        <w:rPr>
          <w:rFonts w:ascii="Calibri" w:hAnsi="Calibri" w:cstheme="minorHAnsi"/>
          <w:szCs w:val="22"/>
        </w:rPr>
      </w:pPr>
    </w:p>
    <w:p w14:paraId="239291E2" w14:textId="21F1C958" w:rsidR="00480F31" w:rsidRPr="00073666" w:rsidRDefault="00480F31" w:rsidP="00042EF4">
      <w:pPr>
        <w:rPr>
          <w:rFonts w:ascii="Calibri" w:hAnsi="Calibri" w:cs="Calibri"/>
        </w:rPr>
      </w:pPr>
      <w:r w:rsidRPr="00073666">
        <w:rPr>
          <w:rFonts w:ascii="Calibri" w:hAnsi="Calibri" w:cs="Calibri"/>
        </w:rPr>
        <w:t>A</w:t>
      </w:r>
      <w:r w:rsidR="00F36A48" w:rsidRPr="00073666">
        <w:rPr>
          <w:rFonts w:ascii="Calibri" w:hAnsi="Calibri" w:cs="Calibri"/>
        </w:rPr>
        <w:t xml:space="preserve"> detailed outline of future sub-</w:t>
      </w:r>
      <w:r w:rsidRPr="00073666">
        <w:rPr>
          <w:rFonts w:ascii="Calibri" w:hAnsi="Calibri" w:cs="Calibri"/>
        </w:rPr>
        <w:t>studies to be performed on samples collected and stored as part of this study lies outside the scope of this protocol.</w:t>
      </w:r>
    </w:p>
    <w:p w14:paraId="1F2EAB7D" w14:textId="5C759C92" w:rsidR="00B24D33" w:rsidRPr="00073666" w:rsidRDefault="00B24D33" w:rsidP="00042EF4">
      <w:pPr>
        <w:spacing w:before="60" w:after="60"/>
        <w:rPr>
          <w:rFonts w:ascii="Calibri" w:hAnsi="Calibri" w:cs="Calibri"/>
          <w:color w:val="000000" w:themeColor="text1"/>
          <w:szCs w:val="22"/>
        </w:rPr>
      </w:pPr>
    </w:p>
    <w:p w14:paraId="270475CA" w14:textId="77777777" w:rsidR="00B24D33" w:rsidRPr="00073666" w:rsidRDefault="00B24D33" w:rsidP="00042EF4">
      <w:pPr>
        <w:spacing w:before="60" w:after="60"/>
        <w:rPr>
          <w:rFonts w:ascii="Calibri" w:hAnsi="Calibri" w:cs="Calibri"/>
          <w:color w:val="000000" w:themeColor="text1"/>
          <w:szCs w:val="22"/>
        </w:rPr>
      </w:pPr>
    </w:p>
    <w:p w14:paraId="749869D2" w14:textId="10273CDA" w:rsidR="00F83D7D" w:rsidRPr="00073666" w:rsidRDefault="00B24D33" w:rsidP="00B24D33">
      <w:pPr>
        <w:spacing w:before="60" w:after="60"/>
        <w:rPr>
          <w:rFonts w:ascii="Calibri" w:hAnsi="Calibri" w:cs="Calibri"/>
          <w:color w:val="000000" w:themeColor="text1"/>
          <w:szCs w:val="22"/>
        </w:rPr>
      </w:pPr>
      <w:r w:rsidRPr="00073666">
        <w:rPr>
          <w:rFonts w:ascii="Calibri" w:hAnsi="Calibri" w:cs="Calibri"/>
          <w:color w:val="000000" w:themeColor="text1"/>
          <w:szCs w:val="22"/>
        </w:rPr>
        <w:br w:type="page"/>
      </w:r>
    </w:p>
    <w:p w14:paraId="6C1ACD90" w14:textId="688BFB37" w:rsidR="00A53D11" w:rsidRPr="00073666" w:rsidRDefault="00552E09" w:rsidP="00430C7D">
      <w:pPr>
        <w:pStyle w:val="Heading1"/>
        <w:spacing w:before="0" w:after="120"/>
        <w:rPr>
          <w:rFonts w:ascii="Calibri" w:hAnsi="Calibri" w:cs="Calibri"/>
          <w:color w:val="auto"/>
          <w:sz w:val="24"/>
          <w:szCs w:val="24"/>
        </w:rPr>
      </w:pPr>
      <w:r w:rsidRPr="00073666">
        <w:rPr>
          <w:rFonts w:ascii="Calibri" w:hAnsi="Calibri" w:cs="Calibri"/>
          <w:color w:val="auto"/>
          <w:sz w:val="24"/>
          <w:szCs w:val="24"/>
        </w:rPr>
        <w:lastRenderedPageBreak/>
        <w:t>4</w:t>
      </w:r>
      <w:r w:rsidR="002D6FB1" w:rsidRPr="00073666">
        <w:rPr>
          <w:rFonts w:ascii="Calibri" w:hAnsi="Calibri" w:cs="Calibri"/>
          <w:color w:val="auto"/>
          <w:sz w:val="24"/>
          <w:szCs w:val="24"/>
        </w:rPr>
        <w:tab/>
      </w:r>
      <w:r w:rsidR="00B15108" w:rsidRPr="00073666">
        <w:rPr>
          <w:rFonts w:ascii="Calibri" w:hAnsi="Calibri" w:cs="Calibri"/>
          <w:color w:val="auto"/>
          <w:sz w:val="24"/>
          <w:szCs w:val="24"/>
        </w:rPr>
        <w:t>RESEARCH QUESTION/AIM(S)</w:t>
      </w:r>
    </w:p>
    <w:p w14:paraId="5147FA9A" w14:textId="77777777" w:rsidR="004A650C" w:rsidRPr="00073666" w:rsidRDefault="004A650C" w:rsidP="004A650C">
      <w:pPr>
        <w:rPr>
          <w:rFonts w:ascii="Calibri" w:hAnsi="Calibri" w:cs="Calibri"/>
          <w:b/>
          <w:szCs w:val="22"/>
        </w:rPr>
      </w:pPr>
    </w:p>
    <w:p w14:paraId="602B8F67" w14:textId="42F3F6B7" w:rsidR="00475FDA" w:rsidRPr="00073666" w:rsidRDefault="00552E09" w:rsidP="005567CC">
      <w:pPr>
        <w:rPr>
          <w:rFonts w:ascii="Calibri" w:hAnsi="Calibri" w:cs="Calibri"/>
          <w:b/>
          <w:bCs/>
          <w:szCs w:val="22"/>
        </w:rPr>
      </w:pPr>
      <w:r w:rsidRPr="00073666">
        <w:rPr>
          <w:rFonts w:ascii="Calibri" w:hAnsi="Calibri" w:cs="Calibri"/>
          <w:b/>
          <w:szCs w:val="22"/>
        </w:rPr>
        <w:t>4</w:t>
      </w:r>
      <w:r w:rsidR="00475FDA" w:rsidRPr="00073666">
        <w:rPr>
          <w:rFonts w:ascii="Calibri" w:hAnsi="Calibri" w:cs="Calibri"/>
          <w:b/>
          <w:szCs w:val="22"/>
        </w:rPr>
        <w:t>.1</w:t>
      </w:r>
      <w:r w:rsidR="00093582" w:rsidRPr="00073666">
        <w:rPr>
          <w:rFonts w:ascii="Calibri" w:hAnsi="Calibri" w:cs="Calibri"/>
          <w:szCs w:val="22"/>
        </w:rPr>
        <w:tab/>
      </w:r>
      <w:r w:rsidR="00B15108" w:rsidRPr="00073666">
        <w:rPr>
          <w:rFonts w:ascii="Calibri" w:hAnsi="Calibri" w:cs="Calibri"/>
          <w:b/>
          <w:bCs/>
          <w:szCs w:val="22"/>
        </w:rPr>
        <w:t>Objectives</w:t>
      </w:r>
    </w:p>
    <w:p w14:paraId="02295643" w14:textId="600301BE" w:rsidR="001B5720" w:rsidRPr="00073666" w:rsidRDefault="001B5720" w:rsidP="005567CC">
      <w:pPr>
        <w:rPr>
          <w:rFonts w:ascii="Calibri" w:hAnsi="Calibri" w:cs="Calibri"/>
          <w:b/>
          <w:bCs/>
          <w:color w:val="0000FF"/>
          <w:szCs w:val="22"/>
        </w:rPr>
      </w:pPr>
    </w:p>
    <w:p w14:paraId="6E66BDF2" w14:textId="77777777" w:rsidR="00A53D11" w:rsidRPr="00073666" w:rsidRDefault="00A53D11" w:rsidP="005567CC">
      <w:pPr>
        <w:rPr>
          <w:rFonts w:ascii="Calibri" w:hAnsi="Calibri" w:cs="Calibri"/>
          <w:b/>
          <w:bCs/>
          <w:color w:val="0000FF"/>
          <w:szCs w:val="22"/>
        </w:rPr>
      </w:pPr>
    </w:p>
    <w:p w14:paraId="679B7951" w14:textId="3F822EA9" w:rsidR="00CD09A9" w:rsidRPr="00073666" w:rsidRDefault="00430C7D" w:rsidP="00F36A48">
      <w:pPr>
        <w:spacing w:after="160" w:line="259" w:lineRule="auto"/>
        <w:ind w:left="1440" w:hanging="1440"/>
        <w:rPr>
          <w:rFonts w:ascii="Calibri" w:hAnsi="Calibri" w:cs="Calibri"/>
          <w:b/>
          <w:color w:val="000000" w:themeColor="text1"/>
          <w:szCs w:val="22"/>
        </w:rPr>
      </w:pPr>
      <w:r w:rsidRPr="00073666">
        <w:rPr>
          <w:rFonts w:ascii="Calibri" w:hAnsi="Calibri" w:cs="Calibri"/>
          <w:b/>
          <w:color w:val="000000" w:themeColor="text1"/>
          <w:szCs w:val="22"/>
        </w:rPr>
        <w:t>Primary:</w:t>
      </w:r>
      <w:r w:rsidR="00F36A48" w:rsidRPr="00073666">
        <w:rPr>
          <w:rFonts w:ascii="Calibri" w:hAnsi="Calibri" w:cs="Calibri"/>
          <w:b/>
          <w:color w:val="000000" w:themeColor="text1"/>
          <w:szCs w:val="22"/>
        </w:rPr>
        <w:t xml:space="preserve"> </w:t>
      </w:r>
      <w:r w:rsidR="00F36A48" w:rsidRPr="00073666">
        <w:rPr>
          <w:rFonts w:ascii="Calibri" w:hAnsi="Calibri" w:cs="Calibri"/>
          <w:b/>
          <w:color w:val="000000" w:themeColor="text1"/>
          <w:szCs w:val="22"/>
        </w:rPr>
        <w:tab/>
      </w:r>
      <w:r w:rsidR="00CD09A9" w:rsidRPr="00073666">
        <w:rPr>
          <w:rFonts w:ascii="Calibri" w:hAnsi="Calibri" w:cs="Calibri"/>
          <w:color w:val="000000" w:themeColor="text1"/>
          <w:szCs w:val="22"/>
        </w:rPr>
        <w:t>Estimate</w:t>
      </w:r>
      <w:r w:rsidR="00F36A48" w:rsidRPr="00073666">
        <w:rPr>
          <w:rFonts w:ascii="Calibri" w:hAnsi="Calibri" w:cs="Calibri"/>
          <w:color w:val="000000" w:themeColor="text1"/>
          <w:szCs w:val="22"/>
        </w:rPr>
        <w:t xml:space="preserve"> </w:t>
      </w:r>
      <w:r w:rsidR="00CD09A9" w:rsidRPr="00073666">
        <w:rPr>
          <w:rFonts w:ascii="Calibri" w:hAnsi="Calibri" w:cs="Calibri"/>
          <w:bCs/>
          <w:color w:val="000000" w:themeColor="text1"/>
          <w:szCs w:val="22"/>
        </w:rPr>
        <w:t>incidence of influenza-associated invasive aspergillosis (IAA) and identify risk factors for</w:t>
      </w:r>
      <w:r w:rsidR="00F36A48" w:rsidRPr="00073666">
        <w:rPr>
          <w:rFonts w:ascii="Calibri" w:hAnsi="Calibri" w:cs="Calibri"/>
          <w:bCs/>
          <w:color w:val="000000" w:themeColor="text1"/>
          <w:szCs w:val="22"/>
        </w:rPr>
        <w:t xml:space="preserve"> infection</w:t>
      </w:r>
    </w:p>
    <w:p w14:paraId="01BD4C73" w14:textId="39F3655D" w:rsidR="00F36A48" w:rsidRPr="00073666" w:rsidRDefault="00430C7D" w:rsidP="00F36A48">
      <w:pPr>
        <w:spacing w:after="160" w:line="259" w:lineRule="auto"/>
        <w:rPr>
          <w:rFonts w:ascii="Calibri" w:hAnsi="Calibri" w:cs="Calibri"/>
          <w:b/>
          <w:bCs/>
          <w:color w:val="000000" w:themeColor="text1"/>
          <w:szCs w:val="22"/>
        </w:rPr>
      </w:pPr>
      <w:r w:rsidRPr="00073666">
        <w:rPr>
          <w:rFonts w:ascii="Calibri" w:hAnsi="Calibri" w:cs="Calibri"/>
          <w:b/>
          <w:bCs/>
          <w:color w:val="000000" w:themeColor="text1"/>
          <w:szCs w:val="22"/>
        </w:rPr>
        <w:t>Secondary:</w:t>
      </w:r>
      <w:r w:rsidR="00F36A48" w:rsidRPr="00073666">
        <w:rPr>
          <w:rFonts w:ascii="Calibri" w:hAnsi="Calibri" w:cs="Calibri"/>
          <w:b/>
          <w:bCs/>
          <w:color w:val="000000" w:themeColor="text1"/>
          <w:szCs w:val="22"/>
        </w:rPr>
        <w:t xml:space="preserve"> </w:t>
      </w:r>
      <w:r w:rsidR="00F36A48" w:rsidRPr="00073666">
        <w:rPr>
          <w:rFonts w:ascii="Calibri" w:hAnsi="Calibri" w:cs="Calibri"/>
          <w:b/>
          <w:bCs/>
          <w:color w:val="000000" w:themeColor="text1"/>
          <w:szCs w:val="22"/>
        </w:rPr>
        <w:tab/>
      </w:r>
      <w:r w:rsidRPr="00073666">
        <w:rPr>
          <w:rFonts w:ascii="Calibri" w:hAnsi="Calibri" w:cs="Calibri"/>
          <w:bCs/>
          <w:color w:val="000000" w:themeColor="text1"/>
        </w:rPr>
        <w:t>Determine morbidity and mortality of IAA</w:t>
      </w:r>
    </w:p>
    <w:p w14:paraId="529AD584" w14:textId="562A906C" w:rsidR="00430C7D" w:rsidRPr="00073666" w:rsidRDefault="00430C7D" w:rsidP="00F36A48">
      <w:pPr>
        <w:spacing w:after="160" w:line="259" w:lineRule="auto"/>
        <w:ind w:left="720" w:firstLine="720"/>
        <w:rPr>
          <w:rFonts w:ascii="Calibri" w:hAnsi="Calibri" w:cs="Calibri"/>
          <w:b/>
          <w:bCs/>
          <w:color w:val="000000" w:themeColor="text1"/>
          <w:szCs w:val="22"/>
        </w:rPr>
      </w:pPr>
      <w:r w:rsidRPr="00073666">
        <w:rPr>
          <w:rFonts w:ascii="Calibri" w:hAnsi="Calibri" w:cs="Calibri"/>
          <w:bCs/>
          <w:color w:val="000000" w:themeColor="text1"/>
        </w:rPr>
        <w:t xml:space="preserve">Evaluate utility of </w:t>
      </w:r>
      <w:proofErr w:type="spellStart"/>
      <w:r w:rsidRPr="00073666">
        <w:rPr>
          <w:rFonts w:ascii="Calibri" w:hAnsi="Calibri" w:cs="Calibri"/>
          <w:bCs/>
          <w:color w:val="000000" w:themeColor="text1"/>
        </w:rPr>
        <w:t>AspLFD</w:t>
      </w:r>
      <w:proofErr w:type="spellEnd"/>
      <w:r w:rsidRPr="00073666">
        <w:rPr>
          <w:rFonts w:ascii="Calibri" w:hAnsi="Calibri" w:cs="Calibri"/>
          <w:bCs/>
          <w:color w:val="000000" w:themeColor="text1"/>
        </w:rPr>
        <w:t xml:space="preserve"> device for diagnosis of IAA </w:t>
      </w:r>
    </w:p>
    <w:p w14:paraId="56E38DFD" w14:textId="1208EA9B" w:rsidR="00A53D11" w:rsidRPr="00073666" w:rsidRDefault="00430C7D" w:rsidP="00F36A48">
      <w:pPr>
        <w:spacing w:after="160" w:line="259" w:lineRule="auto"/>
        <w:rPr>
          <w:rFonts w:ascii="Calibri" w:hAnsi="Calibri" w:cs="Calibri"/>
          <w:b/>
          <w:color w:val="000000" w:themeColor="text1"/>
          <w:szCs w:val="22"/>
        </w:rPr>
      </w:pPr>
      <w:r w:rsidRPr="00073666">
        <w:rPr>
          <w:rFonts w:ascii="Calibri" w:hAnsi="Calibri" w:cs="Calibri"/>
          <w:b/>
          <w:color w:val="000000" w:themeColor="text1"/>
          <w:szCs w:val="22"/>
        </w:rPr>
        <w:t>S</w:t>
      </w:r>
      <w:r w:rsidR="00F36A48" w:rsidRPr="00073666">
        <w:rPr>
          <w:rFonts w:ascii="Calibri" w:hAnsi="Calibri" w:cs="Calibri"/>
          <w:b/>
          <w:color w:val="000000" w:themeColor="text1"/>
          <w:szCs w:val="22"/>
        </w:rPr>
        <w:t>ub-studies:</w:t>
      </w:r>
      <w:r w:rsidR="00F36A48" w:rsidRPr="00073666">
        <w:rPr>
          <w:rFonts w:ascii="Calibri" w:hAnsi="Calibri" w:cs="Calibri"/>
          <w:b/>
          <w:color w:val="000000" w:themeColor="text1"/>
          <w:szCs w:val="22"/>
        </w:rPr>
        <w:tab/>
      </w:r>
      <w:r w:rsidRPr="00073666">
        <w:rPr>
          <w:rFonts w:ascii="Calibri" w:hAnsi="Calibri" w:cs="Calibri"/>
          <w:color w:val="000000" w:themeColor="text1"/>
          <w:szCs w:val="22"/>
        </w:rPr>
        <w:t xml:space="preserve">Improve understanding of immunopathogenesis of IAA through </w:t>
      </w:r>
      <w:r w:rsidRPr="00073666">
        <w:rPr>
          <w:rFonts w:ascii="Calibri" w:hAnsi="Calibri" w:cs="Calibri"/>
          <w:i/>
          <w:color w:val="000000" w:themeColor="text1"/>
          <w:szCs w:val="22"/>
        </w:rPr>
        <w:t>ex vivo</w:t>
      </w:r>
      <w:r w:rsidRPr="00073666">
        <w:rPr>
          <w:rFonts w:ascii="Calibri" w:hAnsi="Calibri" w:cs="Calibri"/>
          <w:color w:val="000000" w:themeColor="text1"/>
          <w:szCs w:val="22"/>
        </w:rPr>
        <w:t xml:space="preserve"> PBMC analysis, measurement of serum and bronchoalveolar lavage (BAL) cytokines and targeted immune gene sequencing</w:t>
      </w:r>
    </w:p>
    <w:p w14:paraId="03982A74" w14:textId="77777777" w:rsidR="00A53D11" w:rsidRPr="00073666" w:rsidRDefault="00A53D11" w:rsidP="00A53D11">
      <w:pPr>
        <w:rPr>
          <w:rFonts w:ascii="Calibri" w:hAnsi="Calibri" w:cs="Calibri"/>
          <w:b/>
          <w:szCs w:val="22"/>
        </w:rPr>
      </w:pPr>
    </w:p>
    <w:p w14:paraId="7FA161A7" w14:textId="7D5AF9D3" w:rsidR="00A53D11" w:rsidRPr="00073666" w:rsidRDefault="00A53D11" w:rsidP="00A53D11">
      <w:pPr>
        <w:rPr>
          <w:rFonts w:ascii="Calibri" w:hAnsi="Calibri" w:cs="Calibri"/>
          <w:b/>
          <w:bCs/>
          <w:szCs w:val="22"/>
        </w:rPr>
      </w:pPr>
      <w:r w:rsidRPr="00073666">
        <w:rPr>
          <w:rFonts w:ascii="Calibri" w:hAnsi="Calibri" w:cs="Calibri"/>
          <w:b/>
          <w:szCs w:val="22"/>
        </w:rPr>
        <w:t>4.2</w:t>
      </w:r>
      <w:r w:rsidRPr="00073666">
        <w:rPr>
          <w:rFonts w:ascii="Calibri" w:hAnsi="Calibri" w:cs="Calibri"/>
          <w:szCs w:val="22"/>
        </w:rPr>
        <w:tab/>
      </w:r>
      <w:r w:rsidRPr="00073666">
        <w:rPr>
          <w:rFonts w:ascii="Calibri" w:hAnsi="Calibri" w:cs="Calibri"/>
          <w:b/>
          <w:bCs/>
          <w:szCs w:val="22"/>
        </w:rPr>
        <w:t>Outcomes</w:t>
      </w:r>
    </w:p>
    <w:p w14:paraId="6FB9AA25" w14:textId="77777777" w:rsidR="00A53D11" w:rsidRPr="00073666" w:rsidRDefault="00A53D11" w:rsidP="00A53D11">
      <w:pPr>
        <w:rPr>
          <w:rFonts w:ascii="Calibri" w:hAnsi="Calibri" w:cs="Calibri"/>
          <w:b/>
          <w:bCs/>
          <w:szCs w:val="22"/>
        </w:rPr>
      </w:pPr>
    </w:p>
    <w:p w14:paraId="2879FF99" w14:textId="317099AB" w:rsidR="00A53D11" w:rsidRPr="00073666" w:rsidRDefault="00A53D11" w:rsidP="00A53D11">
      <w:pPr>
        <w:rPr>
          <w:rFonts w:ascii="Calibri" w:hAnsi="Calibri" w:cs="Calibri"/>
          <w:b/>
          <w:color w:val="000000" w:themeColor="text1"/>
          <w:szCs w:val="22"/>
        </w:rPr>
      </w:pPr>
      <w:r w:rsidRPr="00073666">
        <w:rPr>
          <w:rFonts w:ascii="Calibri" w:hAnsi="Calibri" w:cs="Calibri"/>
          <w:b/>
          <w:color w:val="000000" w:themeColor="text1"/>
          <w:szCs w:val="22"/>
        </w:rPr>
        <w:t>Primary:</w:t>
      </w:r>
    </w:p>
    <w:p w14:paraId="6912A6D6" w14:textId="7714AC54" w:rsidR="00430C7D" w:rsidRPr="00073666" w:rsidRDefault="00A53D11" w:rsidP="00A53D11">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 xml:space="preserve">Diagnostic classification of IAA </w:t>
      </w:r>
      <w:r w:rsidR="00855611" w:rsidRPr="00073666">
        <w:rPr>
          <w:rFonts w:ascii="Calibri" w:hAnsi="Calibri" w:cs="Calibri"/>
          <w:color w:val="000000" w:themeColor="text1"/>
          <w:szCs w:val="22"/>
        </w:rPr>
        <w:t xml:space="preserve">during ICU admission </w:t>
      </w:r>
      <w:r w:rsidRPr="00073666">
        <w:rPr>
          <w:rFonts w:ascii="Calibri" w:hAnsi="Calibri" w:cs="Calibri"/>
          <w:color w:val="000000" w:themeColor="text1"/>
          <w:szCs w:val="22"/>
        </w:rPr>
        <w:t xml:space="preserve">as per modified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w:t>
      </w:r>
      <w:r w:rsidR="00C53525" w:rsidRPr="00073666">
        <w:rPr>
          <w:rFonts w:ascii="Calibri" w:hAnsi="Calibri" w:cs="Calibri"/>
          <w:color w:val="000000" w:themeColor="text1"/>
          <w:szCs w:val="22"/>
        </w:rPr>
        <w:t>.</w:t>
      </w:r>
    </w:p>
    <w:p w14:paraId="0FB262B0" w14:textId="77777777" w:rsidR="00427FF2" w:rsidRPr="00073666" w:rsidRDefault="00A53D11" w:rsidP="00427FF2">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 xml:space="preserve">The modified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 will be further modified for our study in two ways (Table 1):</w:t>
      </w:r>
    </w:p>
    <w:p w14:paraId="347FBF57" w14:textId="4980A459" w:rsidR="00A53D11" w:rsidRPr="00073666" w:rsidRDefault="00A53D11" w:rsidP="00427FF2">
      <w:pPr>
        <w:spacing w:after="160" w:line="259" w:lineRule="auto"/>
        <w:rPr>
          <w:rFonts w:ascii="Calibri" w:hAnsi="Calibri" w:cs="Calibri"/>
          <w:color w:val="000000" w:themeColor="text1"/>
        </w:rPr>
      </w:pPr>
      <w:r w:rsidRPr="00073666">
        <w:rPr>
          <w:rFonts w:ascii="Calibri" w:hAnsi="Calibri" w:cs="Calibri"/>
          <w:color w:val="000000" w:themeColor="text1"/>
        </w:rPr>
        <w:t>The presence of tracheobronchitis at bronchoscopy (an EORTC/MSG clinical criterion) will replace the need for a radiological</w:t>
      </w:r>
      <w:r w:rsidR="005242EE" w:rsidRPr="00073666">
        <w:rPr>
          <w:rFonts w:ascii="Calibri" w:hAnsi="Calibri" w:cs="Calibri"/>
          <w:color w:val="000000" w:themeColor="text1"/>
        </w:rPr>
        <w:t xml:space="preserve"> and clinical</w:t>
      </w:r>
      <w:r w:rsidRPr="00073666">
        <w:rPr>
          <w:rFonts w:ascii="Calibri" w:hAnsi="Calibri" w:cs="Calibri"/>
          <w:color w:val="000000" w:themeColor="text1"/>
        </w:rPr>
        <w:t xml:space="preserve"> criterion to mee</w:t>
      </w:r>
      <w:r w:rsidR="005242EE" w:rsidRPr="00073666">
        <w:rPr>
          <w:rFonts w:ascii="Calibri" w:hAnsi="Calibri" w:cs="Calibri"/>
          <w:color w:val="000000" w:themeColor="text1"/>
        </w:rPr>
        <w:t xml:space="preserve">t the definition of </w:t>
      </w:r>
      <w:r w:rsidR="005242EE" w:rsidRPr="00073666">
        <w:rPr>
          <w:rFonts w:ascii="Calibri" w:hAnsi="Calibri" w:cs="Calibri"/>
          <w:b/>
          <w:color w:val="000000" w:themeColor="text1"/>
        </w:rPr>
        <w:t>putative IA</w:t>
      </w:r>
      <w:r w:rsidR="005242EE" w:rsidRPr="00073666">
        <w:rPr>
          <w:rFonts w:ascii="Calibri" w:hAnsi="Calibri" w:cs="Calibri"/>
          <w:color w:val="000000" w:themeColor="text1"/>
        </w:rPr>
        <w:t xml:space="preserve"> (i.e. tracheobronchitis plus mycological criterion)</w:t>
      </w:r>
    </w:p>
    <w:p w14:paraId="2FEA71C9" w14:textId="6119BC46" w:rsidR="00475FDA" w:rsidRPr="00073666" w:rsidRDefault="00A53D11" w:rsidP="00A53D11">
      <w:pPr>
        <w:pStyle w:val="ListParagraph"/>
        <w:numPr>
          <w:ilvl w:val="0"/>
          <w:numId w:val="31"/>
        </w:numPr>
        <w:spacing w:after="160" w:line="259" w:lineRule="auto"/>
        <w:rPr>
          <w:rFonts w:ascii="Calibri" w:hAnsi="Calibri" w:cs="Calibri"/>
          <w:color w:val="000000" w:themeColor="text1"/>
        </w:rPr>
      </w:pPr>
      <w:r w:rsidRPr="00073666">
        <w:rPr>
          <w:rFonts w:ascii="Calibri" w:hAnsi="Calibri" w:cs="Calibri"/>
          <w:color w:val="000000" w:themeColor="text1"/>
        </w:rPr>
        <w:t>The ‘not classifiable’ group, namely ‘</w:t>
      </w:r>
      <w:r w:rsidRPr="00073666">
        <w:rPr>
          <w:rFonts w:ascii="Calibri" w:hAnsi="Calibri" w:cs="Calibri"/>
          <w:bCs/>
          <w:color w:val="000000"/>
        </w:rPr>
        <w:t xml:space="preserve">Clinical, radiological and mycological criteria all met but a </w:t>
      </w:r>
      <w:r w:rsidRPr="00073666">
        <w:rPr>
          <w:rFonts w:ascii="Calibri" w:hAnsi="Calibri" w:cs="Calibri"/>
          <w:bCs/>
          <w:i/>
          <w:iCs/>
          <w:color w:val="000000"/>
        </w:rPr>
        <w:t>negative</w:t>
      </w:r>
      <w:r w:rsidRPr="00073666">
        <w:rPr>
          <w:rFonts w:ascii="Calibri" w:hAnsi="Calibri" w:cs="Calibri"/>
          <w:bCs/>
          <w:color w:val="000000"/>
        </w:rPr>
        <w:t xml:space="preserve"> Aspergillus culture from BAL’</w:t>
      </w:r>
      <w:r w:rsidR="006D2171" w:rsidRPr="00073666">
        <w:rPr>
          <w:rFonts w:ascii="Calibri" w:hAnsi="Calibri" w:cs="Calibri"/>
          <w:color w:val="000000" w:themeColor="text1"/>
        </w:rPr>
        <w:t xml:space="preserve"> will be classified as Putative</w:t>
      </w:r>
      <w:r w:rsidRPr="00073666">
        <w:rPr>
          <w:rFonts w:ascii="Calibri" w:hAnsi="Calibri" w:cs="Calibri"/>
          <w:color w:val="000000" w:themeColor="text1"/>
        </w:rPr>
        <w:t xml:space="preserve"> IA in our study.</w:t>
      </w:r>
    </w:p>
    <w:p w14:paraId="07EA081F" w14:textId="47518A40" w:rsidR="00C53525" w:rsidRPr="00073666" w:rsidRDefault="00C53525" w:rsidP="00C53525">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 xml:space="preserve">Patients will therefore be classified as evidence of invasive aspergillosis (subdivided into proven/putative), and no evidence of invasive aspergillosis (subdivided into those with and without </w:t>
      </w:r>
      <w:r w:rsidRPr="00073666">
        <w:rPr>
          <w:rFonts w:ascii="Calibri" w:hAnsi="Calibri" w:cs="Calibri"/>
          <w:i/>
          <w:color w:val="000000" w:themeColor="text1"/>
          <w:szCs w:val="22"/>
        </w:rPr>
        <w:t>Aspergillus</w:t>
      </w:r>
      <w:r w:rsidRPr="00073666">
        <w:rPr>
          <w:rFonts w:ascii="Calibri" w:hAnsi="Calibri" w:cs="Calibri"/>
          <w:color w:val="000000" w:themeColor="text1"/>
          <w:szCs w:val="22"/>
        </w:rPr>
        <w:t xml:space="preserve"> colonisation).</w:t>
      </w:r>
    </w:p>
    <w:p w14:paraId="328658F3" w14:textId="527BEDFE" w:rsidR="00855611" w:rsidRPr="00073666" w:rsidRDefault="00855611" w:rsidP="00855611">
      <w:pPr>
        <w:spacing w:after="160" w:line="259" w:lineRule="auto"/>
        <w:rPr>
          <w:rFonts w:ascii="Calibri" w:hAnsi="Calibri" w:cs="Calibri"/>
          <w:color w:val="000000" w:themeColor="text1"/>
        </w:rPr>
      </w:pPr>
      <w:r w:rsidRPr="00073666">
        <w:rPr>
          <w:rFonts w:ascii="Calibri" w:hAnsi="Calibri" w:cs="Calibri"/>
          <w:color w:val="000000" w:themeColor="text1"/>
          <w:szCs w:val="22"/>
        </w:rPr>
        <w:t xml:space="preserve">The outcome of interest is </w:t>
      </w:r>
      <w:r w:rsidR="005E530B" w:rsidRPr="00073666">
        <w:rPr>
          <w:rFonts w:ascii="Calibri" w:hAnsi="Calibri" w:cs="Calibri"/>
          <w:color w:val="000000" w:themeColor="text1"/>
          <w:szCs w:val="22"/>
        </w:rPr>
        <w:t>evidence</w:t>
      </w:r>
      <w:r w:rsidRPr="00073666">
        <w:rPr>
          <w:rFonts w:ascii="Calibri" w:hAnsi="Calibri" w:cs="Calibri"/>
          <w:color w:val="000000" w:themeColor="text1"/>
          <w:szCs w:val="22"/>
        </w:rPr>
        <w:t xml:space="preserve"> of IA at any point during study ICU </w:t>
      </w:r>
      <w:r w:rsidR="00970DDA" w:rsidRPr="00073666">
        <w:rPr>
          <w:rFonts w:ascii="Calibri" w:hAnsi="Calibri" w:cs="Calibri"/>
          <w:color w:val="000000" w:themeColor="text1"/>
          <w:szCs w:val="22"/>
        </w:rPr>
        <w:t>stay</w:t>
      </w:r>
      <w:r w:rsidR="005E530B" w:rsidRPr="00073666">
        <w:rPr>
          <w:rFonts w:ascii="Calibri" w:hAnsi="Calibri" w:cs="Calibri"/>
          <w:color w:val="000000" w:themeColor="text1"/>
          <w:szCs w:val="22"/>
        </w:rPr>
        <w:t>, including</w:t>
      </w:r>
      <w:r w:rsidR="00970DDA" w:rsidRPr="00073666">
        <w:rPr>
          <w:rFonts w:ascii="Calibri" w:hAnsi="Calibri" w:cs="Calibri"/>
          <w:color w:val="000000" w:themeColor="text1"/>
          <w:szCs w:val="22"/>
        </w:rPr>
        <w:t xml:space="preserve"> on</w:t>
      </w:r>
      <w:r w:rsidR="005E530B" w:rsidRPr="00073666">
        <w:rPr>
          <w:rFonts w:ascii="Calibri" w:hAnsi="Calibri" w:cs="Calibri"/>
          <w:color w:val="000000" w:themeColor="text1"/>
          <w:szCs w:val="22"/>
        </w:rPr>
        <w:t xml:space="preserve"> admission</w:t>
      </w:r>
      <w:r w:rsidRPr="00073666">
        <w:rPr>
          <w:rFonts w:ascii="Calibri" w:hAnsi="Calibri" w:cs="Calibri"/>
          <w:color w:val="000000" w:themeColor="text1"/>
          <w:szCs w:val="22"/>
        </w:rPr>
        <w:t xml:space="preserve">. The strongest </w:t>
      </w:r>
      <w:r w:rsidR="008F5369" w:rsidRPr="00073666">
        <w:rPr>
          <w:rFonts w:ascii="Calibri" w:hAnsi="Calibri" w:cs="Calibri"/>
          <w:color w:val="000000" w:themeColor="text1"/>
          <w:szCs w:val="22"/>
        </w:rPr>
        <w:t>classification for each patient will be recorded. For example, s</w:t>
      </w:r>
      <w:r w:rsidRPr="00073666">
        <w:rPr>
          <w:rFonts w:ascii="Calibri" w:hAnsi="Calibri" w:cs="Calibri"/>
          <w:color w:val="000000" w:themeColor="text1"/>
          <w:szCs w:val="22"/>
        </w:rPr>
        <w:t>ome patients may have no evidence of IA on their admission blood tests</w:t>
      </w:r>
      <w:r w:rsidRPr="00073666">
        <w:rPr>
          <w:rFonts w:ascii="Calibri" w:hAnsi="Calibri" w:cs="Calibri"/>
          <w:color w:val="000000" w:themeColor="text1"/>
        </w:rPr>
        <w:t xml:space="preserve"> / BAL, but later clinically deteriorate and have a second blood test / BAL that places them </w:t>
      </w:r>
      <w:r w:rsidR="008F5369" w:rsidRPr="00073666">
        <w:rPr>
          <w:rFonts w:ascii="Calibri" w:hAnsi="Calibri" w:cs="Calibri"/>
          <w:color w:val="000000" w:themeColor="text1"/>
        </w:rPr>
        <w:t xml:space="preserve">in the ‘Putative IA’ </w:t>
      </w:r>
      <w:proofErr w:type="spellStart"/>
      <w:r w:rsidR="008F5369" w:rsidRPr="00073666">
        <w:rPr>
          <w:rFonts w:ascii="Calibri" w:hAnsi="Calibri" w:cs="Calibri"/>
          <w:color w:val="000000" w:themeColor="text1"/>
        </w:rPr>
        <w:t>AspICU</w:t>
      </w:r>
      <w:proofErr w:type="spellEnd"/>
      <w:r w:rsidR="008F5369" w:rsidRPr="00073666">
        <w:rPr>
          <w:rFonts w:ascii="Calibri" w:hAnsi="Calibri" w:cs="Calibri"/>
          <w:color w:val="000000" w:themeColor="text1"/>
        </w:rPr>
        <w:t xml:space="preserve"> group. This patient would be classified as ‘Putative IA’. If this patient later died and a biopsy from a post mortem placed them in the ‘Proven IA’ group they would be classified as ‘Proven IA’.</w:t>
      </w:r>
    </w:p>
    <w:p w14:paraId="776604AF" w14:textId="34D94743" w:rsidR="00F73D07" w:rsidRPr="00073666" w:rsidRDefault="00F73D07" w:rsidP="00855611">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Risk factors to be elicited from baseline collected c</w:t>
      </w:r>
      <w:r w:rsidR="00427FF2" w:rsidRPr="00073666">
        <w:rPr>
          <w:rFonts w:ascii="Calibri" w:hAnsi="Calibri" w:cs="Calibri"/>
          <w:color w:val="000000" w:themeColor="text1"/>
          <w:szCs w:val="22"/>
        </w:rPr>
        <w:t>linical data points (see Table 3</w:t>
      </w:r>
      <w:r w:rsidRPr="00073666">
        <w:rPr>
          <w:rFonts w:ascii="Calibri" w:hAnsi="Calibri" w:cs="Calibri"/>
          <w:color w:val="000000" w:themeColor="text1"/>
          <w:szCs w:val="22"/>
        </w:rPr>
        <w:t xml:space="preserve">), e.g. </w:t>
      </w:r>
      <w:r w:rsidRPr="00073666">
        <w:rPr>
          <w:rFonts w:ascii="Calibri" w:hAnsi="Calibri" w:cs="Calibri"/>
          <w:color w:val="000000"/>
          <w:szCs w:val="22"/>
        </w:rPr>
        <w:t>EORTC / MSG host factors, steroid use and other co-morbidities.</w:t>
      </w:r>
    </w:p>
    <w:p w14:paraId="5C9EE668" w14:textId="77777777" w:rsidR="008F5369" w:rsidRPr="00073666" w:rsidRDefault="008F5369" w:rsidP="00855611">
      <w:pPr>
        <w:spacing w:after="160" w:line="259" w:lineRule="auto"/>
        <w:rPr>
          <w:rFonts w:ascii="Calibri" w:hAnsi="Calibri" w:cs="Calibri"/>
          <w:color w:val="000000" w:themeColor="text1"/>
        </w:rPr>
      </w:pPr>
    </w:p>
    <w:p w14:paraId="10A1B061" w14:textId="0F18B857" w:rsidR="00A53D11" w:rsidRPr="00073666" w:rsidRDefault="00A53D11" w:rsidP="00A53D11">
      <w:pPr>
        <w:spacing w:after="160" w:line="259" w:lineRule="auto"/>
        <w:rPr>
          <w:rFonts w:ascii="Calibri" w:hAnsi="Calibri" w:cs="Calibri"/>
          <w:b/>
          <w:bCs/>
          <w:color w:val="000000" w:themeColor="text1"/>
        </w:rPr>
      </w:pPr>
      <w:r w:rsidRPr="00073666">
        <w:rPr>
          <w:rFonts w:ascii="Calibri" w:hAnsi="Calibri" w:cs="Calibri"/>
          <w:b/>
          <w:bCs/>
          <w:color w:val="000000" w:themeColor="text1"/>
        </w:rPr>
        <w:t>Secondary</w:t>
      </w:r>
      <w:r w:rsidR="00814E86" w:rsidRPr="00073666">
        <w:rPr>
          <w:rFonts w:ascii="Calibri" w:hAnsi="Calibri" w:cs="Calibri"/>
          <w:b/>
          <w:bCs/>
          <w:color w:val="000000" w:themeColor="text1"/>
        </w:rPr>
        <w:t>:</w:t>
      </w:r>
    </w:p>
    <w:p w14:paraId="6CE93857" w14:textId="77777777" w:rsidR="002020FC" w:rsidRPr="00073666" w:rsidRDefault="002129D9" w:rsidP="00814E86">
      <w:pPr>
        <w:pStyle w:val="ListParagraph"/>
        <w:numPr>
          <w:ilvl w:val="0"/>
          <w:numId w:val="32"/>
        </w:numPr>
        <w:spacing w:before="60" w:after="60" w:line="240" w:lineRule="auto"/>
        <w:rPr>
          <w:rFonts w:ascii="Calibri" w:hAnsi="Calibri" w:cs="Calibri"/>
          <w:color w:val="000000" w:themeColor="text1"/>
        </w:rPr>
      </w:pPr>
      <w:r w:rsidRPr="00073666">
        <w:rPr>
          <w:rFonts w:ascii="Calibri" w:hAnsi="Calibri" w:cs="Calibri"/>
          <w:color w:val="000000" w:themeColor="text1"/>
        </w:rPr>
        <w:lastRenderedPageBreak/>
        <w:t>Duration of mechanical ventilation; ICU stay; hospital stay</w:t>
      </w:r>
    </w:p>
    <w:p w14:paraId="10B680B2" w14:textId="3B1603BA" w:rsidR="00F73D07" w:rsidRPr="00073666" w:rsidRDefault="002020FC" w:rsidP="002020FC">
      <w:pPr>
        <w:pStyle w:val="ListParagraph"/>
        <w:numPr>
          <w:ilvl w:val="0"/>
          <w:numId w:val="32"/>
        </w:numPr>
        <w:spacing w:line="240" w:lineRule="auto"/>
        <w:rPr>
          <w:rFonts w:ascii="Calibri" w:hAnsi="Calibri" w:cs="Calibri"/>
          <w:color w:val="000000" w:themeColor="text1"/>
        </w:rPr>
      </w:pPr>
      <w:r w:rsidRPr="00073666">
        <w:rPr>
          <w:rFonts w:ascii="Calibri" w:hAnsi="Calibri" w:cs="Calibri"/>
          <w:color w:val="000000" w:themeColor="text1"/>
        </w:rPr>
        <w:t>ICU all-cause mortality; inpatient all-cause mortality; 90-day all-cause mortality</w:t>
      </w:r>
    </w:p>
    <w:p w14:paraId="25F82E4A" w14:textId="24A31028" w:rsidR="00A53D11" w:rsidRPr="00073666" w:rsidRDefault="00F73D07" w:rsidP="002020FC">
      <w:pPr>
        <w:pStyle w:val="ListParagraph"/>
        <w:numPr>
          <w:ilvl w:val="0"/>
          <w:numId w:val="32"/>
        </w:numPr>
        <w:spacing w:line="240" w:lineRule="auto"/>
        <w:rPr>
          <w:rFonts w:ascii="Calibri" w:hAnsi="Calibri" w:cs="Calibri"/>
          <w:color w:val="000000" w:themeColor="text1"/>
        </w:rPr>
      </w:pPr>
      <w:r w:rsidRPr="00073666">
        <w:rPr>
          <w:rFonts w:ascii="Calibri" w:hAnsi="Calibri" w:cs="Calibri"/>
          <w:color w:val="000000" w:themeColor="text1"/>
        </w:rPr>
        <w:t>Survival analysis: Time to death (all-cause mortality) for all patients</w:t>
      </w:r>
    </w:p>
    <w:p w14:paraId="1506B923" w14:textId="6F6B183D" w:rsidR="00A53D11" w:rsidRPr="00073666" w:rsidRDefault="00A53D11" w:rsidP="00814E86">
      <w:pPr>
        <w:pStyle w:val="ListParagraph"/>
        <w:numPr>
          <w:ilvl w:val="0"/>
          <w:numId w:val="32"/>
        </w:numPr>
        <w:spacing w:before="60" w:after="160" w:line="259" w:lineRule="auto"/>
        <w:rPr>
          <w:rFonts w:ascii="Calibri" w:hAnsi="Calibri" w:cs="Calibri"/>
          <w:color w:val="000000" w:themeColor="text1"/>
        </w:rPr>
      </w:pPr>
      <w:r w:rsidRPr="00073666">
        <w:rPr>
          <w:rFonts w:ascii="Calibri" w:hAnsi="Calibri" w:cs="Calibri"/>
          <w:color w:val="000000" w:themeColor="text1"/>
        </w:rPr>
        <w:t xml:space="preserve">Sensitivity, specificity, positive predictive value (PPV) and negative predictive value (NPV) of </w:t>
      </w:r>
      <w:proofErr w:type="spellStart"/>
      <w:r w:rsidRPr="00073666">
        <w:rPr>
          <w:rFonts w:ascii="Calibri" w:hAnsi="Calibri" w:cs="Calibri"/>
          <w:color w:val="000000" w:themeColor="text1"/>
        </w:rPr>
        <w:t>AspLFD</w:t>
      </w:r>
      <w:proofErr w:type="spellEnd"/>
    </w:p>
    <w:p w14:paraId="279429EB" w14:textId="3D82C676" w:rsidR="00430C7D" w:rsidRPr="00073666" w:rsidRDefault="00430C7D" w:rsidP="00430C7D">
      <w:pPr>
        <w:spacing w:after="160" w:line="259" w:lineRule="auto"/>
        <w:rPr>
          <w:rFonts w:ascii="Calibri" w:hAnsi="Calibri" w:cs="Calibri"/>
          <w:b/>
          <w:color w:val="000000" w:themeColor="text1"/>
        </w:rPr>
      </w:pPr>
      <w:r w:rsidRPr="00073666">
        <w:rPr>
          <w:rFonts w:ascii="Calibri" w:hAnsi="Calibri" w:cs="Calibri"/>
          <w:b/>
          <w:color w:val="000000" w:themeColor="text1"/>
        </w:rPr>
        <w:t>Sub-studies:</w:t>
      </w:r>
    </w:p>
    <w:p w14:paraId="1657F364" w14:textId="29A676FD" w:rsidR="00A53D11" w:rsidRPr="00073666" w:rsidRDefault="00814E86" w:rsidP="00814E86">
      <w:pPr>
        <w:pStyle w:val="ListParagraph"/>
        <w:numPr>
          <w:ilvl w:val="0"/>
          <w:numId w:val="32"/>
        </w:numPr>
        <w:spacing w:before="60" w:after="160" w:line="259" w:lineRule="auto"/>
        <w:rPr>
          <w:rFonts w:ascii="Calibri" w:hAnsi="Calibri" w:cs="Calibri"/>
          <w:color w:val="000000" w:themeColor="text1"/>
        </w:rPr>
      </w:pPr>
      <w:r w:rsidRPr="00073666">
        <w:rPr>
          <w:rFonts w:ascii="Calibri" w:hAnsi="Calibri" w:cs="Calibri"/>
          <w:i/>
          <w:color w:val="000000" w:themeColor="text1"/>
        </w:rPr>
        <w:t>E</w:t>
      </w:r>
      <w:r w:rsidR="00A53D11" w:rsidRPr="00073666">
        <w:rPr>
          <w:rFonts w:ascii="Calibri" w:hAnsi="Calibri" w:cs="Calibri"/>
          <w:i/>
          <w:color w:val="000000" w:themeColor="text1"/>
        </w:rPr>
        <w:t>x vivo</w:t>
      </w:r>
      <w:r w:rsidR="00A53D11" w:rsidRPr="00073666">
        <w:rPr>
          <w:rFonts w:ascii="Calibri" w:hAnsi="Calibri" w:cs="Calibri"/>
          <w:color w:val="000000" w:themeColor="text1"/>
        </w:rPr>
        <w:t xml:space="preserve"> PBMC analysis, measurement of serum and bronchoalveolar lavage (BAL) cytokines/ chemokines and targeted immune gene sequencing</w:t>
      </w:r>
    </w:p>
    <w:tbl>
      <w:tblPr>
        <w:tblW w:w="9498" w:type="dxa"/>
        <w:tblLook w:val="04A0" w:firstRow="1" w:lastRow="0" w:firstColumn="1" w:lastColumn="0" w:noHBand="0" w:noVBand="1"/>
      </w:tblPr>
      <w:tblGrid>
        <w:gridCol w:w="1185"/>
        <w:gridCol w:w="8313"/>
      </w:tblGrid>
      <w:tr w:rsidR="00B468ED" w:rsidRPr="00073666" w14:paraId="5A4DA3C0" w14:textId="77777777" w:rsidTr="00B468ED">
        <w:trPr>
          <w:trHeight w:val="280"/>
        </w:trPr>
        <w:tc>
          <w:tcPr>
            <w:tcW w:w="9498" w:type="dxa"/>
            <w:gridSpan w:val="2"/>
            <w:tcBorders>
              <w:top w:val="nil"/>
              <w:left w:val="nil"/>
              <w:bottom w:val="single" w:sz="4" w:space="0" w:color="auto"/>
              <w:right w:val="nil"/>
            </w:tcBorders>
            <w:shd w:val="clear" w:color="auto" w:fill="auto"/>
            <w:vAlign w:val="center"/>
            <w:hideMark/>
          </w:tcPr>
          <w:p w14:paraId="161D0A46" w14:textId="13F052E7" w:rsidR="00B468ED" w:rsidRPr="00073666" w:rsidRDefault="00B468ED" w:rsidP="00B468ED">
            <w:pPr>
              <w:rPr>
                <w:rFonts w:ascii="Calibri" w:hAnsi="Calibri" w:cs="Calibri"/>
                <w:b/>
                <w:bCs/>
                <w:color w:val="000000"/>
                <w:sz w:val="16"/>
                <w:szCs w:val="16"/>
              </w:rPr>
            </w:pPr>
            <w:r w:rsidRPr="00073666">
              <w:rPr>
                <w:rFonts w:ascii="Calibri" w:hAnsi="Calibri" w:cs="Calibri"/>
                <w:b/>
                <w:bCs/>
                <w:color w:val="000000"/>
                <w:sz w:val="16"/>
                <w:szCs w:val="16"/>
              </w:rPr>
              <w:t xml:space="preserve">Table 2. </w:t>
            </w:r>
            <w:proofErr w:type="spellStart"/>
            <w:r w:rsidRPr="00073666">
              <w:rPr>
                <w:rFonts w:ascii="Calibri" w:hAnsi="Calibri" w:cs="Calibri"/>
                <w:b/>
                <w:bCs/>
                <w:color w:val="000000"/>
                <w:sz w:val="16"/>
                <w:szCs w:val="16"/>
              </w:rPr>
              <w:t>AspiFlu</w:t>
            </w:r>
            <w:proofErr w:type="spellEnd"/>
            <w:r w:rsidRPr="00073666">
              <w:rPr>
                <w:rFonts w:ascii="Calibri" w:hAnsi="Calibri" w:cs="Calibri"/>
                <w:b/>
                <w:bCs/>
                <w:color w:val="000000"/>
                <w:sz w:val="16"/>
                <w:szCs w:val="16"/>
              </w:rPr>
              <w:t xml:space="preserve"> Study Definitions of Invasive Aspergillosis (IA)</w:t>
            </w:r>
          </w:p>
        </w:tc>
      </w:tr>
      <w:tr w:rsidR="00427FF2" w:rsidRPr="00073666" w14:paraId="2DAA9957" w14:textId="77777777" w:rsidTr="00427FF2">
        <w:trPr>
          <w:trHeight w:val="280"/>
        </w:trPr>
        <w:tc>
          <w:tcPr>
            <w:tcW w:w="1185" w:type="dxa"/>
            <w:tcBorders>
              <w:top w:val="nil"/>
              <w:left w:val="nil"/>
              <w:bottom w:val="single" w:sz="4" w:space="0" w:color="auto"/>
              <w:right w:val="nil"/>
            </w:tcBorders>
            <w:shd w:val="clear" w:color="auto" w:fill="auto"/>
            <w:vAlign w:val="center"/>
            <w:hideMark/>
          </w:tcPr>
          <w:p w14:paraId="5D878E27" w14:textId="77777777" w:rsidR="00427FF2" w:rsidRPr="00073666" w:rsidRDefault="00427FF2" w:rsidP="00B468ED">
            <w:pPr>
              <w:rPr>
                <w:rFonts w:ascii="Calibri" w:hAnsi="Calibri" w:cs="Calibri"/>
                <w:b/>
                <w:bCs/>
                <w:color w:val="000000"/>
                <w:sz w:val="16"/>
                <w:szCs w:val="16"/>
              </w:rPr>
            </w:pPr>
            <w:r w:rsidRPr="00073666">
              <w:rPr>
                <w:rFonts w:ascii="Calibri" w:hAnsi="Calibri" w:cs="Calibri"/>
                <w:b/>
                <w:bCs/>
                <w:color w:val="000000"/>
                <w:sz w:val="16"/>
                <w:szCs w:val="16"/>
              </w:rPr>
              <w:t>Proven</w:t>
            </w:r>
          </w:p>
        </w:tc>
        <w:tc>
          <w:tcPr>
            <w:tcW w:w="8313" w:type="dxa"/>
            <w:tcBorders>
              <w:top w:val="nil"/>
              <w:left w:val="nil"/>
              <w:bottom w:val="single" w:sz="4" w:space="0" w:color="auto"/>
              <w:right w:val="nil"/>
            </w:tcBorders>
            <w:shd w:val="clear" w:color="auto" w:fill="auto"/>
            <w:vAlign w:val="center"/>
            <w:hideMark/>
          </w:tcPr>
          <w:p w14:paraId="34654F93" w14:textId="4EC0B26C" w:rsidR="00427FF2" w:rsidRPr="00073666" w:rsidRDefault="00427FF2" w:rsidP="00B468ED">
            <w:pPr>
              <w:rPr>
                <w:rFonts w:ascii="Calibri" w:hAnsi="Calibri" w:cs="Calibri"/>
                <w:b/>
                <w:bCs/>
                <w:color w:val="000000"/>
                <w:sz w:val="16"/>
                <w:szCs w:val="16"/>
              </w:rPr>
            </w:pPr>
            <w:r w:rsidRPr="00073666">
              <w:rPr>
                <w:rFonts w:ascii="Calibri" w:hAnsi="Calibri" w:cs="Calibri"/>
                <w:b/>
                <w:bCs/>
                <w:color w:val="000000"/>
                <w:sz w:val="16"/>
                <w:szCs w:val="16"/>
              </w:rPr>
              <w:t>As per EORTC/MSG, any one of</w:t>
            </w:r>
          </w:p>
        </w:tc>
      </w:tr>
      <w:tr w:rsidR="00427FF2" w:rsidRPr="00073666" w14:paraId="09A6E9D7" w14:textId="77777777" w:rsidTr="00427FF2">
        <w:trPr>
          <w:trHeight w:val="720"/>
        </w:trPr>
        <w:tc>
          <w:tcPr>
            <w:tcW w:w="1185" w:type="dxa"/>
            <w:tcBorders>
              <w:top w:val="nil"/>
              <w:left w:val="nil"/>
              <w:bottom w:val="nil"/>
              <w:right w:val="nil"/>
            </w:tcBorders>
            <w:shd w:val="clear" w:color="auto" w:fill="auto"/>
            <w:vAlign w:val="center"/>
            <w:hideMark/>
          </w:tcPr>
          <w:p w14:paraId="0B2AD998"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05EA540B" w14:textId="1405E012" w:rsidR="00427FF2" w:rsidRPr="00073666" w:rsidRDefault="00427FF2" w:rsidP="00427FF2">
            <w:pPr>
              <w:rPr>
                <w:rFonts w:ascii="Calibri" w:hAnsi="Calibri" w:cs="Calibri"/>
                <w:sz w:val="20"/>
                <w:szCs w:val="20"/>
              </w:rPr>
            </w:pPr>
            <w:r w:rsidRPr="00073666">
              <w:rPr>
                <w:rFonts w:ascii="Calibri" w:hAnsi="Calibri" w:cs="Calibri"/>
                <w:color w:val="000000"/>
                <w:sz w:val="16"/>
                <w:szCs w:val="16"/>
              </w:rPr>
              <w:t xml:space="preserve"> Histopathologic, cytopathologic, or direct microscopic evidence of </w:t>
            </w:r>
            <w:r w:rsidRPr="00073666">
              <w:rPr>
                <w:rFonts w:ascii="Calibri" w:hAnsi="Calibri" w:cs="Calibri"/>
                <w:i/>
                <w:iCs/>
                <w:color w:val="000000"/>
                <w:sz w:val="16"/>
                <w:szCs w:val="16"/>
              </w:rPr>
              <w:t>Aspergillus</w:t>
            </w:r>
            <w:r w:rsidRPr="00073666">
              <w:rPr>
                <w:rFonts w:ascii="Calibri" w:hAnsi="Calibri" w:cs="Calibri"/>
                <w:color w:val="000000"/>
                <w:sz w:val="16"/>
                <w:szCs w:val="16"/>
              </w:rPr>
              <w:t xml:space="preserve"> hyphae accompanied by tissue damage in a pulmonary specimen</w:t>
            </w:r>
          </w:p>
        </w:tc>
      </w:tr>
      <w:tr w:rsidR="00427FF2" w:rsidRPr="00073666" w14:paraId="014DD28D" w14:textId="77777777" w:rsidTr="00427FF2">
        <w:trPr>
          <w:trHeight w:val="480"/>
        </w:trPr>
        <w:tc>
          <w:tcPr>
            <w:tcW w:w="1185" w:type="dxa"/>
            <w:tcBorders>
              <w:top w:val="nil"/>
              <w:left w:val="nil"/>
              <w:bottom w:val="nil"/>
              <w:right w:val="nil"/>
            </w:tcBorders>
            <w:shd w:val="clear" w:color="auto" w:fill="auto"/>
            <w:vAlign w:val="center"/>
            <w:hideMark/>
          </w:tcPr>
          <w:p w14:paraId="2DF59D5E"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42A2F996" w14:textId="4071C7F7" w:rsidR="00427FF2" w:rsidRPr="00073666" w:rsidRDefault="00427FF2" w:rsidP="00427FF2">
            <w:pPr>
              <w:rPr>
                <w:rFonts w:ascii="Calibri" w:hAnsi="Calibri" w:cs="Calibri"/>
                <w:sz w:val="20"/>
                <w:szCs w:val="20"/>
              </w:rPr>
            </w:pPr>
            <w:r w:rsidRPr="00073666">
              <w:rPr>
                <w:rFonts w:ascii="Calibri" w:hAnsi="Calibri" w:cs="Calibri"/>
                <w:color w:val="000000"/>
                <w:sz w:val="16"/>
                <w:szCs w:val="16"/>
              </w:rPr>
              <w:t xml:space="preserve">Positive </w:t>
            </w:r>
            <w:r w:rsidRPr="00073666">
              <w:rPr>
                <w:rFonts w:ascii="Calibri" w:hAnsi="Calibri" w:cs="Calibri"/>
                <w:i/>
                <w:iCs/>
                <w:color w:val="000000"/>
                <w:sz w:val="16"/>
                <w:szCs w:val="16"/>
              </w:rPr>
              <w:t xml:space="preserve">Aspergillus </w:t>
            </w:r>
            <w:r w:rsidRPr="00073666">
              <w:rPr>
                <w:rFonts w:ascii="Calibri" w:hAnsi="Calibri" w:cs="Calibri"/>
                <w:color w:val="000000"/>
                <w:sz w:val="16"/>
                <w:szCs w:val="16"/>
              </w:rPr>
              <w:t>culture from a lung biopsy taken from a clinically or radiologically abnormal site consistent with an infectious disease process</w:t>
            </w:r>
          </w:p>
        </w:tc>
      </w:tr>
      <w:tr w:rsidR="00427FF2" w:rsidRPr="00073666" w14:paraId="32642BC8" w14:textId="77777777" w:rsidTr="00427FF2">
        <w:trPr>
          <w:trHeight w:val="280"/>
        </w:trPr>
        <w:tc>
          <w:tcPr>
            <w:tcW w:w="1185" w:type="dxa"/>
            <w:tcBorders>
              <w:top w:val="nil"/>
              <w:left w:val="nil"/>
              <w:bottom w:val="nil"/>
              <w:right w:val="nil"/>
            </w:tcBorders>
            <w:shd w:val="clear" w:color="auto" w:fill="auto"/>
            <w:vAlign w:val="center"/>
            <w:hideMark/>
          </w:tcPr>
          <w:p w14:paraId="7AF796A0"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075A6869" w14:textId="681115C3" w:rsidR="00427FF2" w:rsidRPr="00073666" w:rsidRDefault="00427FF2" w:rsidP="00427FF2">
            <w:pPr>
              <w:rPr>
                <w:rFonts w:ascii="Calibri" w:hAnsi="Calibri" w:cs="Calibri"/>
                <w:sz w:val="20"/>
                <w:szCs w:val="20"/>
              </w:rPr>
            </w:pPr>
            <w:r w:rsidRPr="00073666">
              <w:rPr>
                <w:rFonts w:ascii="Calibri" w:hAnsi="Calibri" w:cs="Calibri"/>
                <w:color w:val="000000"/>
                <w:sz w:val="16"/>
                <w:szCs w:val="16"/>
              </w:rPr>
              <w:t xml:space="preserve">Positive </w:t>
            </w:r>
            <w:r w:rsidRPr="00073666">
              <w:rPr>
                <w:rFonts w:ascii="Calibri" w:hAnsi="Calibri" w:cs="Calibri"/>
                <w:i/>
                <w:iCs/>
                <w:color w:val="000000"/>
                <w:sz w:val="16"/>
                <w:szCs w:val="16"/>
              </w:rPr>
              <w:t>Aspergillus</w:t>
            </w:r>
            <w:r w:rsidRPr="00073666">
              <w:rPr>
                <w:rFonts w:ascii="Calibri" w:hAnsi="Calibri" w:cs="Calibri"/>
                <w:color w:val="000000"/>
                <w:sz w:val="16"/>
                <w:szCs w:val="16"/>
              </w:rPr>
              <w:t xml:space="preserve"> blood culture in the context of a compatible infectious disease process</w:t>
            </w:r>
          </w:p>
        </w:tc>
      </w:tr>
      <w:tr w:rsidR="00427FF2" w:rsidRPr="00073666" w14:paraId="52DC3240" w14:textId="77777777" w:rsidTr="00427FF2">
        <w:trPr>
          <w:trHeight w:val="280"/>
        </w:trPr>
        <w:tc>
          <w:tcPr>
            <w:tcW w:w="1185" w:type="dxa"/>
            <w:tcBorders>
              <w:top w:val="nil"/>
              <w:left w:val="nil"/>
              <w:bottom w:val="nil"/>
              <w:right w:val="nil"/>
            </w:tcBorders>
            <w:shd w:val="clear" w:color="auto" w:fill="auto"/>
            <w:vAlign w:val="center"/>
          </w:tcPr>
          <w:p w14:paraId="70A69A05"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tcPr>
          <w:p w14:paraId="426FB76A" w14:textId="77777777" w:rsidR="00427FF2" w:rsidRPr="00073666" w:rsidRDefault="00427FF2" w:rsidP="00427FF2">
            <w:pPr>
              <w:rPr>
                <w:rFonts w:ascii="Calibri" w:hAnsi="Calibri" w:cs="Calibri"/>
                <w:color w:val="000000"/>
                <w:sz w:val="16"/>
                <w:szCs w:val="16"/>
              </w:rPr>
            </w:pPr>
          </w:p>
        </w:tc>
      </w:tr>
      <w:tr w:rsidR="00427FF2" w:rsidRPr="00073666" w14:paraId="0426E227" w14:textId="77777777" w:rsidTr="00427FF2">
        <w:trPr>
          <w:trHeight w:val="280"/>
        </w:trPr>
        <w:tc>
          <w:tcPr>
            <w:tcW w:w="1185" w:type="dxa"/>
            <w:tcBorders>
              <w:top w:val="nil"/>
              <w:left w:val="nil"/>
              <w:bottom w:val="single" w:sz="4" w:space="0" w:color="auto"/>
              <w:right w:val="nil"/>
            </w:tcBorders>
            <w:shd w:val="clear" w:color="auto" w:fill="auto"/>
            <w:vAlign w:val="center"/>
            <w:hideMark/>
          </w:tcPr>
          <w:p w14:paraId="2AA1C45B" w14:textId="77777777" w:rsidR="00427FF2" w:rsidRPr="00073666" w:rsidRDefault="00427FF2" w:rsidP="00427FF2">
            <w:pPr>
              <w:rPr>
                <w:rFonts w:ascii="Calibri" w:hAnsi="Calibri" w:cs="Calibri"/>
                <w:b/>
                <w:bCs/>
                <w:color w:val="000000"/>
                <w:sz w:val="16"/>
                <w:szCs w:val="16"/>
              </w:rPr>
            </w:pPr>
            <w:r w:rsidRPr="00073666">
              <w:rPr>
                <w:rFonts w:ascii="Calibri" w:hAnsi="Calibri" w:cs="Calibri"/>
                <w:b/>
                <w:bCs/>
                <w:color w:val="000000"/>
                <w:sz w:val="16"/>
                <w:szCs w:val="16"/>
              </w:rPr>
              <w:t xml:space="preserve">Putative </w:t>
            </w:r>
          </w:p>
        </w:tc>
        <w:tc>
          <w:tcPr>
            <w:tcW w:w="8313" w:type="dxa"/>
            <w:tcBorders>
              <w:top w:val="nil"/>
              <w:left w:val="nil"/>
              <w:bottom w:val="single" w:sz="4" w:space="0" w:color="auto"/>
              <w:right w:val="nil"/>
            </w:tcBorders>
            <w:shd w:val="clear" w:color="auto" w:fill="auto"/>
            <w:vAlign w:val="center"/>
            <w:hideMark/>
          </w:tcPr>
          <w:p w14:paraId="1AF6ABBB" w14:textId="6C5B1E7B" w:rsidR="00427FF2" w:rsidRPr="00073666" w:rsidRDefault="00427FF2" w:rsidP="00427FF2">
            <w:pPr>
              <w:rPr>
                <w:rFonts w:ascii="Calibri" w:hAnsi="Calibri" w:cs="Calibri"/>
                <w:b/>
                <w:bCs/>
                <w:color w:val="000000"/>
                <w:sz w:val="16"/>
                <w:szCs w:val="16"/>
              </w:rPr>
            </w:pPr>
            <w:r w:rsidRPr="00073666">
              <w:rPr>
                <w:rFonts w:ascii="Calibri" w:hAnsi="Calibri" w:cs="Calibri"/>
                <w:b/>
                <w:bCs/>
                <w:color w:val="000000"/>
                <w:sz w:val="16"/>
                <w:szCs w:val="16"/>
              </w:rPr>
              <w:t>At least one clinical + radiological + mycological criterion</w:t>
            </w:r>
            <w:r w:rsidR="00342C06" w:rsidRPr="00073666">
              <w:rPr>
                <w:rFonts w:ascii="Calibri" w:hAnsi="Calibri" w:cs="Calibri"/>
                <w:b/>
                <w:bCs/>
                <w:color w:val="000000"/>
                <w:sz w:val="16"/>
                <w:szCs w:val="16"/>
              </w:rPr>
              <w:t xml:space="preserve"> OR </w:t>
            </w:r>
            <w:r w:rsidR="00342C06" w:rsidRPr="00073666">
              <w:rPr>
                <w:rFonts w:ascii="Calibri" w:hAnsi="Calibri" w:cs="Calibri"/>
                <w:b/>
                <w:iCs/>
                <w:color w:val="000000"/>
                <w:sz w:val="16"/>
                <w:szCs w:val="16"/>
              </w:rPr>
              <w:t>Tracheobronchitis +</w:t>
            </w:r>
            <w:r w:rsidR="00342C06" w:rsidRPr="00073666">
              <w:rPr>
                <w:rFonts w:ascii="Calibri" w:hAnsi="Calibri" w:cs="Calibri"/>
                <w:b/>
                <w:bCs/>
                <w:color w:val="000000"/>
                <w:sz w:val="16"/>
                <w:szCs w:val="16"/>
              </w:rPr>
              <w:t xml:space="preserve"> at least one mycological criterion</w:t>
            </w:r>
          </w:p>
        </w:tc>
      </w:tr>
      <w:tr w:rsidR="00427FF2" w:rsidRPr="00073666" w14:paraId="3E8A0E94" w14:textId="77777777" w:rsidTr="00427FF2">
        <w:trPr>
          <w:trHeight w:val="280"/>
        </w:trPr>
        <w:tc>
          <w:tcPr>
            <w:tcW w:w="1185" w:type="dxa"/>
            <w:tcBorders>
              <w:top w:val="nil"/>
              <w:left w:val="nil"/>
              <w:bottom w:val="nil"/>
              <w:right w:val="nil"/>
            </w:tcBorders>
            <w:shd w:val="clear" w:color="auto" w:fill="auto"/>
            <w:vAlign w:val="center"/>
            <w:hideMark/>
          </w:tcPr>
          <w:p w14:paraId="1C6A9964"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408B640D" w14:textId="77777777" w:rsidR="00427FF2" w:rsidRPr="00073666" w:rsidRDefault="00427FF2" w:rsidP="00427FF2">
            <w:pPr>
              <w:rPr>
                <w:rFonts w:ascii="Calibri" w:hAnsi="Calibri" w:cs="Calibri"/>
                <w:b/>
                <w:bCs/>
                <w:color w:val="000000"/>
                <w:sz w:val="16"/>
                <w:szCs w:val="16"/>
              </w:rPr>
            </w:pPr>
            <w:r w:rsidRPr="00073666">
              <w:rPr>
                <w:rFonts w:ascii="Calibri" w:hAnsi="Calibri" w:cs="Calibri"/>
                <w:b/>
                <w:bCs/>
                <w:color w:val="000000"/>
                <w:sz w:val="16"/>
                <w:szCs w:val="16"/>
              </w:rPr>
              <w:t>Clinical</w:t>
            </w:r>
          </w:p>
        </w:tc>
      </w:tr>
      <w:tr w:rsidR="00427FF2" w:rsidRPr="00073666" w14:paraId="4923F11C" w14:textId="77777777" w:rsidTr="00427FF2">
        <w:trPr>
          <w:trHeight w:val="500"/>
        </w:trPr>
        <w:tc>
          <w:tcPr>
            <w:tcW w:w="1185" w:type="dxa"/>
            <w:tcBorders>
              <w:top w:val="nil"/>
              <w:left w:val="nil"/>
              <w:bottom w:val="nil"/>
              <w:right w:val="nil"/>
            </w:tcBorders>
            <w:shd w:val="clear" w:color="auto" w:fill="auto"/>
            <w:vAlign w:val="center"/>
            <w:hideMark/>
          </w:tcPr>
          <w:p w14:paraId="6568EBB3"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052720DA" w14:textId="77777777" w:rsidR="00427FF2" w:rsidRPr="00073666" w:rsidRDefault="00427FF2" w:rsidP="00427FF2">
            <w:pPr>
              <w:rPr>
                <w:rFonts w:ascii="Calibri" w:hAnsi="Calibri" w:cs="Calibri"/>
                <w:color w:val="000000"/>
                <w:sz w:val="16"/>
                <w:szCs w:val="16"/>
              </w:rPr>
            </w:pPr>
            <w:r w:rsidRPr="00073666">
              <w:rPr>
                <w:rFonts w:ascii="Calibri" w:hAnsi="Calibri" w:cs="Calibri"/>
                <w:color w:val="000000"/>
                <w:sz w:val="16"/>
                <w:szCs w:val="16"/>
              </w:rPr>
              <w:t>Fever refractory to at least 3 days of appropriate antibiotic therapy</w:t>
            </w:r>
          </w:p>
        </w:tc>
      </w:tr>
      <w:tr w:rsidR="00427FF2" w:rsidRPr="00073666" w14:paraId="2763C785" w14:textId="77777777" w:rsidTr="00427FF2">
        <w:trPr>
          <w:trHeight w:val="480"/>
        </w:trPr>
        <w:tc>
          <w:tcPr>
            <w:tcW w:w="1185" w:type="dxa"/>
            <w:tcBorders>
              <w:top w:val="nil"/>
              <w:left w:val="nil"/>
              <w:bottom w:val="nil"/>
              <w:right w:val="nil"/>
            </w:tcBorders>
            <w:shd w:val="clear" w:color="auto" w:fill="auto"/>
            <w:vAlign w:val="center"/>
            <w:hideMark/>
          </w:tcPr>
          <w:p w14:paraId="6DF63E55"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1AC23479" w14:textId="77777777" w:rsidR="00427FF2" w:rsidRPr="00073666" w:rsidRDefault="00427FF2" w:rsidP="00427FF2">
            <w:pPr>
              <w:rPr>
                <w:rFonts w:ascii="Calibri" w:hAnsi="Calibri" w:cs="Calibri"/>
                <w:color w:val="000000"/>
                <w:sz w:val="16"/>
                <w:szCs w:val="16"/>
              </w:rPr>
            </w:pPr>
            <w:r w:rsidRPr="00073666">
              <w:rPr>
                <w:rFonts w:ascii="Calibri" w:hAnsi="Calibri" w:cs="Calibri"/>
                <w:color w:val="000000"/>
                <w:sz w:val="16"/>
                <w:szCs w:val="16"/>
              </w:rPr>
              <w:t xml:space="preserve">Recrudescent fever after a period of </w:t>
            </w:r>
            <w:proofErr w:type="spellStart"/>
            <w:r w:rsidRPr="00073666">
              <w:rPr>
                <w:rFonts w:ascii="Calibri" w:hAnsi="Calibri" w:cs="Calibri"/>
                <w:color w:val="000000"/>
                <w:sz w:val="16"/>
                <w:szCs w:val="16"/>
              </w:rPr>
              <w:t>defervescence</w:t>
            </w:r>
            <w:proofErr w:type="spellEnd"/>
            <w:r w:rsidRPr="00073666">
              <w:rPr>
                <w:rFonts w:ascii="Calibri" w:hAnsi="Calibri" w:cs="Calibri"/>
                <w:color w:val="000000"/>
                <w:sz w:val="16"/>
                <w:szCs w:val="16"/>
              </w:rPr>
              <w:t xml:space="preserve"> of at least 48 h while still on antibiotics and without other apparent cause</w:t>
            </w:r>
          </w:p>
        </w:tc>
      </w:tr>
      <w:tr w:rsidR="00427FF2" w:rsidRPr="00073666" w14:paraId="392550FF" w14:textId="77777777" w:rsidTr="00427FF2">
        <w:trPr>
          <w:trHeight w:val="480"/>
        </w:trPr>
        <w:tc>
          <w:tcPr>
            <w:tcW w:w="1185" w:type="dxa"/>
            <w:tcBorders>
              <w:top w:val="nil"/>
              <w:left w:val="nil"/>
              <w:bottom w:val="nil"/>
              <w:right w:val="nil"/>
            </w:tcBorders>
            <w:shd w:val="clear" w:color="auto" w:fill="auto"/>
            <w:vAlign w:val="center"/>
            <w:hideMark/>
          </w:tcPr>
          <w:p w14:paraId="13D884B1"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74674740" w14:textId="77777777" w:rsidR="00427FF2" w:rsidRPr="00073666" w:rsidRDefault="00427FF2" w:rsidP="00427FF2">
            <w:pPr>
              <w:rPr>
                <w:rFonts w:ascii="Calibri" w:hAnsi="Calibri" w:cs="Calibri"/>
                <w:color w:val="000000"/>
                <w:sz w:val="16"/>
                <w:szCs w:val="16"/>
              </w:rPr>
            </w:pPr>
            <w:r w:rsidRPr="00073666">
              <w:rPr>
                <w:rFonts w:ascii="Calibri" w:hAnsi="Calibri" w:cs="Calibri"/>
                <w:color w:val="000000"/>
                <w:sz w:val="16"/>
                <w:szCs w:val="16"/>
              </w:rPr>
              <w:t>Dyspnoea</w:t>
            </w:r>
          </w:p>
        </w:tc>
      </w:tr>
      <w:tr w:rsidR="00427FF2" w:rsidRPr="00073666" w14:paraId="41A58766" w14:textId="77777777" w:rsidTr="00427FF2">
        <w:trPr>
          <w:trHeight w:val="720"/>
        </w:trPr>
        <w:tc>
          <w:tcPr>
            <w:tcW w:w="1185" w:type="dxa"/>
            <w:tcBorders>
              <w:top w:val="nil"/>
              <w:left w:val="nil"/>
              <w:bottom w:val="nil"/>
              <w:right w:val="nil"/>
            </w:tcBorders>
            <w:shd w:val="clear" w:color="auto" w:fill="auto"/>
            <w:vAlign w:val="center"/>
            <w:hideMark/>
          </w:tcPr>
          <w:p w14:paraId="392AF6D5"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404C13EF" w14:textId="77777777" w:rsidR="00427FF2" w:rsidRPr="00073666" w:rsidRDefault="00427FF2" w:rsidP="00427FF2">
            <w:pPr>
              <w:rPr>
                <w:rFonts w:ascii="Calibri" w:hAnsi="Calibri" w:cs="Calibri"/>
                <w:color w:val="000000"/>
                <w:sz w:val="16"/>
                <w:szCs w:val="16"/>
              </w:rPr>
            </w:pPr>
            <w:r w:rsidRPr="00073666">
              <w:rPr>
                <w:rFonts w:ascii="Calibri" w:hAnsi="Calibri" w:cs="Calibri"/>
                <w:color w:val="000000"/>
                <w:sz w:val="16"/>
                <w:szCs w:val="16"/>
              </w:rPr>
              <w:t>Haemoptysis</w:t>
            </w:r>
          </w:p>
        </w:tc>
      </w:tr>
      <w:tr w:rsidR="00427FF2" w:rsidRPr="00073666" w14:paraId="628F8CAF" w14:textId="77777777" w:rsidTr="00427FF2">
        <w:trPr>
          <w:trHeight w:val="480"/>
        </w:trPr>
        <w:tc>
          <w:tcPr>
            <w:tcW w:w="1185" w:type="dxa"/>
            <w:tcBorders>
              <w:top w:val="nil"/>
              <w:left w:val="nil"/>
              <w:bottom w:val="nil"/>
              <w:right w:val="nil"/>
            </w:tcBorders>
            <w:shd w:val="clear" w:color="auto" w:fill="auto"/>
            <w:vAlign w:val="center"/>
            <w:hideMark/>
          </w:tcPr>
          <w:p w14:paraId="44485EEF"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276ED935" w14:textId="77777777" w:rsidR="00427FF2" w:rsidRPr="00073666" w:rsidRDefault="00427FF2" w:rsidP="00427FF2">
            <w:pPr>
              <w:rPr>
                <w:rFonts w:ascii="Calibri" w:hAnsi="Calibri" w:cs="Calibri"/>
                <w:color w:val="000000"/>
                <w:sz w:val="16"/>
                <w:szCs w:val="16"/>
              </w:rPr>
            </w:pPr>
            <w:r w:rsidRPr="00073666">
              <w:rPr>
                <w:rFonts w:ascii="Calibri" w:hAnsi="Calibri" w:cs="Calibri"/>
                <w:color w:val="000000"/>
                <w:sz w:val="16"/>
                <w:szCs w:val="16"/>
              </w:rPr>
              <w:t xml:space="preserve">Pleural friction </w:t>
            </w:r>
            <w:proofErr w:type="gramStart"/>
            <w:r w:rsidRPr="00073666">
              <w:rPr>
                <w:rFonts w:ascii="Calibri" w:hAnsi="Calibri" w:cs="Calibri"/>
                <w:color w:val="000000"/>
                <w:sz w:val="16"/>
                <w:szCs w:val="16"/>
              </w:rPr>
              <w:t>rub</w:t>
            </w:r>
            <w:proofErr w:type="gramEnd"/>
            <w:r w:rsidRPr="00073666">
              <w:rPr>
                <w:rFonts w:ascii="Calibri" w:hAnsi="Calibri" w:cs="Calibri"/>
                <w:color w:val="000000"/>
                <w:sz w:val="16"/>
                <w:szCs w:val="16"/>
              </w:rPr>
              <w:t xml:space="preserve"> or chest pain</w:t>
            </w:r>
          </w:p>
        </w:tc>
      </w:tr>
      <w:tr w:rsidR="00427FF2" w:rsidRPr="00073666" w14:paraId="4466C2A9" w14:textId="77777777" w:rsidTr="00427FF2">
        <w:trPr>
          <w:trHeight w:val="480"/>
        </w:trPr>
        <w:tc>
          <w:tcPr>
            <w:tcW w:w="1185" w:type="dxa"/>
            <w:tcBorders>
              <w:top w:val="nil"/>
              <w:left w:val="nil"/>
              <w:bottom w:val="nil"/>
              <w:right w:val="nil"/>
            </w:tcBorders>
            <w:shd w:val="clear" w:color="auto" w:fill="auto"/>
            <w:vAlign w:val="center"/>
            <w:hideMark/>
          </w:tcPr>
          <w:p w14:paraId="7B45C5B8"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3EBF1A75" w14:textId="77777777" w:rsidR="00427FF2" w:rsidRPr="00073666" w:rsidRDefault="00427FF2" w:rsidP="00427FF2">
            <w:pPr>
              <w:rPr>
                <w:rFonts w:ascii="Calibri" w:hAnsi="Calibri" w:cs="Calibri"/>
                <w:color w:val="000000"/>
                <w:sz w:val="16"/>
                <w:szCs w:val="16"/>
              </w:rPr>
            </w:pPr>
            <w:r w:rsidRPr="00073666">
              <w:rPr>
                <w:rFonts w:ascii="Calibri" w:hAnsi="Calibri" w:cs="Calibri"/>
                <w:color w:val="000000"/>
                <w:sz w:val="16"/>
                <w:szCs w:val="16"/>
              </w:rPr>
              <w:t>Worsening respiratory insufficiency in spite of appropriate antibiotic therapy and ventilator support.</w:t>
            </w:r>
          </w:p>
        </w:tc>
      </w:tr>
      <w:tr w:rsidR="00427FF2" w:rsidRPr="00073666" w14:paraId="60FC2063" w14:textId="77777777" w:rsidTr="00427FF2">
        <w:trPr>
          <w:trHeight w:val="280"/>
        </w:trPr>
        <w:tc>
          <w:tcPr>
            <w:tcW w:w="1185" w:type="dxa"/>
            <w:tcBorders>
              <w:top w:val="nil"/>
              <w:left w:val="nil"/>
              <w:bottom w:val="nil"/>
              <w:right w:val="nil"/>
            </w:tcBorders>
            <w:shd w:val="clear" w:color="auto" w:fill="auto"/>
            <w:vAlign w:val="center"/>
            <w:hideMark/>
          </w:tcPr>
          <w:p w14:paraId="32708776"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22097C8E" w14:textId="77777777" w:rsidR="00427FF2" w:rsidRPr="00073666" w:rsidRDefault="00427FF2" w:rsidP="00427FF2">
            <w:pPr>
              <w:rPr>
                <w:rFonts w:ascii="Calibri" w:hAnsi="Calibri" w:cs="Calibri"/>
                <w:b/>
                <w:bCs/>
                <w:color w:val="000000"/>
                <w:sz w:val="16"/>
                <w:szCs w:val="16"/>
              </w:rPr>
            </w:pPr>
            <w:r w:rsidRPr="00073666">
              <w:rPr>
                <w:rFonts w:ascii="Calibri" w:hAnsi="Calibri" w:cs="Calibri"/>
                <w:b/>
                <w:bCs/>
                <w:color w:val="000000"/>
                <w:sz w:val="16"/>
                <w:szCs w:val="16"/>
              </w:rPr>
              <w:t>Radiological</w:t>
            </w:r>
          </w:p>
        </w:tc>
      </w:tr>
      <w:tr w:rsidR="00427FF2" w:rsidRPr="00073666" w14:paraId="56E26D03" w14:textId="77777777" w:rsidTr="00427FF2">
        <w:trPr>
          <w:trHeight w:val="480"/>
        </w:trPr>
        <w:tc>
          <w:tcPr>
            <w:tcW w:w="1185" w:type="dxa"/>
            <w:tcBorders>
              <w:top w:val="nil"/>
              <w:left w:val="nil"/>
              <w:bottom w:val="nil"/>
              <w:right w:val="nil"/>
            </w:tcBorders>
            <w:shd w:val="clear" w:color="auto" w:fill="auto"/>
            <w:vAlign w:val="center"/>
            <w:hideMark/>
          </w:tcPr>
          <w:p w14:paraId="5F49DD7B" w14:textId="77777777" w:rsidR="00427FF2" w:rsidRPr="00073666" w:rsidRDefault="00427FF2" w:rsidP="00427FF2">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2FC29532" w14:textId="77777777" w:rsidR="00427FF2" w:rsidRPr="00073666" w:rsidRDefault="00427FF2" w:rsidP="00427FF2">
            <w:pPr>
              <w:rPr>
                <w:rFonts w:ascii="Calibri" w:hAnsi="Calibri" w:cs="Calibri"/>
                <w:color w:val="000000"/>
                <w:sz w:val="16"/>
                <w:szCs w:val="16"/>
              </w:rPr>
            </w:pPr>
            <w:r w:rsidRPr="00073666">
              <w:rPr>
                <w:rFonts w:ascii="Calibri" w:hAnsi="Calibri" w:cs="Calibri"/>
                <w:color w:val="000000"/>
                <w:sz w:val="16"/>
                <w:szCs w:val="16"/>
              </w:rPr>
              <w:t>Any infiltrate on pulmonary imaging by portable chest x-ray or CT scan of the lungs.</w:t>
            </w:r>
          </w:p>
        </w:tc>
      </w:tr>
      <w:tr w:rsidR="00342C06" w:rsidRPr="00073666" w14:paraId="1E4983FA" w14:textId="77777777" w:rsidTr="00427FF2">
        <w:trPr>
          <w:trHeight w:val="480"/>
        </w:trPr>
        <w:tc>
          <w:tcPr>
            <w:tcW w:w="1185" w:type="dxa"/>
            <w:tcBorders>
              <w:top w:val="nil"/>
              <w:left w:val="nil"/>
              <w:bottom w:val="nil"/>
              <w:right w:val="nil"/>
            </w:tcBorders>
            <w:shd w:val="clear" w:color="auto" w:fill="auto"/>
            <w:vAlign w:val="center"/>
          </w:tcPr>
          <w:p w14:paraId="495535D3" w14:textId="77777777" w:rsidR="00342C06" w:rsidRPr="00073666" w:rsidRDefault="00342C06" w:rsidP="00342C06">
            <w:pPr>
              <w:rPr>
                <w:rFonts w:ascii="Calibri" w:hAnsi="Calibri" w:cs="Calibri"/>
                <w:sz w:val="20"/>
                <w:szCs w:val="20"/>
              </w:rPr>
            </w:pPr>
          </w:p>
        </w:tc>
        <w:tc>
          <w:tcPr>
            <w:tcW w:w="8313" w:type="dxa"/>
            <w:tcBorders>
              <w:top w:val="nil"/>
              <w:left w:val="nil"/>
              <w:bottom w:val="nil"/>
              <w:right w:val="nil"/>
            </w:tcBorders>
            <w:shd w:val="clear" w:color="auto" w:fill="auto"/>
            <w:vAlign w:val="center"/>
          </w:tcPr>
          <w:p w14:paraId="64FECE9F" w14:textId="1E81439A" w:rsidR="00342C06" w:rsidRPr="00073666" w:rsidRDefault="00342C06" w:rsidP="00342C06">
            <w:pPr>
              <w:rPr>
                <w:rFonts w:ascii="Calibri" w:hAnsi="Calibri" w:cs="Calibri"/>
                <w:b/>
                <w:color w:val="000000"/>
                <w:sz w:val="16"/>
                <w:szCs w:val="16"/>
              </w:rPr>
            </w:pPr>
            <w:r w:rsidRPr="00073666">
              <w:rPr>
                <w:rFonts w:ascii="Calibri" w:hAnsi="Calibri" w:cs="Calibri"/>
                <w:b/>
                <w:iCs/>
                <w:color w:val="000000"/>
                <w:sz w:val="16"/>
                <w:szCs w:val="16"/>
              </w:rPr>
              <w:t>Tracheobronchitis</w:t>
            </w:r>
          </w:p>
        </w:tc>
      </w:tr>
      <w:tr w:rsidR="00342C06" w:rsidRPr="00073666" w14:paraId="2B4B2CBF" w14:textId="77777777" w:rsidTr="00427FF2">
        <w:trPr>
          <w:trHeight w:val="480"/>
        </w:trPr>
        <w:tc>
          <w:tcPr>
            <w:tcW w:w="1185" w:type="dxa"/>
            <w:tcBorders>
              <w:top w:val="nil"/>
              <w:left w:val="nil"/>
              <w:bottom w:val="nil"/>
              <w:right w:val="nil"/>
            </w:tcBorders>
            <w:shd w:val="clear" w:color="auto" w:fill="auto"/>
            <w:vAlign w:val="center"/>
          </w:tcPr>
          <w:p w14:paraId="770B3F5B" w14:textId="77777777" w:rsidR="00342C06" w:rsidRPr="00073666" w:rsidRDefault="00342C06" w:rsidP="00342C06">
            <w:pPr>
              <w:rPr>
                <w:rFonts w:ascii="Calibri" w:hAnsi="Calibri" w:cs="Calibri"/>
                <w:sz w:val="20"/>
                <w:szCs w:val="20"/>
              </w:rPr>
            </w:pPr>
          </w:p>
        </w:tc>
        <w:tc>
          <w:tcPr>
            <w:tcW w:w="8313" w:type="dxa"/>
            <w:tcBorders>
              <w:top w:val="nil"/>
              <w:left w:val="nil"/>
              <w:bottom w:val="nil"/>
              <w:right w:val="nil"/>
            </w:tcBorders>
            <w:shd w:val="clear" w:color="auto" w:fill="auto"/>
            <w:vAlign w:val="center"/>
          </w:tcPr>
          <w:p w14:paraId="058A722F" w14:textId="3953216C" w:rsidR="00342C06" w:rsidRPr="00073666" w:rsidRDefault="00342C06" w:rsidP="00342C06">
            <w:pPr>
              <w:rPr>
                <w:rFonts w:ascii="Calibri" w:hAnsi="Calibri" w:cs="Calibri"/>
                <w:b/>
                <w:iCs/>
                <w:color w:val="000000"/>
                <w:sz w:val="16"/>
                <w:szCs w:val="16"/>
              </w:rPr>
            </w:pPr>
            <w:r w:rsidRPr="00073666">
              <w:rPr>
                <w:rFonts w:ascii="Calibri" w:hAnsi="Calibri" w:cs="Calibri"/>
                <w:iCs/>
                <w:color w:val="000000"/>
                <w:sz w:val="16"/>
                <w:szCs w:val="16"/>
              </w:rPr>
              <w:t xml:space="preserve">Tracheobronchial ulceration, nodule, </w:t>
            </w:r>
            <w:proofErr w:type="spellStart"/>
            <w:r w:rsidRPr="00073666">
              <w:rPr>
                <w:rFonts w:ascii="Calibri" w:hAnsi="Calibri" w:cs="Calibri"/>
                <w:iCs/>
                <w:color w:val="000000"/>
                <w:sz w:val="16"/>
                <w:szCs w:val="16"/>
              </w:rPr>
              <w:t>pseudomembrane</w:t>
            </w:r>
            <w:proofErr w:type="spellEnd"/>
            <w:r w:rsidRPr="00073666">
              <w:rPr>
                <w:rFonts w:ascii="Calibri" w:hAnsi="Calibri" w:cs="Calibri"/>
                <w:iCs/>
                <w:color w:val="000000"/>
                <w:sz w:val="16"/>
                <w:szCs w:val="16"/>
              </w:rPr>
              <w:t xml:space="preserve">, plaque, or eschar seen on </w:t>
            </w:r>
            <w:proofErr w:type="spellStart"/>
            <w:r w:rsidRPr="00073666">
              <w:rPr>
                <w:rFonts w:ascii="Calibri" w:hAnsi="Calibri" w:cs="Calibri"/>
                <w:iCs/>
                <w:color w:val="000000"/>
                <w:sz w:val="16"/>
                <w:szCs w:val="16"/>
              </w:rPr>
              <w:t>bronchoscopic</w:t>
            </w:r>
            <w:proofErr w:type="spellEnd"/>
            <w:r w:rsidRPr="00073666">
              <w:rPr>
                <w:rFonts w:ascii="Calibri" w:hAnsi="Calibri" w:cs="Calibri"/>
                <w:iCs/>
                <w:color w:val="000000"/>
                <w:sz w:val="16"/>
                <w:szCs w:val="16"/>
              </w:rPr>
              <w:t xml:space="preserve"> analysis</w:t>
            </w:r>
          </w:p>
        </w:tc>
      </w:tr>
      <w:tr w:rsidR="00342C06" w:rsidRPr="00073666" w14:paraId="66CE90A1" w14:textId="77777777" w:rsidTr="00427FF2">
        <w:trPr>
          <w:trHeight w:val="280"/>
        </w:trPr>
        <w:tc>
          <w:tcPr>
            <w:tcW w:w="1185" w:type="dxa"/>
            <w:tcBorders>
              <w:top w:val="nil"/>
              <w:left w:val="nil"/>
              <w:bottom w:val="nil"/>
              <w:right w:val="nil"/>
            </w:tcBorders>
            <w:shd w:val="clear" w:color="auto" w:fill="auto"/>
            <w:vAlign w:val="center"/>
            <w:hideMark/>
          </w:tcPr>
          <w:p w14:paraId="4201E47A" w14:textId="77777777" w:rsidR="00342C06" w:rsidRPr="00073666" w:rsidRDefault="00342C06" w:rsidP="00342C06">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5DA6E5E6" w14:textId="77777777" w:rsidR="00342C06" w:rsidRPr="00073666" w:rsidRDefault="00342C06" w:rsidP="00342C06">
            <w:pPr>
              <w:rPr>
                <w:rFonts w:ascii="Calibri" w:hAnsi="Calibri" w:cs="Calibri"/>
                <w:b/>
                <w:bCs/>
                <w:color w:val="000000"/>
                <w:sz w:val="16"/>
                <w:szCs w:val="16"/>
              </w:rPr>
            </w:pPr>
            <w:r w:rsidRPr="00073666">
              <w:rPr>
                <w:rFonts w:ascii="Calibri" w:hAnsi="Calibri" w:cs="Calibri"/>
                <w:b/>
                <w:bCs/>
                <w:color w:val="000000"/>
                <w:sz w:val="16"/>
                <w:szCs w:val="16"/>
              </w:rPr>
              <w:t>Mycological</w:t>
            </w:r>
          </w:p>
        </w:tc>
      </w:tr>
      <w:tr w:rsidR="00342C06" w:rsidRPr="00073666" w14:paraId="13CF7175" w14:textId="77777777" w:rsidTr="00427FF2">
        <w:trPr>
          <w:trHeight w:val="480"/>
        </w:trPr>
        <w:tc>
          <w:tcPr>
            <w:tcW w:w="1185" w:type="dxa"/>
            <w:tcBorders>
              <w:top w:val="nil"/>
              <w:left w:val="nil"/>
              <w:bottom w:val="nil"/>
              <w:right w:val="nil"/>
            </w:tcBorders>
            <w:shd w:val="clear" w:color="auto" w:fill="auto"/>
            <w:vAlign w:val="center"/>
            <w:hideMark/>
          </w:tcPr>
          <w:p w14:paraId="07E33E45" w14:textId="77777777" w:rsidR="00342C06" w:rsidRPr="00073666" w:rsidRDefault="00342C06" w:rsidP="00342C06">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33D880BC" w14:textId="77777777" w:rsidR="00342C06" w:rsidRPr="00073666" w:rsidRDefault="00342C06" w:rsidP="00342C06">
            <w:pPr>
              <w:rPr>
                <w:rFonts w:ascii="Calibri" w:hAnsi="Calibri" w:cs="Calibri"/>
                <w:color w:val="000000"/>
                <w:sz w:val="16"/>
                <w:szCs w:val="16"/>
              </w:rPr>
            </w:pPr>
            <w:r w:rsidRPr="00073666">
              <w:rPr>
                <w:rFonts w:ascii="Calibri" w:hAnsi="Calibri" w:cs="Calibri"/>
                <w:color w:val="000000"/>
                <w:sz w:val="16"/>
                <w:szCs w:val="16"/>
              </w:rPr>
              <w:t xml:space="preserve">Histopathology or direct microscopic evidence of dichotomous septate hyphae with positive culture for </w:t>
            </w:r>
            <w:r w:rsidRPr="00073666">
              <w:rPr>
                <w:rFonts w:ascii="Calibri" w:hAnsi="Calibri" w:cs="Calibri"/>
                <w:i/>
                <w:iCs/>
                <w:color w:val="000000"/>
                <w:sz w:val="16"/>
                <w:szCs w:val="16"/>
              </w:rPr>
              <w:t>Aspergillus</w:t>
            </w:r>
            <w:r w:rsidRPr="00073666">
              <w:rPr>
                <w:rFonts w:ascii="Calibri" w:hAnsi="Calibri" w:cs="Calibri"/>
                <w:color w:val="000000"/>
                <w:sz w:val="16"/>
                <w:szCs w:val="16"/>
              </w:rPr>
              <w:t xml:space="preserve"> from tissue</w:t>
            </w:r>
          </w:p>
        </w:tc>
      </w:tr>
      <w:tr w:rsidR="00342C06" w:rsidRPr="00073666" w14:paraId="19E646E8" w14:textId="77777777" w:rsidTr="00427FF2">
        <w:trPr>
          <w:trHeight w:val="280"/>
        </w:trPr>
        <w:tc>
          <w:tcPr>
            <w:tcW w:w="1185" w:type="dxa"/>
            <w:tcBorders>
              <w:top w:val="nil"/>
              <w:left w:val="nil"/>
              <w:bottom w:val="nil"/>
              <w:right w:val="nil"/>
            </w:tcBorders>
            <w:shd w:val="clear" w:color="auto" w:fill="auto"/>
            <w:vAlign w:val="center"/>
            <w:hideMark/>
          </w:tcPr>
          <w:p w14:paraId="4430B46E" w14:textId="77777777" w:rsidR="00342C06" w:rsidRPr="00073666" w:rsidRDefault="00342C06" w:rsidP="00342C06">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1B86B54F" w14:textId="77777777" w:rsidR="00342C06" w:rsidRPr="00073666" w:rsidRDefault="00342C06" w:rsidP="00342C06">
            <w:pPr>
              <w:rPr>
                <w:rFonts w:ascii="Calibri" w:hAnsi="Calibri" w:cs="Calibri"/>
                <w:color w:val="000000"/>
                <w:sz w:val="16"/>
                <w:szCs w:val="16"/>
              </w:rPr>
            </w:pPr>
            <w:r w:rsidRPr="00073666">
              <w:rPr>
                <w:rFonts w:ascii="Calibri" w:hAnsi="Calibri" w:cs="Calibri"/>
                <w:color w:val="000000"/>
                <w:sz w:val="16"/>
                <w:szCs w:val="16"/>
              </w:rPr>
              <w:t xml:space="preserve">Positive </w:t>
            </w:r>
            <w:r w:rsidRPr="00073666">
              <w:rPr>
                <w:rFonts w:ascii="Calibri" w:hAnsi="Calibri" w:cs="Calibri"/>
                <w:i/>
                <w:iCs/>
                <w:color w:val="000000"/>
                <w:sz w:val="16"/>
                <w:szCs w:val="16"/>
              </w:rPr>
              <w:t>Aspergillus</w:t>
            </w:r>
            <w:r w:rsidRPr="00073666">
              <w:rPr>
                <w:rFonts w:ascii="Calibri" w:hAnsi="Calibri" w:cs="Calibri"/>
                <w:color w:val="000000"/>
                <w:sz w:val="16"/>
                <w:szCs w:val="16"/>
              </w:rPr>
              <w:t xml:space="preserve"> culture from BAL</w:t>
            </w:r>
          </w:p>
        </w:tc>
      </w:tr>
      <w:tr w:rsidR="00342C06" w:rsidRPr="00073666" w14:paraId="532726D6" w14:textId="77777777" w:rsidTr="00427FF2">
        <w:trPr>
          <w:trHeight w:val="480"/>
        </w:trPr>
        <w:tc>
          <w:tcPr>
            <w:tcW w:w="1185" w:type="dxa"/>
            <w:tcBorders>
              <w:top w:val="nil"/>
              <w:left w:val="nil"/>
              <w:bottom w:val="nil"/>
              <w:right w:val="nil"/>
            </w:tcBorders>
            <w:shd w:val="clear" w:color="auto" w:fill="auto"/>
            <w:vAlign w:val="center"/>
            <w:hideMark/>
          </w:tcPr>
          <w:p w14:paraId="27E6D568" w14:textId="77777777" w:rsidR="00342C06" w:rsidRPr="00073666" w:rsidRDefault="00342C06" w:rsidP="00342C06">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5D95B3FF" w14:textId="77777777" w:rsidR="00342C06" w:rsidRPr="00073666" w:rsidRDefault="00342C06" w:rsidP="00342C06">
            <w:pPr>
              <w:rPr>
                <w:rFonts w:ascii="Calibri" w:hAnsi="Calibri" w:cs="Calibri"/>
                <w:color w:val="000000"/>
                <w:sz w:val="16"/>
                <w:szCs w:val="16"/>
              </w:rPr>
            </w:pPr>
            <w:r w:rsidRPr="00073666">
              <w:rPr>
                <w:rFonts w:ascii="Calibri" w:hAnsi="Calibri" w:cs="Calibri"/>
                <w:color w:val="000000"/>
                <w:sz w:val="16"/>
                <w:szCs w:val="16"/>
              </w:rPr>
              <w:t>Galactomannan optical index on BAL ≥ 1</w:t>
            </w:r>
          </w:p>
        </w:tc>
      </w:tr>
      <w:tr w:rsidR="00342C06" w:rsidRPr="00073666" w14:paraId="07B752D4" w14:textId="77777777" w:rsidTr="00427FF2">
        <w:trPr>
          <w:trHeight w:val="280"/>
        </w:trPr>
        <w:tc>
          <w:tcPr>
            <w:tcW w:w="1185" w:type="dxa"/>
            <w:tcBorders>
              <w:top w:val="nil"/>
              <w:left w:val="nil"/>
              <w:bottom w:val="nil"/>
              <w:right w:val="nil"/>
            </w:tcBorders>
            <w:shd w:val="clear" w:color="auto" w:fill="auto"/>
            <w:vAlign w:val="center"/>
            <w:hideMark/>
          </w:tcPr>
          <w:p w14:paraId="28BD05F2" w14:textId="77777777" w:rsidR="00342C06" w:rsidRPr="00073666" w:rsidRDefault="00342C06" w:rsidP="00342C06">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7699DCC4" w14:textId="77777777" w:rsidR="00342C06" w:rsidRPr="00073666" w:rsidRDefault="00342C06" w:rsidP="00342C06">
            <w:pPr>
              <w:rPr>
                <w:rFonts w:ascii="Calibri" w:hAnsi="Calibri" w:cs="Calibri"/>
                <w:color w:val="000000"/>
                <w:sz w:val="16"/>
                <w:szCs w:val="16"/>
              </w:rPr>
            </w:pPr>
            <w:r w:rsidRPr="00073666">
              <w:rPr>
                <w:rFonts w:ascii="Calibri" w:hAnsi="Calibri" w:cs="Calibri"/>
                <w:color w:val="000000"/>
                <w:sz w:val="16"/>
                <w:szCs w:val="16"/>
              </w:rPr>
              <w:t>Galactomannan optical index on serum ≥ 0.5</w:t>
            </w:r>
          </w:p>
        </w:tc>
      </w:tr>
      <w:tr w:rsidR="00342C06" w:rsidRPr="00073666" w14:paraId="10D8BA82" w14:textId="77777777" w:rsidTr="00427FF2">
        <w:trPr>
          <w:trHeight w:val="280"/>
        </w:trPr>
        <w:tc>
          <w:tcPr>
            <w:tcW w:w="1185" w:type="dxa"/>
            <w:tcBorders>
              <w:top w:val="nil"/>
              <w:left w:val="nil"/>
              <w:bottom w:val="nil"/>
              <w:right w:val="nil"/>
            </w:tcBorders>
            <w:shd w:val="clear" w:color="auto" w:fill="auto"/>
            <w:vAlign w:val="center"/>
            <w:hideMark/>
          </w:tcPr>
          <w:p w14:paraId="241BA08B" w14:textId="77777777" w:rsidR="00342C06" w:rsidRPr="00073666" w:rsidRDefault="00342C06" w:rsidP="00342C06">
            <w:pPr>
              <w:rPr>
                <w:rFonts w:ascii="Calibri" w:hAnsi="Calibri" w:cs="Calibri"/>
                <w:sz w:val="20"/>
                <w:szCs w:val="20"/>
              </w:rPr>
            </w:pPr>
          </w:p>
        </w:tc>
        <w:tc>
          <w:tcPr>
            <w:tcW w:w="8313" w:type="dxa"/>
            <w:tcBorders>
              <w:top w:val="nil"/>
              <w:left w:val="nil"/>
              <w:bottom w:val="nil"/>
              <w:right w:val="nil"/>
            </w:tcBorders>
            <w:shd w:val="clear" w:color="auto" w:fill="auto"/>
            <w:vAlign w:val="center"/>
            <w:hideMark/>
          </w:tcPr>
          <w:p w14:paraId="52EAB2C3" w14:textId="77777777" w:rsidR="00342C06" w:rsidRPr="00073666" w:rsidRDefault="00342C06" w:rsidP="00342C06">
            <w:pPr>
              <w:rPr>
                <w:rFonts w:ascii="Calibri" w:hAnsi="Calibri" w:cs="Calibri"/>
                <w:sz w:val="20"/>
                <w:szCs w:val="20"/>
              </w:rPr>
            </w:pPr>
          </w:p>
        </w:tc>
      </w:tr>
      <w:tr w:rsidR="00342C06" w:rsidRPr="00073666" w14:paraId="275710C3" w14:textId="77777777" w:rsidTr="00427FF2">
        <w:trPr>
          <w:trHeight w:val="480"/>
        </w:trPr>
        <w:tc>
          <w:tcPr>
            <w:tcW w:w="1185" w:type="dxa"/>
            <w:tcBorders>
              <w:top w:val="nil"/>
              <w:left w:val="nil"/>
              <w:bottom w:val="single" w:sz="4" w:space="0" w:color="auto"/>
              <w:right w:val="nil"/>
            </w:tcBorders>
            <w:shd w:val="clear" w:color="auto" w:fill="auto"/>
            <w:vAlign w:val="center"/>
            <w:hideMark/>
          </w:tcPr>
          <w:p w14:paraId="11B7F50E" w14:textId="77777777" w:rsidR="00342C06" w:rsidRPr="00073666" w:rsidRDefault="00342C06" w:rsidP="00342C06">
            <w:pPr>
              <w:rPr>
                <w:rFonts w:ascii="Calibri" w:hAnsi="Calibri" w:cs="Calibri"/>
                <w:b/>
                <w:bCs/>
                <w:color w:val="000000"/>
                <w:sz w:val="16"/>
                <w:szCs w:val="16"/>
              </w:rPr>
            </w:pPr>
            <w:r w:rsidRPr="00073666">
              <w:rPr>
                <w:rFonts w:ascii="Calibri" w:hAnsi="Calibri" w:cs="Calibri"/>
                <w:b/>
                <w:bCs/>
                <w:color w:val="000000"/>
                <w:sz w:val="16"/>
                <w:szCs w:val="16"/>
              </w:rPr>
              <w:t>Colonisation</w:t>
            </w:r>
          </w:p>
        </w:tc>
        <w:tc>
          <w:tcPr>
            <w:tcW w:w="8313" w:type="dxa"/>
            <w:tcBorders>
              <w:top w:val="nil"/>
              <w:left w:val="nil"/>
              <w:bottom w:val="single" w:sz="4" w:space="0" w:color="auto"/>
              <w:right w:val="nil"/>
            </w:tcBorders>
            <w:shd w:val="clear" w:color="auto" w:fill="auto"/>
            <w:vAlign w:val="center"/>
            <w:hideMark/>
          </w:tcPr>
          <w:p w14:paraId="5940D5CD" w14:textId="14655925" w:rsidR="00342C06" w:rsidRPr="00073666" w:rsidRDefault="00342C06" w:rsidP="00342C06">
            <w:pPr>
              <w:rPr>
                <w:rFonts w:ascii="Calibri" w:hAnsi="Calibri" w:cs="Calibri"/>
                <w:b/>
                <w:bCs/>
                <w:color w:val="000000"/>
                <w:sz w:val="16"/>
                <w:szCs w:val="16"/>
              </w:rPr>
            </w:pPr>
            <w:r w:rsidRPr="00073666">
              <w:rPr>
                <w:rFonts w:ascii="Calibri" w:hAnsi="Calibri" w:cs="Calibri"/>
                <w:b/>
                <w:bCs/>
                <w:color w:val="000000"/>
                <w:sz w:val="16"/>
                <w:szCs w:val="16"/>
              </w:rPr>
              <w:t xml:space="preserve">Positive </w:t>
            </w:r>
            <w:r w:rsidRPr="00073666">
              <w:rPr>
                <w:rFonts w:ascii="Calibri" w:hAnsi="Calibri" w:cs="Calibri"/>
                <w:b/>
                <w:bCs/>
                <w:i/>
                <w:iCs/>
                <w:color w:val="000000"/>
                <w:sz w:val="16"/>
                <w:szCs w:val="16"/>
              </w:rPr>
              <w:t>Aspergillus</w:t>
            </w:r>
            <w:r w:rsidRPr="00073666">
              <w:rPr>
                <w:rFonts w:ascii="Calibri" w:hAnsi="Calibri" w:cs="Calibri"/>
                <w:b/>
                <w:bCs/>
                <w:color w:val="000000"/>
                <w:sz w:val="16"/>
                <w:szCs w:val="16"/>
              </w:rPr>
              <w:t xml:space="preserve"> culture from BAL but Putative criteria </w:t>
            </w:r>
            <w:r w:rsidRPr="00073666">
              <w:rPr>
                <w:rFonts w:ascii="Calibri" w:hAnsi="Calibri" w:cs="Calibri"/>
                <w:b/>
                <w:bCs/>
                <w:i/>
                <w:iCs/>
                <w:color w:val="000000"/>
                <w:sz w:val="16"/>
                <w:szCs w:val="16"/>
              </w:rPr>
              <w:t>not</w:t>
            </w:r>
            <w:r w:rsidRPr="00073666">
              <w:rPr>
                <w:rFonts w:ascii="Calibri" w:hAnsi="Calibri" w:cs="Calibri"/>
                <w:b/>
                <w:bCs/>
                <w:color w:val="000000"/>
                <w:sz w:val="16"/>
                <w:szCs w:val="16"/>
              </w:rPr>
              <w:t xml:space="preserve"> met</w:t>
            </w:r>
          </w:p>
        </w:tc>
      </w:tr>
    </w:tbl>
    <w:p w14:paraId="595AEF78" w14:textId="7EAD4A51" w:rsidR="00100408" w:rsidRPr="00073666" w:rsidRDefault="00100408" w:rsidP="003802A1">
      <w:pPr>
        <w:rPr>
          <w:rFonts w:ascii="Calibri" w:hAnsi="Calibri" w:cs="Calibri"/>
          <w:szCs w:val="22"/>
        </w:rPr>
      </w:pPr>
    </w:p>
    <w:p w14:paraId="501C01D0" w14:textId="1709C67E" w:rsidR="00997241" w:rsidRPr="00073666" w:rsidRDefault="00F36A48" w:rsidP="00997241">
      <w:pPr>
        <w:pStyle w:val="Heading1"/>
        <w:spacing w:before="0" w:after="120"/>
        <w:rPr>
          <w:rFonts w:ascii="Calibri" w:hAnsi="Calibri" w:cs="Calibri"/>
          <w:color w:val="auto"/>
          <w:sz w:val="24"/>
          <w:szCs w:val="24"/>
        </w:rPr>
      </w:pPr>
      <w:r w:rsidRPr="00073666">
        <w:rPr>
          <w:rFonts w:ascii="Calibri" w:hAnsi="Calibri" w:cs="Calibri"/>
          <w:color w:val="auto"/>
          <w:sz w:val="24"/>
          <w:szCs w:val="24"/>
        </w:rPr>
        <w:lastRenderedPageBreak/>
        <w:t>5</w:t>
      </w:r>
      <w:r w:rsidRPr="00073666">
        <w:rPr>
          <w:rFonts w:ascii="Calibri" w:hAnsi="Calibri" w:cs="Calibri"/>
          <w:color w:val="auto"/>
          <w:sz w:val="24"/>
          <w:szCs w:val="24"/>
        </w:rPr>
        <w:tab/>
        <w:t xml:space="preserve">STUDY DESIGN, METHODS, DATA COLLECTION AND </w:t>
      </w:r>
      <w:r w:rsidR="00997241" w:rsidRPr="00073666">
        <w:rPr>
          <w:rFonts w:ascii="Calibri" w:hAnsi="Calibri" w:cs="Calibri"/>
          <w:color w:val="auto"/>
          <w:sz w:val="24"/>
          <w:szCs w:val="24"/>
        </w:rPr>
        <w:t>ANALY</w:t>
      </w:r>
      <w:r w:rsidR="00AD2550" w:rsidRPr="00073666">
        <w:rPr>
          <w:rFonts w:ascii="Calibri" w:hAnsi="Calibri" w:cs="Calibri"/>
          <w:color w:val="auto"/>
          <w:sz w:val="24"/>
          <w:szCs w:val="24"/>
        </w:rPr>
        <w:t>S</w:t>
      </w:r>
      <w:r w:rsidR="00997241" w:rsidRPr="00073666">
        <w:rPr>
          <w:rFonts w:ascii="Calibri" w:hAnsi="Calibri" w:cs="Calibri"/>
          <w:color w:val="auto"/>
          <w:sz w:val="24"/>
          <w:szCs w:val="24"/>
        </w:rPr>
        <w:t>IS</w:t>
      </w:r>
    </w:p>
    <w:p w14:paraId="6D3ED98C" w14:textId="3DC07167" w:rsidR="00814E86" w:rsidRPr="00073666" w:rsidRDefault="00814E86" w:rsidP="00997241">
      <w:pPr>
        <w:rPr>
          <w:rFonts w:ascii="Calibri" w:hAnsi="Calibri" w:cs="Calibri"/>
          <w:color w:val="0000FF"/>
          <w:szCs w:val="22"/>
        </w:rPr>
      </w:pPr>
    </w:p>
    <w:p w14:paraId="1ACB62D9" w14:textId="5052DEA9" w:rsidR="00950AEE" w:rsidRPr="00073666" w:rsidRDefault="00D051D4" w:rsidP="00997241">
      <w:pPr>
        <w:rPr>
          <w:rFonts w:ascii="Calibri" w:hAnsi="Calibri" w:cs="Calibri"/>
          <w:b/>
          <w:color w:val="000000" w:themeColor="text1"/>
          <w:szCs w:val="22"/>
        </w:rPr>
      </w:pPr>
      <w:r w:rsidRPr="00073666">
        <w:rPr>
          <w:rFonts w:ascii="Calibri" w:hAnsi="Calibri" w:cs="Calibri"/>
          <w:b/>
          <w:color w:val="000000" w:themeColor="text1"/>
          <w:szCs w:val="22"/>
        </w:rPr>
        <w:t xml:space="preserve">5.1 </w:t>
      </w:r>
      <w:r w:rsidR="006D2171" w:rsidRPr="00073666">
        <w:rPr>
          <w:rFonts w:ascii="Calibri" w:hAnsi="Calibri" w:cs="Calibri"/>
          <w:b/>
          <w:color w:val="000000" w:themeColor="text1"/>
          <w:szCs w:val="22"/>
        </w:rPr>
        <w:t>STUDY DESIGN</w:t>
      </w:r>
    </w:p>
    <w:p w14:paraId="4435559A" w14:textId="11601813" w:rsidR="00950AEE" w:rsidRPr="00073666" w:rsidRDefault="00814E86" w:rsidP="00950AEE">
      <w:pPr>
        <w:spacing w:after="160" w:line="259" w:lineRule="auto"/>
        <w:rPr>
          <w:rFonts w:ascii="Calibri" w:hAnsi="Calibri" w:cs="Calibri"/>
          <w:color w:val="000000" w:themeColor="text1"/>
          <w:szCs w:val="22"/>
        </w:rPr>
      </w:pPr>
      <w:proofErr w:type="spellStart"/>
      <w:r w:rsidRPr="00073666">
        <w:rPr>
          <w:rFonts w:ascii="Calibri" w:hAnsi="Calibri" w:cs="Calibri"/>
          <w:color w:val="000000" w:themeColor="text1"/>
          <w:szCs w:val="22"/>
        </w:rPr>
        <w:t>AspiFlu</w:t>
      </w:r>
      <w:proofErr w:type="spellEnd"/>
      <w:r w:rsidRPr="00073666">
        <w:rPr>
          <w:rFonts w:ascii="Calibri" w:hAnsi="Calibri" w:cs="Calibri"/>
          <w:color w:val="000000" w:themeColor="text1"/>
          <w:szCs w:val="22"/>
        </w:rPr>
        <w:t xml:space="preserve"> is a multicentre prospective observational cohort study, incorporating retrospective evaluation of a novel POC diagnostic device and scientific sub-studies on stored patient samples. </w:t>
      </w:r>
    </w:p>
    <w:p w14:paraId="6EE28E03" w14:textId="602B0D95" w:rsidR="00814E86" w:rsidRPr="00073666" w:rsidRDefault="00814E86" w:rsidP="00997241">
      <w:pPr>
        <w:rPr>
          <w:rFonts w:ascii="Calibri" w:hAnsi="Calibri" w:cs="Calibri"/>
          <w:color w:val="0000FF"/>
          <w:szCs w:val="22"/>
        </w:rPr>
      </w:pPr>
    </w:p>
    <w:p w14:paraId="6EB4F906" w14:textId="0B228B88" w:rsidR="00950AEE" w:rsidRPr="00073666" w:rsidRDefault="00D051D4" w:rsidP="00997241">
      <w:pPr>
        <w:rPr>
          <w:rFonts w:ascii="Calibri" w:hAnsi="Calibri" w:cs="Calibri"/>
          <w:b/>
          <w:color w:val="000000" w:themeColor="text1"/>
          <w:szCs w:val="22"/>
        </w:rPr>
      </w:pPr>
      <w:r w:rsidRPr="00073666">
        <w:rPr>
          <w:rFonts w:ascii="Calibri" w:hAnsi="Calibri" w:cs="Calibri"/>
          <w:b/>
          <w:color w:val="000000" w:themeColor="text1"/>
          <w:szCs w:val="22"/>
        </w:rPr>
        <w:t xml:space="preserve">5.2 </w:t>
      </w:r>
      <w:r w:rsidR="001E7DCB" w:rsidRPr="00073666">
        <w:rPr>
          <w:rFonts w:ascii="Calibri" w:hAnsi="Calibri" w:cs="Calibri"/>
          <w:b/>
          <w:color w:val="000000" w:themeColor="text1"/>
          <w:szCs w:val="22"/>
        </w:rPr>
        <w:t xml:space="preserve">OUTLINE OF </w:t>
      </w:r>
      <w:r w:rsidR="00950AEE" w:rsidRPr="00073666">
        <w:rPr>
          <w:rFonts w:ascii="Calibri" w:hAnsi="Calibri" w:cs="Calibri"/>
          <w:b/>
          <w:color w:val="000000" w:themeColor="text1"/>
          <w:szCs w:val="22"/>
        </w:rPr>
        <w:t>METHODS</w:t>
      </w:r>
    </w:p>
    <w:p w14:paraId="3678FB71" w14:textId="03F6EAA0" w:rsidR="00BC703E" w:rsidRPr="00073666" w:rsidRDefault="00BC703E" w:rsidP="00BC703E">
      <w:pPr>
        <w:pStyle w:val="Heading1"/>
        <w:spacing w:before="0" w:after="120"/>
        <w:rPr>
          <w:rFonts w:ascii="Calibri" w:hAnsi="Calibri" w:cs="Calibri"/>
          <w:b w:val="0"/>
          <w:i/>
          <w:color w:val="auto"/>
          <w:sz w:val="22"/>
          <w:szCs w:val="22"/>
        </w:rPr>
      </w:pPr>
      <w:r w:rsidRPr="00073666">
        <w:rPr>
          <w:rFonts w:ascii="Calibri" w:hAnsi="Calibri" w:cs="Calibri"/>
          <w:b w:val="0"/>
          <w:i/>
          <w:color w:val="000000" w:themeColor="text1"/>
          <w:sz w:val="22"/>
          <w:szCs w:val="22"/>
        </w:rPr>
        <w:t>See also ‘</w:t>
      </w:r>
      <w:r w:rsidRPr="00073666">
        <w:rPr>
          <w:rFonts w:ascii="Calibri" w:hAnsi="Calibri" w:cs="Calibri"/>
          <w:b w:val="0"/>
          <w:i/>
          <w:color w:val="auto"/>
          <w:sz w:val="22"/>
          <w:szCs w:val="22"/>
        </w:rPr>
        <w:t>Study Schematic’ above.</w:t>
      </w:r>
    </w:p>
    <w:p w14:paraId="31FA92F6" w14:textId="71C23C99" w:rsidR="00683CEC" w:rsidRPr="00073666" w:rsidRDefault="006D2171" w:rsidP="00997241">
      <w:pPr>
        <w:rPr>
          <w:rFonts w:ascii="Calibri" w:hAnsi="Calibri"/>
          <w:color w:val="000000" w:themeColor="text1"/>
          <w:szCs w:val="22"/>
        </w:rPr>
      </w:pPr>
      <w:r w:rsidRPr="00073666">
        <w:rPr>
          <w:rFonts w:ascii="Calibri" w:hAnsi="Calibri" w:cs="Calibri"/>
          <w:color w:val="000000" w:themeColor="text1"/>
          <w:szCs w:val="22"/>
        </w:rPr>
        <w:t>Between 1st November 2019 and 31</w:t>
      </w:r>
      <w:r w:rsidRPr="00073666">
        <w:rPr>
          <w:rFonts w:ascii="Calibri" w:hAnsi="Calibri" w:cs="Calibri"/>
          <w:color w:val="000000" w:themeColor="text1"/>
          <w:szCs w:val="22"/>
          <w:vertAlign w:val="superscript"/>
        </w:rPr>
        <w:t>st</w:t>
      </w:r>
      <w:r w:rsidRPr="00073666">
        <w:rPr>
          <w:rFonts w:ascii="Calibri" w:hAnsi="Calibri" w:cs="Calibri"/>
          <w:color w:val="000000" w:themeColor="text1"/>
          <w:szCs w:val="22"/>
        </w:rPr>
        <w:t xml:space="preserve"> </w:t>
      </w:r>
      <w:r w:rsidR="00376AA4" w:rsidRPr="00073666">
        <w:rPr>
          <w:rFonts w:ascii="Calibri" w:hAnsi="Calibri" w:cs="Calibri"/>
          <w:color w:val="000000" w:themeColor="text1"/>
          <w:szCs w:val="22"/>
        </w:rPr>
        <w:t>March 2020, i</w:t>
      </w:r>
      <w:r w:rsidR="00BC703E" w:rsidRPr="00073666">
        <w:rPr>
          <w:rFonts w:ascii="Calibri" w:hAnsi="Calibri" w:cs="Calibri"/>
          <w:color w:val="000000" w:themeColor="text1"/>
          <w:szCs w:val="22"/>
        </w:rPr>
        <w:t xml:space="preserve">ntubated adults on the study ICUs will be </w:t>
      </w:r>
      <w:r w:rsidR="00376AA4" w:rsidRPr="00073666">
        <w:rPr>
          <w:rFonts w:ascii="Calibri" w:hAnsi="Calibri" w:cs="Calibri"/>
          <w:color w:val="000000" w:themeColor="text1"/>
          <w:szCs w:val="22"/>
        </w:rPr>
        <w:t xml:space="preserve">assessed for eligibility and consented </w:t>
      </w:r>
      <w:r w:rsidR="001E7DCB" w:rsidRPr="00073666">
        <w:rPr>
          <w:rFonts w:ascii="Calibri" w:hAnsi="Calibri" w:cs="Calibri"/>
          <w:color w:val="000000" w:themeColor="text1"/>
          <w:szCs w:val="22"/>
        </w:rPr>
        <w:t xml:space="preserve">for enrolment </w:t>
      </w:r>
      <w:r w:rsidR="00376AA4" w:rsidRPr="00073666">
        <w:rPr>
          <w:rFonts w:ascii="Calibri" w:hAnsi="Calibri" w:cs="Calibri"/>
          <w:color w:val="000000" w:themeColor="text1"/>
          <w:szCs w:val="22"/>
        </w:rPr>
        <w:t>(</w:t>
      </w:r>
      <w:r w:rsidR="00D051D4" w:rsidRPr="00073666">
        <w:rPr>
          <w:rFonts w:ascii="Calibri" w:hAnsi="Calibri" w:cs="Calibri"/>
          <w:color w:val="000000" w:themeColor="text1"/>
          <w:szCs w:val="22"/>
        </w:rPr>
        <w:t>see ‘</w:t>
      </w:r>
      <w:r w:rsidR="004E7F9D" w:rsidRPr="00073666">
        <w:rPr>
          <w:rFonts w:ascii="Calibri" w:hAnsi="Calibri" w:cs="Calibri"/>
          <w:color w:val="000000" w:themeColor="text1"/>
          <w:szCs w:val="22"/>
        </w:rPr>
        <w:t>7.3 Recruitment</w:t>
      </w:r>
      <w:r w:rsidR="00D051D4" w:rsidRPr="00073666">
        <w:rPr>
          <w:rFonts w:ascii="Calibri" w:hAnsi="Calibri" w:cs="Calibri"/>
          <w:color w:val="000000" w:themeColor="text1"/>
          <w:szCs w:val="22"/>
        </w:rPr>
        <w:t>’</w:t>
      </w:r>
      <w:r w:rsidR="00376AA4" w:rsidRPr="00073666">
        <w:rPr>
          <w:rFonts w:ascii="Calibri" w:hAnsi="Calibri" w:cs="Calibri"/>
          <w:color w:val="000000" w:themeColor="text1"/>
          <w:szCs w:val="22"/>
        </w:rPr>
        <w:t>)</w:t>
      </w:r>
      <w:r w:rsidR="00BC703E" w:rsidRPr="00073666">
        <w:rPr>
          <w:rFonts w:ascii="Calibri" w:hAnsi="Calibri" w:cs="Calibri"/>
          <w:color w:val="000000" w:themeColor="text1"/>
          <w:szCs w:val="22"/>
        </w:rPr>
        <w:t>.</w:t>
      </w:r>
      <w:r w:rsidR="00683CEC" w:rsidRPr="00073666">
        <w:rPr>
          <w:rFonts w:ascii="Calibri" w:hAnsi="Calibri" w:cs="Calibri"/>
          <w:color w:val="000000" w:themeColor="text1"/>
          <w:szCs w:val="22"/>
        </w:rPr>
        <w:t xml:space="preserve"> </w:t>
      </w:r>
      <w:r w:rsidRPr="00073666">
        <w:rPr>
          <w:rFonts w:ascii="Calibri" w:hAnsi="Calibri" w:cs="Calibri"/>
          <w:color w:val="000000" w:themeColor="text1"/>
          <w:szCs w:val="22"/>
        </w:rPr>
        <w:t>Based on historic data, a</w:t>
      </w:r>
      <w:r w:rsidR="00683CEC" w:rsidRPr="00073666">
        <w:rPr>
          <w:rFonts w:ascii="Calibri" w:hAnsi="Calibri" w:cs="Calibri"/>
          <w:color w:val="000000" w:themeColor="text1"/>
          <w:szCs w:val="22"/>
        </w:rPr>
        <w:t xml:space="preserve">n estimated </w:t>
      </w:r>
      <w:r w:rsidR="0069444B">
        <w:rPr>
          <w:rFonts w:ascii="Calibri" w:hAnsi="Calibri" w:cs="Calibri"/>
          <w:color w:val="000000" w:themeColor="text1"/>
          <w:szCs w:val="22"/>
          <w:highlight w:val="yellow"/>
        </w:rPr>
        <w:t>75</w:t>
      </w:r>
      <w:r w:rsidR="00683CEC" w:rsidRPr="00FC36FE">
        <w:rPr>
          <w:rFonts w:ascii="Calibri" w:hAnsi="Calibri" w:cs="Calibri"/>
          <w:color w:val="000000" w:themeColor="text1"/>
          <w:szCs w:val="22"/>
          <w:highlight w:val="yellow"/>
        </w:rPr>
        <w:t>-</w:t>
      </w:r>
      <w:r w:rsidR="00A615BF">
        <w:rPr>
          <w:rFonts w:ascii="Calibri" w:hAnsi="Calibri" w:cs="Calibri"/>
          <w:color w:val="000000" w:themeColor="text1"/>
          <w:szCs w:val="22"/>
          <w:highlight w:val="yellow"/>
        </w:rPr>
        <w:t>95</w:t>
      </w:r>
      <w:r w:rsidR="00683CEC" w:rsidRPr="00FC36FE">
        <w:rPr>
          <w:rFonts w:ascii="Calibri" w:hAnsi="Calibri" w:cs="Calibri"/>
          <w:color w:val="000000" w:themeColor="text1"/>
          <w:szCs w:val="22"/>
          <w:highlight w:val="yellow"/>
        </w:rPr>
        <w:t xml:space="preserve"> patients</w:t>
      </w:r>
      <w:r w:rsidR="00683CEC" w:rsidRPr="00073666">
        <w:rPr>
          <w:rFonts w:ascii="Calibri" w:hAnsi="Calibri" w:cs="Calibri"/>
          <w:color w:val="000000" w:themeColor="text1"/>
          <w:szCs w:val="22"/>
        </w:rPr>
        <w:t xml:space="preserve"> with severe influenza are expected to be recruited over the study period (see ‘7.2 Sampling’).</w:t>
      </w:r>
    </w:p>
    <w:p w14:paraId="24EBA332" w14:textId="77777777" w:rsidR="00683CEC" w:rsidRPr="00073666" w:rsidRDefault="00683CEC" w:rsidP="00997241">
      <w:pPr>
        <w:rPr>
          <w:rFonts w:ascii="Calibri" w:hAnsi="Calibri"/>
          <w:color w:val="000000" w:themeColor="text1"/>
          <w:szCs w:val="22"/>
        </w:rPr>
      </w:pPr>
    </w:p>
    <w:p w14:paraId="43603225" w14:textId="3F3899C9" w:rsidR="00376AA4" w:rsidRPr="00073666" w:rsidRDefault="00376AA4" w:rsidP="00E466D3">
      <w:pPr>
        <w:rPr>
          <w:rFonts w:ascii="Calibri" w:hAnsi="Calibri" w:cs="Calibri"/>
          <w:szCs w:val="22"/>
        </w:rPr>
      </w:pPr>
      <w:r w:rsidRPr="00073666">
        <w:rPr>
          <w:rFonts w:ascii="Calibri" w:hAnsi="Calibri" w:cs="Calibri"/>
          <w:color w:val="000000" w:themeColor="text1"/>
          <w:szCs w:val="22"/>
        </w:rPr>
        <w:t>Enrolled patients will have baseline blood sampling performed within 72 hours of ICU admission (</w:t>
      </w:r>
      <w:r w:rsidR="00D051D4" w:rsidRPr="00073666">
        <w:rPr>
          <w:rFonts w:ascii="Calibri" w:hAnsi="Calibri" w:cs="Calibri"/>
          <w:color w:val="000000" w:themeColor="text1"/>
          <w:lang w:val="en-US" w:eastAsia="en-GB"/>
        </w:rPr>
        <w:t>see ‘</w:t>
      </w:r>
      <w:r w:rsidR="00E466D3" w:rsidRPr="00073666">
        <w:rPr>
          <w:rFonts w:ascii="Calibri" w:hAnsi="Calibri" w:cs="Calibri"/>
          <w:szCs w:val="22"/>
        </w:rPr>
        <w:t xml:space="preserve">7.3.4 </w:t>
      </w:r>
      <w:r w:rsidR="00E466D3" w:rsidRPr="00073666">
        <w:rPr>
          <w:rFonts w:ascii="Calibri" w:hAnsi="Calibri" w:cstheme="minorHAnsi"/>
          <w:szCs w:val="22"/>
        </w:rPr>
        <w:t xml:space="preserve">Biological </w:t>
      </w:r>
      <w:r w:rsidR="00E466D3" w:rsidRPr="00073666">
        <w:rPr>
          <w:rFonts w:ascii="Calibri" w:hAnsi="Calibri" w:cstheme="minorHAnsi"/>
          <w:bCs/>
          <w:szCs w:val="22"/>
        </w:rPr>
        <w:t>Sample Handling</w:t>
      </w:r>
      <w:r w:rsidR="00E466D3" w:rsidRPr="00073666">
        <w:rPr>
          <w:rFonts w:ascii="Calibri" w:hAnsi="Calibri" w:cs="Calibri"/>
          <w:szCs w:val="22"/>
        </w:rPr>
        <w:t>’</w:t>
      </w:r>
      <w:r w:rsidRPr="00073666">
        <w:rPr>
          <w:rFonts w:ascii="Calibri" w:hAnsi="Calibri" w:cs="Calibri"/>
          <w:color w:val="000000" w:themeColor="text1"/>
          <w:szCs w:val="22"/>
        </w:rPr>
        <w:t xml:space="preserve">). </w:t>
      </w:r>
      <w:r w:rsidR="00111044" w:rsidRPr="00073666">
        <w:rPr>
          <w:rFonts w:ascii="Calibri" w:hAnsi="Calibri" w:cs="Calibri"/>
          <w:color w:val="000000" w:themeColor="text1"/>
          <w:szCs w:val="22"/>
        </w:rPr>
        <w:t xml:space="preserve">Surplus </w:t>
      </w:r>
      <w:r w:rsidRPr="00073666">
        <w:rPr>
          <w:rFonts w:ascii="Calibri" w:hAnsi="Calibri" w:cs="Calibri"/>
          <w:color w:val="000000" w:themeColor="text1"/>
          <w:szCs w:val="22"/>
        </w:rPr>
        <w:t>BAL</w:t>
      </w:r>
      <w:r w:rsidR="00111044" w:rsidRPr="00073666">
        <w:rPr>
          <w:rFonts w:ascii="Calibri" w:hAnsi="Calibri" w:cs="Calibri"/>
          <w:color w:val="000000" w:themeColor="text1"/>
          <w:szCs w:val="22"/>
        </w:rPr>
        <w:t xml:space="preserve"> from bronchoscopy performed as part of routine clinical care </w:t>
      </w:r>
      <w:r w:rsidRPr="00073666">
        <w:rPr>
          <w:rFonts w:ascii="Calibri" w:hAnsi="Calibri" w:cs="Calibri"/>
          <w:color w:val="000000" w:themeColor="text1"/>
          <w:szCs w:val="22"/>
        </w:rPr>
        <w:t>will</w:t>
      </w:r>
      <w:r w:rsidR="001E7DCB" w:rsidRPr="00073666">
        <w:rPr>
          <w:rFonts w:ascii="Calibri" w:hAnsi="Calibri" w:cs="Calibri"/>
          <w:color w:val="000000" w:themeColor="text1"/>
          <w:szCs w:val="22"/>
        </w:rPr>
        <w:t xml:space="preserve"> also</w:t>
      </w:r>
      <w:r w:rsidRPr="00073666">
        <w:rPr>
          <w:rFonts w:ascii="Calibri" w:hAnsi="Calibri" w:cs="Calibri"/>
          <w:color w:val="000000" w:themeColor="text1"/>
          <w:szCs w:val="22"/>
        </w:rPr>
        <w:t xml:space="preserve"> be stored</w:t>
      </w:r>
      <w:r w:rsidR="00111044" w:rsidRPr="00073666">
        <w:rPr>
          <w:rFonts w:ascii="Calibri" w:hAnsi="Calibri" w:cs="Calibri"/>
          <w:color w:val="000000" w:themeColor="text1"/>
          <w:szCs w:val="22"/>
        </w:rPr>
        <w:t xml:space="preserve"> alongside leftover serum</w:t>
      </w:r>
      <w:r w:rsidR="001E7DCB" w:rsidRPr="00073666">
        <w:rPr>
          <w:rFonts w:ascii="Calibri" w:hAnsi="Calibri" w:cs="Calibri"/>
          <w:color w:val="000000" w:themeColor="text1"/>
          <w:szCs w:val="22"/>
        </w:rPr>
        <w:t>.</w:t>
      </w:r>
      <w:r w:rsidR="006D2171" w:rsidRPr="00073666">
        <w:rPr>
          <w:rFonts w:ascii="Calibri" w:hAnsi="Calibri" w:cs="Calibri"/>
          <w:color w:val="000000" w:themeColor="text1"/>
          <w:szCs w:val="22"/>
        </w:rPr>
        <w:t xml:space="preserve"> This is a non-interventional study and patients will receive routine</w:t>
      </w:r>
      <w:r w:rsidR="001E7DCB" w:rsidRPr="00073666">
        <w:rPr>
          <w:rFonts w:ascii="Calibri" w:hAnsi="Calibri" w:cs="Calibri"/>
          <w:color w:val="000000" w:themeColor="text1"/>
          <w:szCs w:val="22"/>
        </w:rPr>
        <w:t xml:space="preserve"> clinical </w:t>
      </w:r>
      <w:r w:rsidR="006D2171" w:rsidRPr="00073666">
        <w:rPr>
          <w:rFonts w:ascii="Calibri" w:hAnsi="Calibri" w:cs="Calibri"/>
          <w:color w:val="000000" w:themeColor="text1"/>
          <w:szCs w:val="22"/>
        </w:rPr>
        <w:t>care throughout the study.</w:t>
      </w:r>
    </w:p>
    <w:p w14:paraId="09803250" w14:textId="77777777" w:rsidR="00376AA4" w:rsidRPr="00073666" w:rsidRDefault="00376AA4" w:rsidP="00997241">
      <w:pPr>
        <w:rPr>
          <w:rFonts w:ascii="Calibri" w:hAnsi="Calibri" w:cs="Calibri"/>
          <w:color w:val="000000" w:themeColor="text1"/>
          <w:szCs w:val="22"/>
        </w:rPr>
      </w:pPr>
    </w:p>
    <w:p w14:paraId="1F6DE93C" w14:textId="39B00E33" w:rsidR="001127EE" w:rsidRPr="00073666" w:rsidRDefault="00376AA4" w:rsidP="001127EE">
      <w:pPr>
        <w:rPr>
          <w:rFonts w:ascii="Calibri" w:hAnsi="Calibri" w:cs="Calibri"/>
          <w:color w:val="000000" w:themeColor="text1"/>
          <w:szCs w:val="22"/>
        </w:rPr>
      </w:pPr>
      <w:r w:rsidRPr="00073666">
        <w:rPr>
          <w:rFonts w:ascii="Calibri" w:hAnsi="Calibri" w:cs="Calibri"/>
          <w:color w:val="000000" w:themeColor="text1"/>
          <w:szCs w:val="22"/>
        </w:rPr>
        <w:t>Clinical data</w:t>
      </w:r>
      <w:r w:rsidR="001E7DCB" w:rsidRPr="00073666">
        <w:rPr>
          <w:rFonts w:ascii="Calibri" w:hAnsi="Calibri" w:cs="Calibri"/>
          <w:color w:val="000000" w:themeColor="text1"/>
          <w:szCs w:val="22"/>
        </w:rPr>
        <w:t xml:space="preserve"> (</w:t>
      </w:r>
      <w:r w:rsidR="00E466D3" w:rsidRPr="00073666">
        <w:rPr>
          <w:rFonts w:ascii="Calibri" w:hAnsi="Calibri" w:cs="Calibri"/>
          <w:color w:val="000000" w:themeColor="text1"/>
          <w:szCs w:val="22"/>
        </w:rPr>
        <w:t>see 5.3 Data Collection</w:t>
      </w:r>
      <w:r w:rsidR="001E7DCB" w:rsidRPr="00073666">
        <w:rPr>
          <w:rFonts w:ascii="Calibri" w:hAnsi="Calibri" w:cs="Calibri"/>
          <w:color w:val="000000" w:themeColor="text1"/>
          <w:szCs w:val="22"/>
        </w:rPr>
        <w:t>)</w:t>
      </w:r>
      <w:r w:rsidRPr="00073666">
        <w:rPr>
          <w:rFonts w:ascii="Calibri" w:hAnsi="Calibri" w:cs="Calibri"/>
          <w:color w:val="000000" w:themeColor="text1"/>
          <w:szCs w:val="22"/>
        </w:rPr>
        <w:t xml:space="preserve"> will be collected at baseline, during the </w:t>
      </w:r>
      <w:proofErr w:type="gramStart"/>
      <w:r w:rsidRPr="00073666">
        <w:rPr>
          <w:rFonts w:ascii="Calibri" w:hAnsi="Calibri" w:cs="Calibri"/>
          <w:color w:val="000000" w:themeColor="text1"/>
          <w:szCs w:val="22"/>
        </w:rPr>
        <w:t>patients</w:t>
      </w:r>
      <w:proofErr w:type="gramEnd"/>
      <w:r w:rsidRPr="00073666">
        <w:rPr>
          <w:rFonts w:ascii="Calibri" w:hAnsi="Calibri" w:cs="Calibri"/>
          <w:color w:val="000000" w:themeColor="text1"/>
          <w:szCs w:val="22"/>
        </w:rPr>
        <w:t xml:space="preserve"> ICU stay, and after ICU discharge</w:t>
      </w:r>
      <w:r w:rsidR="00100408" w:rsidRPr="00073666">
        <w:rPr>
          <w:rFonts w:ascii="Calibri" w:hAnsi="Calibri" w:cs="Calibri"/>
          <w:color w:val="000000" w:themeColor="text1"/>
          <w:szCs w:val="22"/>
        </w:rPr>
        <w:t xml:space="preserve"> - </w:t>
      </w:r>
      <w:r w:rsidRPr="00073666">
        <w:rPr>
          <w:rFonts w:ascii="Calibri" w:hAnsi="Calibri" w:cs="Calibri"/>
          <w:color w:val="000000" w:themeColor="text1"/>
          <w:szCs w:val="22"/>
        </w:rPr>
        <w:t>up to 90 days or hospital discharge (whichever is longer).</w:t>
      </w:r>
      <w:r w:rsidR="001127EE" w:rsidRPr="00073666">
        <w:rPr>
          <w:rFonts w:ascii="Calibri" w:hAnsi="Calibri" w:cs="Calibri"/>
          <w:color w:val="000000" w:themeColor="text1"/>
          <w:szCs w:val="22"/>
        </w:rPr>
        <w:t xml:space="preserve"> No patient will be enrolled after 31</w:t>
      </w:r>
      <w:r w:rsidR="001127EE" w:rsidRPr="00073666">
        <w:rPr>
          <w:rFonts w:ascii="Calibri" w:hAnsi="Calibri" w:cs="Calibri"/>
          <w:color w:val="000000" w:themeColor="text1"/>
          <w:szCs w:val="22"/>
          <w:vertAlign w:val="superscript"/>
        </w:rPr>
        <w:t>st</w:t>
      </w:r>
      <w:r w:rsidR="001127EE" w:rsidRPr="00073666">
        <w:rPr>
          <w:rFonts w:ascii="Calibri" w:hAnsi="Calibri" w:cs="Calibri"/>
          <w:color w:val="000000" w:themeColor="text1"/>
          <w:szCs w:val="22"/>
        </w:rPr>
        <w:t xml:space="preserve"> March 2020. To achieve 90-day follow-up the end of </w:t>
      </w:r>
      <w:r w:rsidR="00100408" w:rsidRPr="00073666">
        <w:rPr>
          <w:rFonts w:ascii="Calibri" w:hAnsi="Calibri" w:cs="Calibri"/>
          <w:color w:val="000000" w:themeColor="text1"/>
          <w:szCs w:val="22"/>
        </w:rPr>
        <w:t xml:space="preserve">patient data collection </w:t>
      </w:r>
      <w:r w:rsidR="001127EE" w:rsidRPr="00073666">
        <w:rPr>
          <w:rFonts w:ascii="Calibri" w:hAnsi="Calibri" w:cs="Calibri"/>
          <w:color w:val="000000" w:themeColor="text1"/>
          <w:szCs w:val="22"/>
        </w:rPr>
        <w:t>will thus be</w:t>
      </w:r>
      <w:r w:rsidR="00100408" w:rsidRPr="00073666">
        <w:rPr>
          <w:rFonts w:ascii="Calibri" w:hAnsi="Calibri" w:cs="Calibri"/>
          <w:color w:val="000000" w:themeColor="text1"/>
          <w:szCs w:val="22"/>
        </w:rPr>
        <w:t xml:space="preserve"> approximately</w:t>
      </w:r>
      <w:r w:rsidR="001127EE" w:rsidRPr="00073666">
        <w:rPr>
          <w:rFonts w:ascii="Calibri" w:hAnsi="Calibri" w:cs="Calibri"/>
          <w:color w:val="000000" w:themeColor="text1"/>
          <w:szCs w:val="22"/>
        </w:rPr>
        <w:t xml:space="preserve"> 30</w:t>
      </w:r>
      <w:r w:rsidR="001127EE" w:rsidRPr="00073666">
        <w:rPr>
          <w:rFonts w:ascii="Calibri" w:hAnsi="Calibri" w:cs="Calibri"/>
          <w:color w:val="000000" w:themeColor="text1"/>
          <w:szCs w:val="22"/>
          <w:vertAlign w:val="superscript"/>
        </w:rPr>
        <w:t>th</w:t>
      </w:r>
      <w:r w:rsidR="001127EE" w:rsidRPr="00073666">
        <w:rPr>
          <w:rFonts w:ascii="Calibri" w:hAnsi="Calibri" w:cs="Calibri"/>
          <w:color w:val="000000" w:themeColor="text1"/>
          <w:szCs w:val="22"/>
        </w:rPr>
        <w:t xml:space="preserve"> June 2020</w:t>
      </w:r>
      <w:r w:rsidR="00100408" w:rsidRPr="00073666">
        <w:rPr>
          <w:rFonts w:ascii="Calibri" w:hAnsi="Calibri" w:cs="Calibri"/>
          <w:color w:val="000000" w:themeColor="text1"/>
          <w:szCs w:val="22"/>
        </w:rPr>
        <w:t xml:space="preserve"> (it may be longer if some enrolled patients remain an inpatient, in order to record inpatient mortality and re-admission to ICU). </w:t>
      </w:r>
    </w:p>
    <w:p w14:paraId="3742F594" w14:textId="1ED40576" w:rsidR="001127EE" w:rsidRPr="00073666" w:rsidRDefault="001127EE" w:rsidP="00997241">
      <w:pPr>
        <w:rPr>
          <w:rFonts w:ascii="Calibri" w:hAnsi="Calibri" w:cs="Calibri"/>
          <w:color w:val="000000" w:themeColor="text1"/>
          <w:szCs w:val="22"/>
        </w:rPr>
      </w:pPr>
    </w:p>
    <w:p w14:paraId="46E23969" w14:textId="4FD98692" w:rsidR="001127EE" w:rsidRPr="00073666" w:rsidRDefault="001127EE" w:rsidP="00997241">
      <w:pPr>
        <w:rPr>
          <w:rFonts w:ascii="Calibri" w:hAnsi="Calibri" w:cs="Calibri"/>
          <w:color w:val="000000" w:themeColor="text1"/>
          <w:szCs w:val="22"/>
        </w:rPr>
      </w:pPr>
      <w:r w:rsidRPr="00073666">
        <w:rPr>
          <w:rFonts w:ascii="Calibri" w:hAnsi="Calibri" w:cs="Calibri"/>
          <w:color w:val="000000" w:themeColor="text1"/>
          <w:szCs w:val="22"/>
        </w:rPr>
        <w:t>After the influenza season, the stored BAL and serum samples will be tested</w:t>
      </w:r>
      <w:r w:rsidR="00121126" w:rsidRPr="00073666">
        <w:rPr>
          <w:rFonts w:ascii="Calibri" w:hAnsi="Calibri" w:cs="Calibri"/>
          <w:color w:val="000000" w:themeColor="text1"/>
          <w:szCs w:val="22"/>
        </w:rPr>
        <w:t xml:space="preserve"> </w:t>
      </w:r>
      <w:r w:rsidR="00121126" w:rsidRPr="00073666">
        <w:rPr>
          <w:rFonts w:ascii="Calibri" w:hAnsi="Calibri" w:cs="Calibri"/>
          <w:i/>
          <w:color w:val="000000" w:themeColor="text1"/>
          <w:szCs w:val="22"/>
        </w:rPr>
        <w:t>retrospectively</w:t>
      </w:r>
      <w:r w:rsidR="007D5EB8" w:rsidRPr="00073666">
        <w:rPr>
          <w:rFonts w:ascii="Calibri" w:hAnsi="Calibri" w:cs="Calibri"/>
          <w:color w:val="000000" w:themeColor="text1"/>
          <w:szCs w:val="22"/>
        </w:rPr>
        <w:t xml:space="preserve"> in parallel</w:t>
      </w:r>
      <w:r w:rsidRPr="00073666">
        <w:rPr>
          <w:rFonts w:ascii="Calibri" w:hAnsi="Calibri" w:cs="Calibri"/>
          <w:color w:val="000000" w:themeColor="text1"/>
          <w:szCs w:val="22"/>
        </w:rPr>
        <w:t xml:space="preserve"> </w:t>
      </w:r>
      <w:r w:rsidR="00DF0702" w:rsidRPr="00073666">
        <w:rPr>
          <w:rFonts w:ascii="Calibri" w:hAnsi="Calibri" w:cs="Calibri"/>
          <w:color w:val="000000" w:themeColor="text1"/>
          <w:szCs w:val="22"/>
        </w:rPr>
        <w:t xml:space="preserve">by </w:t>
      </w:r>
      <w:r w:rsidRPr="00073666">
        <w:rPr>
          <w:rFonts w:ascii="Calibri" w:hAnsi="Calibri" w:cs="Calibri"/>
          <w:color w:val="000000" w:themeColor="text1"/>
          <w:szCs w:val="22"/>
        </w:rPr>
        <w:t>both galactomannan</w:t>
      </w:r>
      <w:r w:rsidR="00DF0702" w:rsidRPr="00073666">
        <w:rPr>
          <w:rFonts w:ascii="Calibri" w:hAnsi="Calibri" w:cs="Calibri"/>
          <w:color w:val="000000" w:themeColor="text1"/>
          <w:szCs w:val="22"/>
        </w:rPr>
        <w:t xml:space="preserve"> EIA</w:t>
      </w:r>
      <w:r w:rsidRPr="00073666">
        <w:rPr>
          <w:rFonts w:ascii="Calibri" w:hAnsi="Calibri" w:cs="Calibri"/>
          <w:color w:val="000000" w:themeColor="text1"/>
          <w:szCs w:val="22"/>
        </w:rPr>
        <w:t xml:space="preserve"> and by the </w:t>
      </w:r>
      <w:proofErr w:type="spellStart"/>
      <w:r w:rsidRPr="00073666">
        <w:rPr>
          <w:rFonts w:ascii="Calibri" w:hAnsi="Calibri" w:cs="Calibri"/>
          <w:color w:val="000000" w:themeColor="text1"/>
          <w:szCs w:val="22"/>
        </w:rPr>
        <w:t>AspLFD</w:t>
      </w:r>
      <w:proofErr w:type="spellEnd"/>
      <w:r w:rsidR="00121126" w:rsidRPr="00073666">
        <w:rPr>
          <w:rFonts w:ascii="Calibri" w:hAnsi="Calibri" w:cs="Calibri"/>
          <w:color w:val="000000" w:themeColor="text1"/>
          <w:szCs w:val="22"/>
        </w:rPr>
        <w:t xml:space="preserve"> </w:t>
      </w:r>
      <w:r w:rsidR="00100408" w:rsidRPr="00073666">
        <w:rPr>
          <w:rFonts w:ascii="Calibri" w:hAnsi="Calibri" w:cs="Calibri"/>
          <w:color w:val="000000" w:themeColor="text1"/>
          <w:szCs w:val="22"/>
        </w:rPr>
        <w:t>(</w:t>
      </w:r>
      <w:r w:rsidR="00FB306A" w:rsidRPr="00073666">
        <w:rPr>
          <w:rFonts w:ascii="Calibri" w:hAnsi="Calibri" w:cs="Calibri"/>
          <w:color w:val="000000" w:themeColor="text1"/>
          <w:lang w:val="en-US" w:eastAsia="en-GB"/>
        </w:rPr>
        <w:t>see ‘</w:t>
      </w:r>
      <w:r w:rsidR="00FB306A" w:rsidRPr="00073666">
        <w:rPr>
          <w:rFonts w:ascii="Calibri" w:hAnsi="Calibri" w:cs="Calibri"/>
          <w:szCs w:val="22"/>
        </w:rPr>
        <w:t xml:space="preserve">7.3.4 </w:t>
      </w:r>
      <w:r w:rsidR="00FB306A" w:rsidRPr="00073666">
        <w:rPr>
          <w:rFonts w:ascii="Calibri" w:hAnsi="Calibri" w:cstheme="minorHAnsi"/>
          <w:szCs w:val="22"/>
        </w:rPr>
        <w:t xml:space="preserve">Biological </w:t>
      </w:r>
      <w:r w:rsidR="00FB306A" w:rsidRPr="00073666">
        <w:rPr>
          <w:rFonts w:ascii="Calibri" w:hAnsi="Calibri" w:cstheme="minorHAnsi"/>
          <w:bCs/>
          <w:szCs w:val="22"/>
        </w:rPr>
        <w:t>Sample Handling</w:t>
      </w:r>
      <w:r w:rsidR="00FB306A" w:rsidRPr="00073666">
        <w:rPr>
          <w:rFonts w:ascii="Calibri" w:hAnsi="Calibri" w:cs="Calibri"/>
          <w:szCs w:val="22"/>
        </w:rPr>
        <w:t>’</w:t>
      </w:r>
      <w:r w:rsidR="00100408" w:rsidRPr="00073666">
        <w:rPr>
          <w:rFonts w:ascii="Calibri" w:hAnsi="Calibri" w:cs="Calibri"/>
          <w:color w:val="000000" w:themeColor="text1"/>
          <w:szCs w:val="22"/>
        </w:rPr>
        <w:t>)</w:t>
      </w:r>
      <w:r w:rsidRPr="00073666">
        <w:rPr>
          <w:rFonts w:ascii="Calibri" w:hAnsi="Calibri" w:cs="Calibri"/>
          <w:color w:val="000000" w:themeColor="text1"/>
          <w:szCs w:val="22"/>
        </w:rPr>
        <w:t>.</w:t>
      </w:r>
      <w:r w:rsidR="005C2CA7" w:rsidRPr="00073666">
        <w:rPr>
          <w:rFonts w:ascii="Calibri" w:hAnsi="Calibri" w:cs="Calibri"/>
          <w:color w:val="000000" w:themeColor="text1"/>
          <w:szCs w:val="22"/>
        </w:rPr>
        <w:t xml:space="preserve"> This testing will be done by</w:t>
      </w:r>
      <w:r w:rsidR="008F4EFB" w:rsidRPr="00073666">
        <w:rPr>
          <w:rFonts w:ascii="Calibri" w:hAnsi="Calibri" w:cs="Calibri"/>
          <w:color w:val="000000" w:themeColor="text1"/>
          <w:szCs w:val="22"/>
        </w:rPr>
        <w:t xml:space="preserve"> a </w:t>
      </w:r>
      <w:r w:rsidR="005C2CA7" w:rsidRPr="00073666">
        <w:rPr>
          <w:rFonts w:ascii="Calibri" w:hAnsi="Calibri" w:cs="Calibri"/>
          <w:color w:val="000000" w:themeColor="text1"/>
          <w:szCs w:val="22"/>
        </w:rPr>
        <w:t xml:space="preserve">member of the research team blinded to the </w:t>
      </w:r>
      <w:proofErr w:type="spellStart"/>
      <w:r w:rsidR="005C2CA7" w:rsidRPr="00073666">
        <w:rPr>
          <w:rFonts w:ascii="Calibri" w:hAnsi="Calibri" w:cs="Calibri"/>
          <w:color w:val="000000" w:themeColor="text1"/>
          <w:szCs w:val="22"/>
        </w:rPr>
        <w:t>AspICU</w:t>
      </w:r>
      <w:proofErr w:type="spellEnd"/>
      <w:r w:rsidR="005C2CA7" w:rsidRPr="00073666">
        <w:rPr>
          <w:rFonts w:ascii="Calibri" w:hAnsi="Calibri" w:cs="Calibri"/>
          <w:color w:val="000000" w:themeColor="text1"/>
          <w:szCs w:val="22"/>
        </w:rPr>
        <w:t xml:space="preserve"> IA classification of the patient.</w:t>
      </w:r>
    </w:p>
    <w:p w14:paraId="43179A60" w14:textId="7B8A2186" w:rsidR="001E7DCB" w:rsidRPr="00073666" w:rsidRDefault="001E7DCB" w:rsidP="00997241">
      <w:pPr>
        <w:rPr>
          <w:rFonts w:ascii="Calibri" w:hAnsi="Calibri" w:cs="Calibri"/>
          <w:b/>
          <w:color w:val="0000FF"/>
          <w:szCs w:val="22"/>
        </w:rPr>
      </w:pPr>
    </w:p>
    <w:p w14:paraId="7D350AE9" w14:textId="4B323756" w:rsidR="001E7DCB" w:rsidRPr="00073666" w:rsidRDefault="001E7DCB" w:rsidP="001E7DCB">
      <w:pPr>
        <w:rPr>
          <w:rFonts w:ascii="Calibri" w:hAnsi="Calibri" w:cs="Calibri"/>
          <w:color w:val="000000" w:themeColor="text1"/>
          <w:szCs w:val="22"/>
        </w:rPr>
      </w:pPr>
      <w:r w:rsidRPr="00073666">
        <w:rPr>
          <w:rFonts w:ascii="Calibri" w:hAnsi="Calibri" w:cs="Calibri"/>
          <w:color w:val="000000" w:themeColor="text1"/>
          <w:szCs w:val="22"/>
        </w:rPr>
        <w:t>For the primary analysis the incidence of IA</w:t>
      </w:r>
      <w:r w:rsidR="001731E0" w:rsidRPr="00073666">
        <w:rPr>
          <w:rFonts w:ascii="Calibri" w:hAnsi="Calibri" w:cs="Calibri"/>
          <w:color w:val="000000" w:themeColor="text1"/>
          <w:szCs w:val="22"/>
        </w:rPr>
        <w:t xml:space="preserve"> </w:t>
      </w:r>
      <w:r w:rsidRPr="00073666">
        <w:rPr>
          <w:rFonts w:ascii="Calibri" w:hAnsi="Calibri" w:cs="Calibri"/>
          <w:color w:val="000000" w:themeColor="text1"/>
          <w:szCs w:val="22"/>
        </w:rPr>
        <w:t xml:space="preserve">in the study cohort </w:t>
      </w:r>
      <w:r w:rsidR="00855611" w:rsidRPr="00073666">
        <w:rPr>
          <w:rFonts w:ascii="Calibri" w:hAnsi="Calibri" w:cs="Calibri"/>
          <w:color w:val="000000" w:themeColor="text1"/>
          <w:szCs w:val="22"/>
        </w:rPr>
        <w:t xml:space="preserve">during ICU </w:t>
      </w:r>
      <w:r w:rsidR="00970DDA" w:rsidRPr="00073666">
        <w:rPr>
          <w:rFonts w:ascii="Calibri" w:hAnsi="Calibri" w:cs="Calibri"/>
          <w:color w:val="000000" w:themeColor="text1"/>
          <w:szCs w:val="22"/>
        </w:rPr>
        <w:t>stay</w:t>
      </w:r>
      <w:r w:rsidR="00855611" w:rsidRPr="00073666">
        <w:rPr>
          <w:rFonts w:ascii="Calibri" w:hAnsi="Calibri" w:cs="Calibri"/>
          <w:color w:val="000000" w:themeColor="text1"/>
          <w:szCs w:val="22"/>
        </w:rPr>
        <w:t xml:space="preserve"> </w:t>
      </w:r>
      <w:r w:rsidR="006D2171" w:rsidRPr="00073666">
        <w:rPr>
          <w:rFonts w:ascii="Calibri" w:hAnsi="Calibri" w:cs="Calibri"/>
          <w:color w:val="000000" w:themeColor="text1"/>
          <w:szCs w:val="22"/>
        </w:rPr>
        <w:t xml:space="preserve">will be determined as per </w:t>
      </w:r>
      <w:r w:rsidRPr="00073666">
        <w:rPr>
          <w:rFonts w:ascii="Calibri" w:hAnsi="Calibri" w:cs="Calibri"/>
          <w:color w:val="000000" w:themeColor="text1"/>
          <w:szCs w:val="22"/>
        </w:rPr>
        <w:t xml:space="preserve">modified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w:t>
      </w:r>
      <w:r w:rsidR="00DD7B4D" w:rsidRPr="00073666">
        <w:rPr>
          <w:rFonts w:ascii="Calibri" w:hAnsi="Calibri" w:cs="Calibri"/>
          <w:color w:val="000000" w:themeColor="text1"/>
          <w:szCs w:val="22"/>
        </w:rPr>
        <w:t xml:space="preserve"> </w:t>
      </w:r>
      <w:r w:rsidR="00342C06" w:rsidRPr="00073666">
        <w:rPr>
          <w:rFonts w:ascii="Calibri" w:hAnsi="Calibri" w:cs="Calibri"/>
          <w:color w:val="000000" w:themeColor="text1"/>
          <w:szCs w:val="22"/>
        </w:rPr>
        <w:t>(Table 2</w:t>
      </w:r>
      <w:r w:rsidR="00DD7B4D" w:rsidRPr="00073666">
        <w:rPr>
          <w:rFonts w:ascii="Calibri" w:hAnsi="Calibri" w:cs="Calibri"/>
          <w:color w:val="000000" w:themeColor="text1"/>
          <w:szCs w:val="22"/>
        </w:rPr>
        <w:t>)</w:t>
      </w:r>
      <w:r w:rsidRPr="00073666">
        <w:rPr>
          <w:rFonts w:ascii="Calibri" w:hAnsi="Calibri" w:cs="Calibri"/>
          <w:color w:val="000000" w:themeColor="text1"/>
          <w:szCs w:val="22"/>
        </w:rPr>
        <w:t xml:space="preserve"> </w:t>
      </w:r>
      <w:r w:rsidR="00121126" w:rsidRPr="00073666">
        <w:rPr>
          <w:rFonts w:ascii="Calibri" w:hAnsi="Calibri" w:cs="Calibri"/>
          <w:color w:val="000000" w:themeColor="text1"/>
          <w:szCs w:val="22"/>
        </w:rPr>
        <w:t>incorporating</w:t>
      </w:r>
      <w:r w:rsidRPr="00073666">
        <w:rPr>
          <w:rFonts w:ascii="Calibri" w:hAnsi="Calibri" w:cs="Calibri"/>
          <w:color w:val="000000" w:themeColor="text1"/>
          <w:szCs w:val="22"/>
        </w:rPr>
        <w:t xml:space="preserve"> clinical</w:t>
      </w:r>
      <w:r w:rsidR="00DD7B4D" w:rsidRPr="00073666">
        <w:rPr>
          <w:rFonts w:ascii="Calibri" w:hAnsi="Calibri" w:cs="Calibri"/>
          <w:color w:val="000000" w:themeColor="text1"/>
          <w:szCs w:val="22"/>
        </w:rPr>
        <w:t xml:space="preserve"> and radiologic</w:t>
      </w:r>
      <w:r w:rsidRPr="00073666">
        <w:rPr>
          <w:rFonts w:ascii="Calibri" w:hAnsi="Calibri" w:cs="Calibri"/>
          <w:color w:val="000000" w:themeColor="text1"/>
          <w:szCs w:val="22"/>
        </w:rPr>
        <w:t xml:space="preserve"> data and </w:t>
      </w:r>
      <w:r w:rsidR="00DD7B4D" w:rsidRPr="00073666">
        <w:rPr>
          <w:rFonts w:ascii="Calibri" w:hAnsi="Calibri" w:cs="Calibri"/>
          <w:color w:val="000000" w:themeColor="text1"/>
          <w:szCs w:val="22"/>
        </w:rPr>
        <w:t xml:space="preserve">prospective </w:t>
      </w:r>
      <w:r w:rsidRPr="00073666">
        <w:rPr>
          <w:rFonts w:ascii="Calibri" w:hAnsi="Calibri" w:cs="Calibri"/>
          <w:color w:val="000000" w:themeColor="text1"/>
          <w:szCs w:val="22"/>
        </w:rPr>
        <w:t xml:space="preserve">galactomannan </w:t>
      </w:r>
      <w:r w:rsidR="001127EE" w:rsidRPr="00073666">
        <w:rPr>
          <w:rFonts w:ascii="Calibri" w:hAnsi="Calibri" w:cs="Calibri"/>
          <w:color w:val="000000" w:themeColor="text1"/>
          <w:szCs w:val="22"/>
        </w:rPr>
        <w:t xml:space="preserve">results from </w:t>
      </w:r>
      <w:r w:rsidRPr="00073666">
        <w:rPr>
          <w:rFonts w:ascii="Calibri" w:hAnsi="Calibri" w:cs="Calibri"/>
          <w:color w:val="000000" w:themeColor="text1"/>
          <w:szCs w:val="22"/>
        </w:rPr>
        <w:t>BAL and serum samples (</w:t>
      </w:r>
      <w:r w:rsidRPr="00073666">
        <w:rPr>
          <w:rFonts w:ascii="Calibri" w:hAnsi="Calibri" w:cs="Calibri"/>
          <w:szCs w:val="22"/>
        </w:rPr>
        <w:t xml:space="preserve">see 4.2 </w:t>
      </w:r>
      <w:r w:rsidRPr="00073666">
        <w:rPr>
          <w:rFonts w:ascii="Calibri" w:hAnsi="Calibri" w:cs="Calibri"/>
          <w:bCs/>
          <w:szCs w:val="22"/>
        </w:rPr>
        <w:t>Outcomes)</w:t>
      </w:r>
      <w:r w:rsidRPr="00073666">
        <w:rPr>
          <w:rFonts w:ascii="Calibri" w:hAnsi="Calibri" w:cs="Calibri"/>
          <w:color w:val="000000" w:themeColor="text1"/>
          <w:szCs w:val="22"/>
        </w:rPr>
        <w:t>.</w:t>
      </w:r>
      <w:r w:rsidR="00121126" w:rsidRPr="00073666">
        <w:rPr>
          <w:rFonts w:ascii="Calibri" w:hAnsi="Calibri" w:cs="Calibri"/>
          <w:color w:val="000000" w:themeColor="text1"/>
          <w:szCs w:val="22"/>
        </w:rPr>
        <w:t xml:space="preserve"> </w:t>
      </w:r>
      <w:r w:rsidRPr="00073666">
        <w:rPr>
          <w:rFonts w:ascii="Calibri" w:hAnsi="Calibri" w:cs="Calibri"/>
          <w:color w:val="000000" w:themeColor="text1"/>
          <w:szCs w:val="22"/>
        </w:rPr>
        <w:t xml:space="preserve">Risk factors for the development of IA and morbidity of IA will also be assessed (see </w:t>
      </w:r>
      <w:r w:rsidR="00FB306A" w:rsidRPr="00073666">
        <w:rPr>
          <w:rFonts w:ascii="Calibri" w:hAnsi="Calibri" w:cs="Calibri"/>
          <w:color w:val="000000" w:themeColor="text1"/>
          <w:szCs w:val="22"/>
        </w:rPr>
        <w:t>5.5 Data analysis</w:t>
      </w:r>
      <w:r w:rsidRPr="00073666">
        <w:rPr>
          <w:rFonts w:ascii="Calibri" w:hAnsi="Calibri" w:cs="Calibri"/>
          <w:color w:val="000000" w:themeColor="text1"/>
          <w:szCs w:val="22"/>
        </w:rPr>
        <w:t>).</w:t>
      </w:r>
    </w:p>
    <w:p w14:paraId="7D92A348" w14:textId="77777777" w:rsidR="001E7DCB" w:rsidRPr="00073666" w:rsidRDefault="001E7DCB" w:rsidP="001E7DCB">
      <w:pPr>
        <w:rPr>
          <w:rFonts w:ascii="Calibri" w:hAnsi="Calibri" w:cs="Calibri"/>
          <w:b/>
          <w:bCs/>
          <w:szCs w:val="22"/>
        </w:rPr>
      </w:pPr>
    </w:p>
    <w:p w14:paraId="232D04EB" w14:textId="722D253B" w:rsidR="008A7EBE" w:rsidRPr="00073666" w:rsidRDefault="001E7DCB" w:rsidP="008A7EBE">
      <w:pPr>
        <w:rPr>
          <w:rFonts w:ascii="Calibri" w:hAnsi="Calibri" w:cs="Calibri"/>
          <w:color w:val="000000" w:themeColor="text1"/>
          <w:szCs w:val="22"/>
        </w:rPr>
      </w:pPr>
      <w:r w:rsidRPr="00073666">
        <w:rPr>
          <w:rFonts w:ascii="Calibri" w:hAnsi="Calibri" w:cs="Calibri"/>
          <w:color w:val="000000" w:themeColor="text1"/>
          <w:szCs w:val="22"/>
        </w:rPr>
        <w:t>As a secondary analysis</w:t>
      </w:r>
      <w:r w:rsidR="00584DCF" w:rsidRPr="00073666">
        <w:rPr>
          <w:rFonts w:ascii="Calibri" w:hAnsi="Calibri" w:cs="Calibri"/>
          <w:color w:val="000000" w:themeColor="text1"/>
          <w:szCs w:val="22"/>
        </w:rPr>
        <w:t>,</w:t>
      </w:r>
      <w:r w:rsidRPr="00073666">
        <w:rPr>
          <w:rFonts w:ascii="Calibri" w:hAnsi="Calibri" w:cs="Calibri"/>
          <w:color w:val="000000" w:themeColor="text1"/>
          <w:szCs w:val="22"/>
        </w:rPr>
        <w:t xml:space="preserve"> an evaluation of the </w:t>
      </w:r>
      <w:proofErr w:type="spellStart"/>
      <w:r w:rsidRPr="00073666">
        <w:rPr>
          <w:rFonts w:ascii="Calibri" w:hAnsi="Calibri" w:cs="Calibri"/>
          <w:color w:val="000000" w:themeColor="text1"/>
          <w:szCs w:val="22"/>
        </w:rPr>
        <w:t>AspLFD</w:t>
      </w:r>
      <w:proofErr w:type="spellEnd"/>
      <w:r w:rsidRPr="00073666">
        <w:rPr>
          <w:rFonts w:ascii="Calibri" w:hAnsi="Calibri" w:cs="Calibri"/>
          <w:color w:val="000000" w:themeColor="text1"/>
          <w:szCs w:val="22"/>
        </w:rPr>
        <w:t xml:space="preserve"> will be performed</w:t>
      </w:r>
      <w:r w:rsidR="001127EE" w:rsidRPr="00073666">
        <w:rPr>
          <w:rFonts w:ascii="Calibri" w:hAnsi="Calibri" w:cs="Calibri"/>
          <w:color w:val="000000" w:themeColor="text1"/>
          <w:szCs w:val="22"/>
        </w:rPr>
        <w:t xml:space="preserve"> by comparing </w:t>
      </w:r>
      <w:proofErr w:type="spellStart"/>
      <w:r w:rsidR="001127EE" w:rsidRPr="00073666">
        <w:rPr>
          <w:rFonts w:ascii="Calibri" w:hAnsi="Calibri" w:cs="Calibri"/>
          <w:color w:val="000000" w:themeColor="text1"/>
          <w:szCs w:val="22"/>
        </w:rPr>
        <w:t>AspLFD</w:t>
      </w:r>
      <w:proofErr w:type="spellEnd"/>
      <w:r w:rsidR="00584DCF" w:rsidRPr="00073666">
        <w:rPr>
          <w:rFonts w:ascii="Calibri" w:hAnsi="Calibri" w:cs="Calibri"/>
          <w:color w:val="000000" w:themeColor="text1"/>
          <w:szCs w:val="22"/>
        </w:rPr>
        <w:t xml:space="preserve"> results on serum and BAL to the modified </w:t>
      </w:r>
      <w:proofErr w:type="spellStart"/>
      <w:r w:rsidR="00584DCF" w:rsidRPr="00073666">
        <w:rPr>
          <w:rFonts w:ascii="Calibri" w:hAnsi="Calibri" w:cs="Calibri"/>
          <w:color w:val="000000" w:themeColor="text1"/>
          <w:szCs w:val="22"/>
        </w:rPr>
        <w:t>AspICU</w:t>
      </w:r>
      <w:proofErr w:type="spellEnd"/>
      <w:r w:rsidR="00584DCF" w:rsidRPr="00073666">
        <w:rPr>
          <w:rFonts w:ascii="Calibri" w:hAnsi="Calibri" w:cs="Calibri"/>
          <w:color w:val="000000" w:themeColor="text1"/>
          <w:szCs w:val="22"/>
        </w:rPr>
        <w:t xml:space="preserve"> classifications of IA</w:t>
      </w:r>
      <w:r w:rsidR="00B04FD9" w:rsidRPr="00073666">
        <w:rPr>
          <w:rFonts w:ascii="Calibri" w:hAnsi="Calibri" w:cs="Calibri"/>
          <w:color w:val="000000" w:themeColor="text1"/>
          <w:szCs w:val="22"/>
        </w:rPr>
        <w:t xml:space="preserve"> in the cohort</w:t>
      </w:r>
      <w:r w:rsidR="00121126" w:rsidRPr="00073666">
        <w:rPr>
          <w:rFonts w:ascii="Calibri" w:hAnsi="Calibri" w:cs="Calibri"/>
          <w:color w:val="000000" w:themeColor="text1"/>
          <w:szCs w:val="22"/>
        </w:rPr>
        <w:t>. For this analysis, if there is a discrepancy between a BAL/serum galactomannan result performed prospectively as part of routine clinical care and the result from the retrospective testing</w:t>
      </w:r>
      <w:r w:rsidR="008A7EBE" w:rsidRPr="00073666">
        <w:rPr>
          <w:rFonts w:ascii="Calibri" w:hAnsi="Calibri" w:cs="Calibri"/>
          <w:color w:val="000000" w:themeColor="text1"/>
          <w:szCs w:val="22"/>
        </w:rPr>
        <w:t>, then</w:t>
      </w:r>
      <w:r w:rsidR="00121126" w:rsidRPr="00073666">
        <w:rPr>
          <w:rFonts w:ascii="Calibri" w:hAnsi="Calibri" w:cs="Calibri"/>
          <w:color w:val="000000" w:themeColor="text1"/>
          <w:szCs w:val="22"/>
        </w:rPr>
        <w:t xml:space="preserve"> </w:t>
      </w:r>
      <w:r w:rsidR="008A7EBE" w:rsidRPr="00073666">
        <w:rPr>
          <w:rFonts w:ascii="Calibri" w:hAnsi="Calibri" w:cs="Calibri"/>
          <w:color w:val="000000" w:themeColor="text1"/>
          <w:szCs w:val="22"/>
        </w:rPr>
        <w:t>the retrospective result will be used.</w:t>
      </w:r>
      <w:r w:rsidR="00480F31" w:rsidRPr="00073666">
        <w:rPr>
          <w:rFonts w:ascii="Calibri" w:hAnsi="Calibri" w:cs="Calibri"/>
          <w:color w:val="000000" w:themeColor="text1"/>
          <w:szCs w:val="22"/>
        </w:rPr>
        <w:t xml:space="preserve"> </w:t>
      </w:r>
      <w:r w:rsidR="00480F31" w:rsidRPr="00073666">
        <w:rPr>
          <w:rFonts w:ascii="Calibri" w:hAnsi="Calibri" w:cstheme="minorHAnsi"/>
          <w:szCs w:val="22"/>
        </w:rPr>
        <w:t>In the event that there is sample degradation over time, parallel testing will reduce the chance that this effect will impact on the measured performance of one test more than the other.</w:t>
      </w:r>
    </w:p>
    <w:p w14:paraId="73B0C20C" w14:textId="77777777" w:rsidR="008A7EBE" w:rsidRPr="00073666" w:rsidRDefault="008A7EBE" w:rsidP="008A7EBE">
      <w:pPr>
        <w:rPr>
          <w:rFonts w:ascii="Calibri" w:hAnsi="Calibri" w:cs="Calibri"/>
          <w:color w:val="000000" w:themeColor="text1"/>
          <w:szCs w:val="22"/>
        </w:rPr>
      </w:pPr>
    </w:p>
    <w:p w14:paraId="330EBFF4" w14:textId="0CD31590" w:rsidR="00584DCF" w:rsidRPr="00073666" w:rsidRDefault="00584DCF" w:rsidP="008A7EBE">
      <w:pPr>
        <w:rPr>
          <w:rFonts w:ascii="Calibri" w:hAnsi="Calibri" w:cs="Calibri"/>
          <w:color w:val="000000" w:themeColor="text1"/>
          <w:szCs w:val="22"/>
        </w:rPr>
      </w:pPr>
      <w:r w:rsidRPr="00073666">
        <w:rPr>
          <w:rFonts w:ascii="Calibri" w:hAnsi="Calibri" w:cs="Calibri"/>
          <w:color w:val="000000" w:themeColor="text1"/>
          <w:szCs w:val="22"/>
        </w:rPr>
        <w:t xml:space="preserve">Subsequent to a successful </w:t>
      </w:r>
      <w:r w:rsidR="00A00E5A" w:rsidRPr="00073666">
        <w:rPr>
          <w:rFonts w:ascii="Calibri" w:hAnsi="Calibri" w:cs="Calibri"/>
          <w:color w:val="000000" w:themeColor="text1"/>
          <w:szCs w:val="22"/>
        </w:rPr>
        <w:t>MRC</w:t>
      </w:r>
      <w:r w:rsidRPr="00073666">
        <w:rPr>
          <w:rFonts w:ascii="Calibri" w:hAnsi="Calibri" w:cs="Calibri"/>
          <w:color w:val="000000" w:themeColor="text1"/>
          <w:szCs w:val="22"/>
        </w:rPr>
        <w:t xml:space="preserve">/NHIR funding </w:t>
      </w:r>
      <w:r w:rsidR="009D6721" w:rsidRPr="00073666">
        <w:rPr>
          <w:rFonts w:ascii="Calibri" w:hAnsi="Calibri" w:cs="Calibri"/>
          <w:color w:val="000000" w:themeColor="text1"/>
          <w:szCs w:val="22"/>
        </w:rPr>
        <w:t xml:space="preserve">grant application </w:t>
      </w:r>
      <w:r w:rsidRPr="00073666">
        <w:rPr>
          <w:rFonts w:ascii="Calibri" w:hAnsi="Calibri" w:cs="Calibri"/>
          <w:color w:val="000000" w:themeColor="text1"/>
          <w:szCs w:val="22"/>
        </w:rPr>
        <w:t>clinical data and stored blood</w:t>
      </w:r>
      <w:r w:rsidR="00B04FD9" w:rsidRPr="00073666">
        <w:rPr>
          <w:rFonts w:ascii="Calibri" w:hAnsi="Calibri" w:cs="Calibri"/>
          <w:color w:val="000000" w:themeColor="text1"/>
          <w:szCs w:val="22"/>
        </w:rPr>
        <w:t>/</w:t>
      </w:r>
      <w:r w:rsidRPr="00073666">
        <w:rPr>
          <w:rFonts w:ascii="Calibri" w:hAnsi="Calibri" w:cs="Calibri"/>
          <w:color w:val="000000" w:themeColor="text1"/>
          <w:szCs w:val="22"/>
        </w:rPr>
        <w:t xml:space="preserve">BAL samples will be used in a series of </w:t>
      </w:r>
      <w:r w:rsidRPr="00073666">
        <w:rPr>
          <w:rFonts w:ascii="Calibri" w:hAnsi="Calibri" w:cs="Calibri"/>
          <w:color w:val="000000" w:themeColor="text1"/>
        </w:rPr>
        <w:t xml:space="preserve">sub-studies to </w:t>
      </w:r>
      <w:r w:rsidRPr="00073666">
        <w:rPr>
          <w:rFonts w:ascii="Calibri" w:hAnsi="Calibri" w:cs="Calibri"/>
          <w:color w:val="000000" w:themeColor="text1"/>
          <w:szCs w:val="22"/>
        </w:rPr>
        <w:t xml:space="preserve">improve understanding of immunopathogenesis of IAA. This will involve </w:t>
      </w:r>
      <w:r w:rsidRPr="00073666">
        <w:rPr>
          <w:rFonts w:ascii="Calibri" w:hAnsi="Calibri" w:cs="Calibri"/>
          <w:i/>
          <w:color w:val="000000" w:themeColor="text1"/>
          <w:szCs w:val="22"/>
        </w:rPr>
        <w:t>ex vivo</w:t>
      </w:r>
      <w:r w:rsidR="00DD7B4D" w:rsidRPr="00073666">
        <w:rPr>
          <w:rFonts w:ascii="Calibri" w:hAnsi="Calibri" w:cs="Calibri"/>
          <w:color w:val="000000" w:themeColor="text1"/>
          <w:szCs w:val="22"/>
        </w:rPr>
        <w:t xml:space="preserve"> PBMC analysis using flow cytometry and stimulation with Aspergillus </w:t>
      </w:r>
      <w:r w:rsidR="00DD7B4D" w:rsidRPr="00073666">
        <w:rPr>
          <w:rFonts w:ascii="Calibri" w:hAnsi="Calibri" w:cs="Calibri"/>
          <w:color w:val="000000" w:themeColor="text1"/>
          <w:szCs w:val="22"/>
        </w:rPr>
        <w:lastRenderedPageBreak/>
        <w:t>antigens</w:t>
      </w:r>
      <w:r w:rsidRPr="00073666">
        <w:rPr>
          <w:rFonts w:ascii="Calibri" w:hAnsi="Calibri" w:cs="Calibri"/>
          <w:color w:val="000000" w:themeColor="text1"/>
          <w:szCs w:val="22"/>
        </w:rPr>
        <w:t>, measurement of serum and bronchoalveolar lavage (BAL) cytokines and targeted immune gene sequencing</w:t>
      </w:r>
      <w:r w:rsidR="00DD7B4D" w:rsidRPr="00073666">
        <w:rPr>
          <w:rFonts w:ascii="Calibri" w:hAnsi="Calibri" w:cs="Calibri"/>
          <w:color w:val="000000" w:themeColor="text1"/>
          <w:szCs w:val="22"/>
        </w:rPr>
        <w:t>.</w:t>
      </w:r>
    </w:p>
    <w:p w14:paraId="56179738" w14:textId="77777777" w:rsidR="00584DCF" w:rsidRPr="00073666" w:rsidRDefault="00584DCF" w:rsidP="00584DCF">
      <w:pPr>
        <w:spacing w:after="160" w:line="259" w:lineRule="auto"/>
        <w:rPr>
          <w:rFonts w:ascii="Calibri" w:hAnsi="Calibri" w:cs="Calibri"/>
          <w:color w:val="000000" w:themeColor="text1"/>
        </w:rPr>
      </w:pPr>
    </w:p>
    <w:p w14:paraId="59EA0A52" w14:textId="7167081E" w:rsidR="00584DCF" w:rsidRPr="00073666" w:rsidRDefault="00D051D4" w:rsidP="00584DCF">
      <w:pPr>
        <w:rPr>
          <w:rFonts w:ascii="Calibri" w:hAnsi="Calibri" w:cs="Calibri"/>
          <w:b/>
          <w:szCs w:val="22"/>
        </w:rPr>
      </w:pPr>
      <w:r w:rsidRPr="00073666">
        <w:rPr>
          <w:rFonts w:ascii="Calibri" w:hAnsi="Calibri" w:cs="Calibri"/>
          <w:b/>
          <w:szCs w:val="22"/>
        </w:rPr>
        <w:t xml:space="preserve">5.3 </w:t>
      </w:r>
      <w:r w:rsidR="00584DCF" w:rsidRPr="00073666">
        <w:rPr>
          <w:rFonts w:ascii="Calibri" w:hAnsi="Calibri" w:cs="Calibri"/>
          <w:b/>
          <w:szCs w:val="22"/>
        </w:rPr>
        <w:t>DATA COLLECTION</w:t>
      </w:r>
    </w:p>
    <w:p w14:paraId="43E35E8D" w14:textId="77777777" w:rsidR="00584DCF" w:rsidRPr="00073666" w:rsidRDefault="00584DCF" w:rsidP="00584DCF">
      <w:pPr>
        <w:rPr>
          <w:rFonts w:ascii="Calibri" w:hAnsi="Calibri" w:cs="Calibri"/>
          <w:b/>
          <w:szCs w:val="22"/>
        </w:rPr>
      </w:pPr>
    </w:p>
    <w:p w14:paraId="2432B692" w14:textId="2CB7DB8E" w:rsidR="00C10ACE" w:rsidRPr="00073666" w:rsidRDefault="00584DCF" w:rsidP="00C10ACE">
      <w:pPr>
        <w:spacing w:after="160" w:line="259" w:lineRule="auto"/>
        <w:rPr>
          <w:rFonts w:ascii="Calibri" w:hAnsi="Calibri" w:cs="Calibri"/>
          <w:color w:val="000000"/>
          <w:szCs w:val="22"/>
        </w:rPr>
      </w:pPr>
      <w:r w:rsidRPr="00073666">
        <w:rPr>
          <w:rFonts w:ascii="Calibri" w:hAnsi="Calibri" w:cs="Calibri"/>
          <w:szCs w:val="22"/>
        </w:rPr>
        <w:t xml:space="preserve">Demographic and clinical data, including </w:t>
      </w:r>
      <w:r w:rsidR="008F4EFB" w:rsidRPr="00073666">
        <w:rPr>
          <w:rFonts w:ascii="Calibri" w:hAnsi="Calibri" w:cs="Calibri"/>
          <w:szCs w:val="22"/>
        </w:rPr>
        <w:t>in</w:t>
      </w:r>
      <w:r w:rsidRPr="00073666">
        <w:rPr>
          <w:rFonts w:ascii="Calibri" w:hAnsi="Calibri" w:cs="Calibri"/>
          <w:szCs w:val="22"/>
        </w:rPr>
        <w:t xml:space="preserve">clusion and exclusion criteria, EORTC and </w:t>
      </w:r>
      <w:proofErr w:type="spellStart"/>
      <w:r w:rsidRPr="00073666">
        <w:rPr>
          <w:rFonts w:ascii="Calibri" w:hAnsi="Calibri" w:cs="Calibri"/>
          <w:szCs w:val="22"/>
        </w:rPr>
        <w:t>AspICU</w:t>
      </w:r>
      <w:proofErr w:type="spellEnd"/>
      <w:r w:rsidRPr="00073666">
        <w:rPr>
          <w:rFonts w:ascii="Calibri" w:hAnsi="Calibri" w:cs="Calibri"/>
          <w:szCs w:val="22"/>
        </w:rPr>
        <w:t xml:space="preserve"> criteria, IA</w:t>
      </w:r>
      <w:r w:rsidR="008A7EBE" w:rsidRPr="00073666">
        <w:rPr>
          <w:rFonts w:ascii="Calibri" w:hAnsi="Calibri" w:cs="Calibri"/>
          <w:szCs w:val="22"/>
        </w:rPr>
        <w:t xml:space="preserve"> risk factors</w:t>
      </w:r>
      <w:r w:rsidRPr="00073666">
        <w:rPr>
          <w:rFonts w:ascii="Calibri" w:hAnsi="Calibri" w:cs="Calibri"/>
          <w:szCs w:val="22"/>
        </w:rPr>
        <w:t>, influenza factors and critical illness severity will b</w:t>
      </w:r>
      <w:r w:rsidR="00427FF2" w:rsidRPr="00073666">
        <w:rPr>
          <w:rFonts w:ascii="Calibri" w:hAnsi="Calibri" w:cs="Calibri"/>
          <w:szCs w:val="22"/>
        </w:rPr>
        <w:t>e collected at baseline (Table 3</w:t>
      </w:r>
      <w:r w:rsidRPr="00073666">
        <w:rPr>
          <w:rFonts w:ascii="Calibri" w:hAnsi="Calibri" w:cs="Calibri"/>
          <w:szCs w:val="22"/>
        </w:rPr>
        <w:t>). Outcome measures to be collected will include investigation dates and results (mycological criteria); morbidity and mortality outcome data.</w:t>
      </w:r>
      <w:r w:rsidR="00776D5E" w:rsidRPr="00073666">
        <w:rPr>
          <w:rFonts w:ascii="Calibri" w:hAnsi="Calibri" w:cs="Calibri"/>
          <w:szCs w:val="22"/>
        </w:rPr>
        <w:t xml:space="preserve"> </w:t>
      </w:r>
      <w:r w:rsidR="00776D5E" w:rsidRPr="00073666">
        <w:rPr>
          <w:rFonts w:ascii="Calibri" w:hAnsi="Calibri" w:cs="Calibri"/>
          <w:color w:val="000000" w:themeColor="text1"/>
          <w:szCs w:val="22"/>
        </w:rPr>
        <w:t>Risk factors to be elicited from baseline collected clinical</w:t>
      </w:r>
      <w:r w:rsidR="00427FF2" w:rsidRPr="00073666">
        <w:rPr>
          <w:rFonts w:ascii="Calibri" w:hAnsi="Calibri" w:cs="Calibri"/>
          <w:color w:val="000000" w:themeColor="text1"/>
          <w:szCs w:val="22"/>
        </w:rPr>
        <w:t xml:space="preserve"> data points (see Table 3</w:t>
      </w:r>
      <w:r w:rsidR="00DD7B4D" w:rsidRPr="00073666">
        <w:rPr>
          <w:rFonts w:ascii="Calibri" w:hAnsi="Calibri" w:cs="Calibri"/>
          <w:color w:val="000000" w:themeColor="text1"/>
          <w:szCs w:val="22"/>
        </w:rPr>
        <w:t>), including</w:t>
      </w:r>
      <w:r w:rsidR="00776D5E" w:rsidRPr="00073666">
        <w:rPr>
          <w:rFonts w:ascii="Calibri" w:hAnsi="Calibri" w:cs="Calibri"/>
          <w:color w:val="000000" w:themeColor="text1"/>
          <w:szCs w:val="22"/>
        </w:rPr>
        <w:t xml:space="preserve"> </w:t>
      </w:r>
      <w:r w:rsidR="00776D5E" w:rsidRPr="00073666">
        <w:rPr>
          <w:rFonts w:ascii="Calibri" w:hAnsi="Calibri" w:cs="Calibri"/>
          <w:color w:val="000000"/>
          <w:szCs w:val="22"/>
        </w:rPr>
        <w:t>EORTC / MSG host factors, steroid use and other co-morbidities.</w:t>
      </w:r>
      <w:r w:rsidR="00C10ACE" w:rsidRPr="00073666">
        <w:rPr>
          <w:rFonts w:ascii="Calibri" w:hAnsi="Calibri" w:cs="Calibri"/>
          <w:color w:val="000000"/>
          <w:szCs w:val="22"/>
        </w:rPr>
        <w:t xml:space="preserve"> </w:t>
      </w:r>
      <w:r w:rsidR="00C10ACE" w:rsidRPr="00073666">
        <w:rPr>
          <w:rFonts w:ascii="Calibri" w:hAnsi="Calibri" w:cs="Calibri"/>
          <w:szCs w:val="22"/>
          <w:lang w:val="en-US"/>
        </w:rPr>
        <w:t>All-cause mortality rates at 90 days will be collected using NHS Digital and the Intensive Care National Audit and Research Centre for those discharged prior to 90 days.</w:t>
      </w:r>
    </w:p>
    <w:p w14:paraId="74ACE484" w14:textId="055CDBBF" w:rsidR="00B04FD9" w:rsidRPr="00073666" w:rsidRDefault="00B04FD9" w:rsidP="00B04FD9">
      <w:pPr>
        <w:rPr>
          <w:rFonts w:ascii="Calibri" w:hAnsi="Calibri" w:cs="Calibri"/>
          <w:b/>
          <w:szCs w:val="22"/>
        </w:rPr>
      </w:pPr>
      <w:r w:rsidRPr="00073666">
        <w:rPr>
          <w:rFonts w:ascii="Calibri" w:hAnsi="Calibri" w:cs="Calibri"/>
          <w:color w:val="000000" w:themeColor="text1"/>
          <w:szCs w:val="22"/>
        </w:rPr>
        <w:t xml:space="preserve">Patients enrolled will be allocated a </w:t>
      </w:r>
      <w:r w:rsidRPr="00073666">
        <w:rPr>
          <w:rFonts w:ascii="Calibri" w:hAnsi="Calibri" w:cs="Calibri"/>
          <w:color w:val="000000" w:themeColor="text1"/>
          <w:szCs w:val="22"/>
          <w:lang w:val="en-US" w:eastAsia="en-GB"/>
        </w:rPr>
        <w:t>Participant Study Number (PSN)</w:t>
      </w:r>
      <w:r w:rsidRPr="00073666">
        <w:rPr>
          <w:rFonts w:ascii="Calibri" w:hAnsi="Calibri" w:cs="Calibri"/>
          <w:color w:val="000000" w:themeColor="text1"/>
          <w:szCs w:val="22"/>
        </w:rPr>
        <w:t xml:space="preserve">. Clinical and microbiological data will be entered into an NHS compatible </w:t>
      </w:r>
      <w:proofErr w:type="spellStart"/>
      <w:r w:rsidRPr="00073666">
        <w:rPr>
          <w:rFonts w:ascii="Calibri" w:hAnsi="Calibri" w:cs="Calibri"/>
          <w:color w:val="000000" w:themeColor="text1"/>
          <w:szCs w:val="22"/>
        </w:rPr>
        <w:t>RED</w:t>
      </w:r>
      <w:r w:rsidR="00BD58D7" w:rsidRPr="00073666">
        <w:rPr>
          <w:rFonts w:ascii="Calibri" w:hAnsi="Calibri" w:cs="Calibri"/>
          <w:color w:val="000000" w:themeColor="text1"/>
          <w:szCs w:val="22"/>
        </w:rPr>
        <w:t>C</w:t>
      </w:r>
      <w:r w:rsidRPr="00073666">
        <w:rPr>
          <w:rFonts w:ascii="Calibri" w:hAnsi="Calibri" w:cs="Calibri"/>
          <w:color w:val="000000" w:themeColor="text1"/>
          <w:szCs w:val="22"/>
        </w:rPr>
        <w:t>ap</w:t>
      </w:r>
      <w:proofErr w:type="spellEnd"/>
      <w:r w:rsidR="00BD58D7" w:rsidRPr="00073666">
        <w:rPr>
          <w:rFonts w:ascii="Calibri" w:hAnsi="Calibri" w:cs="Calibri"/>
          <w:szCs w:val="22"/>
        </w:rPr>
        <w:t>™</w:t>
      </w:r>
      <w:r w:rsidRPr="00073666">
        <w:rPr>
          <w:rFonts w:ascii="Calibri" w:hAnsi="Calibri" w:cs="Calibri"/>
          <w:color w:val="000000" w:themeColor="text1"/>
          <w:szCs w:val="22"/>
        </w:rPr>
        <w:t xml:space="preserve"> database using the PSN. </w:t>
      </w:r>
      <w:r w:rsidR="0054713A" w:rsidRPr="00073666">
        <w:rPr>
          <w:rFonts w:ascii="Calibri" w:hAnsi="Calibri" w:cs="Calibri"/>
          <w:color w:val="000000" w:themeColor="text1"/>
          <w:szCs w:val="22"/>
        </w:rPr>
        <w:t xml:space="preserve">A separate log will be kept securely at each site linking the PSN to patient identifiable information (name, date of birth, NHS number); this will take the form of a password-protected, Microsoft Excel spreadsheet saved on a secure server at each site. </w:t>
      </w:r>
      <w:r w:rsidRPr="00073666">
        <w:rPr>
          <w:rFonts w:ascii="Calibri" w:hAnsi="Calibri" w:cs="Calibri"/>
          <w:color w:val="000000" w:themeColor="text1"/>
          <w:szCs w:val="22"/>
        </w:rPr>
        <w:t xml:space="preserve">Research blood samples and </w:t>
      </w:r>
      <w:proofErr w:type="gramStart"/>
      <w:r w:rsidRPr="00073666">
        <w:rPr>
          <w:rFonts w:ascii="Calibri" w:hAnsi="Calibri" w:cs="Calibri"/>
          <w:color w:val="000000" w:themeColor="text1"/>
          <w:szCs w:val="22"/>
        </w:rPr>
        <w:t>left over</w:t>
      </w:r>
      <w:proofErr w:type="gramEnd"/>
      <w:r w:rsidRPr="00073666">
        <w:rPr>
          <w:rFonts w:ascii="Calibri" w:hAnsi="Calibri" w:cs="Calibri"/>
          <w:color w:val="000000" w:themeColor="text1"/>
          <w:szCs w:val="22"/>
        </w:rPr>
        <w:t xml:space="preserve"> BAL samples will be stored using the PSN.</w:t>
      </w:r>
      <w:r w:rsidRPr="00073666">
        <w:rPr>
          <w:rFonts w:ascii="Calibri" w:hAnsi="Calibri" w:cs="Calibri"/>
          <w:color w:val="000000" w:themeColor="text1"/>
          <w:szCs w:val="22"/>
          <w:lang w:val="en-US" w:eastAsia="en-GB"/>
        </w:rPr>
        <w:t xml:space="preserve"> The PSN will not reveal the identity of the patient or the diagnostic classification to laboratory staff undertaking the subsequent laboratory diagnostic evaluation</w:t>
      </w:r>
      <w:r w:rsidR="0098459E" w:rsidRPr="00073666">
        <w:rPr>
          <w:rFonts w:ascii="Calibri" w:hAnsi="Calibri" w:cs="Calibri"/>
          <w:color w:val="000000" w:themeColor="text1"/>
          <w:szCs w:val="22"/>
          <w:lang w:val="en-US" w:eastAsia="en-GB"/>
        </w:rPr>
        <w:t xml:space="preserve"> (see </w:t>
      </w:r>
      <w:r w:rsidRPr="00073666">
        <w:rPr>
          <w:rFonts w:ascii="Calibri" w:hAnsi="Calibri" w:cs="Calibri"/>
          <w:color w:val="000000" w:themeColor="text1"/>
          <w:szCs w:val="22"/>
          <w:lang w:val="en-US" w:eastAsia="en-GB"/>
        </w:rPr>
        <w:t>‘</w:t>
      </w:r>
      <w:r w:rsidRPr="00073666">
        <w:rPr>
          <w:rFonts w:ascii="Calibri" w:hAnsi="Calibri" w:cs="Calibri"/>
          <w:szCs w:val="22"/>
        </w:rPr>
        <w:t>7.3.3 Data collection tool’</w:t>
      </w:r>
      <w:r w:rsidR="0098459E" w:rsidRPr="00073666">
        <w:rPr>
          <w:rFonts w:ascii="Calibri" w:hAnsi="Calibri" w:cs="Calibri"/>
          <w:szCs w:val="22"/>
        </w:rPr>
        <w:t>).</w:t>
      </w:r>
    </w:p>
    <w:p w14:paraId="66549CEC" w14:textId="29DF4027" w:rsidR="00B04FD9" w:rsidRPr="00073666" w:rsidRDefault="00B04FD9" w:rsidP="00B04FD9">
      <w:pPr>
        <w:rPr>
          <w:rFonts w:ascii="Calibri" w:hAnsi="Calibri" w:cs="Calibri"/>
          <w:color w:val="0000FF"/>
          <w:szCs w:val="22"/>
        </w:rPr>
      </w:pPr>
    </w:p>
    <w:p w14:paraId="5AFCA983" w14:textId="29FFDB8F" w:rsidR="00584DCF" w:rsidRPr="00073666" w:rsidRDefault="00584DCF" w:rsidP="00997241">
      <w:pPr>
        <w:rPr>
          <w:rFonts w:ascii="Calibri" w:hAnsi="Calibri" w:cs="Calibri"/>
          <w:color w:val="0000FF"/>
          <w:szCs w:val="22"/>
        </w:rPr>
      </w:pPr>
    </w:p>
    <w:p w14:paraId="5796D60A" w14:textId="509E1659" w:rsidR="00584DCF" w:rsidRPr="00073666" w:rsidRDefault="00584DCF" w:rsidP="00997241">
      <w:pPr>
        <w:rPr>
          <w:rFonts w:ascii="Calibri" w:hAnsi="Calibri" w:cs="Calibri"/>
          <w:color w:val="0000FF"/>
          <w:szCs w:val="22"/>
        </w:rPr>
      </w:pPr>
    </w:p>
    <w:p w14:paraId="5BCC3091" w14:textId="43701B85" w:rsidR="00584DCF" w:rsidRPr="00073666" w:rsidRDefault="00584DCF" w:rsidP="00997241">
      <w:pPr>
        <w:rPr>
          <w:rFonts w:ascii="Calibri" w:hAnsi="Calibri" w:cs="Calibri"/>
          <w:color w:val="0000FF"/>
          <w:szCs w:val="22"/>
        </w:rPr>
      </w:pPr>
    </w:p>
    <w:p w14:paraId="3EDC85EC" w14:textId="2D0A88F3" w:rsidR="00584DCF" w:rsidRPr="00073666" w:rsidRDefault="00584DCF" w:rsidP="00997241">
      <w:pPr>
        <w:rPr>
          <w:rFonts w:ascii="Calibri" w:hAnsi="Calibri" w:cs="Calibri"/>
          <w:color w:val="0000FF"/>
          <w:szCs w:val="22"/>
        </w:rPr>
      </w:pPr>
    </w:p>
    <w:p w14:paraId="0834A06E" w14:textId="65FB60BE" w:rsidR="00584DCF" w:rsidRPr="00073666" w:rsidRDefault="00584DCF" w:rsidP="00997241">
      <w:pPr>
        <w:rPr>
          <w:rFonts w:ascii="Calibri" w:hAnsi="Calibri" w:cs="Calibri"/>
          <w:color w:val="0000FF"/>
          <w:szCs w:val="22"/>
        </w:rPr>
      </w:pPr>
    </w:p>
    <w:p w14:paraId="77BB4F7B" w14:textId="67E5288D" w:rsidR="00584DCF" w:rsidRPr="00073666" w:rsidRDefault="00584DCF" w:rsidP="00997241">
      <w:pPr>
        <w:rPr>
          <w:rFonts w:ascii="Calibri" w:hAnsi="Calibri" w:cs="Calibri"/>
          <w:color w:val="0000FF"/>
          <w:szCs w:val="22"/>
        </w:rPr>
      </w:pPr>
    </w:p>
    <w:p w14:paraId="5D51A7A0" w14:textId="20988F60" w:rsidR="00584DCF" w:rsidRPr="00073666" w:rsidRDefault="00584DCF" w:rsidP="00997241">
      <w:pPr>
        <w:rPr>
          <w:rFonts w:ascii="Calibri" w:hAnsi="Calibri" w:cs="Calibri"/>
          <w:color w:val="0000FF"/>
          <w:szCs w:val="22"/>
        </w:rPr>
      </w:pPr>
    </w:p>
    <w:p w14:paraId="17C11F15" w14:textId="66D22DDC" w:rsidR="00584DCF" w:rsidRPr="00073666" w:rsidRDefault="00584DCF" w:rsidP="00997241">
      <w:pPr>
        <w:rPr>
          <w:rFonts w:ascii="Calibri" w:hAnsi="Calibri" w:cs="Calibri"/>
          <w:color w:val="0000FF"/>
          <w:szCs w:val="22"/>
        </w:rPr>
      </w:pPr>
    </w:p>
    <w:p w14:paraId="28364AD5" w14:textId="45E19529" w:rsidR="00584DCF" w:rsidRPr="00073666" w:rsidRDefault="00584DCF" w:rsidP="00997241">
      <w:pPr>
        <w:rPr>
          <w:rFonts w:ascii="Calibri" w:hAnsi="Calibri" w:cs="Calibri"/>
          <w:color w:val="0000FF"/>
          <w:szCs w:val="22"/>
        </w:rPr>
      </w:pPr>
    </w:p>
    <w:p w14:paraId="7A24202E" w14:textId="56F38031" w:rsidR="00584DCF" w:rsidRPr="00073666" w:rsidRDefault="00584DCF" w:rsidP="00997241">
      <w:pPr>
        <w:rPr>
          <w:rFonts w:ascii="Calibri" w:hAnsi="Calibri" w:cs="Calibri"/>
          <w:color w:val="0000FF"/>
          <w:szCs w:val="22"/>
        </w:rPr>
      </w:pPr>
    </w:p>
    <w:p w14:paraId="5689BED3" w14:textId="7D6A9B7C" w:rsidR="00584DCF" w:rsidRPr="00073666" w:rsidRDefault="00584DCF" w:rsidP="00997241">
      <w:pPr>
        <w:rPr>
          <w:rFonts w:ascii="Calibri" w:hAnsi="Calibri" w:cs="Calibri"/>
          <w:color w:val="0000FF"/>
          <w:szCs w:val="22"/>
        </w:rPr>
      </w:pPr>
    </w:p>
    <w:p w14:paraId="7DDBE765" w14:textId="7848F790" w:rsidR="00584DCF" w:rsidRPr="00073666" w:rsidRDefault="00584DCF" w:rsidP="00997241">
      <w:pPr>
        <w:rPr>
          <w:rFonts w:ascii="Calibri" w:hAnsi="Calibri" w:cs="Calibri"/>
          <w:color w:val="0000FF"/>
          <w:szCs w:val="22"/>
        </w:rPr>
      </w:pPr>
    </w:p>
    <w:p w14:paraId="2DF593BD" w14:textId="77777777" w:rsidR="008A7EBE" w:rsidRPr="00073666" w:rsidRDefault="008A7EBE" w:rsidP="00997241">
      <w:pPr>
        <w:rPr>
          <w:rFonts w:ascii="Calibri" w:hAnsi="Calibri" w:cs="Calibri"/>
          <w:color w:val="0000FF"/>
          <w:szCs w:val="22"/>
        </w:rPr>
      </w:pPr>
    </w:p>
    <w:p w14:paraId="4CEAE537" w14:textId="21BA80EA" w:rsidR="008A7EBE" w:rsidRPr="00073666" w:rsidRDefault="008A7EBE" w:rsidP="00281426">
      <w:pPr>
        <w:rPr>
          <w:rFonts w:ascii="Calibri" w:hAnsi="Calibri" w:cs="Calibri"/>
          <w:szCs w:val="22"/>
        </w:rPr>
      </w:pPr>
      <w:r w:rsidRPr="00073666">
        <w:rPr>
          <w:rFonts w:ascii="Calibri" w:hAnsi="Calibri" w:cs="Calibri"/>
          <w:szCs w:val="22"/>
        </w:rPr>
        <w:br w:type="page"/>
      </w:r>
    </w:p>
    <w:p w14:paraId="0AF04BAE" w14:textId="77777777" w:rsidR="00584DCF" w:rsidRPr="00073666" w:rsidRDefault="00584DCF" w:rsidP="00281426">
      <w:pPr>
        <w:rPr>
          <w:rFonts w:ascii="Calibri" w:hAnsi="Calibri" w:cs="Calibri"/>
          <w:szCs w:val="22"/>
        </w:rPr>
        <w:sectPr w:rsidR="00584DCF" w:rsidRPr="00073666" w:rsidSect="00A0428D">
          <w:footerReference w:type="default" r:id="rId24"/>
          <w:headerReference w:type="first" r:id="rId25"/>
          <w:pgSz w:w="11900" w:h="16840"/>
          <w:pgMar w:top="1985" w:right="964" w:bottom="1134" w:left="964" w:header="708" w:footer="0" w:gutter="0"/>
          <w:pgNumType w:start="1"/>
          <w:cols w:space="708"/>
          <w:docGrid w:linePitch="360"/>
        </w:sectPr>
      </w:pPr>
    </w:p>
    <w:tbl>
      <w:tblPr>
        <w:tblW w:w="9923" w:type="dxa"/>
        <w:tblLook w:val="04A0" w:firstRow="1" w:lastRow="0" w:firstColumn="1" w:lastColumn="0" w:noHBand="0" w:noVBand="1"/>
      </w:tblPr>
      <w:tblGrid>
        <w:gridCol w:w="2924"/>
        <w:gridCol w:w="6999"/>
      </w:tblGrid>
      <w:tr w:rsidR="00281426" w:rsidRPr="00073666" w14:paraId="2F5B2F46" w14:textId="77777777" w:rsidTr="00950AEE">
        <w:trPr>
          <w:trHeight w:val="220"/>
        </w:trPr>
        <w:tc>
          <w:tcPr>
            <w:tcW w:w="9923" w:type="dxa"/>
            <w:gridSpan w:val="2"/>
            <w:tcBorders>
              <w:top w:val="nil"/>
              <w:left w:val="nil"/>
              <w:bottom w:val="single" w:sz="4" w:space="0" w:color="auto"/>
              <w:right w:val="nil"/>
            </w:tcBorders>
            <w:shd w:val="clear" w:color="auto" w:fill="auto"/>
            <w:noWrap/>
            <w:vAlign w:val="bottom"/>
            <w:hideMark/>
          </w:tcPr>
          <w:p w14:paraId="07B46A35" w14:textId="60B1EA54" w:rsidR="00281426" w:rsidRPr="00073666" w:rsidRDefault="00427FF2" w:rsidP="00042EF4">
            <w:pPr>
              <w:rPr>
                <w:rFonts w:ascii="Calibri" w:hAnsi="Calibri" w:cs="Calibri"/>
                <w:b/>
                <w:bCs/>
                <w:color w:val="000000"/>
                <w:sz w:val="16"/>
                <w:szCs w:val="16"/>
              </w:rPr>
            </w:pPr>
            <w:r w:rsidRPr="00073666">
              <w:rPr>
                <w:rFonts w:ascii="Calibri" w:hAnsi="Calibri" w:cs="Calibri"/>
                <w:b/>
                <w:bCs/>
                <w:color w:val="000000"/>
                <w:sz w:val="16"/>
                <w:szCs w:val="16"/>
              </w:rPr>
              <w:lastRenderedPageBreak/>
              <w:t>Table 3</w:t>
            </w:r>
            <w:r w:rsidR="00281426" w:rsidRPr="00073666">
              <w:rPr>
                <w:rFonts w:ascii="Calibri" w:hAnsi="Calibri" w:cs="Calibri"/>
                <w:b/>
                <w:bCs/>
                <w:color w:val="000000"/>
                <w:sz w:val="16"/>
                <w:szCs w:val="16"/>
              </w:rPr>
              <w:t>: Data to be collected</w:t>
            </w:r>
          </w:p>
        </w:tc>
      </w:tr>
      <w:tr w:rsidR="00281426" w:rsidRPr="00073666" w14:paraId="77DE2C3B" w14:textId="77777777" w:rsidTr="00950AEE">
        <w:trPr>
          <w:trHeight w:val="220"/>
        </w:trPr>
        <w:tc>
          <w:tcPr>
            <w:tcW w:w="9923" w:type="dxa"/>
            <w:gridSpan w:val="2"/>
            <w:tcBorders>
              <w:top w:val="nil"/>
              <w:left w:val="nil"/>
              <w:bottom w:val="single" w:sz="4" w:space="0" w:color="auto"/>
              <w:right w:val="nil"/>
            </w:tcBorders>
            <w:shd w:val="clear" w:color="auto" w:fill="auto"/>
            <w:noWrap/>
            <w:vAlign w:val="center"/>
            <w:hideMark/>
          </w:tcPr>
          <w:p w14:paraId="583156DC" w14:textId="77777777" w:rsidR="00281426" w:rsidRPr="00073666" w:rsidRDefault="00281426" w:rsidP="00042EF4">
            <w:pPr>
              <w:jc w:val="center"/>
              <w:rPr>
                <w:rFonts w:ascii="Calibri" w:hAnsi="Calibri" w:cs="Calibri"/>
                <w:b/>
                <w:bCs/>
                <w:color w:val="000000"/>
                <w:sz w:val="16"/>
                <w:szCs w:val="16"/>
              </w:rPr>
            </w:pPr>
            <w:r w:rsidRPr="00073666">
              <w:rPr>
                <w:rFonts w:ascii="Calibri" w:hAnsi="Calibri" w:cs="Calibri"/>
                <w:b/>
                <w:bCs/>
                <w:color w:val="000000"/>
                <w:sz w:val="16"/>
                <w:szCs w:val="16"/>
              </w:rPr>
              <w:t>Baseline Assessments</w:t>
            </w:r>
          </w:p>
        </w:tc>
      </w:tr>
      <w:tr w:rsidR="00281426" w:rsidRPr="00073666" w14:paraId="30D9AF34" w14:textId="77777777" w:rsidTr="00950AEE">
        <w:trPr>
          <w:trHeight w:val="220"/>
        </w:trPr>
        <w:tc>
          <w:tcPr>
            <w:tcW w:w="2924" w:type="dxa"/>
            <w:tcBorders>
              <w:top w:val="nil"/>
              <w:left w:val="nil"/>
              <w:bottom w:val="nil"/>
              <w:right w:val="nil"/>
            </w:tcBorders>
            <w:shd w:val="clear" w:color="auto" w:fill="auto"/>
            <w:noWrap/>
            <w:vAlign w:val="bottom"/>
            <w:hideMark/>
          </w:tcPr>
          <w:p w14:paraId="2153CC5F" w14:textId="77777777" w:rsidR="00281426" w:rsidRPr="00073666" w:rsidRDefault="00281426" w:rsidP="00042EF4">
            <w:pPr>
              <w:jc w:val="center"/>
              <w:rPr>
                <w:rFonts w:ascii="Calibri" w:hAnsi="Calibri" w:cs="Calibri"/>
                <w:b/>
                <w:bCs/>
                <w:color w:val="000000"/>
                <w:sz w:val="16"/>
                <w:szCs w:val="16"/>
              </w:rPr>
            </w:pPr>
          </w:p>
        </w:tc>
        <w:tc>
          <w:tcPr>
            <w:tcW w:w="6999" w:type="dxa"/>
            <w:tcBorders>
              <w:top w:val="nil"/>
              <w:left w:val="nil"/>
              <w:bottom w:val="nil"/>
              <w:right w:val="nil"/>
            </w:tcBorders>
            <w:shd w:val="clear" w:color="auto" w:fill="auto"/>
            <w:vAlign w:val="bottom"/>
            <w:hideMark/>
          </w:tcPr>
          <w:p w14:paraId="26D41295" w14:textId="77777777" w:rsidR="00281426" w:rsidRPr="00073666" w:rsidRDefault="00281426" w:rsidP="00042EF4">
            <w:pPr>
              <w:ind w:firstLineChars="400" w:firstLine="800"/>
              <w:rPr>
                <w:rFonts w:ascii="Calibri" w:hAnsi="Calibri" w:cs="Calibri"/>
                <w:sz w:val="20"/>
                <w:szCs w:val="20"/>
              </w:rPr>
            </w:pPr>
          </w:p>
        </w:tc>
      </w:tr>
      <w:tr w:rsidR="00281426" w:rsidRPr="00073666" w14:paraId="21AEEBB9" w14:textId="77777777" w:rsidTr="00950AEE">
        <w:trPr>
          <w:trHeight w:val="240"/>
        </w:trPr>
        <w:tc>
          <w:tcPr>
            <w:tcW w:w="2924" w:type="dxa"/>
            <w:tcBorders>
              <w:top w:val="nil"/>
              <w:left w:val="nil"/>
              <w:bottom w:val="nil"/>
              <w:right w:val="nil"/>
            </w:tcBorders>
            <w:shd w:val="clear" w:color="auto" w:fill="auto"/>
            <w:noWrap/>
            <w:vAlign w:val="bottom"/>
            <w:hideMark/>
          </w:tcPr>
          <w:p w14:paraId="2A2325E6"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Patient identifiers</w:t>
            </w:r>
          </w:p>
        </w:tc>
        <w:tc>
          <w:tcPr>
            <w:tcW w:w="6999" w:type="dxa"/>
            <w:tcBorders>
              <w:top w:val="nil"/>
              <w:left w:val="nil"/>
              <w:bottom w:val="nil"/>
              <w:right w:val="nil"/>
            </w:tcBorders>
            <w:shd w:val="clear" w:color="auto" w:fill="auto"/>
            <w:vAlign w:val="bottom"/>
            <w:hideMark/>
          </w:tcPr>
          <w:p w14:paraId="2171B163"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Age and gender</w:t>
            </w:r>
          </w:p>
        </w:tc>
      </w:tr>
      <w:tr w:rsidR="00281426" w:rsidRPr="00073666" w14:paraId="49EBAD64" w14:textId="77777777" w:rsidTr="00950AEE">
        <w:trPr>
          <w:trHeight w:val="220"/>
        </w:trPr>
        <w:tc>
          <w:tcPr>
            <w:tcW w:w="2924" w:type="dxa"/>
            <w:tcBorders>
              <w:top w:val="nil"/>
              <w:left w:val="nil"/>
              <w:bottom w:val="nil"/>
              <w:right w:val="nil"/>
            </w:tcBorders>
            <w:shd w:val="clear" w:color="auto" w:fill="auto"/>
            <w:noWrap/>
            <w:vAlign w:val="bottom"/>
            <w:hideMark/>
          </w:tcPr>
          <w:p w14:paraId="4E95D9FE"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65D8D18B" w14:textId="77777777" w:rsidR="00281426" w:rsidRPr="00073666" w:rsidRDefault="00281426" w:rsidP="00042EF4">
            <w:pPr>
              <w:ind w:firstLineChars="400" w:firstLine="800"/>
              <w:rPr>
                <w:rFonts w:ascii="Calibri" w:hAnsi="Calibri" w:cs="Calibri"/>
                <w:sz w:val="20"/>
                <w:szCs w:val="20"/>
              </w:rPr>
            </w:pPr>
          </w:p>
        </w:tc>
      </w:tr>
      <w:tr w:rsidR="00281426" w:rsidRPr="00073666" w14:paraId="03DBF54D" w14:textId="77777777" w:rsidTr="00950AEE">
        <w:trPr>
          <w:trHeight w:val="240"/>
        </w:trPr>
        <w:tc>
          <w:tcPr>
            <w:tcW w:w="2924" w:type="dxa"/>
            <w:tcBorders>
              <w:top w:val="nil"/>
              <w:left w:val="nil"/>
              <w:bottom w:val="nil"/>
              <w:right w:val="nil"/>
            </w:tcBorders>
            <w:shd w:val="clear" w:color="auto" w:fill="auto"/>
            <w:noWrap/>
            <w:vAlign w:val="bottom"/>
            <w:hideMark/>
          </w:tcPr>
          <w:p w14:paraId="7167C4BE"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Inclusion Criteria</w:t>
            </w:r>
          </w:p>
        </w:tc>
        <w:tc>
          <w:tcPr>
            <w:tcW w:w="6999" w:type="dxa"/>
            <w:tcBorders>
              <w:top w:val="nil"/>
              <w:left w:val="nil"/>
              <w:bottom w:val="nil"/>
              <w:right w:val="nil"/>
            </w:tcBorders>
            <w:shd w:val="clear" w:color="auto" w:fill="auto"/>
            <w:vAlign w:val="bottom"/>
            <w:hideMark/>
          </w:tcPr>
          <w:p w14:paraId="34F3B10C"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&gt;18 years old</w:t>
            </w:r>
          </w:p>
        </w:tc>
      </w:tr>
      <w:tr w:rsidR="00281426" w:rsidRPr="00073666" w14:paraId="72DA9945" w14:textId="77777777" w:rsidTr="00950AEE">
        <w:trPr>
          <w:trHeight w:val="480"/>
        </w:trPr>
        <w:tc>
          <w:tcPr>
            <w:tcW w:w="2924" w:type="dxa"/>
            <w:tcBorders>
              <w:top w:val="nil"/>
              <w:left w:val="nil"/>
              <w:bottom w:val="nil"/>
              <w:right w:val="nil"/>
            </w:tcBorders>
            <w:shd w:val="clear" w:color="auto" w:fill="auto"/>
            <w:noWrap/>
            <w:vAlign w:val="bottom"/>
            <w:hideMark/>
          </w:tcPr>
          <w:p w14:paraId="285E3994"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41D3BBDB"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themeColor="text1"/>
                <w:sz w:val="16"/>
                <w:szCs w:val="16"/>
              </w:rPr>
              <w:t xml:space="preserve">Admitted to intensive care for respiratory support requiring intubation and ventilation for </w:t>
            </w:r>
            <w:r w:rsidRPr="00073666">
              <w:rPr>
                <w:rFonts w:ascii="Calibri" w:hAnsi="Calibri" w:cs="Calibri"/>
                <w:color w:val="000000" w:themeColor="text1"/>
                <w:sz w:val="16"/>
                <w:szCs w:val="16"/>
                <w:u w:val="single"/>
              </w:rPr>
              <w:t>&gt;</w:t>
            </w:r>
            <w:r w:rsidRPr="00073666">
              <w:rPr>
                <w:rFonts w:ascii="Calibri" w:hAnsi="Calibri" w:cs="Calibri"/>
                <w:color w:val="000000" w:themeColor="text1"/>
                <w:sz w:val="16"/>
                <w:szCs w:val="16"/>
              </w:rPr>
              <w:t>24h</w:t>
            </w:r>
          </w:p>
        </w:tc>
      </w:tr>
      <w:tr w:rsidR="00281426" w:rsidRPr="00073666" w14:paraId="35AE1C6C" w14:textId="77777777" w:rsidTr="00950AEE">
        <w:trPr>
          <w:trHeight w:val="220"/>
        </w:trPr>
        <w:tc>
          <w:tcPr>
            <w:tcW w:w="2924" w:type="dxa"/>
            <w:tcBorders>
              <w:top w:val="nil"/>
              <w:left w:val="nil"/>
              <w:bottom w:val="nil"/>
              <w:right w:val="nil"/>
            </w:tcBorders>
            <w:shd w:val="clear" w:color="auto" w:fill="auto"/>
            <w:noWrap/>
            <w:vAlign w:val="bottom"/>
            <w:hideMark/>
          </w:tcPr>
          <w:p w14:paraId="4736EEAB"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11372B71" w14:textId="77777777" w:rsidR="00FF0C3E" w:rsidRPr="00073666" w:rsidRDefault="00FF0C3E" w:rsidP="00FF0C3E">
            <w:pPr>
              <w:spacing w:after="160" w:line="259" w:lineRule="auto"/>
              <w:rPr>
                <w:rFonts w:ascii="Calibri" w:hAnsi="Calibri" w:cs="Calibri"/>
                <w:color w:val="000000" w:themeColor="text1"/>
                <w:sz w:val="16"/>
                <w:szCs w:val="16"/>
              </w:rPr>
            </w:pPr>
            <w:r w:rsidRPr="00073666">
              <w:rPr>
                <w:rFonts w:ascii="Calibri" w:hAnsi="Calibri" w:cs="Calibri"/>
                <w:color w:val="000000" w:themeColor="text1"/>
                <w:sz w:val="16"/>
                <w:szCs w:val="16"/>
              </w:rPr>
              <w:t>Positive influenza PCR from nasal, throat swab, BAL or other respiratory specimen taken within 72 hours (of admission to ICU – pre or post.</w:t>
            </w:r>
          </w:p>
          <w:p w14:paraId="0C8A36BE" w14:textId="77777777" w:rsidR="00FF0C3E" w:rsidRPr="00073666" w:rsidRDefault="00FF0C3E" w:rsidP="00FF0C3E">
            <w:pPr>
              <w:spacing w:after="160" w:line="259" w:lineRule="auto"/>
              <w:rPr>
                <w:rFonts w:ascii="Calibri" w:hAnsi="Calibri" w:cs="Calibri"/>
                <w:color w:val="000000" w:themeColor="text1"/>
                <w:sz w:val="16"/>
                <w:szCs w:val="16"/>
              </w:rPr>
            </w:pPr>
            <w:r w:rsidRPr="00073666">
              <w:rPr>
                <w:rFonts w:ascii="Calibri" w:hAnsi="Calibri" w:cs="Calibri"/>
                <w:color w:val="000000" w:themeColor="text1"/>
                <w:sz w:val="16"/>
                <w:szCs w:val="16"/>
              </w:rPr>
              <w:t>OR</w:t>
            </w:r>
          </w:p>
          <w:p w14:paraId="216EE0AD" w14:textId="6E56F6AA" w:rsidR="00FF0C3E" w:rsidRPr="00073666" w:rsidRDefault="00FF0C3E" w:rsidP="00FF0C3E">
            <w:pPr>
              <w:spacing w:after="160" w:line="259" w:lineRule="auto"/>
              <w:rPr>
                <w:rFonts w:ascii="Calibri" w:hAnsi="Calibri" w:cs="Calibri"/>
                <w:color w:val="000000" w:themeColor="text1"/>
                <w:sz w:val="16"/>
                <w:szCs w:val="16"/>
              </w:rPr>
            </w:pPr>
            <w:r w:rsidRPr="00073666">
              <w:rPr>
                <w:rFonts w:ascii="Calibri" w:hAnsi="Calibri" w:cs="Calibri"/>
                <w:color w:val="000000" w:themeColor="text1"/>
                <w:sz w:val="16"/>
                <w:szCs w:val="16"/>
              </w:rPr>
              <w:t>Influenza suspected but influenza PCR results awaited – under these circumstances the patient can be provisionally enrolled, but later excluded if no specimens taken within 72 hours pre/post admission to ICU is positive as above.</w:t>
            </w:r>
          </w:p>
        </w:tc>
      </w:tr>
      <w:tr w:rsidR="00281426" w:rsidRPr="00073666" w14:paraId="50069142" w14:textId="77777777" w:rsidTr="00950AEE">
        <w:trPr>
          <w:trHeight w:val="220"/>
        </w:trPr>
        <w:tc>
          <w:tcPr>
            <w:tcW w:w="2924" w:type="dxa"/>
            <w:tcBorders>
              <w:top w:val="nil"/>
              <w:left w:val="nil"/>
              <w:bottom w:val="nil"/>
              <w:right w:val="nil"/>
            </w:tcBorders>
            <w:shd w:val="clear" w:color="auto" w:fill="auto"/>
            <w:noWrap/>
            <w:vAlign w:val="bottom"/>
          </w:tcPr>
          <w:p w14:paraId="73853153"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tcPr>
          <w:p w14:paraId="57C2320A" w14:textId="77777777" w:rsidR="00281426" w:rsidRPr="00073666" w:rsidRDefault="00281426" w:rsidP="00042EF4">
            <w:pPr>
              <w:rPr>
                <w:rFonts w:ascii="Calibri" w:hAnsi="Calibri" w:cs="Calibri"/>
                <w:color w:val="000000" w:themeColor="text1"/>
                <w:sz w:val="16"/>
                <w:szCs w:val="16"/>
              </w:rPr>
            </w:pPr>
          </w:p>
        </w:tc>
      </w:tr>
      <w:tr w:rsidR="00281426" w:rsidRPr="00073666" w14:paraId="6498FA45" w14:textId="77777777" w:rsidTr="00950AEE">
        <w:trPr>
          <w:trHeight w:val="240"/>
        </w:trPr>
        <w:tc>
          <w:tcPr>
            <w:tcW w:w="2924" w:type="dxa"/>
            <w:tcBorders>
              <w:top w:val="nil"/>
              <w:left w:val="nil"/>
              <w:bottom w:val="nil"/>
              <w:right w:val="nil"/>
            </w:tcBorders>
            <w:shd w:val="clear" w:color="auto" w:fill="auto"/>
            <w:noWrap/>
            <w:vAlign w:val="bottom"/>
            <w:hideMark/>
          </w:tcPr>
          <w:p w14:paraId="26FF72D6"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Exclusion Criteria</w:t>
            </w:r>
          </w:p>
        </w:tc>
        <w:tc>
          <w:tcPr>
            <w:tcW w:w="6999" w:type="dxa"/>
            <w:tcBorders>
              <w:top w:val="nil"/>
              <w:left w:val="nil"/>
              <w:bottom w:val="nil"/>
              <w:right w:val="nil"/>
            </w:tcBorders>
            <w:shd w:val="clear" w:color="auto" w:fill="auto"/>
            <w:vAlign w:val="bottom"/>
            <w:hideMark/>
          </w:tcPr>
          <w:p w14:paraId="30E537C3"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 xml:space="preserve">Respiratory failure not the primary reason for ICU admission </w:t>
            </w:r>
          </w:p>
        </w:tc>
      </w:tr>
      <w:tr w:rsidR="00281426" w:rsidRPr="00073666" w14:paraId="780F4B7B" w14:textId="77777777" w:rsidTr="00950AEE">
        <w:trPr>
          <w:trHeight w:val="240"/>
        </w:trPr>
        <w:tc>
          <w:tcPr>
            <w:tcW w:w="2924" w:type="dxa"/>
            <w:tcBorders>
              <w:top w:val="nil"/>
              <w:left w:val="nil"/>
              <w:bottom w:val="nil"/>
              <w:right w:val="nil"/>
            </w:tcBorders>
            <w:shd w:val="clear" w:color="auto" w:fill="auto"/>
            <w:noWrap/>
            <w:vAlign w:val="bottom"/>
            <w:hideMark/>
          </w:tcPr>
          <w:p w14:paraId="5BC61F60"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5AAE9ECF"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History of proven/ probable invasive pulmonary aspergillosis</w:t>
            </w:r>
          </w:p>
        </w:tc>
      </w:tr>
      <w:tr w:rsidR="00281426" w:rsidRPr="00073666" w14:paraId="174A5650" w14:textId="77777777" w:rsidTr="00950AEE">
        <w:trPr>
          <w:trHeight w:val="220"/>
        </w:trPr>
        <w:tc>
          <w:tcPr>
            <w:tcW w:w="2924" w:type="dxa"/>
            <w:tcBorders>
              <w:top w:val="nil"/>
              <w:left w:val="nil"/>
              <w:bottom w:val="nil"/>
              <w:right w:val="nil"/>
            </w:tcBorders>
            <w:shd w:val="clear" w:color="auto" w:fill="auto"/>
            <w:noWrap/>
            <w:vAlign w:val="bottom"/>
            <w:hideMark/>
          </w:tcPr>
          <w:p w14:paraId="7DCF972E"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1FE7B653" w14:textId="77777777" w:rsidR="00281426" w:rsidRPr="00073666" w:rsidRDefault="00281426" w:rsidP="00042EF4">
            <w:pPr>
              <w:ind w:firstLineChars="400" w:firstLine="800"/>
              <w:rPr>
                <w:rFonts w:ascii="Calibri" w:hAnsi="Calibri" w:cs="Calibri"/>
                <w:sz w:val="20"/>
                <w:szCs w:val="20"/>
              </w:rPr>
            </w:pPr>
          </w:p>
        </w:tc>
      </w:tr>
      <w:tr w:rsidR="00281426" w:rsidRPr="00073666" w14:paraId="7FDFC3B4" w14:textId="77777777" w:rsidTr="00950AEE">
        <w:trPr>
          <w:trHeight w:val="240"/>
        </w:trPr>
        <w:tc>
          <w:tcPr>
            <w:tcW w:w="2924" w:type="dxa"/>
            <w:tcBorders>
              <w:top w:val="nil"/>
              <w:left w:val="nil"/>
              <w:bottom w:val="nil"/>
              <w:right w:val="nil"/>
            </w:tcBorders>
            <w:shd w:val="clear" w:color="auto" w:fill="auto"/>
            <w:noWrap/>
            <w:vAlign w:val="bottom"/>
            <w:hideMark/>
          </w:tcPr>
          <w:p w14:paraId="19DDEB78"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EORTC / MSG host factors</w:t>
            </w:r>
          </w:p>
        </w:tc>
        <w:tc>
          <w:tcPr>
            <w:tcW w:w="6999" w:type="dxa"/>
            <w:tcBorders>
              <w:top w:val="nil"/>
              <w:left w:val="nil"/>
              <w:bottom w:val="nil"/>
              <w:right w:val="nil"/>
            </w:tcBorders>
            <w:shd w:val="clear" w:color="auto" w:fill="auto"/>
            <w:vAlign w:val="bottom"/>
            <w:hideMark/>
          </w:tcPr>
          <w:p w14:paraId="719F1B1B"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Neutropenia &lt;0.5 x 10(9) for &gt;10 days temporally related to the onset of fungal disease</w:t>
            </w:r>
          </w:p>
        </w:tc>
      </w:tr>
      <w:tr w:rsidR="00281426" w:rsidRPr="00073666" w14:paraId="5E6D4B78" w14:textId="77777777" w:rsidTr="00950AEE">
        <w:trPr>
          <w:trHeight w:val="240"/>
        </w:trPr>
        <w:tc>
          <w:tcPr>
            <w:tcW w:w="2924" w:type="dxa"/>
            <w:tcBorders>
              <w:top w:val="nil"/>
              <w:left w:val="nil"/>
              <w:bottom w:val="nil"/>
              <w:right w:val="nil"/>
            </w:tcBorders>
            <w:shd w:val="clear" w:color="auto" w:fill="auto"/>
            <w:noWrap/>
            <w:vAlign w:val="bottom"/>
            <w:hideMark/>
          </w:tcPr>
          <w:p w14:paraId="4663DBFB"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7FFB154E"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Allogeneic stem cell transplant</w:t>
            </w:r>
          </w:p>
        </w:tc>
      </w:tr>
      <w:tr w:rsidR="00281426" w:rsidRPr="00073666" w14:paraId="142916A8" w14:textId="77777777" w:rsidTr="00950AEE">
        <w:trPr>
          <w:trHeight w:val="240"/>
        </w:trPr>
        <w:tc>
          <w:tcPr>
            <w:tcW w:w="2924" w:type="dxa"/>
            <w:tcBorders>
              <w:top w:val="nil"/>
              <w:left w:val="nil"/>
              <w:bottom w:val="nil"/>
              <w:right w:val="nil"/>
            </w:tcBorders>
            <w:shd w:val="clear" w:color="auto" w:fill="auto"/>
            <w:noWrap/>
            <w:vAlign w:val="bottom"/>
            <w:hideMark/>
          </w:tcPr>
          <w:p w14:paraId="21F5176F"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5290B2D2" w14:textId="56015CD2"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Corticosteroid before ICU admission (mean dose &gt; 0.3mg/kg</w:t>
            </w:r>
            <w:r w:rsidR="000D7096" w:rsidRPr="00073666">
              <w:rPr>
                <w:rFonts w:ascii="Calibri" w:hAnsi="Calibri" w:cs="Calibri"/>
                <w:color w:val="000000"/>
                <w:sz w:val="16"/>
                <w:szCs w:val="16"/>
              </w:rPr>
              <w:t>/day</w:t>
            </w:r>
            <w:r w:rsidRPr="00073666">
              <w:rPr>
                <w:rFonts w:ascii="Calibri" w:hAnsi="Calibri" w:cs="Calibri"/>
                <w:color w:val="000000"/>
                <w:sz w:val="16"/>
                <w:szCs w:val="16"/>
              </w:rPr>
              <w:t xml:space="preserve"> of pred</w:t>
            </w:r>
            <w:r w:rsidR="000D7096" w:rsidRPr="00073666">
              <w:rPr>
                <w:rFonts w:ascii="Calibri" w:hAnsi="Calibri" w:cs="Calibri"/>
                <w:color w:val="000000"/>
                <w:sz w:val="16"/>
                <w:szCs w:val="16"/>
              </w:rPr>
              <w:t>nisolone</w:t>
            </w:r>
            <w:r w:rsidRPr="00073666">
              <w:rPr>
                <w:rFonts w:ascii="Calibri" w:hAnsi="Calibri" w:cs="Calibri"/>
                <w:color w:val="000000"/>
                <w:sz w:val="16"/>
                <w:szCs w:val="16"/>
              </w:rPr>
              <w:t xml:space="preserve"> &gt; 3 weeks)</w:t>
            </w:r>
          </w:p>
        </w:tc>
      </w:tr>
      <w:tr w:rsidR="00281426" w:rsidRPr="00073666" w14:paraId="2AADD807" w14:textId="77777777" w:rsidTr="00950AEE">
        <w:trPr>
          <w:trHeight w:val="720"/>
        </w:trPr>
        <w:tc>
          <w:tcPr>
            <w:tcW w:w="2924" w:type="dxa"/>
            <w:tcBorders>
              <w:top w:val="nil"/>
              <w:left w:val="nil"/>
              <w:bottom w:val="nil"/>
              <w:right w:val="nil"/>
            </w:tcBorders>
            <w:shd w:val="clear" w:color="auto" w:fill="auto"/>
            <w:noWrap/>
            <w:vAlign w:val="bottom"/>
            <w:hideMark/>
          </w:tcPr>
          <w:p w14:paraId="0756E1E2"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2B244D15"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Treatment with recognized T cell immunosuppressants (e.g. cyclosporine, TNF-</w:t>
            </w:r>
            <w:r w:rsidRPr="00073666">
              <w:rPr>
                <w:rFonts w:ascii="Calibri" w:hAnsi="Calibri" w:cs="Calibri"/>
                <w:i/>
                <w:iCs/>
                <w:color w:val="000000"/>
                <w:sz w:val="16"/>
                <w:szCs w:val="16"/>
              </w:rPr>
              <w:t>α</w:t>
            </w:r>
            <w:r w:rsidRPr="00073666">
              <w:rPr>
                <w:rFonts w:ascii="Calibri" w:hAnsi="Calibri" w:cs="Calibri"/>
                <w:color w:val="000000"/>
                <w:sz w:val="16"/>
                <w:szCs w:val="16"/>
              </w:rPr>
              <w:t xml:space="preserve"> blockers, specific monoclonal antibodies (such as alemtuzumab), or nucleoside analogues during the past 90 days</w:t>
            </w:r>
          </w:p>
        </w:tc>
      </w:tr>
      <w:tr w:rsidR="00281426" w:rsidRPr="00073666" w14:paraId="6C852E25" w14:textId="77777777" w:rsidTr="00950AEE">
        <w:trPr>
          <w:trHeight w:val="220"/>
        </w:trPr>
        <w:tc>
          <w:tcPr>
            <w:tcW w:w="2924" w:type="dxa"/>
            <w:tcBorders>
              <w:top w:val="nil"/>
              <w:left w:val="nil"/>
              <w:bottom w:val="nil"/>
              <w:right w:val="nil"/>
            </w:tcBorders>
            <w:shd w:val="clear" w:color="auto" w:fill="auto"/>
            <w:noWrap/>
            <w:vAlign w:val="bottom"/>
            <w:hideMark/>
          </w:tcPr>
          <w:p w14:paraId="6A453D43"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7D4C206F" w14:textId="77777777" w:rsidR="00281426" w:rsidRPr="00073666" w:rsidRDefault="00281426" w:rsidP="00042EF4">
            <w:pPr>
              <w:rPr>
                <w:rFonts w:ascii="Calibri" w:hAnsi="Calibri" w:cs="Calibri"/>
                <w:sz w:val="20"/>
                <w:szCs w:val="20"/>
              </w:rPr>
            </w:pPr>
          </w:p>
        </w:tc>
      </w:tr>
      <w:tr w:rsidR="00281426" w:rsidRPr="00073666" w14:paraId="273A12D9" w14:textId="77777777" w:rsidTr="00950AEE">
        <w:trPr>
          <w:trHeight w:val="480"/>
        </w:trPr>
        <w:tc>
          <w:tcPr>
            <w:tcW w:w="2924" w:type="dxa"/>
            <w:tcBorders>
              <w:top w:val="nil"/>
              <w:left w:val="nil"/>
              <w:bottom w:val="nil"/>
              <w:right w:val="nil"/>
            </w:tcBorders>
            <w:shd w:val="clear" w:color="auto" w:fill="auto"/>
            <w:noWrap/>
            <w:vAlign w:val="bottom"/>
            <w:hideMark/>
          </w:tcPr>
          <w:p w14:paraId="4C4829F7"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Other IA risk factors</w:t>
            </w:r>
          </w:p>
        </w:tc>
        <w:tc>
          <w:tcPr>
            <w:tcW w:w="6999" w:type="dxa"/>
            <w:tcBorders>
              <w:top w:val="nil"/>
              <w:left w:val="nil"/>
              <w:bottom w:val="nil"/>
              <w:right w:val="nil"/>
            </w:tcBorders>
            <w:shd w:val="clear" w:color="auto" w:fill="auto"/>
            <w:vAlign w:val="bottom"/>
            <w:hideMark/>
          </w:tcPr>
          <w:p w14:paraId="077ED18F"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Inherited severe immunodeficiency (such as chronic granulomatous disease or severe combined immunodeficiency</w:t>
            </w:r>
          </w:p>
        </w:tc>
      </w:tr>
      <w:tr w:rsidR="00281426" w:rsidRPr="00073666" w14:paraId="380227B1" w14:textId="77777777" w:rsidTr="00950AEE">
        <w:trPr>
          <w:trHeight w:val="240"/>
        </w:trPr>
        <w:tc>
          <w:tcPr>
            <w:tcW w:w="2924" w:type="dxa"/>
            <w:tcBorders>
              <w:top w:val="nil"/>
              <w:left w:val="nil"/>
              <w:bottom w:val="nil"/>
              <w:right w:val="nil"/>
            </w:tcBorders>
            <w:shd w:val="clear" w:color="auto" w:fill="auto"/>
            <w:noWrap/>
            <w:vAlign w:val="bottom"/>
            <w:hideMark/>
          </w:tcPr>
          <w:p w14:paraId="79F1D5A3"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4D9DC101"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Haematological Malignancy</w:t>
            </w:r>
          </w:p>
        </w:tc>
      </w:tr>
      <w:tr w:rsidR="00281426" w:rsidRPr="00073666" w14:paraId="64A04A00" w14:textId="77777777" w:rsidTr="00950AEE">
        <w:trPr>
          <w:trHeight w:val="240"/>
        </w:trPr>
        <w:tc>
          <w:tcPr>
            <w:tcW w:w="2924" w:type="dxa"/>
            <w:tcBorders>
              <w:top w:val="nil"/>
              <w:left w:val="nil"/>
              <w:bottom w:val="nil"/>
              <w:right w:val="nil"/>
            </w:tcBorders>
            <w:shd w:val="clear" w:color="auto" w:fill="auto"/>
            <w:noWrap/>
            <w:vAlign w:val="bottom"/>
            <w:hideMark/>
          </w:tcPr>
          <w:p w14:paraId="45B99375"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7B5AC764"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Solid organ transplant</w:t>
            </w:r>
          </w:p>
        </w:tc>
      </w:tr>
      <w:tr w:rsidR="00281426" w:rsidRPr="00073666" w14:paraId="471F3819" w14:textId="77777777" w:rsidTr="00950AEE">
        <w:trPr>
          <w:trHeight w:val="240"/>
        </w:trPr>
        <w:tc>
          <w:tcPr>
            <w:tcW w:w="2924" w:type="dxa"/>
            <w:tcBorders>
              <w:top w:val="nil"/>
              <w:left w:val="nil"/>
              <w:bottom w:val="nil"/>
              <w:right w:val="nil"/>
            </w:tcBorders>
            <w:shd w:val="clear" w:color="auto" w:fill="auto"/>
            <w:noWrap/>
            <w:vAlign w:val="bottom"/>
            <w:hideMark/>
          </w:tcPr>
          <w:p w14:paraId="7443D9CF"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6A07C50B"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Solid organ malignancy</w:t>
            </w:r>
          </w:p>
        </w:tc>
      </w:tr>
      <w:tr w:rsidR="00281426" w:rsidRPr="00073666" w14:paraId="2785EA08" w14:textId="77777777" w:rsidTr="00950AEE">
        <w:trPr>
          <w:trHeight w:val="240"/>
        </w:trPr>
        <w:tc>
          <w:tcPr>
            <w:tcW w:w="2924" w:type="dxa"/>
            <w:tcBorders>
              <w:top w:val="nil"/>
              <w:left w:val="nil"/>
              <w:bottom w:val="nil"/>
              <w:right w:val="nil"/>
            </w:tcBorders>
            <w:shd w:val="clear" w:color="auto" w:fill="auto"/>
            <w:noWrap/>
            <w:vAlign w:val="bottom"/>
            <w:hideMark/>
          </w:tcPr>
          <w:p w14:paraId="13B7EFA6"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1271819C"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 xml:space="preserve">Chronic Obstructive Pulmonary Disease </w:t>
            </w:r>
          </w:p>
        </w:tc>
      </w:tr>
      <w:tr w:rsidR="00281426" w:rsidRPr="00073666" w14:paraId="1130DE15" w14:textId="77777777" w:rsidTr="00950AEE">
        <w:trPr>
          <w:trHeight w:val="240"/>
        </w:trPr>
        <w:tc>
          <w:tcPr>
            <w:tcW w:w="2924" w:type="dxa"/>
            <w:tcBorders>
              <w:top w:val="nil"/>
              <w:left w:val="nil"/>
              <w:bottom w:val="nil"/>
              <w:right w:val="nil"/>
            </w:tcBorders>
            <w:shd w:val="clear" w:color="auto" w:fill="auto"/>
            <w:noWrap/>
            <w:vAlign w:val="bottom"/>
            <w:hideMark/>
          </w:tcPr>
          <w:p w14:paraId="576FFCC3"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7E40A618"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Smoker in the past year</w:t>
            </w:r>
          </w:p>
        </w:tc>
      </w:tr>
      <w:tr w:rsidR="00281426" w:rsidRPr="00073666" w14:paraId="2E27902D" w14:textId="77777777" w:rsidTr="00950AEE">
        <w:trPr>
          <w:trHeight w:val="240"/>
        </w:trPr>
        <w:tc>
          <w:tcPr>
            <w:tcW w:w="2924" w:type="dxa"/>
            <w:tcBorders>
              <w:top w:val="nil"/>
              <w:left w:val="nil"/>
              <w:bottom w:val="nil"/>
              <w:right w:val="nil"/>
            </w:tcBorders>
            <w:shd w:val="clear" w:color="auto" w:fill="auto"/>
            <w:noWrap/>
            <w:vAlign w:val="bottom"/>
            <w:hideMark/>
          </w:tcPr>
          <w:p w14:paraId="1AC48CBF"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015828F3"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 xml:space="preserve">Steroid use (not meeting EORTC/MSG criteria), including inhaled </w:t>
            </w:r>
          </w:p>
        </w:tc>
      </w:tr>
      <w:tr w:rsidR="00281426" w:rsidRPr="00073666" w14:paraId="2C644229" w14:textId="77777777" w:rsidTr="00950AEE">
        <w:trPr>
          <w:trHeight w:val="220"/>
        </w:trPr>
        <w:tc>
          <w:tcPr>
            <w:tcW w:w="2924" w:type="dxa"/>
            <w:tcBorders>
              <w:top w:val="nil"/>
              <w:left w:val="nil"/>
              <w:bottom w:val="nil"/>
              <w:right w:val="nil"/>
            </w:tcBorders>
            <w:shd w:val="clear" w:color="auto" w:fill="auto"/>
            <w:noWrap/>
            <w:vAlign w:val="bottom"/>
            <w:hideMark/>
          </w:tcPr>
          <w:p w14:paraId="3ED2D408"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391D1966" w14:textId="77777777" w:rsidR="00281426" w:rsidRPr="00073666" w:rsidRDefault="00281426" w:rsidP="00042EF4">
            <w:pPr>
              <w:rPr>
                <w:rFonts w:ascii="Calibri" w:hAnsi="Calibri" w:cs="Calibri"/>
                <w:sz w:val="20"/>
                <w:szCs w:val="20"/>
              </w:rPr>
            </w:pPr>
          </w:p>
        </w:tc>
      </w:tr>
      <w:tr w:rsidR="00281426" w:rsidRPr="00073666" w14:paraId="116326DB" w14:textId="77777777" w:rsidTr="00950AEE">
        <w:trPr>
          <w:trHeight w:val="240"/>
        </w:trPr>
        <w:tc>
          <w:tcPr>
            <w:tcW w:w="2924" w:type="dxa"/>
            <w:tcBorders>
              <w:top w:val="nil"/>
              <w:left w:val="nil"/>
              <w:bottom w:val="nil"/>
              <w:right w:val="nil"/>
            </w:tcBorders>
            <w:shd w:val="clear" w:color="auto" w:fill="auto"/>
            <w:noWrap/>
            <w:vAlign w:val="bottom"/>
            <w:hideMark/>
          </w:tcPr>
          <w:p w14:paraId="1D4AEC26"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Other co-morbidities</w:t>
            </w:r>
          </w:p>
        </w:tc>
        <w:tc>
          <w:tcPr>
            <w:tcW w:w="6999" w:type="dxa"/>
            <w:tcBorders>
              <w:top w:val="nil"/>
              <w:left w:val="nil"/>
              <w:bottom w:val="nil"/>
              <w:right w:val="nil"/>
            </w:tcBorders>
            <w:shd w:val="clear" w:color="auto" w:fill="auto"/>
            <w:vAlign w:val="bottom"/>
            <w:hideMark/>
          </w:tcPr>
          <w:p w14:paraId="5E522BB2"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BMI &gt;30, Liver cirrhosis, Diabetes, CKD, Chronic lung disease</w:t>
            </w:r>
          </w:p>
        </w:tc>
      </w:tr>
      <w:tr w:rsidR="00281426" w:rsidRPr="00073666" w14:paraId="531A62C5" w14:textId="77777777" w:rsidTr="00950AEE">
        <w:trPr>
          <w:trHeight w:val="240"/>
        </w:trPr>
        <w:tc>
          <w:tcPr>
            <w:tcW w:w="2924" w:type="dxa"/>
            <w:tcBorders>
              <w:top w:val="nil"/>
              <w:left w:val="nil"/>
              <w:bottom w:val="nil"/>
              <w:right w:val="nil"/>
            </w:tcBorders>
            <w:shd w:val="clear" w:color="auto" w:fill="auto"/>
            <w:noWrap/>
            <w:vAlign w:val="bottom"/>
            <w:hideMark/>
          </w:tcPr>
          <w:p w14:paraId="23D65536"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708FAE30"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APACHE II vs SOFA score on ICU admission</w:t>
            </w:r>
          </w:p>
        </w:tc>
      </w:tr>
      <w:tr w:rsidR="00281426" w:rsidRPr="00073666" w14:paraId="3901D868" w14:textId="77777777" w:rsidTr="00950AEE">
        <w:trPr>
          <w:trHeight w:val="220"/>
        </w:trPr>
        <w:tc>
          <w:tcPr>
            <w:tcW w:w="2924" w:type="dxa"/>
            <w:tcBorders>
              <w:top w:val="nil"/>
              <w:left w:val="nil"/>
              <w:bottom w:val="nil"/>
              <w:right w:val="nil"/>
            </w:tcBorders>
            <w:shd w:val="clear" w:color="auto" w:fill="auto"/>
            <w:noWrap/>
            <w:vAlign w:val="bottom"/>
            <w:hideMark/>
          </w:tcPr>
          <w:p w14:paraId="364BF8CF"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1B94DD7E" w14:textId="77777777" w:rsidR="00281426" w:rsidRPr="00073666" w:rsidRDefault="00281426" w:rsidP="00042EF4">
            <w:pPr>
              <w:rPr>
                <w:rFonts w:ascii="Calibri" w:hAnsi="Calibri" w:cs="Calibri"/>
                <w:sz w:val="20"/>
                <w:szCs w:val="20"/>
              </w:rPr>
            </w:pPr>
          </w:p>
        </w:tc>
      </w:tr>
      <w:tr w:rsidR="00281426" w:rsidRPr="00073666" w14:paraId="1658230A" w14:textId="77777777" w:rsidTr="00950AEE">
        <w:trPr>
          <w:trHeight w:val="240"/>
        </w:trPr>
        <w:tc>
          <w:tcPr>
            <w:tcW w:w="2924" w:type="dxa"/>
            <w:tcBorders>
              <w:top w:val="nil"/>
              <w:left w:val="nil"/>
              <w:bottom w:val="nil"/>
              <w:right w:val="nil"/>
            </w:tcBorders>
            <w:shd w:val="clear" w:color="auto" w:fill="auto"/>
            <w:noWrap/>
            <w:vAlign w:val="bottom"/>
            <w:hideMark/>
          </w:tcPr>
          <w:p w14:paraId="16D7D903"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Influenza Factors</w:t>
            </w:r>
          </w:p>
        </w:tc>
        <w:tc>
          <w:tcPr>
            <w:tcW w:w="6999" w:type="dxa"/>
            <w:tcBorders>
              <w:top w:val="nil"/>
              <w:left w:val="nil"/>
              <w:bottom w:val="nil"/>
              <w:right w:val="nil"/>
            </w:tcBorders>
            <w:shd w:val="clear" w:color="auto" w:fill="auto"/>
            <w:vAlign w:val="bottom"/>
            <w:hideMark/>
          </w:tcPr>
          <w:p w14:paraId="71AD09A6"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Symptom Onset</w:t>
            </w:r>
          </w:p>
        </w:tc>
      </w:tr>
      <w:tr w:rsidR="00281426" w:rsidRPr="00073666" w14:paraId="1510043B" w14:textId="77777777" w:rsidTr="00950AEE">
        <w:trPr>
          <w:trHeight w:val="240"/>
        </w:trPr>
        <w:tc>
          <w:tcPr>
            <w:tcW w:w="2924" w:type="dxa"/>
            <w:tcBorders>
              <w:top w:val="nil"/>
              <w:left w:val="nil"/>
              <w:bottom w:val="nil"/>
              <w:right w:val="nil"/>
            </w:tcBorders>
            <w:shd w:val="clear" w:color="auto" w:fill="auto"/>
            <w:noWrap/>
            <w:vAlign w:val="bottom"/>
            <w:hideMark/>
          </w:tcPr>
          <w:p w14:paraId="4E44E251"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43AB134B"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Date of first PCR positive influenza specimen</w:t>
            </w:r>
          </w:p>
        </w:tc>
      </w:tr>
      <w:tr w:rsidR="00281426" w:rsidRPr="00073666" w14:paraId="409212A8" w14:textId="77777777" w:rsidTr="00950AEE">
        <w:trPr>
          <w:trHeight w:val="240"/>
        </w:trPr>
        <w:tc>
          <w:tcPr>
            <w:tcW w:w="2924" w:type="dxa"/>
            <w:tcBorders>
              <w:top w:val="nil"/>
              <w:left w:val="nil"/>
              <w:bottom w:val="nil"/>
              <w:right w:val="nil"/>
            </w:tcBorders>
            <w:shd w:val="clear" w:color="auto" w:fill="auto"/>
            <w:noWrap/>
            <w:vAlign w:val="bottom"/>
            <w:hideMark/>
          </w:tcPr>
          <w:p w14:paraId="227F1910"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00F13530"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Influenza strain (if known)</w:t>
            </w:r>
          </w:p>
        </w:tc>
      </w:tr>
      <w:tr w:rsidR="00281426" w:rsidRPr="00073666" w14:paraId="30A01146" w14:textId="77777777" w:rsidTr="00950AEE">
        <w:trPr>
          <w:trHeight w:val="240"/>
        </w:trPr>
        <w:tc>
          <w:tcPr>
            <w:tcW w:w="2924" w:type="dxa"/>
            <w:tcBorders>
              <w:top w:val="nil"/>
              <w:left w:val="nil"/>
              <w:bottom w:val="nil"/>
              <w:right w:val="nil"/>
            </w:tcBorders>
            <w:shd w:val="clear" w:color="auto" w:fill="auto"/>
            <w:noWrap/>
            <w:vAlign w:val="bottom"/>
            <w:hideMark/>
          </w:tcPr>
          <w:p w14:paraId="3EE294EB"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1577D12B"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Neuraminidase inhibitor start date</w:t>
            </w:r>
          </w:p>
        </w:tc>
      </w:tr>
      <w:tr w:rsidR="00281426" w:rsidRPr="00073666" w14:paraId="49C4ABDC" w14:textId="77777777" w:rsidTr="00950AEE">
        <w:trPr>
          <w:trHeight w:val="240"/>
        </w:trPr>
        <w:tc>
          <w:tcPr>
            <w:tcW w:w="2924" w:type="dxa"/>
            <w:tcBorders>
              <w:top w:val="nil"/>
              <w:left w:val="nil"/>
              <w:bottom w:val="nil"/>
              <w:right w:val="nil"/>
            </w:tcBorders>
            <w:shd w:val="clear" w:color="auto" w:fill="auto"/>
            <w:noWrap/>
            <w:vAlign w:val="bottom"/>
          </w:tcPr>
          <w:p w14:paraId="07C37C2E"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tcPr>
          <w:p w14:paraId="717FAAB4"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Vaccination status</w:t>
            </w:r>
          </w:p>
        </w:tc>
      </w:tr>
      <w:tr w:rsidR="00281426" w:rsidRPr="00073666" w14:paraId="718844E0" w14:textId="77777777" w:rsidTr="00950AEE">
        <w:trPr>
          <w:trHeight w:val="220"/>
        </w:trPr>
        <w:tc>
          <w:tcPr>
            <w:tcW w:w="2924" w:type="dxa"/>
            <w:tcBorders>
              <w:top w:val="nil"/>
              <w:left w:val="nil"/>
              <w:bottom w:val="nil"/>
              <w:right w:val="nil"/>
            </w:tcBorders>
            <w:shd w:val="clear" w:color="auto" w:fill="auto"/>
            <w:noWrap/>
            <w:vAlign w:val="bottom"/>
            <w:hideMark/>
          </w:tcPr>
          <w:p w14:paraId="1901E320"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7873120C" w14:textId="77777777" w:rsidR="00281426" w:rsidRPr="00073666" w:rsidRDefault="00281426" w:rsidP="00042EF4">
            <w:pPr>
              <w:rPr>
                <w:rFonts w:ascii="Calibri" w:hAnsi="Calibri" w:cs="Calibri"/>
                <w:sz w:val="20"/>
                <w:szCs w:val="20"/>
              </w:rPr>
            </w:pPr>
          </w:p>
        </w:tc>
      </w:tr>
      <w:tr w:rsidR="00281426" w:rsidRPr="00073666" w14:paraId="0E16C653" w14:textId="77777777" w:rsidTr="00950AEE">
        <w:trPr>
          <w:trHeight w:val="240"/>
        </w:trPr>
        <w:tc>
          <w:tcPr>
            <w:tcW w:w="2924" w:type="dxa"/>
            <w:tcBorders>
              <w:top w:val="nil"/>
              <w:left w:val="nil"/>
              <w:bottom w:val="nil"/>
              <w:right w:val="nil"/>
            </w:tcBorders>
            <w:shd w:val="clear" w:color="auto" w:fill="auto"/>
            <w:noWrap/>
            <w:vAlign w:val="bottom"/>
            <w:hideMark/>
          </w:tcPr>
          <w:p w14:paraId="13C74295"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Fungal factors</w:t>
            </w:r>
          </w:p>
        </w:tc>
        <w:tc>
          <w:tcPr>
            <w:tcW w:w="6999" w:type="dxa"/>
            <w:tcBorders>
              <w:top w:val="nil"/>
              <w:left w:val="nil"/>
              <w:bottom w:val="nil"/>
              <w:right w:val="nil"/>
            </w:tcBorders>
            <w:shd w:val="clear" w:color="auto" w:fill="auto"/>
            <w:vAlign w:val="bottom"/>
            <w:hideMark/>
          </w:tcPr>
          <w:p w14:paraId="5E5215AF"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Azole use - either prophylaxis or other exposure in last 28 days</w:t>
            </w:r>
          </w:p>
        </w:tc>
      </w:tr>
      <w:tr w:rsidR="00281426" w:rsidRPr="00073666" w14:paraId="192E7222" w14:textId="77777777" w:rsidTr="00950AEE">
        <w:trPr>
          <w:trHeight w:val="220"/>
        </w:trPr>
        <w:tc>
          <w:tcPr>
            <w:tcW w:w="2924" w:type="dxa"/>
            <w:tcBorders>
              <w:top w:val="nil"/>
              <w:left w:val="nil"/>
              <w:bottom w:val="nil"/>
              <w:right w:val="nil"/>
            </w:tcBorders>
            <w:shd w:val="clear" w:color="auto" w:fill="auto"/>
            <w:noWrap/>
            <w:vAlign w:val="bottom"/>
            <w:hideMark/>
          </w:tcPr>
          <w:p w14:paraId="1AC31946"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49AD51F8" w14:textId="77777777" w:rsidR="00281426" w:rsidRPr="00073666" w:rsidRDefault="00281426" w:rsidP="00042EF4">
            <w:pPr>
              <w:rPr>
                <w:rFonts w:ascii="Calibri" w:hAnsi="Calibri" w:cs="Calibri"/>
                <w:sz w:val="20"/>
                <w:szCs w:val="20"/>
              </w:rPr>
            </w:pPr>
          </w:p>
        </w:tc>
      </w:tr>
      <w:tr w:rsidR="00281426" w:rsidRPr="00073666" w14:paraId="366349C7" w14:textId="77777777" w:rsidTr="00950AEE">
        <w:trPr>
          <w:trHeight w:val="220"/>
        </w:trPr>
        <w:tc>
          <w:tcPr>
            <w:tcW w:w="9923" w:type="dxa"/>
            <w:gridSpan w:val="2"/>
            <w:tcBorders>
              <w:top w:val="nil"/>
              <w:left w:val="nil"/>
              <w:bottom w:val="single" w:sz="4" w:space="0" w:color="auto"/>
              <w:right w:val="nil"/>
            </w:tcBorders>
            <w:shd w:val="clear" w:color="auto" w:fill="auto"/>
            <w:noWrap/>
            <w:vAlign w:val="bottom"/>
            <w:hideMark/>
          </w:tcPr>
          <w:p w14:paraId="25DD506E" w14:textId="77777777" w:rsidR="00281426" w:rsidRPr="00073666" w:rsidRDefault="00281426" w:rsidP="00042EF4">
            <w:pPr>
              <w:jc w:val="center"/>
              <w:rPr>
                <w:rFonts w:ascii="Calibri" w:hAnsi="Calibri" w:cs="Calibri"/>
                <w:b/>
                <w:bCs/>
                <w:color w:val="000000"/>
                <w:sz w:val="16"/>
                <w:szCs w:val="16"/>
              </w:rPr>
            </w:pPr>
            <w:r w:rsidRPr="00073666">
              <w:rPr>
                <w:rFonts w:ascii="Calibri" w:hAnsi="Calibri" w:cs="Calibri"/>
                <w:b/>
                <w:bCs/>
                <w:color w:val="000000"/>
                <w:sz w:val="16"/>
                <w:szCs w:val="16"/>
              </w:rPr>
              <w:t>Data collected during ICU stay</w:t>
            </w:r>
          </w:p>
        </w:tc>
      </w:tr>
      <w:tr w:rsidR="00281426" w:rsidRPr="00073666" w14:paraId="402034C5" w14:textId="77777777" w:rsidTr="00950AEE">
        <w:trPr>
          <w:trHeight w:val="220"/>
        </w:trPr>
        <w:tc>
          <w:tcPr>
            <w:tcW w:w="2924" w:type="dxa"/>
            <w:tcBorders>
              <w:top w:val="nil"/>
              <w:left w:val="nil"/>
              <w:bottom w:val="nil"/>
              <w:right w:val="nil"/>
            </w:tcBorders>
            <w:shd w:val="clear" w:color="auto" w:fill="auto"/>
            <w:noWrap/>
            <w:vAlign w:val="bottom"/>
            <w:hideMark/>
          </w:tcPr>
          <w:p w14:paraId="1A122B84" w14:textId="77777777" w:rsidR="00281426" w:rsidRPr="00073666" w:rsidRDefault="00281426" w:rsidP="00042EF4">
            <w:pPr>
              <w:jc w:val="center"/>
              <w:rPr>
                <w:rFonts w:ascii="Calibri" w:hAnsi="Calibri" w:cs="Calibri"/>
                <w:b/>
                <w:bCs/>
                <w:color w:val="000000"/>
                <w:sz w:val="16"/>
                <w:szCs w:val="16"/>
              </w:rPr>
            </w:pPr>
          </w:p>
        </w:tc>
        <w:tc>
          <w:tcPr>
            <w:tcW w:w="6999" w:type="dxa"/>
            <w:tcBorders>
              <w:top w:val="nil"/>
              <w:left w:val="nil"/>
              <w:bottom w:val="nil"/>
              <w:right w:val="nil"/>
            </w:tcBorders>
            <w:shd w:val="clear" w:color="auto" w:fill="auto"/>
            <w:vAlign w:val="bottom"/>
            <w:hideMark/>
          </w:tcPr>
          <w:p w14:paraId="461C20B9" w14:textId="77777777" w:rsidR="00281426" w:rsidRPr="00073666" w:rsidRDefault="00281426" w:rsidP="00042EF4">
            <w:pPr>
              <w:ind w:firstLineChars="400" w:firstLine="800"/>
              <w:rPr>
                <w:rFonts w:ascii="Calibri" w:hAnsi="Calibri" w:cs="Calibri"/>
                <w:sz w:val="20"/>
                <w:szCs w:val="20"/>
              </w:rPr>
            </w:pPr>
          </w:p>
        </w:tc>
      </w:tr>
      <w:tr w:rsidR="00281426" w:rsidRPr="00073666" w14:paraId="2D6ECF80" w14:textId="77777777" w:rsidTr="00950AEE">
        <w:trPr>
          <w:trHeight w:val="240"/>
        </w:trPr>
        <w:tc>
          <w:tcPr>
            <w:tcW w:w="2924" w:type="dxa"/>
            <w:tcBorders>
              <w:top w:val="nil"/>
              <w:left w:val="nil"/>
              <w:bottom w:val="nil"/>
              <w:right w:val="nil"/>
            </w:tcBorders>
            <w:shd w:val="clear" w:color="auto" w:fill="auto"/>
            <w:noWrap/>
            <w:vAlign w:val="bottom"/>
            <w:hideMark/>
          </w:tcPr>
          <w:p w14:paraId="2E95420F"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Diagnosis of Invasive aspergillosis (IA)</w:t>
            </w:r>
          </w:p>
        </w:tc>
        <w:tc>
          <w:tcPr>
            <w:tcW w:w="6999" w:type="dxa"/>
            <w:tcBorders>
              <w:top w:val="nil"/>
              <w:left w:val="nil"/>
              <w:bottom w:val="nil"/>
              <w:right w:val="nil"/>
            </w:tcBorders>
            <w:shd w:val="clear" w:color="auto" w:fill="auto"/>
            <w:vAlign w:val="bottom"/>
            <w:hideMark/>
          </w:tcPr>
          <w:p w14:paraId="2F1400C8"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Diagnosis of IA made by clinical team?</w:t>
            </w:r>
          </w:p>
        </w:tc>
      </w:tr>
      <w:tr w:rsidR="00281426" w:rsidRPr="00073666" w14:paraId="3C8B07F8" w14:textId="77777777" w:rsidTr="00950AEE">
        <w:trPr>
          <w:trHeight w:val="240"/>
        </w:trPr>
        <w:tc>
          <w:tcPr>
            <w:tcW w:w="2924" w:type="dxa"/>
            <w:tcBorders>
              <w:top w:val="nil"/>
              <w:left w:val="nil"/>
              <w:bottom w:val="nil"/>
              <w:right w:val="nil"/>
            </w:tcBorders>
            <w:shd w:val="clear" w:color="auto" w:fill="auto"/>
            <w:noWrap/>
            <w:vAlign w:val="bottom"/>
            <w:hideMark/>
          </w:tcPr>
          <w:p w14:paraId="0F1B28FC"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200009F7"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BAL performed? Date</w:t>
            </w:r>
          </w:p>
        </w:tc>
      </w:tr>
      <w:tr w:rsidR="00281426" w:rsidRPr="00073666" w14:paraId="7B69C077" w14:textId="77777777" w:rsidTr="00950AEE">
        <w:trPr>
          <w:trHeight w:val="240"/>
        </w:trPr>
        <w:tc>
          <w:tcPr>
            <w:tcW w:w="2924" w:type="dxa"/>
            <w:tcBorders>
              <w:top w:val="nil"/>
              <w:left w:val="nil"/>
              <w:bottom w:val="nil"/>
              <w:right w:val="nil"/>
            </w:tcBorders>
            <w:shd w:val="clear" w:color="auto" w:fill="auto"/>
            <w:noWrap/>
            <w:vAlign w:val="bottom"/>
            <w:hideMark/>
          </w:tcPr>
          <w:p w14:paraId="3CBD9A9F"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50E1A452"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Biomarker performed? Date</w:t>
            </w:r>
          </w:p>
        </w:tc>
      </w:tr>
      <w:tr w:rsidR="00281426" w:rsidRPr="00073666" w14:paraId="419391AC" w14:textId="77777777" w:rsidTr="00950AEE">
        <w:trPr>
          <w:trHeight w:val="220"/>
        </w:trPr>
        <w:tc>
          <w:tcPr>
            <w:tcW w:w="2924" w:type="dxa"/>
            <w:tcBorders>
              <w:top w:val="nil"/>
              <w:left w:val="nil"/>
              <w:bottom w:val="nil"/>
              <w:right w:val="nil"/>
            </w:tcBorders>
            <w:shd w:val="clear" w:color="auto" w:fill="auto"/>
            <w:noWrap/>
            <w:vAlign w:val="bottom"/>
            <w:hideMark/>
          </w:tcPr>
          <w:p w14:paraId="23099DE7"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42FB6662" w14:textId="77777777" w:rsidR="00281426" w:rsidRPr="00073666" w:rsidRDefault="00281426" w:rsidP="00042EF4">
            <w:pPr>
              <w:ind w:firstLineChars="400" w:firstLine="800"/>
              <w:rPr>
                <w:rFonts w:ascii="Calibri" w:hAnsi="Calibri" w:cs="Calibri"/>
                <w:sz w:val="20"/>
                <w:szCs w:val="20"/>
              </w:rPr>
            </w:pPr>
          </w:p>
        </w:tc>
      </w:tr>
      <w:tr w:rsidR="00281426" w:rsidRPr="00073666" w14:paraId="0C8E5933" w14:textId="77777777" w:rsidTr="00950AEE">
        <w:trPr>
          <w:trHeight w:val="240"/>
        </w:trPr>
        <w:tc>
          <w:tcPr>
            <w:tcW w:w="2924" w:type="dxa"/>
            <w:tcBorders>
              <w:top w:val="nil"/>
              <w:left w:val="nil"/>
              <w:bottom w:val="nil"/>
              <w:right w:val="nil"/>
            </w:tcBorders>
            <w:shd w:val="clear" w:color="auto" w:fill="auto"/>
            <w:noWrap/>
            <w:vAlign w:val="bottom"/>
            <w:hideMark/>
          </w:tcPr>
          <w:p w14:paraId="554845AE"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EORTC / MSG 'Clinical'</w:t>
            </w:r>
          </w:p>
        </w:tc>
        <w:tc>
          <w:tcPr>
            <w:tcW w:w="6999" w:type="dxa"/>
            <w:tcBorders>
              <w:top w:val="nil"/>
              <w:left w:val="nil"/>
              <w:bottom w:val="nil"/>
              <w:right w:val="nil"/>
            </w:tcBorders>
            <w:shd w:val="clear" w:color="auto" w:fill="auto"/>
            <w:vAlign w:val="bottom"/>
            <w:hideMark/>
          </w:tcPr>
          <w:p w14:paraId="50A60804"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Dense well circumscribed lesion(s) with/without halo</w:t>
            </w:r>
          </w:p>
        </w:tc>
      </w:tr>
      <w:tr w:rsidR="00281426" w:rsidRPr="00073666" w14:paraId="32BFD663" w14:textId="77777777" w:rsidTr="00950AEE">
        <w:trPr>
          <w:trHeight w:val="240"/>
        </w:trPr>
        <w:tc>
          <w:tcPr>
            <w:tcW w:w="2924" w:type="dxa"/>
            <w:tcBorders>
              <w:top w:val="nil"/>
              <w:left w:val="nil"/>
              <w:bottom w:val="nil"/>
              <w:right w:val="nil"/>
            </w:tcBorders>
            <w:shd w:val="clear" w:color="auto" w:fill="auto"/>
            <w:noWrap/>
            <w:vAlign w:val="bottom"/>
            <w:hideMark/>
          </w:tcPr>
          <w:p w14:paraId="4C00A18A"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4F4204D2"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Air-crescent</w:t>
            </w:r>
          </w:p>
        </w:tc>
      </w:tr>
      <w:tr w:rsidR="00281426" w:rsidRPr="00073666" w14:paraId="4B98DE3F" w14:textId="77777777" w:rsidTr="00950AEE">
        <w:trPr>
          <w:trHeight w:val="240"/>
        </w:trPr>
        <w:tc>
          <w:tcPr>
            <w:tcW w:w="2924" w:type="dxa"/>
            <w:tcBorders>
              <w:top w:val="nil"/>
              <w:left w:val="nil"/>
              <w:bottom w:val="nil"/>
              <w:right w:val="nil"/>
            </w:tcBorders>
            <w:shd w:val="clear" w:color="auto" w:fill="auto"/>
            <w:noWrap/>
            <w:vAlign w:val="bottom"/>
            <w:hideMark/>
          </w:tcPr>
          <w:p w14:paraId="0490759A"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34FC3C0F"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Cavity</w:t>
            </w:r>
          </w:p>
        </w:tc>
      </w:tr>
      <w:tr w:rsidR="00281426" w:rsidRPr="00073666" w14:paraId="014412FD" w14:textId="77777777" w:rsidTr="00950AEE">
        <w:trPr>
          <w:trHeight w:val="240"/>
        </w:trPr>
        <w:tc>
          <w:tcPr>
            <w:tcW w:w="2924" w:type="dxa"/>
            <w:tcBorders>
              <w:top w:val="nil"/>
              <w:left w:val="nil"/>
              <w:bottom w:val="nil"/>
              <w:right w:val="nil"/>
            </w:tcBorders>
            <w:shd w:val="clear" w:color="auto" w:fill="auto"/>
            <w:noWrap/>
            <w:vAlign w:val="bottom"/>
            <w:hideMark/>
          </w:tcPr>
          <w:p w14:paraId="4292E5B6"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18835441"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Tracheobronchitis (ulceration/nodule/</w:t>
            </w:r>
            <w:proofErr w:type="spellStart"/>
            <w:r w:rsidRPr="00073666">
              <w:rPr>
                <w:rFonts w:ascii="Calibri" w:hAnsi="Calibri" w:cs="Calibri"/>
                <w:color w:val="000000"/>
                <w:sz w:val="16"/>
                <w:szCs w:val="16"/>
              </w:rPr>
              <w:t>pseudomembrane</w:t>
            </w:r>
            <w:proofErr w:type="spellEnd"/>
            <w:r w:rsidRPr="00073666">
              <w:rPr>
                <w:rFonts w:ascii="Calibri" w:hAnsi="Calibri" w:cs="Calibri"/>
                <w:color w:val="000000"/>
                <w:sz w:val="16"/>
                <w:szCs w:val="16"/>
              </w:rPr>
              <w:t>/plaque/eschar on bronchoscopy)</w:t>
            </w:r>
          </w:p>
        </w:tc>
      </w:tr>
      <w:tr w:rsidR="00281426" w:rsidRPr="00073666" w14:paraId="2DE10975" w14:textId="77777777" w:rsidTr="00950AEE">
        <w:trPr>
          <w:trHeight w:val="220"/>
        </w:trPr>
        <w:tc>
          <w:tcPr>
            <w:tcW w:w="2924" w:type="dxa"/>
            <w:tcBorders>
              <w:top w:val="nil"/>
              <w:left w:val="nil"/>
              <w:bottom w:val="nil"/>
              <w:right w:val="nil"/>
            </w:tcBorders>
            <w:shd w:val="clear" w:color="auto" w:fill="auto"/>
            <w:noWrap/>
            <w:vAlign w:val="bottom"/>
            <w:hideMark/>
          </w:tcPr>
          <w:p w14:paraId="2B99316E"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2F0A014F" w14:textId="77777777" w:rsidR="00281426" w:rsidRPr="00073666" w:rsidRDefault="00281426" w:rsidP="00042EF4">
            <w:pPr>
              <w:ind w:firstLineChars="400" w:firstLine="800"/>
              <w:rPr>
                <w:rFonts w:ascii="Calibri" w:hAnsi="Calibri" w:cs="Calibri"/>
                <w:sz w:val="20"/>
                <w:szCs w:val="20"/>
              </w:rPr>
            </w:pPr>
          </w:p>
        </w:tc>
      </w:tr>
      <w:tr w:rsidR="00281426" w:rsidRPr="00073666" w14:paraId="3B253C3F" w14:textId="77777777" w:rsidTr="00950AEE">
        <w:trPr>
          <w:trHeight w:val="240"/>
        </w:trPr>
        <w:tc>
          <w:tcPr>
            <w:tcW w:w="2924" w:type="dxa"/>
            <w:tcBorders>
              <w:top w:val="nil"/>
              <w:left w:val="nil"/>
              <w:bottom w:val="nil"/>
              <w:right w:val="nil"/>
            </w:tcBorders>
            <w:shd w:val="clear" w:color="auto" w:fill="auto"/>
            <w:noWrap/>
            <w:vAlign w:val="bottom"/>
            <w:hideMark/>
          </w:tcPr>
          <w:p w14:paraId="2D348FDB" w14:textId="77777777" w:rsidR="00281426" w:rsidRPr="00073666" w:rsidRDefault="00281426" w:rsidP="00042EF4">
            <w:pPr>
              <w:rPr>
                <w:rFonts w:ascii="Calibri" w:hAnsi="Calibri" w:cs="Calibri"/>
                <w:color w:val="000000"/>
                <w:sz w:val="16"/>
                <w:szCs w:val="16"/>
              </w:rPr>
            </w:pPr>
            <w:proofErr w:type="spellStart"/>
            <w:r w:rsidRPr="00073666">
              <w:rPr>
                <w:rFonts w:ascii="Calibri" w:hAnsi="Calibri" w:cs="Calibri"/>
                <w:color w:val="000000"/>
                <w:sz w:val="16"/>
                <w:szCs w:val="16"/>
              </w:rPr>
              <w:lastRenderedPageBreak/>
              <w:t>AspiFlu</w:t>
            </w:r>
            <w:proofErr w:type="spellEnd"/>
            <w:r w:rsidRPr="00073666">
              <w:rPr>
                <w:rFonts w:ascii="Calibri" w:hAnsi="Calibri" w:cs="Calibri"/>
                <w:color w:val="000000"/>
                <w:sz w:val="16"/>
                <w:szCs w:val="16"/>
              </w:rPr>
              <w:t xml:space="preserve"> 'Radiological'</w:t>
            </w:r>
          </w:p>
        </w:tc>
        <w:tc>
          <w:tcPr>
            <w:tcW w:w="6999" w:type="dxa"/>
            <w:tcBorders>
              <w:top w:val="nil"/>
              <w:left w:val="nil"/>
              <w:bottom w:val="nil"/>
              <w:right w:val="nil"/>
            </w:tcBorders>
            <w:shd w:val="clear" w:color="auto" w:fill="auto"/>
            <w:vAlign w:val="bottom"/>
            <w:hideMark/>
          </w:tcPr>
          <w:p w14:paraId="547F852F"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Pulmonary infiltrate (any)</w:t>
            </w:r>
          </w:p>
        </w:tc>
      </w:tr>
      <w:tr w:rsidR="00281426" w:rsidRPr="00073666" w14:paraId="17715D5D" w14:textId="77777777" w:rsidTr="00950AEE">
        <w:trPr>
          <w:trHeight w:val="240"/>
        </w:trPr>
        <w:tc>
          <w:tcPr>
            <w:tcW w:w="2924" w:type="dxa"/>
            <w:tcBorders>
              <w:top w:val="nil"/>
              <w:left w:val="nil"/>
              <w:bottom w:val="nil"/>
              <w:right w:val="nil"/>
            </w:tcBorders>
            <w:shd w:val="clear" w:color="auto" w:fill="auto"/>
            <w:noWrap/>
            <w:vAlign w:val="bottom"/>
            <w:hideMark/>
          </w:tcPr>
          <w:p w14:paraId="1E8508B7"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70AC276C"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Tracheobronchitis (ulceration/nodule/</w:t>
            </w:r>
            <w:proofErr w:type="spellStart"/>
            <w:r w:rsidRPr="00073666">
              <w:rPr>
                <w:rFonts w:ascii="Calibri" w:hAnsi="Calibri" w:cs="Calibri"/>
                <w:color w:val="000000"/>
                <w:sz w:val="16"/>
                <w:szCs w:val="16"/>
              </w:rPr>
              <w:t>pseudomembrane</w:t>
            </w:r>
            <w:proofErr w:type="spellEnd"/>
            <w:r w:rsidRPr="00073666">
              <w:rPr>
                <w:rFonts w:ascii="Calibri" w:hAnsi="Calibri" w:cs="Calibri"/>
                <w:color w:val="000000"/>
                <w:sz w:val="16"/>
                <w:szCs w:val="16"/>
              </w:rPr>
              <w:t>/plaque/eschar on bronchoscopy)</w:t>
            </w:r>
          </w:p>
        </w:tc>
      </w:tr>
      <w:tr w:rsidR="00281426" w:rsidRPr="00073666" w14:paraId="01888BA1" w14:textId="77777777" w:rsidTr="00950AEE">
        <w:trPr>
          <w:trHeight w:val="220"/>
        </w:trPr>
        <w:tc>
          <w:tcPr>
            <w:tcW w:w="2924" w:type="dxa"/>
            <w:tcBorders>
              <w:top w:val="nil"/>
              <w:left w:val="nil"/>
              <w:bottom w:val="nil"/>
              <w:right w:val="nil"/>
            </w:tcBorders>
            <w:shd w:val="clear" w:color="auto" w:fill="auto"/>
            <w:noWrap/>
            <w:vAlign w:val="bottom"/>
            <w:hideMark/>
          </w:tcPr>
          <w:p w14:paraId="73176776"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63E92049" w14:textId="77777777" w:rsidR="00281426" w:rsidRPr="00073666" w:rsidRDefault="00281426" w:rsidP="00042EF4">
            <w:pPr>
              <w:rPr>
                <w:rFonts w:ascii="Calibri" w:hAnsi="Calibri" w:cs="Calibri"/>
                <w:sz w:val="20"/>
                <w:szCs w:val="20"/>
              </w:rPr>
            </w:pPr>
          </w:p>
        </w:tc>
      </w:tr>
      <w:tr w:rsidR="00281426" w:rsidRPr="00073666" w14:paraId="231E550B" w14:textId="77777777" w:rsidTr="00950AEE">
        <w:trPr>
          <w:trHeight w:val="240"/>
        </w:trPr>
        <w:tc>
          <w:tcPr>
            <w:tcW w:w="2924" w:type="dxa"/>
            <w:tcBorders>
              <w:top w:val="nil"/>
              <w:left w:val="nil"/>
              <w:bottom w:val="nil"/>
              <w:right w:val="nil"/>
            </w:tcBorders>
            <w:shd w:val="clear" w:color="auto" w:fill="auto"/>
            <w:noWrap/>
            <w:vAlign w:val="bottom"/>
            <w:hideMark/>
          </w:tcPr>
          <w:p w14:paraId="6E6163AC"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 xml:space="preserve">EORTC / MSG / </w:t>
            </w:r>
            <w:proofErr w:type="spellStart"/>
            <w:r w:rsidRPr="00073666">
              <w:rPr>
                <w:rFonts w:ascii="Calibri" w:hAnsi="Calibri" w:cs="Calibri"/>
                <w:color w:val="000000"/>
                <w:sz w:val="16"/>
                <w:szCs w:val="16"/>
              </w:rPr>
              <w:t>AspICU</w:t>
            </w:r>
            <w:proofErr w:type="spellEnd"/>
            <w:r w:rsidRPr="00073666">
              <w:rPr>
                <w:rFonts w:ascii="Calibri" w:hAnsi="Calibri" w:cs="Calibri"/>
                <w:color w:val="000000"/>
                <w:sz w:val="16"/>
                <w:szCs w:val="16"/>
              </w:rPr>
              <w:t xml:space="preserve"> 'Mycological'</w:t>
            </w:r>
          </w:p>
        </w:tc>
        <w:tc>
          <w:tcPr>
            <w:tcW w:w="6999" w:type="dxa"/>
            <w:tcBorders>
              <w:top w:val="nil"/>
              <w:left w:val="nil"/>
              <w:bottom w:val="nil"/>
              <w:right w:val="nil"/>
            </w:tcBorders>
            <w:shd w:val="clear" w:color="auto" w:fill="auto"/>
            <w:vAlign w:val="bottom"/>
            <w:hideMark/>
          </w:tcPr>
          <w:p w14:paraId="2939A291"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 xml:space="preserve">Evidence of Aspergillus hyphae and tissue damage in </w:t>
            </w:r>
            <w:proofErr w:type="spellStart"/>
            <w:r w:rsidRPr="00073666">
              <w:rPr>
                <w:rFonts w:ascii="Calibri" w:hAnsi="Calibri" w:cs="Calibri"/>
                <w:color w:val="000000"/>
                <w:sz w:val="16"/>
                <w:szCs w:val="16"/>
              </w:rPr>
              <w:t>histopath</w:t>
            </w:r>
            <w:proofErr w:type="spellEnd"/>
            <w:r w:rsidRPr="00073666">
              <w:rPr>
                <w:rFonts w:ascii="Calibri" w:hAnsi="Calibri" w:cs="Calibri"/>
                <w:color w:val="000000"/>
                <w:sz w:val="16"/>
                <w:szCs w:val="16"/>
              </w:rPr>
              <w:t>/</w:t>
            </w:r>
            <w:proofErr w:type="spellStart"/>
            <w:r w:rsidRPr="00073666">
              <w:rPr>
                <w:rFonts w:ascii="Calibri" w:hAnsi="Calibri" w:cs="Calibri"/>
                <w:color w:val="000000"/>
                <w:sz w:val="16"/>
                <w:szCs w:val="16"/>
              </w:rPr>
              <w:t>cytopath</w:t>
            </w:r>
            <w:proofErr w:type="spellEnd"/>
            <w:r w:rsidRPr="00073666">
              <w:rPr>
                <w:rFonts w:ascii="Calibri" w:hAnsi="Calibri" w:cs="Calibri"/>
                <w:color w:val="000000"/>
                <w:sz w:val="16"/>
                <w:szCs w:val="16"/>
              </w:rPr>
              <w:t xml:space="preserve"> sterile specimen</w:t>
            </w:r>
          </w:p>
        </w:tc>
      </w:tr>
      <w:tr w:rsidR="00281426" w:rsidRPr="00073666" w14:paraId="318DFF3D" w14:textId="77777777" w:rsidTr="00950AEE">
        <w:trPr>
          <w:trHeight w:val="240"/>
        </w:trPr>
        <w:tc>
          <w:tcPr>
            <w:tcW w:w="2924" w:type="dxa"/>
            <w:tcBorders>
              <w:top w:val="nil"/>
              <w:left w:val="nil"/>
              <w:bottom w:val="nil"/>
              <w:right w:val="nil"/>
            </w:tcBorders>
            <w:shd w:val="clear" w:color="auto" w:fill="auto"/>
            <w:noWrap/>
            <w:vAlign w:val="bottom"/>
            <w:hideMark/>
          </w:tcPr>
          <w:p w14:paraId="5DB13B98"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734823B0"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Aspergillus positive culture</w:t>
            </w:r>
          </w:p>
        </w:tc>
      </w:tr>
      <w:tr w:rsidR="00281426" w:rsidRPr="00073666" w14:paraId="769BDE9E" w14:textId="77777777" w:rsidTr="00950AEE">
        <w:trPr>
          <w:trHeight w:val="240"/>
        </w:trPr>
        <w:tc>
          <w:tcPr>
            <w:tcW w:w="2924" w:type="dxa"/>
            <w:tcBorders>
              <w:top w:val="nil"/>
              <w:left w:val="nil"/>
              <w:bottom w:val="nil"/>
              <w:right w:val="nil"/>
            </w:tcBorders>
            <w:shd w:val="clear" w:color="auto" w:fill="auto"/>
            <w:noWrap/>
            <w:vAlign w:val="bottom"/>
            <w:hideMark/>
          </w:tcPr>
          <w:p w14:paraId="2F859B02"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33985905"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Galactomannan positive &gt;0.5 (serum)</w:t>
            </w:r>
          </w:p>
        </w:tc>
      </w:tr>
      <w:tr w:rsidR="00281426" w:rsidRPr="00073666" w14:paraId="4C59197D" w14:textId="77777777" w:rsidTr="00950AEE">
        <w:trPr>
          <w:trHeight w:val="240"/>
        </w:trPr>
        <w:tc>
          <w:tcPr>
            <w:tcW w:w="2924" w:type="dxa"/>
            <w:tcBorders>
              <w:top w:val="nil"/>
              <w:left w:val="nil"/>
              <w:bottom w:val="nil"/>
              <w:right w:val="nil"/>
            </w:tcBorders>
            <w:shd w:val="clear" w:color="auto" w:fill="auto"/>
            <w:noWrap/>
            <w:vAlign w:val="bottom"/>
            <w:hideMark/>
          </w:tcPr>
          <w:p w14:paraId="54B85061"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3DF0722E"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Galactomannan positive &gt;1 (BAL)</w:t>
            </w:r>
          </w:p>
        </w:tc>
      </w:tr>
      <w:tr w:rsidR="00281426" w:rsidRPr="00073666" w14:paraId="6CE53598" w14:textId="77777777" w:rsidTr="00950AEE">
        <w:trPr>
          <w:trHeight w:val="220"/>
        </w:trPr>
        <w:tc>
          <w:tcPr>
            <w:tcW w:w="2924" w:type="dxa"/>
            <w:tcBorders>
              <w:top w:val="nil"/>
              <w:left w:val="nil"/>
              <w:bottom w:val="nil"/>
              <w:right w:val="nil"/>
            </w:tcBorders>
            <w:shd w:val="clear" w:color="auto" w:fill="auto"/>
            <w:noWrap/>
            <w:vAlign w:val="bottom"/>
            <w:hideMark/>
          </w:tcPr>
          <w:p w14:paraId="1133B4E4"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07AF5890" w14:textId="77777777" w:rsidR="00281426" w:rsidRPr="00073666" w:rsidRDefault="00281426" w:rsidP="00042EF4">
            <w:pPr>
              <w:rPr>
                <w:rFonts w:ascii="Calibri" w:hAnsi="Calibri" w:cs="Calibri"/>
                <w:sz w:val="20"/>
                <w:szCs w:val="20"/>
              </w:rPr>
            </w:pPr>
          </w:p>
        </w:tc>
      </w:tr>
      <w:tr w:rsidR="00281426" w:rsidRPr="00073666" w14:paraId="5B766EB6" w14:textId="77777777" w:rsidTr="00950AEE">
        <w:trPr>
          <w:trHeight w:val="240"/>
        </w:trPr>
        <w:tc>
          <w:tcPr>
            <w:tcW w:w="2924" w:type="dxa"/>
            <w:tcBorders>
              <w:top w:val="nil"/>
              <w:left w:val="nil"/>
              <w:bottom w:val="nil"/>
              <w:right w:val="nil"/>
            </w:tcBorders>
            <w:shd w:val="clear" w:color="auto" w:fill="auto"/>
            <w:noWrap/>
            <w:vAlign w:val="bottom"/>
            <w:hideMark/>
          </w:tcPr>
          <w:p w14:paraId="30460BA5"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Coinfections</w:t>
            </w:r>
          </w:p>
        </w:tc>
        <w:tc>
          <w:tcPr>
            <w:tcW w:w="6999" w:type="dxa"/>
            <w:tcBorders>
              <w:top w:val="nil"/>
              <w:left w:val="nil"/>
              <w:bottom w:val="nil"/>
              <w:right w:val="nil"/>
            </w:tcBorders>
            <w:shd w:val="clear" w:color="auto" w:fill="auto"/>
            <w:vAlign w:val="bottom"/>
            <w:hideMark/>
          </w:tcPr>
          <w:p w14:paraId="0A398380" w14:textId="77777777" w:rsidR="00281426" w:rsidRPr="00073666" w:rsidRDefault="00281426" w:rsidP="00042EF4">
            <w:pPr>
              <w:rPr>
                <w:rFonts w:ascii="Calibri" w:hAnsi="Calibri" w:cs="Calibri"/>
                <w:color w:val="000000"/>
                <w:sz w:val="16"/>
                <w:szCs w:val="16"/>
              </w:rPr>
            </w:pPr>
            <w:proofErr w:type="gramStart"/>
            <w:r w:rsidRPr="00073666">
              <w:rPr>
                <w:rFonts w:ascii="Calibri" w:hAnsi="Calibri" w:cs="Calibri"/>
                <w:color w:val="000000"/>
                <w:sz w:val="16"/>
                <w:szCs w:val="16"/>
              </w:rPr>
              <w:t>Other</w:t>
            </w:r>
            <w:proofErr w:type="gramEnd"/>
            <w:r w:rsidRPr="00073666">
              <w:rPr>
                <w:rFonts w:ascii="Calibri" w:hAnsi="Calibri" w:cs="Calibri"/>
                <w:color w:val="000000"/>
                <w:sz w:val="16"/>
                <w:szCs w:val="16"/>
              </w:rPr>
              <w:t xml:space="preserve"> respiratory virus </w:t>
            </w:r>
          </w:p>
        </w:tc>
      </w:tr>
      <w:tr w:rsidR="00281426" w:rsidRPr="00073666" w14:paraId="5837FCB4" w14:textId="77777777" w:rsidTr="00950AEE">
        <w:trPr>
          <w:trHeight w:val="240"/>
        </w:trPr>
        <w:tc>
          <w:tcPr>
            <w:tcW w:w="2924" w:type="dxa"/>
            <w:tcBorders>
              <w:top w:val="nil"/>
              <w:left w:val="nil"/>
              <w:bottom w:val="nil"/>
              <w:right w:val="nil"/>
            </w:tcBorders>
            <w:shd w:val="clear" w:color="auto" w:fill="auto"/>
            <w:noWrap/>
            <w:vAlign w:val="bottom"/>
            <w:hideMark/>
          </w:tcPr>
          <w:p w14:paraId="69821235"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3E017024"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Bacteria isolated in BAL</w:t>
            </w:r>
          </w:p>
        </w:tc>
      </w:tr>
      <w:tr w:rsidR="00281426" w:rsidRPr="00073666" w14:paraId="10772394" w14:textId="77777777" w:rsidTr="00950AEE">
        <w:trPr>
          <w:trHeight w:val="220"/>
        </w:trPr>
        <w:tc>
          <w:tcPr>
            <w:tcW w:w="2924" w:type="dxa"/>
            <w:tcBorders>
              <w:top w:val="nil"/>
              <w:left w:val="nil"/>
              <w:bottom w:val="nil"/>
              <w:right w:val="nil"/>
            </w:tcBorders>
            <w:shd w:val="clear" w:color="auto" w:fill="auto"/>
            <w:noWrap/>
            <w:vAlign w:val="bottom"/>
            <w:hideMark/>
          </w:tcPr>
          <w:p w14:paraId="76E6673E"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0013BE46" w14:textId="77777777" w:rsidR="00281426" w:rsidRPr="00073666" w:rsidRDefault="00281426" w:rsidP="00042EF4">
            <w:pPr>
              <w:rPr>
                <w:rFonts w:ascii="Calibri" w:hAnsi="Calibri" w:cs="Calibri"/>
                <w:sz w:val="20"/>
                <w:szCs w:val="20"/>
              </w:rPr>
            </w:pPr>
          </w:p>
        </w:tc>
      </w:tr>
      <w:tr w:rsidR="00281426" w:rsidRPr="00073666" w14:paraId="1BC19A3B" w14:textId="77777777" w:rsidTr="00950AEE">
        <w:trPr>
          <w:trHeight w:val="240"/>
        </w:trPr>
        <w:tc>
          <w:tcPr>
            <w:tcW w:w="2924" w:type="dxa"/>
            <w:tcBorders>
              <w:top w:val="nil"/>
              <w:left w:val="nil"/>
              <w:bottom w:val="nil"/>
              <w:right w:val="nil"/>
            </w:tcBorders>
            <w:shd w:val="clear" w:color="auto" w:fill="auto"/>
            <w:noWrap/>
            <w:vAlign w:val="bottom"/>
            <w:hideMark/>
          </w:tcPr>
          <w:p w14:paraId="459C9552"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Therapeutics/Interventions</w:t>
            </w:r>
          </w:p>
        </w:tc>
        <w:tc>
          <w:tcPr>
            <w:tcW w:w="6999" w:type="dxa"/>
            <w:tcBorders>
              <w:top w:val="nil"/>
              <w:left w:val="nil"/>
              <w:bottom w:val="nil"/>
              <w:right w:val="nil"/>
            </w:tcBorders>
            <w:shd w:val="clear" w:color="auto" w:fill="auto"/>
            <w:vAlign w:val="bottom"/>
            <w:hideMark/>
          </w:tcPr>
          <w:p w14:paraId="231946E6"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Azole use (treatment) and indication</w:t>
            </w:r>
          </w:p>
        </w:tc>
      </w:tr>
      <w:tr w:rsidR="00281426" w:rsidRPr="00073666" w14:paraId="56E07C13" w14:textId="77777777" w:rsidTr="00950AEE">
        <w:trPr>
          <w:trHeight w:val="240"/>
        </w:trPr>
        <w:tc>
          <w:tcPr>
            <w:tcW w:w="2924" w:type="dxa"/>
            <w:tcBorders>
              <w:top w:val="nil"/>
              <w:left w:val="nil"/>
              <w:bottom w:val="nil"/>
              <w:right w:val="nil"/>
            </w:tcBorders>
            <w:shd w:val="clear" w:color="auto" w:fill="auto"/>
            <w:noWrap/>
            <w:vAlign w:val="bottom"/>
            <w:hideMark/>
          </w:tcPr>
          <w:p w14:paraId="6D469782"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482F3A68"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 xml:space="preserve">Antibiotic use duration </w:t>
            </w:r>
          </w:p>
        </w:tc>
      </w:tr>
      <w:tr w:rsidR="00281426" w:rsidRPr="00073666" w14:paraId="43D1CCC7" w14:textId="77777777" w:rsidTr="00950AEE">
        <w:trPr>
          <w:trHeight w:val="240"/>
        </w:trPr>
        <w:tc>
          <w:tcPr>
            <w:tcW w:w="2924" w:type="dxa"/>
            <w:tcBorders>
              <w:top w:val="nil"/>
              <w:left w:val="nil"/>
              <w:bottom w:val="nil"/>
              <w:right w:val="nil"/>
            </w:tcBorders>
            <w:shd w:val="clear" w:color="auto" w:fill="auto"/>
            <w:noWrap/>
            <w:vAlign w:val="bottom"/>
            <w:hideMark/>
          </w:tcPr>
          <w:p w14:paraId="7D04CC00"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3C1319CE"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Neuraminidase inhibitor duration</w:t>
            </w:r>
          </w:p>
        </w:tc>
      </w:tr>
      <w:tr w:rsidR="00281426" w:rsidRPr="00073666" w14:paraId="0BF8A58D" w14:textId="77777777" w:rsidTr="00950AEE">
        <w:trPr>
          <w:trHeight w:val="240"/>
        </w:trPr>
        <w:tc>
          <w:tcPr>
            <w:tcW w:w="2924" w:type="dxa"/>
            <w:tcBorders>
              <w:top w:val="nil"/>
              <w:left w:val="nil"/>
              <w:bottom w:val="nil"/>
              <w:right w:val="nil"/>
            </w:tcBorders>
            <w:shd w:val="clear" w:color="auto" w:fill="auto"/>
            <w:noWrap/>
            <w:vAlign w:val="bottom"/>
            <w:hideMark/>
          </w:tcPr>
          <w:p w14:paraId="62A9B912"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242DCC05"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Date of first intubation</w:t>
            </w:r>
          </w:p>
        </w:tc>
      </w:tr>
      <w:tr w:rsidR="00281426" w:rsidRPr="00073666" w14:paraId="3454AC4A" w14:textId="77777777" w:rsidTr="00950AEE">
        <w:trPr>
          <w:trHeight w:val="240"/>
        </w:trPr>
        <w:tc>
          <w:tcPr>
            <w:tcW w:w="2924" w:type="dxa"/>
            <w:tcBorders>
              <w:top w:val="nil"/>
              <w:left w:val="nil"/>
              <w:bottom w:val="nil"/>
              <w:right w:val="nil"/>
            </w:tcBorders>
            <w:shd w:val="clear" w:color="auto" w:fill="auto"/>
            <w:noWrap/>
            <w:vAlign w:val="bottom"/>
            <w:hideMark/>
          </w:tcPr>
          <w:p w14:paraId="5CF3BB82"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0D6D474A"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Date of ECMO</w:t>
            </w:r>
          </w:p>
        </w:tc>
      </w:tr>
      <w:tr w:rsidR="00281426" w:rsidRPr="00073666" w14:paraId="4C8FE471" w14:textId="77777777" w:rsidTr="00950AEE">
        <w:trPr>
          <w:trHeight w:val="220"/>
        </w:trPr>
        <w:tc>
          <w:tcPr>
            <w:tcW w:w="2924" w:type="dxa"/>
            <w:tcBorders>
              <w:top w:val="nil"/>
              <w:left w:val="nil"/>
              <w:bottom w:val="nil"/>
              <w:right w:val="nil"/>
            </w:tcBorders>
            <w:shd w:val="clear" w:color="auto" w:fill="auto"/>
            <w:noWrap/>
            <w:vAlign w:val="bottom"/>
            <w:hideMark/>
          </w:tcPr>
          <w:p w14:paraId="2F625485"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6A5150A6" w14:textId="77777777" w:rsidR="00281426" w:rsidRPr="00073666" w:rsidRDefault="00281426" w:rsidP="00042EF4">
            <w:pPr>
              <w:ind w:firstLineChars="400" w:firstLine="800"/>
              <w:rPr>
                <w:rFonts w:ascii="Calibri" w:hAnsi="Calibri" w:cs="Calibri"/>
                <w:sz w:val="20"/>
                <w:szCs w:val="20"/>
              </w:rPr>
            </w:pPr>
          </w:p>
        </w:tc>
      </w:tr>
      <w:tr w:rsidR="00281426" w:rsidRPr="00073666" w14:paraId="090A0D7F" w14:textId="77777777" w:rsidTr="00950AEE">
        <w:trPr>
          <w:trHeight w:val="240"/>
        </w:trPr>
        <w:tc>
          <w:tcPr>
            <w:tcW w:w="2924" w:type="dxa"/>
            <w:tcBorders>
              <w:top w:val="nil"/>
              <w:left w:val="nil"/>
              <w:bottom w:val="nil"/>
              <w:right w:val="nil"/>
            </w:tcBorders>
            <w:shd w:val="clear" w:color="auto" w:fill="auto"/>
            <w:noWrap/>
            <w:vAlign w:val="bottom"/>
            <w:hideMark/>
          </w:tcPr>
          <w:p w14:paraId="473BB1B8"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Outcome measures</w:t>
            </w:r>
          </w:p>
        </w:tc>
        <w:tc>
          <w:tcPr>
            <w:tcW w:w="6999" w:type="dxa"/>
            <w:tcBorders>
              <w:top w:val="nil"/>
              <w:left w:val="nil"/>
              <w:bottom w:val="nil"/>
              <w:right w:val="nil"/>
            </w:tcBorders>
            <w:shd w:val="clear" w:color="auto" w:fill="auto"/>
            <w:vAlign w:val="bottom"/>
            <w:hideMark/>
          </w:tcPr>
          <w:p w14:paraId="581DC48C"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Length of intubation</w:t>
            </w:r>
          </w:p>
        </w:tc>
      </w:tr>
      <w:tr w:rsidR="00281426" w:rsidRPr="00073666" w14:paraId="3CC84C13" w14:textId="77777777" w:rsidTr="00950AEE">
        <w:trPr>
          <w:trHeight w:val="240"/>
        </w:trPr>
        <w:tc>
          <w:tcPr>
            <w:tcW w:w="2924" w:type="dxa"/>
            <w:tcBorders>
              <w:top w:val="nil"/>
              <w:left w:val="nil"/>
              <w:bottom w:val="nil"/>
              <w:right w:val="nil"/>
            </w:tcBorders>
            <w:shd w:val="clear" w:color="auto" w:fill="auto"/>
            <w:noWrap/>
            <w:vAlign w:val="bottom"/>
            <w:hideMark/>
          </w:tcPr>
          <w:p w14:paraId="61B4846C"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6549016B"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Length of ECMO</w:t>
            </w:r>
          </w:p>
        </w:tc>
      </w:tr>
      <w:tr w:rsidR="00281426" w:rsidRPr="00073666" w14:paraId="230E5BC3" w14:textId="77777777" w:rsidTr="00950AEE">
        <w:trPr>
          <w:trHeight w:val="240"/>
        </w:trPr>
        <w:tc>
          <w:tcPr>
            <w:tcW w:w="2924" w:type="dxa"/>
            <w:tcBorders>
              <w:top w:val="nil"/>
              <w:left w:val="nil"/>
              <w:bottom w:val="nil"/>
              <w:right w:val="nil"/>
            </w:tcBorders>
            <w:shd w:val="clear" w:color="auto" w:fill="auto"/>
            <w:noWrap/>
            <w:vAlign w:val="bottom"/>
            <w:hideMark/>
          </w:tcPr>
          <w:p w14:paraId="6B1B4573"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104430BC"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Length of ICU stay</w:t>
            </w:r>
          </w:p>
        </w:tc>
      </w:tr>
      <w:tr w:rsidR="00281426" w:rsidRPr="00073666" w14:paraId="4BAB9AFC" w14:textId="77777777" w:rsidTr="00950AEE">
        <w:trPr>
          <w:trHeight w:val="240"/>
        </w:trPr>
        <w:tc>
          <w:tcPr>
            <w:tcW w:w="2924" w:type="dxa"/>
            <w:tcBorders>
              <w:top w:val="nil"/>
              <w:left w:val="nil"/>
              <w:bottom w:val="nil"/>
              <w:right w:val="nil"/>
            </w:tcBorders>
            <w:shd w:val="clear" w:color="auto" w:fill="auto"/>
            <w:noWrap/>
            <w:vAlign w:val="bottom"/>
            <w:hideMark/>
          </w:tcPr>
          <w:p w14:paraId="78E31BE8"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3BB28BD7"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ICU all-cause mortality</w:t>
            </w:r>
          </w:p>
        </w:tc>
      </w:tr>
      <w:tr w:rsidR="00281426" w:rsidRPr="00073666" w14:paraId="632C1B7F" w14:textId="77777777" w:rsidTr="00950AEE">
        <w:trPr>
          <w:trHeight w:val="220"/>
        </w:trPr>
        <w:tc>
          <w:tcPr>
            <w:tcW w:w="2924" w:type="dxa"/>
            <w:tcBorders>
              <w:top w:val="nil"/>
              <w:left w:val="nil"/>
              <w:bottom w:val="nil"/>
              <w:right w:val="nil"/>
            </w:tcBorders>
            <w:shd w:val="clear" w:color="auto" w:fill="auto"/>
            <w:noWrap/>
            <w:vAlign w:val="bottom"/>
            <w:hideMark/>
          </w:tcPr>
          <w:p w14:paraId="11659442"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00F5723C" w14:textId="77777777" w:rsidR="00281426" w:rsidRPr="00073666" w:rsidRDefault="00281426" w:rsidP="00042EF4">
            <w:pPr>
              <w:rPr>
                <w:rFonts w:ascii="Calibri" w:hAnsi="Calibri" w:cs="Calibri"/>
                <w:sz w:val="20"/>
                <w:szCs w:val="20"/>
              </w:rPr>
            </w:pPr>
          </w:p>
        </w:tc>
      </w:tr>
      <w:tr w:rsidR="00281426" w:rsidRPr="00073666" w14:paraId="45A5EDF9" w14:textId="77777777" w:rsidTr="00950AEE">
        <w:trPr>
          <w:trHeight w:val="220"/>
        </w:trPr>
        <w:tc>
          <w:tcPr>
            <w:tcW w:w="9923" w:type="dxa"/>
            <w:gridSpan w:val="2"/>
            <w:tcBorders>
              <w:top w:val="nil"/>
              <w:left w:val="nil"/>
              <w:bottom w:val="single" w:sz="4" w:space="0" w:color="auto"/>
              <w:right w:val="nil"/>
            </w:tcBorders>
            <w:shd w:val="clear" w:color="auto" w:fill="auto"/>
            <w:noWrap/>
            <w:vAlign w:val="bottom"/>
            <w:hideMark/>
          </w:tcPr>
          <w:p w14:paraId="2E27BDB7" w14:textId="77777777" w:rsidR="00281426" w:rsidRPr="00073666" w:rsidRDefault="00281426" w:rsidP="00042EF4">
            <w:pPr>
              <w:jc w:val="center"/>
              <w:rPr>
                <w:rFonts w:ascii="Calibri" w:hAnsi="Calibri" w:cs="Calibri"/>
                <w:b/>
                <w:bCs/>
                <w:color w:val="000000"/>
                <w:sz w:val="16"/>
                <w:szCs w:val="16"/>
              </w:rPr>
            </w:pPr>
            <w:r w:rsidRPr="00073666">
              <w:rPr>
                <w:rFonts w:ascii="Calibri" w:hAnsi="Calibri" w:cs="Calibri"/>
                <w:b/>
                <w:bCs/>
                <w:color w:val="000000"/>
                <w:sz w:val="16"/>
                <w:szCs w:val="16"/>
              </w:rPr>
              <w:t>Data collected after ICU discharge</w:t>
            </w:r>
          </w:p>
        </w:tc>
      </w:tr>
      <w:tr w:rsidR="00281426" w:rsidRPr="00073666" w14:paraId="329B548E" w14:textId="77777777" w:rsidTr="00950AEE">
        <w:trPr>
          <w:trHeight w:val="220"/>
        </w:trPr>
        <w:tc>
          <w:tcPr>
            <w:tcW w:w="2924" w:type="dxa"/>
            <w:tcBorders>
              <w:top w:val="nil"/>
              <w:left w:val="nil"/>
              <w:bottom w:val="nil"/>
              <w:right w:val="nil"/>
            </w:tcBorders>
            <w:shd w:val="clear" w:color="auto" w:fill="auto"/>
            <w:noWrap/>
            <w:vAlign w:val="bottom"/>
            <w:hideMark/>
          </w:tcPr>
          <w:p w14:paraId="09A730CB" w14:textId="77777777" w:rsidR="00281426" w:rsidRPr="00073666" w:rsidRDefault="00281426" w:rsidP="00042EF4">
            <w:pPr>
              <w:jc w:val="center"/>
              <w:rPr>
                <w:rFonts w:ascii="Calibri" w:hAnsi="Calibri" w:cs="Calibri"/>
                <w:b/>
                <w:bCs/>
                <w:color w:val="000000"/>
                <w:sz w:val="16"/>
                <w:szCs w:val="16"/>
              </w:rPr>
            </w:pPr>
          </w:p>
        </w:tc>
        <w:tc>
          <w:tcPr>
            <w:tcW w:w="6999" w:type="dxa"/>
            <w:tcBorders>
              <w:top w:val="nil"/>
              <w:left w:val="nil"/>
              <w:bottom w:val="nil"/>
              <w:right w:val="nil"/>
            </w:tcBorders>
            <w:shd w:val="clear" w:color="auto" w:fill="auto"/>
            <w:vAlign w:val="bottom"/>
            <w:hideMark/>
          </w:tcPr>
          <w:p w14:paraId="6E078C39" w14:textId="77777777" w:rsidR="00281426" w:rsidRPr="00073666" w:rsidRDefault="00281426" w:rsidP="00042EF4">
            <w:pPr>
              <w:jc w:val="center"/>
              <w:rPr>
                <w:rFonts w:ascii="Calibri" w:hAnsi="Calibri" w:cs="Calibri"/>
                <w:sz w:val="20"/>
                <w:szCs w:val="20"/>
              </w:rPr>
            </w:pPr>
          </w:p>
        </w:tc>
      </w:tr>
      <w:tr w:rsidR="00281426" w:rsidRPr="00073666" w14:paraId="2E2B5842" w14:textId="77777777" w:rsidTr="00950AEE">
        <w:trPr>
          <w:trHeight w:val="240"/>
        </w:trPr>
        <w:tc>
          <w:tcPr>
            <w:tcW w:w="2924" w:type="dxa"/>
            <w:tcBorders>
              <w:top w:val="nil"/>
              <w:left w:val="nil"/>
              <w:bottom w:val="nil"/>
              <w:right w:val="nil"/>
            </w:tcBorders>
            <w:shd w:val="clear" w:color="auto" w:fill="auto"/>
            <w:noWrap/>
            <w:vAlign w:val="bottom"/>
            <w:hideMark/>
          </w:tcPr>
          <w:p w14:paraId="0C078A28"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Influenza Factors</w:t>
            </w:r>
          </w:p>
        </w:tc>
        <w:tc>
          <w:tcPr>
            <w:tcW w:w="6999" w:type="dxa"/>
            <w:tcBorders>
              <w:top w:val="nil"/>
              <w:left w:val="nil"/>
              <w:bottom w:val="nil"/>
              <w:right w:val="nil"/>
            </w:tcBorders>
            <w:shd w:val="clear" w:color="auto" w:fill="auto"/>
            <w:vAlign w:val="bottom"/>
            <w:hideMark/>
          </w:tcPr>
          <w:p w14:paraId="184BC759"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Crude estimate of duration influenza PCR positive (last positive swab +5 days)</w:t>
            </w:r>
          </w:p>
        </w:tc>
      </w:tr>
      <w:tr w:rsidR="00281426" w:rsidRPr="00073666" w14:paraId="499B04F8" w14:textId="77777777" w:rsidTr="00950AEE">
        <w:trPr>
          <w:trHeight w:val="220"/>
        </w:trPr>
        <w:tc>
          <w:tcPr>
            <w:tcW w:w="2924" w:type="dxa"/>
            <w:tcBorders>
              <w:top w:val="nil"/>
              <w:left w:val="nil"/>
              <w:bottom w:val="nil"/>
              <w:right w:val="nil"/>
            </w:tcBorders>
            <w:shd w:val="clear" w:color="auto" w:fill="auto"/>
            <w:noWrap/>
            <w:vAlign w:val="bottom"/>
            <w:hideMark/>
          </w:tcPr>
          <w:p w14:paraId="4FE594EC"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358EFD5F" w14:textId="77777777" w:rsidR="00281426" w:rsidRPr="00073666" w:rsidRDefault="00281426" w:rsidP="00042EF4">
            <w:pPr>
              <w:rPr>
                <w:rFonts w:ascii="Calibri" w:hAnsi="Calibri" w:cs="Calibri"/>
                <w:sz w:val="20"/>
                <w:szCs w:val="20"/>
              </w:rPr>
            </w:pPr>
          </w:p>
        </w:tc>
      </w:tr>
      <w:tr w:rsidR="00281426" w:rsidRPr="00073666" w14:paraId="043C0792" w14:textId="77777777" w:rsidTr="00950AEE">
        <w:trPr>
          <w:trHeight w:val="300"/>
        </w:trPr>
        <w:tc>
          <w:tcPr>
            <w:tcW w:w="2924" w:type="dxa"/>
            <w:tcBorders>
              <w:top w:val="nil"/>
              <w:left w:val="nil"/>
              <w:bottom w:val="nil"/>
              <w:right w:val="nil"/>
            </w:tcBorders>
            <w:shd w:val="clear" w:color="auto" w:fill="auto"/>
            <w:noWrap/>
            <w:vAlign w:val="bottom"/>
            <w:hideMark/>
          </w:tcPr>
          <w:p w14:paraId="5B1A87AB"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Other outcome measures</w:t>
            </w:r>
          </w:p>
        </w:tc>
        <w:tc>
          <w:tcPr>
            <w:tcW w:w="6999" w:type="dxa"/>
            <w:tcBorders>
              <w:top w:val="nil"/>
              <w:left w:val="nil"/>
              <w:bottom w:val="nil"/>
              <w:right w:val="nil"/>
            </w:tcBorders>
            <w:shd w:val="clear" w:color="auto" w:fill="auto"/>
            <w:vAlign w:val="bottom"/>
            <w:hideMark/>
          </w:tcPr>
          <w:p w14:paraId="23D38257"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Inpatient all-cause mortality</w:t>
            </w:r>
          </w:p>
        </w:tc>
      </w:tr>
      <w:tr w:rsidR="00281426" w:rsidRPr="00073666" w14:paraId="3C45639F" w14:textId="77777777" w:rsidTr="00950AEE">
        <w:trPr>
          <w:trHeight w:val="240"/>
        </w:trPr>
        <w:tc>
          <w:tcPr>
            <w:tcW w:w="2924" w:type="dxa"/>
            <w:tcBorders>
              <w:top w:val="nil"/>
              <w:left w:val="nil"/>
              <w:bottom w:val="nil"/>
              <w:right w:val="nil"/>
            </w:tcBorders>
            <w:shd w:val="clear" w:color="auto" w:fill="auto"/>
            <w:noWrap/>
            <w:vAlign w:val="bottom"/>
            <w:hideMark/>
          </w:tcPr>
          <w:p w14:paraId="0DFB15DA"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74820D4E"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90-day all-cause mortality</w:t>
            </w:r>
          </w:p>
        </w:tc>
      </w:tr>
      <w:tr w:rsidR="00281426" w:rsidRPr="00073666" w14:paraId="2E2D5B47" w14:textId="77777777" w:rsidTr="00950AEE">
        <w:trPr>
          <w:trHeight w:val="240"/>
        </w:trPr>
        <w:tc>
          <w:tcPr>
            <w:tcW w:w="2924" w:type="dxa"/>
            <w:tcBorders>
              <w:top w:val="nil"/>
              <w:left w:val="nil"/>
              <w:bottom w:val="nil"/>
              <w:right w:val="nil"/>
            </w:tcBorders>
            <w:shd w:val="clear" w:color="auto" w:fill="auto"/>
            <w:noWrap/>
            <w:vAlign w:val="bottom"/>
            <w:hideMark/>
          </w:tcPr>
          <w:p w14:paraId="4D0B8F05" w14:textId="77777777" w:rsidR="00281426" w:rsidRPr="00073666" w:rsidRDefault="00281426" w:rsidP="00042EF4">
            <w:pPr>
              <w:rPr>
                <w:rFonts w:ascii="Calibri" w:hAnsi="Calibri" w:cs="Calibri"/>
                <w:color w:val="000000"/>
                <w:sz w:val="16"/>
                <w:szCs w:val="16"/>
              </w:rPr>
            </w:pPr>
          </w:p>
        </w:tc>
        <w:tc>
          <w:tcPr>
            <w:tcW w:w="6999" w:type="dxa"/>
            <w:tcBorders>
              <w:top w:val="nil"/>
              <w:left w:val="nil"/>
              <w:bottom w:val="nil"/>
              <w:right w:val="nil"/>
            </w:tcBorders>
            <w:shd w:val="clear" w:color="auto" w:fill="auto"/>
            <w:vAlign w:val="bottom"/>
            <w:hideMark/>
          </w:tcPr>
          <w:p w14:paraId="4F7A9EDD" w14:textId="77777777" w:rsidR="00281426" w:rsidRPr="00073666" w:rsidRDefault="00281426" w:rsidP="00042EF4">
            <w:pPr>
              <w:rPr>
                <w:rFonts w:ascii="Calibri" w:hAnsi="Calibri" w:cs="Calibri"/>
                <w:color w:val="000000"/>
                <w:sz w:val="16"/>
                <w:szCs w:val="16"/>
              </w:rPr>
            </w:pPr>
            <w:r w:rsidRPr="00073666">
              <w:rPr>
                <w:rFonts w:ascii="Calibri" w:hAnsi="Calibri" w:cs="Calibri"/>
                <w:color w:val="000000"/>
                <w:sz w:val="16"/>
                <w:szCs w:val="16"/>
              </w:rPr>
              <w:t>Re-admission to ICU</w:t>
            </w:r>
          </w:p>
        </w:tc>
      </w:tr>
    </w:tbl>
    <w:p w14:paraId="785A7D7B" w14:textId="77777777" w:rsidR="00281426" w:rsidRPr="00073666" w:rsidRDefault="00281426" w:rsidP="00281426">
      <w:pPr>
        <w:rPr>
          <w:rFonts w:ascii="Calibri" w:hAnsi="Calibri" w:cs="Calibri"/>
          <w:b/>
          <w:color w:val="000000" w:themeColor="text1"/>
          <w:szCs w:val="22"/>
        </w:rPr>
      </w:pPr>
    </w:p>
    <w:p w14:paraId="2C57CDCC" w14:textId="77777777" w:rsidR="00DD7B4D" w:rsidRPr="00073666" w:rsidRDefault="00DD7B4D">
      <w:pPr>
        <w:rPr>
          <w:rFonts w:ascii="Calibri" w:hAnsi="Calibri" w:cs="Calibri"/>
          <w:b/>
          <w:color w:val="000000" w:themeColor="text1"/>
          <w:szCs w:val="22"/>
        </w:rPr>
      </w:pPr>
      <w:r w:rsidRPr="00073666">
        <w:rPr>
          <w:rFonts w:ascii="Calibri" w:hAnsi="Calibri" w:cs="Calibri"/>
          <w:b/>
          <w:color w:val="000000" w:themeColor="text1"/>
          <w:szCs w:val="22"/>
        </w:rPr>
        <w:br w:type="page"/>
      </w:r>
    </w:p>
    <w:p w14:paraId="47DE486D" w14:textId="370DED5D" w:rsidR="00584DCF" w:rsidRPr="00073666" w:rsidRDefault="00D051D4" w:rsidP="00584DCF">
      <w:pPr>
        <w:rPr>
          <w:rFonts w:ascii="Calibri" w:hAnsi="Calibri" w:cs="Calibri"/>
          <w:b/>
          <w:color w:val="000000" w:themeColor="text1"/>
          <w:szCs w:val="22"/>
        </w:rPr>
      </w:pPr>
      <w:r w:rsidRPr="00073666">
        <w:rPr>
          <w:rFonts w:ascii="Calibri" w:hAnsi="Calibri" w:cs="Calibri"/>
          <w:b/>
          <w:color w:val="000000" w:themeColor="text1"/>
          <w:szCs w:val="22"/>
        </w:rPr>
        <w:lastRenderedPageBreak/>
        <w:t xml:space="preserve">5.4 </w:t>
      </w:r>
      <w:r w:rsidR="00B04FD9" w:rsidRPr="00073666">
        <w:rPr>
          <w:rFonts w:ascii="Calibri" w:hAnsi="Calibri" w:cs="Calibri"/>
          <w:b/>
          <w:color w:val="000000" w:themeColor="text1"/>
          <w:szCs w:val="22"/>
        </w:rPr>
        <w:t>STUDY INTERVENTIONS</w:t>
      </w:r>
    </w:p>
    <w:p w14:paraId="01712C7B" w14:textId="77777777" w:rsidR="00B04FD9" w:rsidRPr="00073666" w:rsidRDefault="00B04FD9" w:rsidP="00584DCF">
      <w:pPr>
        <w:rPr>
          <w:rFonts w:ascii="Calibri" w:hAnsi="Calibri" w:cs="Calibri"/>
          <w:color w:val="000000" w:themeColor="text1"/>
          <w:szCs w:val="22"/>
        </w:rPr>
      </w:pPr>
    </w:p>
    <w:p w14:paraId="1532CAFB" w14:textId="77777777" w:rsidR="00111044" w:rsidRPr="00073666" w:rsidRDefault="00584DCF" w:rsidP="00584DCF">
      <w:pPr>
        <w:rPr>
          <w:rFonts w:ascii="Calibri" w:hAnsi="Calibri" w:cs="Calibri"/>
          <w:color w:val="000000" w:themeColor="text1"/>
          <w:szCs w:val="22"/>
        </w:rPr>
      </w:pPr>
      <w:r w:rsidRPr="00073666">
        <w:rPr>
          <w:rFonts w:ascii="Calibri" w:hAnsi="Calibri" w:cs="Calibri"/>
          <w:color w:val="000000" w:themeColor="text1"/>
          <w:szCs w:val="22"/>
        </w:rPr>
        <w:t>This study is observational and patients will be investigated and managed by the local clinical teams.</w:t>
      </w:r>
    </w:p>
    <w:p w14:paraId="46031AE9" w14:textId="6AB1EB5A" w:rsidR="00111044" w:rsidRPr="00073666" w:rsidRDefault="00111044" w:rsidP="00584DCF">
      <w:pPr>
        <w:rPr>
          <w:rFonts w:ascii="Calibri" w:hAnsi="Calibri" w:cs="Calibri"/>
          <w:color w:val="000000" w:themeColor="text1"/>
          <w:szCs w:val="22"/>
        </w:rPr>
      </w:pPr>
    </w:p>
    <w:p w14:paraId="469EC259" w14:textId="757FA095" w:rsidR="00111044" w:rsidRPr="00073666" w:rsidRDefault="00111044" w:rsidP="00584DCF">
      <w:pPr>
        <w:rPr>
          <w:rFonts w:ascii="Calibri" w:hAnsi="Calibri" w:cstheme="minorBidi"/>
          <w:szCs w:val="22"/>
        </w:rPr>
      </w:pPr>
      <w:r w:rsidRPr="00073666">
        <w:rPr>
          <w:rFonts w:ascii="Calibri" w:hAnsi="Calibri" w:cs="Calibri"/>
          <w:color w:val="000000" w:themeColor="text1"/>
          <w:szCs w:val="22"/>
        </w:rPr>
        <w:t>The only additional procedure in this study will be the taking and storing of blood samples (including PBMC, serum and DNA) for subsequent analysis. Approximately 30-40ml of blood will be taken within 72H of ICU admission.</w:t>
      </w:r>
      <w:r w:rsidRPr="00073666">
        <w:rPr>
          <w:rFonts w:ascii="Calibri" w:hAnsi="Calibri"/>
          <w:szCs w:val="22"/>
        </w:rPr>
        <w:t xml:space="preserve"> Many patients will have a central venous catheter or arterial line through which blood will be taken without the need for venepuncture.</w:t>
      </w:r>
      <w:r w:rsidRPr="00073666">
        <w:rPr>
          <w:rFonts w:ascii="Calibri" w:hAnsi="Calibri"/>
        </w:rPr>
        <w:t xml:space="preserve"> </w:t>
      </w:r>
      <w:r w:rsidRPr="00073666">
        <w:rPr>
          <w:rFonts w:ascii="Calibri" w:hAnsi="Calibri"/>
          <w:szCs w:val="22"/>
        </w:rPr>
        <w:t>In those who do not have a central line, we will minimise discomfort by taking the blood sample at same time as routine blood tests. Many patients will also be sedated.</w:t>
      </w:r>
    </w:p>
    <w:p w14:paraId="0C1A5EC2" w14:textId="77777777" w:rsidR="00111044" w:rsidRPr="00073666" w:rsidRDefault="00111044" w:rsidP="00584DCF">
      <w:pPr>
        <w:rPr>
          <w:rFonts w:ascii="Calibri" w:hAnsi="Calibri" w:cs="Calibri"/>
          <w:color w:val="000000" w:themeColor="text1"/>
          <w:szCs w:val="22"/>
        </w:rPr>
      </w:pPr>
    </w:p>
    <w:p w14:paraId="096BE05B" w14:textId="50022C99" w:rsidR="00584DCF" w:rsidRPr="00073666" w:rsidRDefault="00111044" w:rsidP="00584DCF">
      <w:pPr>
        <w:rPr>
          <w:rFonts w:ascii="Calibri" w:hAnsi="Calibri" w:cs="Calibri"/>
          <w:color w:val="000000" w:themeColor="text1"/>
          <w:szCs w:val="22"/>
        </w:rPr>
      </w:pPr>
      <w:r w:rsidRPr="00073666">
        <w:rPr>
          <w:rFonts w:ascii="Calibri" w:hAnsi="Calibri" w:cs="Calibri"/>
          <w:color w:val="000000" w:themeColor="text1"/>
          <w:szCs w:val="22"/>
        </w:rPr>
        <w:t xml:space="preserve">Where a patient is enrolled prior to a bronchoscopy </w:t>
      </w:r>
      <w:r w:rsidR="00BF5563" w:rsidRPr="00073666">
        <w:rPr>
          <w:rFonts w:ascii="Calibri" w:hAnsi="Calibri" w:cs="Calibri"/>
          <w:color w:val="000000" w:themeColor="text1"/>
          <w:szCs w:val="22"/>
        </w:rPr>
        <w:t>(</w:t>
      </w:r>
      <w:r w:rsidRPr="00073666">
        <w:rPr>
          <w:rFonts w:ascii="Calibri" w:hAnsi="Calibri" w:cs="Calibri"/>
          <w:color w:val="000000" w:themeColor="text1"/>
          <w:szCs w:val="22"/>
        </w:rPr>
        <w:t>and BAL</w:t>
      </w:r>
      <w:r w:rsidR="00BF5563" w:rsidRPr="00073666">
        <w:rPr>
          <w:rFonts w:ascii="Calibri" w:hAnsi="Calibri" w:cs="Calibri"/>
          <w:color w:val="000000" w:themeColor="text1"/>
          <w:szCs w:val="22"/>
        </w:rPr>
        <w:t>)</w:t>
      </w:r>
      <w:r w:rsidRPr="00073666">
        <w:rPr>
          <w:rFonts w:ascii="Calibri" w:hAnsi="Calibri" w:cs="Calibri"/>
          <w:color w:val="000000" w:themeColor="text1"/>
          <w:szCs w:val="22"/>
        </w:rPr>
        <w:t xml:space="preserve"> performed as part of routine clinical care</w:t>
      </w:r>
      <w:r w:rsidR="00BF5563" w:rsidRPr="00073666">
        <w:rPr>
          <w:rFonts w:ascii="Calibri" w:hAnsi="Calibri" w:cs="Calibri"/>
          <w:color w:val="000000" w:themeColor="text1"/>
          <w:szCs w:val="22"/>
        </w:rPr>
        <w:t xml:space="preserve">, </w:t>
      </w:r>
      <w:r w:rsidR="004869F2" w:rsidRPr="00073666">
        <w:rPr>
          <w:rFonts w:ascii="Calibri" w:hAnsi="Calibri" w:cs="Calibri"/>
          <w:color w:val="000000" w:themeColor="text1"/>
          <w:szCs w:val="22"/>
        </w:rPr>
        <w:t xml:space="preserve">a </w:t>
      </w:r>
      <w:r w:rsidRPr="00073666">
        <w:rPr>
          <w:rFonts w:ascii="Calibri" w:hAnsi="Calibri" w:cs="Calibri"/>
          <w:color w:val="000000" w:themeColor="text1"/>
          <w:szCs w:val="22"/>
        </w:rPr>
        <w:t xml:space="preserve">30ml </w:t>
      </w:r>
      <w:r w:rsidR="004869F2" w:rsidRPr="00073666">
        <w:rPr>
          <w:rFonts w:ascii="Calibri" w:hAnsi="Calibri" w:cs="Calibri"/>
          <w:color w:val="000000" w:themeColor="text1"/>
          <w:szCs w:val="22"/>
        </w:rPr>
        <w:t>research sample of</w:t>
      </w:r>
      <w:r w:rsidR="00BF5563" w:rsidRPr="00073666">
        <w:rPr>
          <w:rFonts w:ascii="Calibri" w:hAnsi="Calibri" w:cs="Calibri"/>
          <w:color w:val="000000" w:themeColor="text1"/>
          <w:szCs w:val="22"/>
        </w:rPr>
        <w:t xml:space="preserve"> </w:t>
      </w:r>
      <w:r w:rsidRPr="00073666">
        <w:rPr>
          <w:rFonts w:ascii="Calibri" w:hAnsi="Calibri" w:cs="Calibri"/>
          <w:color w:val="000000" w:themeColor="text1"/>
          <w:szCs w:val="22"/>
        </w:rPr>
        <w:t>surplus BAL</w:t>
      </w:r>
      <w:r w:rsidR="00C40ED6" w:rsidRPr="00073666">
        <w:rPr>
          <w:rFonts w:ascii="Calibri" w:hAnsi="Calibri" w:cs="Calibri"/>
          <w:color w:val="000000" w:themeColor="text1"/>
          <w:szCs w:val="22"/>
        </w:rPr>
        <w:t xml:space="preserve"> fluid</w:t>
      </w:r>
      <w:r w:rsidRPr="00073666">
        <w:rPr>
          <w:rFonts w:ascii="Calibri" w:hAnsi="Calibri" w:cs="Calibri"/>
          <w:color w:val="000000" w:themeColor="text1"/>
          <w:szCs w:val="22"/>
        </w:rPr>
        <w:t xml:space="preserve"> will be taken</w:t>
      </w:r>
      <w:r w:rsidR="00BF5563" w:rsidRPr="00073666">
        <w:rPr>
          <w:rFonts w:ascii="Calibri" w:hAnsi="Calibri" w:cs="Calibri"/>
          <w:color w:val="000000" w:themeColor="text1"/>
          <w:szCs w:val="22"/>
        </w:rPr>
        <w:t xml:space="preserve"> and stored</w:t>
      </w:r>
      <w:r w:rsidRPr="00073666">
        <w:rPr>
          <w:rFonts w:ascii="Calibri" w:hAnsi="Calibri" w:cs="Calibri"/>
          <w:color w:val="000000" w:themeColor="text1"/>
          <w:szCs w:val="22"/>
        </w:rPr>
        <w:t>. BAL will only be performed at the discretion of the treating team as per standard clinical care – a BAL will not be performed</w:t>
      </w:r>
      <w:r w:rsidR="00766019" w:rsidRPr="00073666">
        <w:rPr>
          <w:rFonts w:ascii="Calibri" w:hAnsi="Calibri" w:cs="Calibri"/>
          <w:color w:val="000000" w:themeColor="text1"/>
          <w:szCs w:val="22"/>
        </w:rPr>
        <w:t>, or delayed,</w:t>
      </w:r>
      <w:r w:rsidRPr="00073666">
        <w:rPr>
          <w:rFonts w:ascii="Calibri" w:hAnsi="Calibri" w:cs="Calibri"/>
          <w:color w:val="000000" w:themeColor="text1"/>
          <w:szCs w:val="22"/>
        </w:rPr>
        <w:t xml:space="preserve"> for the purpose of this study. </w:t>
      </w:r>
      <w:r w:rsidR="009321FA" w:rsidRPr="00073666">
        <w:rPr>
          <w:rFonts w:ascii="Calibri" w:hAnsi="Calibri" w:cs="Calibri"/>
          <w:color w:val="000000" w:themeColor="text1"/>
          <w:szCs w:val="22"/>
        </w:rPr>
        <w:t xml:space="preserve">Some patients may have more than one BAL, </w:t>
      </w:r>
      <w:r w:rsidR="00C95901" w:rsidRPr="00073666">
        <w:rPr>
          <w:rFonts w:ascii="Calibri" w:hAnsi="Calibri" w:cs="Calibri"/>
          <w:color w:val="000000" w:themeColor="text1"/>
          <w:szCs w:val="22"/>
        </w:rPr>
        <w:t xml:space="preserve">surplus material from </w:t>
      </w:r>
      <w:r w:rsidR="00C95901" w:rsidRPr="00073666">
        <w:rPr>
          <w:rFonts w:ascii="Calibri" w:hAnsi="Calibri" w:cs="Calibri"/>
          <w:szCs w:val="22"/>
        </w:rPr>
        <w:t>any</w:t>
      </w:r>
      <w:r w:rsidR="009321FA" w:rsidRPr="00073666">
        <w:rPr>
          <w:rFonts w:ascii="Calibri" w:hAnsi="Calibri" w:cs="Calibri"/>
          <w:szCs w:val="22"/>
        </w:rPr>
        <w:t xml:space="preserve"> subsequent BAL will also be stored following the same procedure as for the first.</w:t>
      </w:r>
      <w:r w:rsidR="009321FA" w:rsidRPr="00073666">
        <w:rPr>
          <w:rFonts w:ascii="Calibri" w:hAnsi="Calibri" w:cs="Calibri"/>
          <w:color w:val="000000" w:themeColor="text1"/>
          <w:szCs w:val="22"/>
        </w:rPr>
        <w:t xml:space="preserve"> </w:t>
      </w:r>
      <w:r w:rsidRPr="00073666">
        <w:rPr>
          <w:rFonts w:ascii="Calibri" w:hAnsi="Calibri" w:cs="Calibri"/>
          <w:color w:val="000000" w:themeColor="text1"/>
          <w:szCs w:val="22"/>
        </w:rPr>
        <w:t>Leftover BAL samples will also be stored</w:t>
      </w:r>
      <w:r w:rsidR="00BF5563" w:rsidRPr="00073666">
        <w:rPr>
          <w:rFonts w:ascii="Calibri" w:hAnsi="Calibri" w:cs="Calibri"/>
          <w:color w:val="000000" w:themeColor="text1"/>
          <w:szCs w:val="22"/>
        </w:rPr>
        <w:t xml:space="preserve"> (see 7.3.4 Biological Sample Handling)</w:t>
      </w:r>
      <w:r w:rsidRPr="00073666">
        <w:rPr>
          <w:rFonts w:ascii="Calibri" w:hAnsi="Calibri" w:cs="Calibri"/>
          <w:color w:val="000000" w:themeColor="text1"/>
          <w:szCs w:val="22"/>
        </w:rPr>
        <w:t xml:space="preserve">. </w:t>
      </w:r>
      <w:r w:rsidR="00B04FD9" w:rsidRPr="00073666">
        <w:rPr>
          <w:rFonts w:ascii="Calibri" w:hAnsi="Calibri" w:cs="Calibri"/>
          <w:szCs w:val="22"/>
        </w:rPr>
        <w:t>The local ICU SOP for BAL will be followed at each site.</w:t>
      </w:r>
      <w:r w:rsidR="004869F2" w:rsidRPr="00073666">
        <w:rPr>
          <w:rFonts w:ascii="Calibri" w:hAnsi="Calibri" w:cs="Calibri"/>
          <w:szCs w:val="22"/>
        </w:rPr>
        <w:t xml:space="preserve"> The presence or absence of evidence of tracheobronchitis at Bronchoscopy will be recorded in the clinical notes.</w:t>
      </w:r>
    </w:p>
    <w:p w14:paraId="297F3EC6" w14:textId="77777777" w:rsidR="00584DCF" w:rsidRPr="00073666" w:rsidRDefault="00584DCF" w:rsidP="00584DCF">
      <w:pPr>
        <w:rPr>
          <w:rFonts w:ascii="Calibri" w:hAnsi="Calibri" w:cs="Calibri"/>
          <w:color w:val="000000" w:themeColor="text1"/>
          <w:szCs w:val="22"/>
        </w:rPr>
      </w:pPr>
    </w:p>
    <w:p w14:paraId="38B61257" w14:textId="77777777" w:rsidR="00281426" w:rsidRPr="00073666" w:rsidRDefault="00281426" w:rsidP="00281426">
      <w:pPr>
        <w:rPr>
          <w:rFonts w:ascii="Calibri" w:hAnsi="Calibri" w:cs="Calibri"/>
          <w:b/>
          <w:color w:val="000000" w:themeColor="text1"/>
          <w:szCs w:val="22"/>
        </w:rPr>
      </w:pPr>
    </w:p>
    <w:p w14:paraId="4D781C46" w14:textId="41852C41" w:rsidR="00281426" w:rsidRPr="00073666" w:rsidRDefault="00D051D4" w:rsidP="00281426">
      <w:pPr>
        <w:rPr>
          <w:rFonts w:ascii="Calibri" w:hAnsi="Calibri" w:cs="Calibri"/>
          <w:b/>
          <w:szCs w:val="22"/>
        </w:rPr>
      </w:pPr>
      <w:r w:rsidRPr="00073666">
        <w:rPr>
          <w:rFonts w:ascii="Calibri" w:hAnsi="Calibri" w:cs="Calibri"/>
          <w:b/>
          <w:szCs w:val="22"/>
        </w:rPr>
        <w:t xml:space="preserve">5.5 </w:t>
      </w:r>
      <w:r w:rsidR="00950AEE" w:rsidRPr="00073666">
        <w:rPr>
          <w:rFonts w:ascii="Calibri" w:hAnsi="Calibri" w:cs="Calibri"/>
          <w:b/>
          <w:szCs w:val="22"/>
        </w:rPr>
        <w:t>DATA ANALYSIS</w:t>
      </w:r>
    </w:p>
    <w:p w14:paraId="11F2905C" w14:textId="77777777" w:rsidR="00DD7B4D" w:rsidRPr="00073666" w:rsidRDefault="00DD7B4D" w:rsidP="00281426">
      <w:pPr>
        <w:rPr>
          <w:rFonts w:ascii="Calibri" w:hAnsi="Calibri" w:cs="Calibri"/>
          <w:b/>
          <w:color w:val="000000" w:themeColor="text1"/>
          <w:szCs w:val="22"/>
        </w:rPr>
      </w:pPr>
    </w:p>
    <w:p w14:paraId="047F6E20" w14:textId="51351DD8" w:rsidR="00C00322" w:rsidRPr="00073666" w:rsidRDefault="00C00322" w:rsidP="00C00322">
      <w:pPr>
        <w:rPr>
          <w:rFonts w:ascii="Calibri" w:hAnsi="Calibri" w:cs="Calibri"/>
          <w:color w:val="000000" w:themeColor="text1"/>
          <w:szCs w:val="22"/>
        </w:rPr>
      </w:pPr>
      <w:r w:rsidRPr="00073666">
        <w:rPr>
          <w:rFonts w:ascii="Calibri" w:hAnsi="Calibri" w:cs="Calibri"/>
          <w:color w:val="000000" w:themeColor="text1"/>
          <w:szCs w:val="22"/>
        </w:rPr>
        <w:t xml:space="preserve">The primary analysis will be </w:t>
      </w:r>
      <w:r w:rsidR="00DD7B4D" w:rsidRPr="00073666">
        <w:rPr>
          <w:rFonts w:ascii="Calibri" w:hAnsi="Calibri" w:cs="Calibri"/>
          <w:color w:val="000000" w:themeColor="text1"/>
          <w:szCs w:val="22"/>
        </w:rPr>
        <w:t xml:space="preserve">to determine </w:t>
      </w:r>
      <w:r w:rsidRPr="00073666">
        <w:rPr>
          <w:rFonts w:ascii="Calibri" w:hAnsi="Calibri" w:cs="Calibri"/>
          <w:color w:val="000000" w:themeColor="text1"/>
          <w:szCs w:val="22"/>
        </w:rPr>
        <w:t xml:space="preserve">the incidence of IA in the study population </w:t>
      </w:r>
      <w:r w:rsidR="00DD7B4D" w:rsidRPr="00073666">
        <w:rPr>
          <w:rFonts w:ascii="Calibri" w:hAnsi="Calibri" w:cs="Calibri"/>
          <w:color w:val="000000" w:themeColor="text1"/>
          <w:szCs w:val="22"/>
        </w:rPr>
        <w:t>(</w:t>
      </w:r>
      <w:r w:rsidRPr="00073666">
        <w:rPr>
          <w:rFonts w:ascii="Calibri" w:hAnsi="Calibri" w:cs="Calibri"/>
          <w:color w:val="000000" w:themeColor="text1"/>
          <w:szCs w:val="22"/>
        </w:rPr>
        <w:t xml:space="preserve">as per modified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w:t>
      </w:r>
      <w:r w:rsidR="00DD7B4D" w:rsidRPr="00073666">
        <w:rPr>
          <w:rFonts w:ascii="Calibri" w:hAnsi="Calibri" w:cs="Calibri"/>
          <w:color w:val="000000" w:themeColor="text1"/>
          <w:szCs w:val="22"/>
        </w:rPr>
        <w:t xml:space="preserve">, </w:t>
      </w:r>
      <w:r w:rsidR="00342C06" w:rsidRPr="00073666">
        <w:rPr>
          <w:rFonts w:ascii="Calibri" w:hAnsi="Calibri" w:cs="Calibri"/>
          <w:color w:val="000000" w:themeColor="text1"/>
          <w:szCs w:val="22"/>
        </w:rPr>
        <w:t>table 2</w:t>
      </w:r>
      <w:r w:rsidR="00DD7B4D" w:rsidRPr="00073666">
        <w:rPr>
          <w:rFonts w:ascii="Calibri" w:hAnsi="Calibri" w:cs="Calibri"/>
          <w:color w:val="000000" w:themeColor="text1"/>
          <w:szCs w:val="22"/>
        </w:rPr>
        <w:t>)</w:t>
      </w:r>
      <w:r w:rsidRPr="00073666">
        <w:rPr>
          <w:rFonts w:ascii="Calibri" w:hAnsi="Calibri" w:cs="Calibri"/>
          <w:color w:val="000000" w:themeColor="text1"/>
          <w:szCs w:val="22"/>
        </w:rPr>
        <w:t xml:space="preserve"> and identify risk factors for infection.</w:t>
      </w:r>
    </w:p>
    <w:p w14:paraId="27B07913" w14:textId="77777777" w:rsidR="00C00322" w:rsidRPr="00073666" w:rsidRDefault="00C00322" w:rsidP="00C00322">
      <w:pPr>
        <w:rPr>
          <w:rFonts w:ascii="Calibri" w:hAnsi="Calibri" w:cs="Calibri"/>
          <w:color w:val="000000" w:themeColor="text1"/>
          <w:szCs w:val="22"/>
        </w:rPr>
      </w:pPr>
    </w:p>
    <w:p w14:paraId="4F804744" w14:textId="1861BC97" w:rsidR="00DD7B4D" w:rsidRPr="00073666" w:rsidRDefault="00C00322" w:rsidP="00C00322">
      <w:pPr>
        <w:autoSpaceDE w:val="0"/>
        <w:autoSpaceDN w:val="0"/>
        <w:adjustRightInd w:val="0"/>
        <w:rPr>
          <w:rFonts w:ascii="Calibri" w:hAnsi="Calibri" w:cs="Calibri"/>
          <w:color w:val="000000" w:themeColor="text1"/>
          <w:szCs w:val="22"/>
          <w:lang w:val="en-US"/>
        </w:rPr>
      </w:pPr>
      <w:r w:rsidRPr="00073666">
        <w:rPr>
          <w:rFonts w:ascii="Calibri" w:hAnsi="Calibri" w:cs="Calibri"/>
          <w:color w:val="000000" w:themeColor="text1"/>
          <w:szCs w:val="22"/>
          <w:lang w:val="en-US"/>
        </w:rPr>
        <w:t xml:space="preserve">Univariable analyses using </w:t>
      </w:r>
      <w:r w:rsidRPr="00073666">
        <w:rPr>
          <w:rFonts w:ascii="Calibri" w:hAnsi="Calibri" w:cs="Calibri" w:hint="eastAsia"/>
          <w:color w:val="2A2A2A"/>
          <w:szCs w:val="22"/>
          <w:shd w:val="clear" w:color="auto" w:fill="FFFFFF"/>
        </w:rPr>
        <w:t>Kruskal-Wallis, χ</w:t>
      </w:r>
      <w:r w:rsidRPr="00073666">
        <w:rPr>
          <w:rFonts w:ascii="Calibri" w:hAnsi="Calibri" w:cs="Calibri" w:hint="eastAsia"/>
          <w:color w:val="2A2A2A"/>
          <w:szCs w:val="22"/>
          <w:bdr w:val="none" w:sz="0" w:space="0" w:color="auto" w:frame="1"/>
          <w:vertAlign w:val="superscript"/>
        </w:rPr>
        <w:t>2</w:t>
      </w:r>
      <w:r w:rsidRPr="00073666">
        <w:rPr>
          <w:rFonts w:ascii="Calibri" w:hAnsi="Calibri" w:cs="Calibri" w:hint="eastAsia"/>
          <w:color w:val="2A2A2A"/>
          <w:szCs w:val="22"/>
          <w:shd w:val="clear" w:color="auto" w:fill="FFFFFF"/>
        </w:rPr>
        <w:t xml:space="preserve"> tests, Fisher exact, Mann Whitney U tests or </w:t>
      </w:r>
      <w:r w:rsidRPr="00073666">
        <w:rPr>
          <w:rStyle w:val="Emphasis"/>
          <w:rFonts w:ascii="Calibri" w:hAnsi="Calibri" w:cs="Calibri" w:hint="eastAsia"/>
          <w:color w:val="2A2A2A"/>
          <w:szCs w:val="22"/>
          <w:bdr w:val="none" w:sz="0" w:space="0" w:color="auto" w:frame="1"/>
        </w:rPr>
        <w:t>t</w:t>
      </w:r>
      <w:r w:rsidRPr="00073666">
        <w:rPr>
          <w:rFonts w:ascii="Calibri" w:hAnsi="Calibri" w:cs="Calibri" w:hint="eastAsia"/>
          <w:color w:val="2A2A2A"/>
          <w:szCs w:val="22"/>
          <w:shd w:val="clear" w:color="auto" w:fill="FFFFFF"/>
        </w:rPr>
        <w:t xml:space="preserve"> tests, as appropriate,</w:t>
      </w:r>
      <w:r w:rsidRPr="00073666">
        <w:rPr>
          <w:rFonts w:ascii="Calibri" w:hAnsi="Calibri" w:cs="Calibri"/>
          <w:color w:val="000000" w:themeColor="text1"/>
          <w:szCs w:val="22"/>
          <w:lang w:val="en-US"/>
        </w:rPr>
        <w:t xml:space="preserve"> will be performe</w:t>
      </w:r>
      <w:r w:rsidR="00427FF2" w:rsidRPr="00073666">
        <w:rPr>
          <w:rFonts w:ascii="Calibri" w:hAnsi="Calibri" w:cs="Calibri"/>
          <w:color w:val="000000" w:themeColor="text1"/>
          <w:szCs w:val="22"/>
          <w:lang w:val="en-US"/>
        </w:rPr>
        <w:t>d to detect factors from Table 3</w:t>
      </w:r>
      <w:r w:rsidRPr="00073666">
        <w:rPr>
          <w:rFonts w:ascii="Calibri" w:hAnsi="Calibri" w:cs="Calibri"/>
          <w:color w:val="000000" w:themeColor="text1"/>
          <w:szCs w:val="22"/>
          <w:lang w:val="en-US"/>
        </w:rPr>
        <w:t xml:space="preserve"> associated with an increased risk of IA.  A multivariable analysis using binary logistic regression will be performed to identify</w:t>
      </w:r>
      <w:r w:rsidR="00A32132" w:rsidRPr="00073666">
        <w:rPr>
          <w:rFonts w:ascii="Calibri" w:hAnsi="Calibri" w:cs="Calibri"/>
          <w:color w:val="000000" w:themeColor="text1"/>
          <w:szCs w:val="22"/>
          <w:lang w:val="en-US"/>
        </w:rPr>
        <w:t xml:space="preserve"> </w:t>
      </w:r>
      <w:r w:rsidRPr="00073666">
        <w:rPr>
          <w:rFonts w:ascii="Calibri" w:hAnsi="Calibri" w:cs="Calibri"/>
          <w:i/>
          <w:color w:val="000000" w:themeColor="text1"/>
          <w:szCs w:val="22"/>
          <w:lang w:val="en-US"/>
        </w:rPr>
        <w:t>independent</w:t>
      </w:r>
      <w:r w:rsidRPr="00073666">
        <w:rPr>
          <w:rFonts w:ascii="Calibri" w:hAnsi="Calibri" w:cs="Calibri"/>
          <w:color w:val="000000" w:themeColor="text1"/>
          <w:szCs w:val="22"/>
          <w:lang w:val="en-US"/>
        </w:rPr>
        <w:t xml:space="preserve"> risk factors for infection. The dependent variable will be the presence of IA</w:t>
      </w:r>
      <w:r w:rsidR="00A32132" w:rsidRPr="00073666">
        <w:rPr>
          <w:rFonts w:ascii="Calibri" w:hAnsi="Calibri" w:cs="Calibri"/>
          <w:color w:val="000000" w:themeColor="text1"/>
          <w:szCs w:val="22"/>
          <w:lang w:val="en-US"/>
        </w:rPr>
        <w:t xml:space="preserve"> (including proven and putative) </w:t>
      </w:r>
      <w:r w:rsidRPr="00073666">
        <w:rPr>
          <w:rFonts w:ascii="Calibri" w:hAnsi="Calibri" w:cs="Calibri"/>
          <w:color w:val="000000" w:themeColor="text1"/>
          <w:szCs w:val="22"/>
          <w:lang w:val="en-US"/>
        </w:rPr>
        <w:t xml:space="preserve">and independent variables risk factors for IA selected using a predictive backward selection modelling approach. </w:t>
      </w:r>
    </w:p>
    <w:p w14:paraId="2F89972B" w14:textId="77777777" w:rsidR="00DD7B4D" w:rsidRPr="00073666" w:rsidRDefault="00DD7B4D" w:rsidP="00C00322">
      <w:pPr>
        <w:autoSpaceDE w:val="0"/>
        <w:autoSpaceDN w:val="0"/>
        <w:adjustRightInd w:val="0"/>
        <w:rPr>
          <w:rFonts w:ascii="Calibri" w:hAnsi="Calibri" w:cs="Calibri"/>
          <w:color w:val="000000" w:themeColor="text1"/>
          <w:szCs w:val="22"/>
          <w:lang w:val="en-US"/>
        </w:rPr>
      </w:pPr>
    </w:p>
    <w:p w14:paraId="38219144" w14:textId="7769C3CD" w:rsidR="00C00322" w:rsidRPr="00073666" w:rsidRDefault="00C00322" w:rsidP="00C00322">
      <w:pPr>
        <w:autoSpaceDE w:val="0"/>
        <w:autoSpaceDN w:val="0"/>
        <w:adjustRightInd w:val="0"/>
        <w:rPr>
          <w:rFonts w:ascii="Calibri" w:hAnsi="Calibri" w:cs="Calibri"/>
          <w:color w:val="000000" w:themeColor="text1"/>
          <w:szCs w:val="22"/>
          <w:lang w:val="en-US"/>
        </w:rPr>
      </w:pPr>
      <w:r w:rsidRPr="00073666">
        <w:rPr>
          <w:rFonts w:ascii="Calibri" w:hAnsi="Calibri" w:cs="Calibri"/>
          <w:color w:val="000000" w:themeColor="text1"/>
          <w:szCs w:val="22"/>
          <w:lang w:val="en-US"/>
        </w:rPr>
        <w:t xml:space="preserve">Variables selected for inclusion in the model will be based on </w:t>
      </w:r>
      <w:r w:rsidRPr="00073666">
        <w:rPr>
          <w:rFonts w:ascii="Calibri" w:hAnsi="Calibri" w:cs="Calibri"/>
          <w:i/>
          <w:color w:val="000000" w:themeColor="text1"/>
          <w:szCs w:val="22"/>
          <w:lang w:val="en-US"/>
        </w:rPr>
        <w:t>a priori</w:t>
      </w:r>
      <w:r w:rsidRPr="00073666">
        <w:rPr>
          <w:rFonts w:ascii="Calibri" w:hAnsi="Calibri" w:cs="Calibri"/>
          <w:color w:val="000000" w:themeColor="text1"/>
          <w:szCs w:val="22"/>
          <w:lang w:val="en-US"/>
        </w:rPr>
        <w:t xml:space="preserve"> knowledge from previous studies (e.g.</w:t>
      </w:r>
      <w:r w:rsidR="00A32132" w:rsidRPr="00073666">
        <w:rPr>
          <w:rFonts w:ascii="Calibri" w:hAnsi="Calibri" w:cs="Calibri"/>
          <w:color w:val="000000" w:themeColor="text1"/>
          <w:szCs w:val="22"/>
        </w:rPr>
        <w:t xml:space="preserve"> EORTC/MSG ho</w:t>
      </w:r>
      <w:r w:rsidR="00DD7B4D" w:rsidRPr="00073666">
        <w:rPr>
          <w:rFonts w:ascii="Calibri" w:hAnsi="Calibri" w:cs="Calibri"/>
          <w:color w:val="000000" w:themeColor="text1"/>
          <w:szCs w:val="22"/>
        </w:rPr>
        <w:t>s</w:t>
      </w:r>
      <w:r w:rsidR="00A32132" w:rsidRPr="00073666">
        <w:rPr>
          <w:rFonts w:ascii="Calibri" w:hAnsi="Calibri" w:cs="Calibri"/>
          <w:color w:val="000000" w:themeColor="text1"/>
          <w:szCs w:val="22"/>
        </w:rPr>
        <w:t>t factor, steroid use</w:t>
      </w:r>
      <w:r w:rsidR="00A32132" w:rsidRPr="00073666">
        <w:rPr>
          <w:rFonts w:ascii="Calibri" w:hAnsi="Calibri" w:cs="Calibri"/>
          <w:color w:val="000000" w:themeColor="text1"/>
          <w:szCs w:val="22"/>
        </w:rPr>
        <w:fldChar w:fldCharType="begin" w:fldLock="1"/>
      </w:r>
      <w:r w:rsidR="00A32132" w:rsidRPr="00073666">
        <w:rPr>
          <w:rFonts w:ascii="Calibri" w:hAnsi="Calibri" w:cs="Calibri"/>
          <w:color w:val="000000" w:themeColor="text1"/>
          <w:szCs w:val="22"/>
        </w:rPr>
        <w:instrText>ADDIN CSL_CITATION {"citationItems":[{"id":"ITEM-1","itemData":{"DOI":"10.1016/S2213-2600(18)30274-1","ISSN":"2213-2619","PMID":"30076119","abstract":"Background: Invasive pulmonary aspergillosis typically occurs in an immunocompromised host. For almost a century, influenza has been known to set up for bacterial superinfections, but recently patients with severe influenza were also reported to develop invasive pulmonary aspergillosis. We aimed to measure the incidence of invasive pulmonary aspergillosis over several seasons in patients with influenza pneumonia in the intensive care unit (ICU) and to assess whether influenza was an independent risk factor for invasive pulmonary aspergillosis. Methods: We did a retrospective multicentre cohort study. Data were collected from adult patients with severe influenza admitted to seven ICUs across Belgium and The Netherlands during seven influenza seasons. Patients were older than 18 years, were admitted to the ICU for more than 24 h with acute respiratory failure, had pulmonary infiltrates on imaging, and a confirmed influenza infection based on a positive airway PCR test (influenza cohort). We used logistic regression analyses to determine if influenza was independently associated with invasive pulmonary aspergillosis in non-immunocompromised (ie, no European Organization for Research and Treatment of Cancer/Invasive Fungal Infections Cooperative Group and the National Institute of Allergy and Infectious Diseases Mycoses Study Group [EORTC/MSG] host factor) influenza-positive patients (influenza case group) compared with non-immunocompromised patients with severe community-acquired pneumonia who had a negative airway influenza PCR test (control group). Findings: Data were collected from patients admitted to the ICU between Jan 1, 2009, and June 30, 2016. Invasive pulmonary aspergillosis was diagnosed in 83 (19%) of 432 patients admitted with influenza (influenza cohort), a median of 3 days after admission to the ICU. The incidence was similar for influenza A and B. For patients with influenza who were immunocompromised, incidence of invasive pulmonary aspergillosis was as high as 32% (38 of 117 patients), whereas in the non-immunocompromised influenza case group, incidence was 14% (45 of 315 patients). Conversely, only 16 (5%) of 315 patients in the control group developed invasive pulmonary aspergillosis. The 90-day mortality was 51% in patients in the influenza cohort with invasive pulmonary aspergillosis and 28% in the influenza cohort without invasive pulmonary aspergillosis (p=0·0001). In this study, influenza was found to be independently associated wi…","author":[{"dropping-particle":"","family":"Schauwvlieghe","given":"Alexander F A D","non-dropping-particle":"","parse-names":false,"suffix":""},{"dropping-particle":"","family":"Rijnders","given":"Bart J A","non-dropping-particle":"","parse-names":false,"suffix":""},{"dropping-particle":"","family":"Philips","given":"Nele","non-dropping-particle":"","parse-names":false,"suffix":""},{"dropping-particle":"","family":"Verwijs","given":"Rosanne","non-dropping-particle":"","parse-names":false,"suffix":""},{"dropping-particle":"","family":"Vanderbeke","given":"Lore","non-dropping-particle":"","parse-names":false,"suffix":""},{"dropping-particle":"","family":"Tienen","given":"Carla","non-dropping-particle":"Van","parse-names":false,"suffix":""},{"dropping-particle":"","family":"Lagrou","given":"Katrien","non-dropping-particle":"","parse-names":false,"suffix":""},{"dropping-particle":"","family":"Verweij","given":"Paul E","non-dropping-particle":"","parse-names":false,"suffix":""},{"dropping-particle":"","family":"Veerdonk","given":"Frank L","non-dropping-particle":"Van de","parse-names":false,"suffix":""},{"dropping-particle":"","family":"Gommers","given":"Diederik","non-dropping-particle":"","parse-names":false,"suffix":""},{"dropping-particle":"","family":"Spronk","given":"Peter","non-dropping-particle":"","parse-names":false,"suffix":""},{"dropping-particle":"","family":"Bergmans","given":"Dennis C J J","non-dropping-particle":"","parse-names":false,"suffix":""},{"dropping-particle":"","family":"Hoedemaekers","given":"Astrid","non-dropping-particle":"","parse-names":false,"suffix":""},{"dropping-particle":"","family":"Andrinopoulou","given":"Eleni-rosalina","non-dropping-particle":"","parse-names":false,"suffix":""},{"dropping-particle":"","family":"Berg","given":"Charlotte H S B","non-dropping-particle":"van den","parse-names":false,"suffix":""},{"dropping-particle":"","family":"Juffermans","given":"Nicole P","non-dropping-particle":"","parse-names":false,"suffix":""},{"dropping-particle":"","family":"Hodiamont","given":"Casper J","non-dropping-particle":"","parse-names":false,"suffix":""},{"dropping-particle":"","family":"Vonk","given":"Alieke G","non-dropping-particle":"","parse-names":false,"suffix":""},{"dropping-particle":"","family":"Depuydt","given":"Pieter","non-dropping-particle":"","parse-names":false,"suffix":""},{"dropping-particle":"","family":"Boelens","given":"Jerina","non-dropping-particle":"","parse-names":false,"suffix":""},{"dropping-particle":"","family":"Wauters","given":"Joost","non-dropping-particle":"","parse-names":false,"suffix":""},{"dropping-particle":"","family":"Dutch-Belgian Mycosis study group","given":"","non-dropping-particle":"","parse-names":false,"suffix":""}],"container-title":"The Lancet. Respiratory medicine","id":"ITEM-1","issue":"10","issued":{"date-parts":[["2018"]]},"page":"782-792","publisher":"Elsevier Ltd","title":"Invasive aspergillosis in patients admitted to the intensive care unit with severe influenza: a retrospective cohort study.","type":"article-journal","volume":"6"},"uris":["http://www.mendeley.com/documents/?uuid=74539706-9b61-474b-8447-4a1ee7ef0b9b"]}],"mendeley":{"formattedCitation":"[7]","plainTextFormattedCitation":"[7]","previouslyFormattedCitation":"[7]"},"properties":{"noteIndex":0},"schema":"https://github.com/citation-style-language/schema/raw/master/csl-citation.json"}</w:instrText>
      </w:r>
      <w:r w:rsidR="00A32132" w:rsidRPr="00073666">
        <w:rPr>
          <w:rFonts w:ascii="Calibri" w:hAnsi="Calibri" w:cs="Calibri"/>
          <w:color w:val="000000" w:themeColor="text1"/>
          <w:szCs w:val="22"/>
        </w:rPr>
        <w:fldChar w:fldCharType="separate"/>
      </w:r>
      <w:r w:rsidR="00A32132" w:rsidRPr="00073666">
        <w:rPr>
          <w:rFonts w:ascii="Calibri" w:hAnsi="Calibri" w:cs="Calibri"/>
          <w:noProof/>
          <w:color w:val="000000" w:themeColor="text1"/>
          <w:szCs w:val="22"/>
        </w:rPr>
        <w:t>[7]</w:t>
      </w:r>
      <w:r w:rsidR="00A32132" w:rsidRPr="00073666">
        <w:rPr>
          <w:rFonts w:ascii="Calibri" w:hAnsi="Calibri" w:cs="Calibri"/>
          <w:color w:val="000000" w:themeColor="text1"/>
          <w:szCs w:val="22"/>
        </w:rPr>
        <w:fldChar w:fldCharType="end"/>
      </w:r>
      <w:r w:rsidR="00A32132" w:rsidRPr="00073666">
        <w:rPr>
          <w:rFonts w:ascii="Calibri" w:hAnsi="Calibri" w:cs="Calibri"/>
          <w:color w:val="000000" w:themeColor="text1"/>
          <w:szCs w:val="22"/>
        </w:rPr>
        <w:t>)</w:t>
      </w:r>
      <w:r w:rsidRPr="00073666">
        <w:rPr>
          <w:rFonts w:ascii="Calibri" w:hAnsi="Calibri" w:cs="Calibri"/>
          <w:color w:val="000000" w:themeColor="text1"/>
          <w:szCs w:val="22"/>
          <w:lang w:val="en-US"/>
        </w:rPr>
        <w:t xml:space="preserve">  and variables identified as associated with IA infection following univariable analysis </w:t>
      </w:r>
      <w:r w:rsidRPr="00073666">
        <w:rPr>
          <w:rFonts w:ascii="Calibri" w:hAnsi="Calibri" w:cs="Calibri" w:hint="eastAsia"/>
          <w:color w:val="2A2A2A"/>
          <w:szCs w:val="22"/>
          <w:shd w:val="clear" w:color="auto" w:fill="FFFFFF"/>
        </w:rPr>
        <w:t>(</w:t>
      </w:r>
      <w:r w:rsidRPr="00073666">
        <w:rPr>
          <w:rStyle w:val="Emphasis"/>
          <w:rFonts w:ascii="Calibri" w:hAnsi="Calibri" w:cs="Calibri" w:hint="eastAsia"/>
          <w:color w:val="2A2A2A"/>
          <w:szCs w:val="22"/>
          <w:bdr w:val="none" w:sz="0" w:space="0" w:color="auto" w:frame="1"/>
        </w:rPr>
        <w:t>P</w:t>
      </w:r>
      <w:r w:rsidRPr="00073666">
        <w:rPr>
          <w:rFonts w:ascii="Calibri" w:hAnsi="Calibri" w:cs="Calibri"/>
          <w:color w:val="2A2A2A"/>
          <w:szCs w:val="22"/>
          <w:shd w:val="clear" w:color="auto" w:fill="FFFFFF"/>
        </w:rPr>
        <w:t xml:space="preserve"> ≤ </w:t>
      </w:r>
      <w:r w:rsidRPr="00073666">
        <w:rPr>
          <w:rFonts w:ascii="Calibri" w:hAnsi="Calibri" w:cs="Calibri" w:hint="eastAsia"/>
          <w:color w:val="2A2A2A"/>
          <w:szCs w:val="22"/>
          <w:shd w:val="clear" w:color="auto" w:fill="FFFFFF"/>
        </w:rPr>
        <w:t>0.1). Variables will be retained based on likelihood ratio testing, if they significantly improve model fit, to obtain the most parsimonious model.</w:t>
      </w:r>
      <w:r w:rsidR="00A32132" w:rsidRPr="00073666">
        <w:rPr>
          <w:rFonts w:ascii="Calibri" w:hAnsi="Calibri" w:cs="Calibri"/>
          <w:color w:val="2A2A2A"/>
          <w:szCs w:val="22"/>
          <w:shd w:val="clear" w:color="auto" w:fill="FFFFFF"/>
        </w:rPr>
        <w:t xml:space="preserve"> </w:t>
      </w:r>
      <w:r w:rsidRPr="00073666">
        <w:rPr>
          <w:rFonts w:ascii="Calibri" w:hAnsi="Calibri" w:cs="Calibri"/>
          <w:color w:val="000000" w:themeColor="text1"/>
          <w:szCs w:val="22"/>
          <w:lang w:val="en-US"/>
        </w:rPr>
        <w:t>The strength of the association between independent risk factors and IA will be expressed as adjusted odds ratio (</w:t>
      </w:r>
      <w:proofErr w:type="spellStart"/>
      <w:r w:rsidRPr="00073666">
        <w:rPr>
          <w:rFonts w:ascii="Calibri" w:hAnsi="Calibri" w:cs="Calibri"/>
          <w:color w:val="000000" w:themeColor="text1"/>
          <w:szCs w:val="22"/>
          <w:lang w:val="en-US"/>
        </w:rPr>
        <w:t>aOR</w:t>
      </w:r>
      <w:proofErr w:type="spellEnd"/>
      <w:r w:rsidRPr="00073666">
        <w:rPr>
          <w:rFonts w:ascii="Calibri" w:hAnsi="Calibri" w:cs="Calibri"/>
          <w:color w:val="000000" w:themeColor="text1"/>
          <w:szCs w:val="22"/>
          <w:lang w:val="en-US"/>
        </w:rPr>
        <w:t>) with corresponding 95% confidence intervals.</w:t>
      </w:r>
    </w:p>
    <w:p w14:paraId="4C7924A9" w14:textId="77777777" w:rsidR="00DD7B4D" w:rsidRPr="00073666" w:rsidRDefault="00DD7B4D" w:rsidP="00C00322">
      <w:pPr>
        <w:autoSpaceDE w:val="0"/>
        <w:autoSpaceDN w:val="0"/>
        <w:adjustRightInd w:val="0"/>
        <w:rPr>
          <w:rFonts w:ascii="Calibri" w:hAnsi="Calibri" w:cs="Calibri"/>
          <w:color w:val="000000" w:themeColor="text1"/>
          <w:szCs w:val="22"/>
          <w:lang w:val="en-US"/>
        </w:rPr>
      </w:pPr>
    </w:p>
    <w:p w14:paraId="65D47E34" w14:textId="1E73D59A" w:rsidR="00C10ACE" w:rsidRPr="00073666" w:rsidRDefault="00C00322" w:rsidP="00C10ACE">
      <w:pPr>
        <w:rPr>
          <w:rFonts w:ascii="Calibri" w:hAnsi="Calibri" w:cs="Calibri"/>
          <w:color w:val="000000" w:themeColor="text1"/>
          <w:szCs w:val="22"/>
        </w:rPr>
      </w:pPr>
      <w:r w:rsidRPr="00073666">
        <w:rPr>
          <w:rFonts w:ascii="Calibri" w:hAnsi="Calibri" w:cs="Calibri"/>
          <w:color w:val="000000" w:themeColor="text1"/>
          <w:szCs w:val="22"/>
          <w:lang w:val="en-US"/>
        </w:rPr>
        <w:t>The morbidity of patients with and without IA will be compared using the following outcomes measures:</w:t>
      </w:r>
      <w:r w:rsidRPr="00073666">
        <w:rPr>
          <w:rFonts w:ascii="Calibri" w:hAnsi="Calibri" w:cs="Calibri"/>
          <w:color w:val="000000" w:themeColor="text1"/>
          <w:szCs w:val="22"/>
        </w:rPr>
        <w:t xml:space="preserve"> Duration of mechanical ventilation, length of ICU </w:t>
      </w:r>
      <w:proofErr w:type="gramStart"/>
      <w:r w:rsidRPr="00073666">
        <w:rPr>
          <w:rFonts w:ascii="Calibri" w:hAnsi="Calibri" w:cs="Calibri"/>
          <w:color w:val="000000" w:themeColor="text1"/>
          <w:szCs w:val="22"/>
        </w:rPr>
        <w:t>stay</w:t>
      </w:r>
      <w:proofErr w:type="gramEnd"/>
      <w:r w:rsidRPr="00073666">
        <w:rPr>
          <w:rFonts w:ascii="Calibri" w:hAnsi="Calibri" w:cs="Calibri"/>
          <w:color w:val="000000" w:themeColor="text1"/>
          <w:szCs w:val="22"/>
        </w:rPr>
        <w:t xml:space="preserve">, length of hospital stay. </w:t>
      </w:r>
      <w:r w:rsidR="00C10ACE" w:rsidRPr="00073666">
        <w:rPr>
          <w:rFonts w:ascii="Calibri" w:hAnsi="Calibri" w:cs="Calibri"/>
          <w:color w:val="000000" w:themeColor="text1"/>
          <w:szCs w:val="22"/>
        </w:rPr>
        <w:t>90-day a</w:t>
      </w:r>
      <w:r w:rsidRPr="00073666">
        <w:rPr>
          <w:rFonts w:ascii="Calibri" w:hAnsi="Calibri" w:cs="Calibri"/>
          <w:color w:val="000000" w:themeColor="text1"/>
          <w:szCs w:val="22"/>
        </w:rPr>
        <w:t>ll-cause mortality will be compared for patients with and without IA</w:t>
      </w:r>
      <w:r w:rsidR="00A32132" w:rsidRPr="00073666">
        <w:rPr>
          <w:rFonts w:ascii="Calibri" w:hAnsi="Calibri" w:cs="Calibri"/>
          <w:color w:val="000000" w:themeColor="text1"/>
          <w:szCs w:val="22"/>
        </w:rPr>
        <w:t xml:space="preserve">. </w:t>
      </w:r>
      <w:r w:rsidR="00C10ACE" w:rsidRPr="00073666">
        <w:rPr>
          <w:rFonts w:ascii="Calibri" w:hAnsi="Calibri" w:cs="Calibri"/>
          <w:color w:val="000000" w:themeColor="text1"/>
          <w:szCs w:val="22"/>
        </w:rPr>
        <w:t>ICU all-cause mortality and inpatient all-cause mortality will be compared also.</w:t>
      </w:r>
    </w:p>
    <w:p w14:paraId="5E8051A4" w14:textId="77777777" w:rsidR="00DD7B4D" w:rsidRPr="00073666" w:rsidRDefault="00DD7B4D" w:rsidP="00C10ACE">
      <w:pPr>
        <w:rPr>
          <w:rFonts w:ascii="Calibri" w:hAnsi="Calibri" w:cs="Calibri"/>
          <w:color w:val="000000" w:themeColor="text1"/>
          <w:szCs w:val="22"/>
        </w:rPr>
      </w:pPr>
    </w:p>
    <w:p w14:paraId="7ACE9C7D" w14:textId="1F02D95C" w:rsidR="00C00322" w:rsidRPr="00073666" w:rsidRDefault="00C00322" w:rsidP="00C00322">
      <w:pPr>
        <w:spacing w:before="60" w:after="60"/>
        <w:rPr>
          <w:rFonts w:ascii="Calibri" w:hAnsi="Calibri" w:cs="Calibri"/>
          <w:color w:val="000000" w:themeColor="text1"/>
          <w:szCs w:val="22"/>
        </w:rPr>
      </w:pPr>
      <w:r w:rsidRPr="00073666">
        <w:rPr>
          <w:rFonts w:ascii="Calibri" w:hAnsi="Calibri" w:cs="Calibri"/>
          <w:color w:val="000000" w:themeColor="text1"/>
          <w:szCs w:val="22"/>
        </w:rPr>
        <w:lastRenderedPageBreak/>
        <w:t>A survival analysis</w:t>
      </w:r>
      <w:r w:rsidR="00DD7B4D" w:rsidRPr="00073666">
        <w:rPr>
          <w:rFonts w:ascii="Calibri" w:hAnsi="Calibri" w:cs="Calibri"/>
          <w:color w:val="000000" w:themeColor="text1"/>
          <w:szCs w:val="22"/>
        </w:rPr>
        <w:t xml:space="preserve"> (</w:t>
      </w:r>
      <w:r w:rsidRPr="00073666">
        <w:rPr>
          <w:rFonts w:ascii="Calibri" w:hAnsi="Calibri" w:cs="Calibri"/>
          <w:color w:val="000000" w:themeColor="text1"/>
          <w:szCs w:val="22"/>
        </w:rPr>
        <w:t>time-to-all-cause mortality</w:t>
      </w:r>
      <w:r w:rsidR="00DD7B4D" w:rsidRPr="00073666">
        <w:rPr>
          <w:rFonts w:ascii="Calibri" w:hAnsi="Calibri" w:cs="Calibri"/>
          <w:color w:val="000000" w:themeColor="text1"/>
          <w:szCs w:val="22"/>
        </w:rPr>
        <w:t>)</w:t>
      </w:r>
      <w:r w:rsidRPr="00073666">
        <w:rPr>
          <w:rFonts w:ascii="Calibri" w:hAnsi="Calibri" w:cs="Calibri"/>
          <w:color w:val="000000" w:themeColor="text1"/>
          <w:szCs w:val="22"/>
        </w:rPr>
        <w:t xml:space="preserve"> to 90 days, will also be performed comparing those with and without IA. Kaplan Meier curves w</w:t>
      </w:r>
      <w:r w:rsidR="00DD7B4D" w:rsidRPr="00073666">
        <w:rPr>
          <w:rFonts w:ascii="Calibri" w:hAnsi="Calibri" w:cs="Calibri"/>
          <w:color w:val="000000" w:themeColor="text1"/>
          <w:szCs w:val="22"/>
        </w:rPr>
        <w:t>ill be produced and compared using</w:t>
      </w:r>
      <w:r w:rsidRPr="00073666">
        <w:rPr>
          <w:rFonts w:ascii="Calibri" w:hAnsi="Calibri" w:cs="Calibri"/>
          <w:color w:val="000000" w:themeColor="text1"/>
          <w:szCs w:val="22"/>
        </w:rPr>
        <w:t xml:space="preserve"> log-rank tests and </w:t>
      </w:r>
      <w:r w:rsidR="00DD7B4D" w:rsidRPr="00073666">
        <w:rPr>
          <w:rFonts w:ascii="Calibri" w:hAnsi="Calibri" w:cs="Calibri"/>
          <w:color w:val="000000" w:themeColor="text1"/>
          <w:szCs w:val="22"/>
        </w:rPr>
        <w:t xml:space="preserve">Cox regression models </w:t>
      </w:r>
      <w:r w:rsidRPr="00073666">
        <w:rPr>
          <w:rFonts w:ascii="Calibri" w:hAnsi="Calibri" w:cs="Calibri"/>
          <w:color w:val="000000" w:themeColor="text1"/>
          <w:szCs w:val="22"/>
        </w:rPr>
        <w:t xml:space="preserve">to control for any potential confounding. </w:t>
      </w:r>
    </w:p>
    <w:p w14:paraId="63566FDA" w14:textId="77777777" w:rsidR="00C00322" w:rsidRPr="00073666" w:rsidRDefault="00C00322" w:rsidP="00C00322">
      <w:pPr>
        <w:autoSpaceDE w:val="0"/>
        <w:autoSpaceDN w:val="0"/>
        <w:adjustRightInd w:val="0"/>
        <w:rPr>
          <w:rFonts w:ascii="Calibri" w:hAnsi="Calibri" w:cs="Calibri"/>
          <w:color w:val="000000" w:themeColor="text1"/>
          <w:szCs w:val="22"/>
          <w:lang w:val="en-US"/>
        </w:rPr>
      </w:pPr>
    </w:p>
    <w:p w14:paraId="060DF58F" w14:textId="77777777" w:rsidR="00C00322" w:rsidRPr="00073666" w:rsidRDefault="00C00322" w:rsidP="00C00322">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lang w:val="en-US"/>
        </w:rPr>
        <w:t xml:space="preserve">For the </w:t>
      </w:r>
      <w:proofErr w:type="spellStart"/>
      <w:r w:rsidRPr="00073666">
        <w:rPr>
          <w:rFonts w:ascii="Calibri" w:hAnsi="Calibri" w:cs="Calibri"/>
          <w:color w:val="000000" w:themeColor="text1"/>
          <w:szCs w:val="22"/>
          <w:lang w:val="en-US"/>
        </w:rPr>
        <w:t>AspLFD</w:t>
      </w:r>
      <w:proofErr w:type="spellEnd"/>
      <w:r w:rsidRPr="00073666">
        <w:rPr>
          <w:rFonts w:ascii="Calibri" w:hAnsi="Calibri" w:cs="Calibri"/>
          <w:color w:val="000000" w:themeColor="text1"/>
          <w:szCs w:val="22"/>
          <w:lang w:val="en-US"/>
        </w:rPr>
        <w:t xml:space="preserve"> diagnostic test validation, the </w:t>
      </w:r>
      <w:r w:rsidRPr="00073666">
        <w:rPr>
          <w:rFonts w:ascii="Calibri" w:hAnsi="Calibri" w:cs="Calibri"/>
          <w:color w:val="000000" w:themeColor="text1"/>
          <w:szCs w:val="22"/>
        </w:rPr>
        <w:t xml:space="preserve">sensitivity, specificity, PPV and NPV of BAL </w:t>
      </w:r>
      <w:proofErr w:type="spellStart"/>
      <w:r w:rsidRPr="00073666">
        <w:rPr>
          <w:rFonts w:ascii="Calibri" w:hAnsi="Calibri" w:cs="Calibri"/>
          <w:color w:val="000000" w:themeColor="text1"/>
          <w:szCs w:val="22"/>
        </w:rPr>
        <w:t>AspLFD</w:t>
      </w:r>
      <w:proofErr w:type="spellEnd"/>
      <w:r w:rsidRPr="00073666">
        <w:rPr>
          <w:rFonts w:ascii="Calibri" w:hAnsi="Calibri" w:cs="Calibri"/>
          <w:color w:val="000000" w:themeColor="text1"/>
          <w:szCs w:val="22"/>
        </w:rPr>
        <w:t xml:space="preserve"> against the modified </w:t>
      </w:r>
      <w:proofErr w:type="spellStart"/>
      <w:r w:rsidRPr="00073666">
        <w:rPr>
          <w:rFonts w:ascii="Calibri" w:hAnsi="Calibri" w:cs="Calibri"/>
          <w:color w:val="000000" w:themeColor="text1"/>
          <w:szCs w:val="22"/>
        </w:rPr>
        <w:t>AspICU</w:t>
      </w:r>
      <w:proofErr w:type="spellEnd"/>
      <w:r w:rsidRPr="00073666">
        <w:rPr>
          <w:rFonts w:ascii="Calibri" w:hAnsi="Calibri" w:cs="Calibri"/>
          <w:color w:val="000000" w:themeColor="text1"/>
          <w:szCs w:val="22"/>
        </w:rPr>
        <w:t xml:space="preserve"> criteria in this cohort will be determined. The performance of </w:t>
      </w:r>
      <w:proofErr w:type="spellStart"/>
      <w:r w:rsidRPr="00073666">
        <w:rPr>
          <w:rFonts w:ascii="Calibri" w:hAnsi="Calibri" w:cs="Calibri"/>
          <w:color w:val="000000" w:themeColor="text1"/>
          <w:szCs w:val="22"/>
        </w:rPr>
        <w:t>AspLFD</w:t>
      </w:r>
      <w:proofErr w:type="spellEnd"/>
      <w:r w:rsidRPr="00073666">
        <w:rPr>
          <w:rFonts w:ascii="Calibri" w:hAnsi="Calibri" w:cs="Calibri"/>
          <w:color w:val="000000" w:themeColor="text1"/>
          <w:szCs w:val="22"/>
        </w:rPr>
        <w:t xml:space="preserve"> on serum or BAL or both (combined) will be assessed.</w:t>
      </w:r>
    </w:p>
    <w:p w14:paraId="60922FFC" w14:textId="77777777" w:rsidR="00C00322" w:rsidRPr="00073666" w:rsidRDefault="00C00322" w:rsidP="00C00322">
      <w:pPr>
        <w:autoSpaceDE w:val="0"/>
        <w:autoSpaceDN w:val="0"/>
        <w:adjustRightInd w:val="0"/>
        <w:rPr>
          <w:rFonts w:ascii="Calibri" w:hAnsi="Calibri" w:cs="Calibri"/>
          <w:color w:val="000000" w:themeColor="text1"/>
          <w:szCs w:val="22"/>
        </w:rPr>
      </w:pPr>
    </w:p>
    <w:p w14:paraId="6347C9DC" w14:textId="77777777" w:rsidR="00C00322" w:rsidRPr="00073666" w:rsidRDefault="00C00322" w:rsidP="00C00322">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Data will be analysed using Stata version 15.</w:t>
      </w:r>
    </w:p>
    <w:p w14:paraId="36FF59CC" w14:textId="56AE46C2" w:rsidR="0071257C" w:rsidRPr="00073666" w:rsidRDefault="0071257C" w:rsidP="0071257C">
      <w:pPr>
        <w:autoSpaceDE w:val="0"/>
        <w:autoSpaceDN w:val="0"/>
        <w:adjustRightInd w:val="0"/>
        <w:ind w:left="895"/>
        <w:rPr>
          <w:rFonts w:ascii="Calibri" w:hAnsi="Calibri" w:cs="Calibri"/>
          <w:color w:val="0000FF"/>
          <w:szCs w:val="22"/>
        </w:rPr>
      </w:pPr>
    </w:p>
    <w:p w14:paraId="76DD5D29" w14:textId="254BE22F" w:rsidR="00460924" w:rsidRPr="00073666" w:rsidRDefault="00460924" w:rsidP="0071257C">
      <w:pPr>
        <w:autoSpaceDE w:val="0"/>
        <w:autoSpaceDN w:val="0"/>
        <w:adjustRightInd w:val="0"/>
        <w:ind w:left="895"/>
        <w:rPr>
          <w:rFonts w:ascii="Calibri" w:hAnsi="Calibri" w:cs="Calibri"/>
          <w:color w:val="0000FF"/>
          <w:szCs w:val="22"/>
        </w:rPr>
      </w:pPr>
    </w:p>
    <w:p w14:paraId="6B30FB50" w14:textId="51262EE3" w:rsidR="00460924" w:rsidRPr="00073666" w:rsidRDefault="00460924" w:rsidP="0071257C">
      <w:pPr>
        <w:autoSpaceDE w:val="0"/>
        <w:autoSpaceDN w:val="0"/>
        <w:adjustRightInd w:val="0"/>
        <w:ind w:left="895"/>
        <w:rPr>
          <w:rFonts w:ascii="Calibri" w:hAnsi="Calibri" w:cs="Calibri"/>
          <w:color w:val="0000FF"/>
          <w:szCs w:val="22"/>
        </w:rPr>
      </w:pPr>
    </w:p>
    <w:p w14:paraId="40E19A00" w14:textId="29DDBC2E" w:rsidR="00460924" w:rsidRPr="00073666" w:rsidRDefault="00460924" w:rsidP="0071257C">
      <w:pPr>
        <w:autoSpaceDE w:val="0"/>
        <w:autoSpaceDN w:val="0"/>
        <w:adjustRightInd w:val="0"/>
        <w:ind w:left="895"/>
        <w:rPr>
          <w:rFonts w:ascii="Calibri" w:hAnsi="Calibri" w:cs="Calibri"/>
          <w:color w:val="0000FF"/>
          <w:szCs w:val="22"/>
        </w:rPr>
      </w:pPr>
    </w:p>
    <w:p w14:paraId="3A8903CF" w14:textId="3563E089" w:rsidR="00460924" w:rsidRPr="00073666" w:rsidRDefault="00460924" w:rsidP="0071257C">
      <w:pPr>
        <w:autoSpaceDE w:val="0"/>
        <w:autoSpaceDN w:val="0"/>
        <w:adjustRightInd w:val="0"/>
        <w:ind w:left="895"/>
        <w:rPr>
          <w:rFonts w:ascii="Calibri" w:hAnsi="Calibri" w:cs="Calibri"/>
          <w:color w:val="0000FF"/>
          <w:szCs w:val="22"/>
        </w:rPr>
      </w:pPr>
    </w:p>
    <w:p w14:paraId="3F22337A" w14:textId="1B38E2B2" w:rsidR="00814E86" w:rsidRPr="00073666" w:rsidRDefault="00552E09" w:rsidP="00AD2550">
      <w:pPr>
        <w:autoSpaceDE w:val="0"/>
        <w:autoSpaceDN w:val="0"/>
        <w:adjustRightInd w:val="0"/>
        <w:rPr>
          <w:rFonts w:ascii="Calibri" w:hAnsi="Calibri" w:cs="Calibri"/>
          <w:b/>
        </w:rPr>
      </w:pPr>
      <w:r w:rsidRPr="00073666">
        <w:rPr>
          <w:rFonts w:ascii="Calibri" w:hAnsi="Calibri" w:cs="Calibri"/>
          <w:b/>
        </w:rPr>
        <w:t>6</w:t>
      </w:r>
      <w:r w:rsidR="00475FDA" w:rsidRPr="00073666">
        <w:rPr>
          <w:rFonts w:ascii="Calibri" w:hAnsi="Calibri" w:cs="Calibri"/>
          <w:b/>
        </w:rPr>
        <w:tab/>
        <w:t>STUDY SETTING</w:t>
      </w:r>
    </w:p>
    <w:p w14:paraId="008BBF1E" w14:textId="77777777" w:rsidR="00AD2550" w:rsidRPr="00073666" w:rsidRDefault="00AD2550" w:rsidP="00AD2550">
      <w:pPr>
        <w:autoSpaceDE w:val="0"/>
        <w:autoSpaceDN w:val="0"/>
        <w:adjustRightInd w:val="0"/>
        <w:rPr>
          <w:rFonts w:ascii="Calibri" w:hAnsi="Calibri" w:cs="Calibri"/>
          <w:b/>
          <w:color w:val="0000FF"/>
        </w:rPr>
      </w:pPr>
    </w:p>
    <w:p w14:paraId="1E1DB659" w14:textId="04FCF721" w:rsidR="00814E86" w:rsidRPr="00073666" w:rsidRDefault="00814E86" w:rsidP="00814E86">
      <w:pPr>
        <w:spacing w:after="160" w:line="259" w:lineRule="auto"/>
        <w:rPr>
          <w:rFonts w:ascii="Calibri" w:hAnsi="Calibri" w:cs="Calibri"/>
          <w:color w:val="000000" w:themeColor="text1"/>
          <w:szCs w:val="22"/>
        </w:rPr>
      </w:pPr>
      <w:r w:rsidRPr="00AD4062">
        <w:rPr>
          <w:rFonts w:ascii="Calibri" w:hAnsi="Calibri" w:cs="Calibri"/>
          <w:color w:val="000000" w:themeColor="text1"/>
          <w:szCs w:val="22"/>
          <w:highlight w:val="yellow"/>
        </w:rPr>
        <w:t xml:space="preserve">Study participants will be enrolled </w:t>
      </w:r>
      <w:r w:rsidR="003D473C" w:rsidRPr="00AD4062">
        <w:rPr>
          <w:rFonts w:ascii="Calibri" w:hAnsi="Calibri" w:cs="Calibri"/>
          <w:color w:val="000000" w:themeColor="text1"/>
          <w:szCs w:val="22"/>
          <w:highlight w:val="yellow"/>
        </w:rPr>
        <w:t xml:space="preserve">across </w:t>
      </w:r>
      <w:r w:rsidR="00AD4062" w:rsidRPr="00AD4062">
        <w:rPr>
          <w:rFonts w:ascii="Calibri" w:hAnsi="Calibri" w:cs="Calibri"/>
          <w:color w:val="000000" w:themeColor="text1"/>
          <w:szCs w:val="22"/>
          <w:highlight w:val="yellow"/>
        </w:rPr>
        <w:t>4</w:t>
      </w:r>
      <w:r w:rsidRPr="00AD4062">
        <w:rPr>
          <w:rFonts w:ascii="Calibri" w:hAnsi="Calibri" w:cs="Calibri"/>
          <w:color w:val="000000" w:themeColor="text1"/>
          <w:szCs w:val="22"/>
          <w:highlight w:val="yellow"/>
        </w:rPr>
        <w:t xml:space="preserve"> </w:t>
      </w:r>
      <w:r w:rsidR="00AD4062" w:rsidRPr="00AD4062">
        <w:rPr>
          <w:rFonts w:ascii="Calibri" w:hAnsi="Calibri" w:cs="Calibri"/>
          <w:color w:val="000000" w:themeColor="text1"/>
          <w:szCs w:val="22"/>
          <w:highlight w:val="yellow"/>
        </w:rPr>
        <w:t>trusts</w:t>
      </w:r>
      <w:r w:rsidRPr="00AD4062">
        <w:rPr>
          <w:rFonts w:ascii="Calibri" w:hAnsi="Calibri" w:cs="Calibri"/>
          <w:color w:val="000000" w:themeColor="text1"/>
          <w:szCs w:val="22"/>
          <w:highlight w:val="yellow"/>
        </w:rPr>
        <w:t xml:space="preserve"> comprising </w:t>
      </w:r>
      <w:r w:rsidR="00AD4062" w:rsidRPr="00AD4062">
        <w:rPr>
          <w:rFonts w:ascii="Calibri" w:hAnsi="Calibri" w:cs="Calibri"/>
          <w:color w:val="000000" w:themeColor="text1"/>
          <w:szCs w:val="22"/>
          <w:highlight w:val="yellow"/>
        </w:rPr>
        <w:t>324</w:t>
      </w:r>
      <w:r w:rsidRPr="00AD4062">
        <w:rPr>
          <w:rFonts w:ascii="Calibri" w:hAnsi="Calibri" w:cs="Calibri"/>
          <w:color w:val="000000" w:themeColor="text1"/>
          <w:szCs w:val="22"/>
          <w:highlight w:val="yellow"/>
        </w:rPr>
        <w:t xml:space="preserve"> ICU beds total:</w:t>
      </w:r>
    </w:p>
    <w:p w14:paraId="74E944CD" w14:textId="77777777" w:rsidR="00814E86" w:rsidRPr="00073666" w:rsidRDefault="00814E86" w:rsidP="00814E86">
      <w:pPr>
        <w:pStyle w:val="ListParagraph"/>
        <w:numPr>
          <w:ilvl w:val="0"/>
          <w:numId w:val="34"/>
        </w:numPr>
        <w:spacing w:after="160" w:line="259" w:lineRule="auto"/>
        <w:rPr>
          <w:rFonts w:ascii="Calibri" w:hAnsi="Calibri" w:cs="Calibri"/>
          <w:color w:val="000000" w:themeColor="text1"/>
        </w:rPr>
      </w:pPr>
      <w:r w:rsidRPr="00073666">
        <w:rPr>
          <w:rFonts w:ascii="Calibri" w:hAnsi="Calibri" w:cs="Calibri"/>
          <w:color w:val="000000" w:themeColor="text1"/>
        </w:rPr>
        <w:t>Guy's and St Thomas' Hospital NHS Foundation Trust (Guy’s Hospital and St Thomas’ Hospital) – x1 ICU at Guy’s (13 beds), x3 at St Thomas’ (42 beds)</w:t>
      </w:r>
    </w:p>
    <w:p w14:paraId="34016FD3" w14:textId="77777777" w:rsidR="00814E86" w:rsidRPr="00073666" w:rsidRDefault="00814E86" w:rsidP="00814E86">
      <w:pPr>
        <w:pStyle w:val="ListParagraph"/>
        <w:numPr>
          <w:ilvl w:val="0"/>
          <w:numId w:val="34"/>
        </w:numPr>
        <w:spacing w:after="160" w:line="259" w:lineRule="auto"/>
        <w:rPr>
          <w:rFonts w:ascii="Calibri" w:hAnsi="Calibri" w:cs="Calibri"/>
          <w:color w:val="000000" w:themeColor="text1"/>
        </w:rPr>
      </w:pPr>
      <w:r w:rsidRPr="00073666">
        <w:rPr>
          <w:rFonts w:ascii="Calibri" w:hAnsi="Calibri" w:cs="Calibri"/>
          <w:color w:val="000000" w:themeColor="text1"/>
        </w:rPr>
        <w:t>St Georges University Hospitals NHS Foundation Trust (St Georges Hospital)</w:t>
      </w:r>
      <w:r w:rsidRPr="00073666">
        <w:rPr>
          <w:rFonts w:ascii="Calibri" w:hAnsi="Calibri" w:cs="Calibri"/>
          <w:color w:val="000000" w:themeColor="text1"/>
          <w:lang w:eastAsia="en-GB"/>
        </w:rPr>
        <w:t xml:space="preserve"> – x3 ICUs (60 beds)</w:t>
      </w:r>
    </w:p>
    <w:p w14:paraId="200F1D56" w14:textId="592F5EBD" w:rsidR="00A41AED" w:rsidRDefault="00814E86" w:rsidP="00A41AED">
      <w:pPr>
        <w:pStyle w:val="ListParagraph"/>
        <w:numPr>
          <w:ilvl w:val="0"/>
          <w:numId w:val="34"/>
        </w:numPr>
        <w:spacing w:after="160" w:line="259" w:lineRule="auto"/>
        <w:rPr>
          <w:rFonts w:ascii="Calibri" w:hAnsi="Calibri" w:cs="Calibri"/>
          <w:color w:val="000000" w:themeColor="text1"/>
        </w:rPr>
      </w:pPr>
      <w:r w:rsidRPr="00073666">
        <w:rPr>
          <w:rFonts w:ascii="Calibri" w:hAnsi="Calibri" w:cs="Calibri"/>
          <w:color w:val="000000" w:themeColor="text1"/>
        </w:rPr>
        <w:t>King’s College Hospital NHS Foundation Trust (King’s College Hospital)</w:t>
      </w:r>
      <w:r w:rsidRPr="00073666">
        <w:rPr>
          <w:rFonts w:ascii="Calibri" w:hAnsi="Calibri" w:cs="Calibri"/>
          <w:color w:val="000000" w:themeColor="text1"/>
          <w:lang w:eastAsia="en-GB"/>
        </w:rPr>
        <w:t>– x4 ICUs (144 beds)</w:t>
      </w:r>
    </w:p>
    <w:p w14:paraId="095264EF" w14:textId="018EA5A9" w:rsidR="00FC36FE" w:rsidRPr="00FC36FE" w:rsidRDefault="00FC36FE" w:rsidP="00A41AED">
      <w:pPr>
        <w:pStyle w:val="ListParagraph"/>
        <w:numPr>
          <w:ilvl w:val="0"/>
          <w:numId w:val="34"/>
        </w:numPr>
        <w:spacing w:after="160" w:line="259" w:lineRule="auto"/>
        <w:rPr>
          <w:rFonts w:ascii="Calibri" w:hAnsi="Calibri" w:cs="Calibri"/>
          <w:highlight w:val="yellow"/>
        </w:rPr>
      </w:pPr>
      <w:r w:rsidRPr="00FC36FE">
        <w:rPr>
          <w:rFonts w:ascii="Calibri" w:hAnsi="Calibri" w:cs="Calibri"/>
          <w:highlight w:val="yellow"/>
        </w:rPr>
        <w:t>Manchester University NHS Foundation Trust (65 beds)</w:t>
      </w:r>
    </w:p>
    <w:p w14:paraId="473AEF5A" w14:textId="77777777" w:rsidR="00A41AED" w:rsidRPr="00073666" w:rsidRDefault="00A41AED" w:rsidP="00A41AED"/>
    <w:p w14:paraId="3901BB02" w14:textId="7880EFA5" w:rsidR="00CF2955" w:rsidRPr="00073666" w:rsidRDefault="00BD58D7" w:rsidP="00CF2955">
      <w:pPr>
        <w:spacing w:after="160" w:line="259" w:lineRule="auto"/>
        <w:rPr>
          <w:rFonts w:ascii="Calibri" w:hAnsi="Calibri" w:cs="Calibri"/>
          <w:color w:val="000000" w:themeColor="text1"/>
          <w:szCs w:val="22"/>
        </w:rPr>
      </w:pPr>
      <w:r w:rsidRPr="00073666">
        <w:rPr>
          <w:rFonts w:ascii="Calibri" w:hAnsi="Calibri" w:cs="Calibri"/>
          <w:color w:val="000000" w:themeColor="text1"/>
        </w:rPr>
        <w:t xml:space="preserve">At each site potential participants will be identified and enrolled by the local </w:t>
      </w:r>
      <w:r w:rsidRPr="00073666">
        <w:rPr>
          <w:rFonts w:ascii="Calibri" w:hAnsi="Calibri" w:cs="Calibri"/>
          <w:color w:val="000000" w:themeColor="text1"/>
          <w:szCs w:val="22"/>
        </w:rPr>
        <w:t>clinical teams, site PIs and/or site research nurses (</w:t>
      </w:r>
      <w:r w:rsidR="00D60E98" w:rsidRPr="00073666">
        <w:rPr>
          <w:rFonts w:ascii="Calibri" w:hAnsi="Calibri" w:cs="Calibri"/>
          <w:color w:val="000000" w:themeColor="text1"/>
          <w:szCs w:val="22"/>
        </w:rPr>
        <w:t>see ‘</w:t>
      </w:r>
      <w:r w:rsidR="00CF2955" w:rsidRPr="00073666">
        <w:rPr>
          <w:rFonts w:ascii="Calibri" w:hAnsi="Calibri" w:cs="Calibri"/>
          <w:szCs w:val="22"/>
        </w:rPr>
        <w:t>7.3 Recruitment</w:t>
      </w:r>
      <w:r w:rsidR="00D60E98" w:rsidRPr="00073666">
        <w:rPr>
          <w:rFonts w:ascii="Calibri" w:hAnsi="Calibri" w:cs="Calibri"/>
          <w:szCs w:val="22"/>
        </w:rPr>
        <w:t>’)</w:t>
      </w:r>
    </w:p>
    <w:p w14:paraId="20676105" w14:textId="77777777" w:rsidR="00CF2955" w:rsidRPr="00073666" w:rsidRDefault="00CF2955" w:rsidP="00B04FD9">
      <w:pPr>
        <w:spacing w:after="160" w:line="259" w:lineRule="auto"/>
        <w:rPr>
          <w:rFonts w:ascii="Calibri" w:hAnsi="Calibri" w:cs="Calibri"/>
          <w:color w:val="000000" w:themeColor="text1"/>
          <w:szCs w:val="22"/>
        </w:rPr>
      </w:pPr>
    </w:p>
    <w:p w14:paraId="4F085604" w14:textId="072D22B2" w:rsidR="0098459E" w:rsidRPr="00073666" w:rsidRDefault="00BD58D7" w:rsidP="0098459E">
      <w:pPr>
        <w:spacing w:after="160" w:line="259" w:lineRule="auto"/>
        <w:rPr>
          <w:rFonts w:ascii="Calibri" w:hAnsi="Calibri" w:cs="Calibri"/>
          <w:color w:val="000000" w:themeColor="text1"/>
          <w:szCs w:val="22"/>
        </w:rPr>
      </w:pPr>
      <w:r w:rsidRPr="00073666">
        <w:rPr>
          <w:rFonts w:ascii="Calibri" w:hAnsi="Calibri" w:cs="Calibri"/>
          <w:color w:val="000000" w:themeColor="text1"/>
          <w:szCs w:val="22"/>
        </w:rPr>
        <w:t xml:space="preserve">A </w:t>
      </w:r>
      <w:proofErr w:type="gramStart"/>
      <w:r w:rsidRPr="00073666">
        <w:rPr>
          <w:rFonts w:ascii="Calibri" w:hAnsi="Calibri" w:cs="Calibri"/>
          <w:color w:val="000000" w:themeColor="text1"/>
          <w:szCs w:val="22"/>
        </w:rPr>
        <w:t>full time</w:t>
      </w:r>
      <w:proofErr w:type="gramEnd"/>
      <w:r w:rsidRPr="00073666">
        <w:rPr>
          <w:rFonts w:ascii="Calibri" w:hAnsi="Calibri" w:cs="Calibri"/>
          <w:color w:val="000000" w:themeColor="text1"/>
          <w:szCs w:val="22"/>
        </w:rPr>
        <w:t xml:space="preserve"> clinical research fellow (with honorary research contracts at each site) will work across all the sites in collaboration with and under the supervision of the site PIs. The research fellow will </w:t>
      </w:r>
      <w:r w:rsidR="00DF6BEE" w:rsidRPr="00073666">
        <w:rPr>
          <w:rFonts w:ascii="Calibri" w:hAnsi="Calibri" w:cs="Calibri"/>
          <w:color w:val="000000" w:themeColor="text1"/>
          <w:szCs w:val="22"/>
        </w:rPr>
        <w:t>oversee:</w:t>
      </w:r>
    </w:p>
    <w:p w14:paraId="6384AEF1" w14:textId="64C5313B" w:rsidR="0098459E" w:rsidRPr="00073666" w:rsidRDefault="0098459E" w:rsidP="0098459E">
      <w:pPr>
        <w:pStyle w:val="ListParagraph"/>
        <w:numPr>
          <w:ilvl w:val="0"/>
          <w:numId w:val="32"/>
        </w:numPr>
        <w:spacing w:after="160" w:line="259" w:lineRule="auto"/>
        <w:rPr>
          <w:rFonts w:ascii="Calibri" w:hAnsi="Calibri" w:cs="Calibri"/>
          <w:color w:val="000000" w:themeColor="text1"/>
        </w:rPr>
      </w:pPr>
      <w:r w:rsidRPr="00073666">
        <w:rPr>
          <w:rFonts w:ascii="Calibri" w:hAnsi="Calibri" w:cs="Calibri"/>
          <w:color w:val="000000" w:themeColor="text1"/>
        </w:rPr>
        <w:t xml:space="preserve">Data entry into the </w:t>
      </w:r>
      <w:proofErr w:type="spellStart"/>
      <w:r w:rsidRPr="00073666">
        <w:rPr>
          <w:rFonts w:ascii="Calibri" w:hAnsi="Calibri" w:cs="Calibri"/>
        </w:rPr>
        <w:t>REDCap</w:t>
      </w:r>
      <w:proofErr w:type="spellEnd"/>
      <w:r w:rsidRPr="00073666">
        <w:rPr>
          <w:rFonts w:ascii="Calibri" w:hAnsi="Calibri" w:cs="Calibri"/>
        </w:rPr>
        <w:t>™ database (</w:t>
      </w:r>
      <w:r w:rsidRPr="00073666">
        <w:rPr>
          <w:rFonts w:ascii="Calibri" w:hAnsi="Calibri" w:cs="Calibri"/>
          <w:color w:val="000000" w:themeColor="text1"/>
          <w:lang w:val="en-US" w:eastAsia="en-GB"/>
        </w:rPr>
        <w:t>see ‘</w:t>
      </w:r>
      <w:r w:rsidRPr="00073666">
        <w:rPr>
          <w:rFonts w:ascii="Calibri" w:hAnsi="Calibri" w:cs="Calibri"/>
        </w:rPr>
        <w:t>7.3.3 Data collection tool’)</w:t>
      </w:r>
    </w:p>
    <w:p w14:paraId="6E250AC1" w14:textId="22902FA1" w:rsidR="00FB306A" w:rsidRPr="00073666" w:rsidRDefault="00FB306A" w:rsidP="00FB306A">
      <w:pPr>
        <w:pStyle w:val="ListParagraph"/>
        <w:numPr>
          <w:ilvl w:val="0"/>
          <w:numId w:val="32"/>
        </w:numPr>
        <w:spacing w:after="0" w:line="240" w:lineRule="auto"/>
        <w:rPr>
          <w:rFonts w:ascii="Calibri" w:hAnsi="Calibri" w:cs="Calibri"/>
          <w:b/>
        </w:rPr>
      </w:pPr>
      <w:r w:rsidRPr="00073666">
        <w:rPr>
          <w:rFonts w:ascii="Calibri" w:hAnsi="Calibri" w:cs="Calibri"/>
          <w:color w:val="000000" w:themeColor="text1"/>
        </w:rPr>
        <w:t xml:space="preserve">Baseline blood sampling and </w:t>
      </w:r>
      <w:r w:rsidRPr="00073666">
        <w:rPr>
          <w:rFonts w:ascii="Calibri" w:hAnsi="Calibri" w:cs="Calibri"/>
        </w:rPr>
        <w:t>storing of BAL and serum samples (</w:t>
      </w:r>
      <w:r w:rsidRPr="00073666">
        <w:rPr>
          <w:rFonts w:ascii="Calibri" w:hAnsi="Calibri" w:cs="Calibri"/>
          <w:color w:val="000000" w:themeColor="text1"/>
          <w:lang w:val="en-US" w:eastAsia="en-GB"/>
        </w:rPr>
        <w:t>see’</w:t>
      </w:r>
      <w:r w:rsidRPr="00073666">
        <w:rPr>
          <w:rFonts w:ascii="Calibri" w:hAnsi="Calibri" w:cs="Calibri"/>
        </w:rPr>
        <w:t xml:space="preserve">7.3.4 </w:t>
      </w:r>
      <w:r w:rsidRPr="00073666">
        <w:rPr>
          <w:rFonts w:ascii="Calibri" w:hAnsi="Calibri" w:cstheme="minorHAnsi"/>
        </w:rPr>
        <w:t xml:space="preserve">Biological </w:t>
      </w:r>
      <w:r w:rsidRPr="00073666">
        <w:rPr>
          <w:rFonts w:ascii="Calibri" w:hAnsi="Calibri" w:cstheme="minorHAnsi"/>
          <w:bCs/>
        </w:rPr>
        <w:t>Sample Handling’)</w:t>
      </w:r>
    </w:p>
    <w:p w14:paraId="7BFE8443" w14:textId="77777777" w:rsidR="00FB306A" w:rsidRPr="00073666" w:rsidRDefault="00FB306A" w:rsidP="00FB306A">
      <w:pPr>
        <w:pStyle w:val="ListParagraph"/>
        <w:spacing w:after="160" w:line="259" w:lineRule="auto"/>
        <w:rPr>
          <w:rFonts w:ascii="Calibri" w:hAnsi="Calibri" w:cs="Calibri"/>
          <w:color w:val="000000" w:themeColor="text1"/>
        </w:rPr>
      </w:pPr>
    </w:p>
    <w:p w14:paraId="4FE4FCCB" w14:textId="77777777" w:rsidR="00460924" w:rsidRPr="00073666" w:rsidRDefault="00460924" w:rsidP="00460924">
      <w:pPr>
        <w:spacing w:after="160" w:line="259" w:lineRule="auto"/>
        <w:rPr>
          <w:rFonts w:ascii="Calibri" w:hAnsi="Calibri" w:cs="Calibri"/>
          <w:color w:val="000000" w:themeColor="text1"/>
        </w:rPr>
      </w:pPr>
    </w:p>
    <w:p w14:paraId="35B81918" w14:textId="77777777" w:rsidR="00460924" w:rsidRPr="00073666" w:rsidRDefault="00460924" w:rsidP="00460924">
      <w:pPr>
        <w:spacing w:after="160" w:line="259" w:lineRule="auto"/>
        <w:rPr>
          <w:rFonts w:ascii="Calibri" w:hAnsi="Calibri" w:cs="Calibri"/>
          <w:color w:val="000000" w:themeColor="text1"/>
        </w:rPr>
      </w:pPr>
    </w:p>
    <w:p w14:paraId="1C4835D2" w14:textId="77777777" w:rsidR="00460924" w:rsidRPr="00073666" w:rsidRDefault="00460924" w:rsidP="00460924">
      <w:pPr>
        <w:spacing w:after="160" w:line="259" w:lineRule="auto"/>
        <w:rPr>
          <w:rFonts w:ascii="Calibri" w:hAnsi="Calibri" w:cs="Calibri"/>
          <w:color w:val="000000" w:themeColor="text1"/>
        </w:rPr>
      </w:pPr>
    </w:p>
    <w:p w14:paraId="16A6F5AC" w14:textId="77777777" w:rsidR="00460924" w:rsidRPr="00073666" w:rsidRDefault="00460924" w:rsidP="00460924">
      <w:pPr>
        <w:spacing w:after="160" w:line="259" w:lineRule="auto"/>
        <w:rPr>
          <w:rFonts w:ascii="Calibri" w:hAnsi="Calibri" w:cs="Calibri"/>
          <w:color w:val="000000" w:themeColor="text1"/>
        </w:rPr>
      </w:pPr>
    </w:p>
    <w:p w14:paraId="046B0030" w14:textId="77777777" w:rsidR="00460924" w:rsidRPr="00073666" w:rsidRDefault="00460924" w:rsidP="00460924">
      <w:pPr>
        <w:spacing w:after="160" w:line="259" w:lineRule="auto"/>
        <w:rPr>
          <w:rFonts w:ascii="Calibri" w:hAnsi="Calibri" w:cs="Calibri"/>
          <w:color w:val="000000" w:themeColor="text1"/>
        </w:rPr>
        <w:sectPr w:rsidR="00460924" w:rsidRPr="00073666" w:rsidSect="00C7188C">
          <w:footerReference w:type="default" r:id="rId26"/>
          <w:pgSz w:w="11900" w:h="16840"/>
          <w:pgMar w:top="1985" w:right="964" w:bottom="1134" w:left="964" w:header="708" w:footer="0" w:gutter="0"/>
          <w:cols w:space="708"/>
          <w:docGrid w:linePitch="360"/>
        </w:sectPr>
      </w:pPr>
    </w:p>
    <w:p w14:paraId="1A6001F8" w14:textId="16C3DD97" w:rsidR="0071257C" w:rsidRPr="00073666" w:rsidRDefault="00552E09" w:rsidP="00AA2AA0">
      <w:pPr>
        <w:autoSpaceDE w:val="0"/>
        <w:autoSpaceDN w:val="0"/>
        <w:adjustRightInd w:val="0"/>
        <w:rPr>
          <w:rFonts w:ascii="Calibri" w:hAnsi="Calibri" w:cs="Calibri"/>
          <w:b/>
        </w:rPr>
      </w:pPr>
      <w:r w:rsidRPr="00073666">
        <w:rPr>
          <w:rFonts w:ascii="Calibri" w:hAnsi="Calibri" w:cs="Calibri"/>
          <w:b/>
        </w:rPr>
        <w:lastRenderedPageBreak/>
        <w:t>7</w:t>
      </w:r>
      <w:r w:rsidR="00475FDA" w:rsidRPr="00073666">
        <w:rPr>
          <w:rFonts w:ascii="Calibri" w:hAnsi="Calibri" w:cs="Calibri"/>
          <w:b/>
        </w:rPr>
        <w:tab/>
      </w:r>
      <w:r w:rsidR="00AD2550" w:rsidRPr="00073666">
        <w:rPr>
          <w:rFonts w:ascii="Calibri" w:hAnsi="Calibri" w:cs="Calibri"/>
          <w:b/>
        </w:rPr>
        <w:t xml:space="preserve">PATIENT </w:t>
      </w:r>
      <w:r w:rsidR="0071257C" w:rsidRPr="00073666">
        <w:rPr>
          <w:rFonts w:ascii="Calibri" w:hAnsi="Calibri" w:cs="Calibri"/>
          <w:b/>
        </w:rPr>
        <w:t>RECRUITMENT</w:t>
      </w:r>
      <w:r w:rsidR="00AD2550" w:rsidRPr="00073666">
        <w:rPr>
          <w:rFonts w:ascii="Calibri" w:hAnsi="Calibri" w:cs="Calibri"/>
          <w:b/>
        </w:rPr>
        <w:t xml:space="preserve"> AND SAMPLING</w:t>
      </w:r>
    </w:p>
    <w:p w14:paraId="4F312B10" w14:textId="77777777" w:rsidR="00AD2550" w:rsidRPr="00073666" w:rsidRDefault="00AD2550" w:rsidP="00AA2AA0">
      <w:pPr>
        <w:autoSpaceDE w:val="0"/>
        <w:autoSpaceDN w:val="0"/>
        <w:adjustRightInd w:val="0"/>
        <w:rPr>
          <w:rFonts w:ascii="Calibri" w:hAnsi="Calibri" w:cs="Calibri"/>
          <w:b/>
        </w:rPr>
      </w:pPr>
    </w:p>
    <w:p w14:paraId="70383745" w14:textId="77777777" w:rsidR="00475FDA" w:rsidRPr="00073666" w:rsidRDefault="0071257C" w:rsidP="00AA2AA0">
      <w:pPr>
        <w:autoSpaceDE w:val="0"/>
        <w:autoSpaceDN w:val="0"/>
        <w:adjustRightInd w:val="0"/>
        <w:rPr>
          <w:rFonts w:ascii="Calibri" w:hAnsi="Calibri" w:cs="Calibri"/>
          <w:b/>
        </w:rPr>
      </w:pPr>
      <w:r w:rsidRPr="00073666">
        <w:rPr>
          <w:rFonts w:ascii="Calibri" w:hAnsi="Calibri" w:cs="Calibri"/>
          <w:b/>
        </w:rPr>
        <w:t xml:space="preserve">7.1 </w:t>
      </w:r>
      <w:r w:rsidRPr="00073666">
        <w:rPr>
          <w:rFonts w:ascii="Calibri" w:hAnsi="Calibri" w:cs="Calibri"/>
          <w:b/>
        </w:rPr>
        <w:tab/>
      </w:r>
      <w:r w:rsidR="00475FDA" w:rsidRPr="00073666">
        <w:rPr>
          <w:rFonts w:ascii="Calibri" w:hAnsi="Calibri" w:cs="Calibri"/>
          <w:b/>
        </w:rPr>
        <w:t>E</w:t>
      </w:r>
      <w:r w:rsidRPr="00073666">
        <w:rPr>
          <w:rFonts w:ascii="Calibri" w:hAnsi="Calibri" w:cs="Calibri"/>
          <w:b/>
        </w:rPr>
        <w:t>ligibility Criteria</w:t>
      </w:r>
    </w:p>
    <w:p w14:paraId="37AD4A67" w14:textId="115F81D4" w:rsidR="0093643E" w:rsidRPr="00073666" w:rsidRDefault="0093643E" w:rsidP="00AA2AA0">
      <w:pPr>
        <w:autoSpaceDE w:val="0"/>
        <w:autoSpaceDN w:val="0"/>
        <w:adjustRightInd w:val="0"/>
        <w:rPr>
          <w:rFonts w:ascii="Calibri" w:hAnsi="Calibri" w:cs="Calibri"/>
          <w:b/>
          <w:color w:val="FF0000"/>
          <w:lang w:eastAsia="en-GB"/>
        </w:rPr>
      </w:pPr>
    </w:p>
    <w:p w14:paraId="61F4AD70" w14:textId="5E2E27CC" w:rsidR="0093643E" w:rsidRPr="00073666" w:rsidRDefault="007D5EB8" w:rsidP="007D5EB8">
      <w:pPr>
        <w:autoSpaceDE w:val="0"/>
        <w:autoSpaceDN w:val="0"/>
        <w:adjustRightInd w:val="0"/>
        <w:rPr>
          <w:rFonts w:ascii="Calibri" w:hAnsi="Calibri" w:cs="Calibri"/>
          <w:b/>
          <w:color w:val="FF0000"/>
          <w:lang w:eastAsia="en-GB"/>
        </w:rPr>
      </w:pPr>
      <w:r w:rsidRPr="00073666">
        <w:rPr>
          <w:rFonts w:ascii="Calibri" w:hAnsi="Calibri" w:cs="Calibri"/>
          <w:color w:val="000000" w:themeColor="text1"/>
          <w:szCs w:val="22"/>
        </w:rPr>
        <w:t>Intu</w:t>
      </w:r>
      <w:r w:rsidR="00AD2550" w:rsidRPr="00073666">
        <w:rPr>
          <w:rFonts w:ascii="Calibri" w:hAnsi="Calibri" w:cs="Calibri"/>
          <w:color w:val="000000" w:themeColor="text1"/>
          <w:szCs w:val="22"/>
        </w:rPr>
        <w:t xml:space="preserve">bated adults on the study ICUs </w:t>
      </w:r>
      <w:r w:rsidRPr="00073666">
        <w:rPr>
          <w:rFonts w:ascii="Calibri" w:hAnsi="Calibri" w:cs="Calibri"/>
          <w:color w:val="000000" w:themeColor="text1"/>
          <w:szCs w:val="22"/>
        </w:rPr>
        <w:t>will be screened against the inclusion/exclusion criteria for potential participation.</w:t>
      </w:r>
    </w:p>
    <w:p w14:paraId="02AE86B2" w14:textId="77777777" w:rsidR="00475FDA" w:rsidRPr="00073666" w:rsidRDefault="00475FDA" w:rsidP="003802A1">
      <w:pPr>
        <w:ind w:firstLine="720"/>
        <w:rPr>
          <w:rFonts w:ascii="Calibri" w:hAnsi="Calibri" w:cs="Calibri"/>
          <w:color w:val="0000FF"/>
          <w:szCs w:val="22"/>
        </w:rPr>
      </w:pPr>
    </w:p>
    <w:p w14:paraId="7C721F72" w14:textId="6A97FE22" w:rsidR="00475FDA" w:rsidRPr="00073666" w:rsidRDefault="00552E09" w:rsidP="003802A1">
      <w:pPr>
        <w:rPr>
          <w:rFonts w:ascii="Calibri" w:hAnsi="Calibri" w:cs="Calibri"/>
          <w:b/>
          <w:bCs/>
          <w:szCs w:val="22"/>
        </w:rPr>
      </w:pPr>
      <w:r w:rsidRPr="00073666">
        <w:rPr>
          <w:rFonts w:ascii="Calibri" w:hAnsi="Calibri" w:cs="Calibri"/>
          <w:b/>
          <w:bCs/>
          <w:szCs w:val="22"/>
        </w:rPr>
        <w:t>7</w:t>
      </w:r>
      <w:r w:rsidR="00093582" w:rsidRPr="00073666">
        <w:rPr>
          <w:rFonts w:ascii="Calibri" w:hAnsi="Calibri" w:cs="Calibri"/>
          <w:b/>
          <w:bCs/>
          <w:szCs w:val="22"/>
        </w:rPr>
        <w:t>.1</w:t>
      </w:r>
      <w:r w:rsidR="0071257C" w:rsidRPr="00073666">
        <w:rPr>
          <w:rFonts w:ascii="Calibri" w:hAnsi="Calibri" w:cs="Calibri"/>
          <w:b/>
          <w:bCs/>
          <w:szCs w:val="22"/>
        </w:rPr>
        <w:t>.1</w:t>
      </w:r>
      <w:r w:rsidR="00093582" w:rsidRPr="00073666">
        <w:rPr>
          <w:rFonts w:ascii="Calibri" w:hAnsi="Calibri" w:cs="Calibri"/>
          <w:b/>
          <w:bCs/>
          <w:szCs w:val="22"/>
        </w:rPr>
        <w:tab/>
      </w:r>
      <w:r w:rsidR="00987A19" w:rsidRPr="00073666">
        <w:rPr>
          <w:rFonts w:ascii="Calibri" w:hAnsi="Calibri" w:cs="Calibri"/>
          <w:b/>
          <w:bCs/>
          <w:szCs w:val="22"/>
        </w:rPr>
        <w:t>Inclusion c</w:t>
      </w:r>
      <w:r w:rsidR="00475FDA" w:rsidRPr="00073666">
        <w:rPr>
          <w:rFonts w:ascii="Calibri" w:hAnsi="Calibri" w:cs="Calibri"/>
          <w:b/>
          <w:bCs/>
          <w:szCs w:val="22"/>
        </w:rPr>
        <w:t>riteria</w:t>
      </w:r>
      <w:r w:rsidR="001E070F" w:rsidRPr="00073666">
        <w:rPr>
          <w:rFonts w:ascii="Calibri" w:hAnsi="Calibri" w:cs="Calibri"/>
          <w:b/>
          <w:bCs/>
          <w:szCs w:val="22"/>
        </w:rPr>
        <w:t xml:space="preserve"> </w:t>
      </w:r>
    </w:p>
    <w:p w14:paraId="0877D267" w14:textId="77777777" w:rsidR="00814E86" w:rsidRPr="00073666" w:rsidRDefault="00814E86" w:rsidP="00814E86">
      <w:pPr>
        <w:pStyle w:val="ListParagraph"/>
        <w:numPr>
          <w:ilvl w:val="0"/>
          <w:numId w:val="24"/>
        </w:numPr>
        <w:spacing w:after="160" w:line="259" w:lineRule="auto"/>
        <w:rPr>
          <w:rFonts w:ascii="Calibri" w:hAnsi="Calibri" w:cs="Calibri"/>
          <w:color w:val="000000" w:themeColor="text1"/>
        </w:rPr>
      </w:pPr>
      <w:r w:rsidRPr="00073666">
        <w:rPr>
          <w:rFonts w:ascii="Calibri" w:hAnsi="Calibri" w:cs="Calibri"/>
          <w:color w:val="000000" w:themeColor="text1"/>
        </w:rPr>
        <w:t xml:space="preserve">Adults </w:t>
      </w:r>
      <w:r w:rsidRPr="00073666">
        <w:rPr>
          <w:rFonts w:ascii="Calibri" w:hAnsi="Calibri" w:cs="Calibri"/>
          <w:color w:val="000000" w:themeColor="text1"/>
          <w:u w:val="single"/>
        </w:rPr>
        <w:t>&gt;</w:t>
      </w:r>
      <w:r w:rsidRPr="00073666">
        <w:rPr>
          <w:rFonts w:ascii="Calibri" w:hAnsi="Calibri" w:cs="Calibri"/>
          <w:color w:val="000000" w:themeColor="text1"/>
        </w:rPr>
        <w:t xml:space="preserve"> 18 years</w:t>
      </w:r>
    </w:p>
    <w:p w14:paraId="7A65B29F" w14:textId="0684593B" w:rsidR="00814E86" w:rsidRPr="00073666" w:rsidRDefault="00814E86" w:rsidP="00814E86">
      <w:pPr>
        <w:pStyle w:val="ListParagraph"/>
        <w:numPr>
          <w:ilvl w:val="0"/>
          <w:numId w:val="24"/>
        </w:numPr>
        <w:spacing w:after="160" w:line="259" w:lineRule="auto"/>
        <w:rPr>
          <w:rFonts w:ascii="Calibri" w:hAnsi="Calibri" w:cs="Calibri"/>
          <w:color w:val="000000" w:themeColor="text1"/>
        </w:rPr>
      </w:pPr>
      <w:r w:rsidRPr="00073666">
        <w:rPr>
          <w:rFonts w:ascii="Calibri" w:hAnsi="Calibri" w:cs="Calibri"/>
          <w:color w:val="000000" w:themeColor="text1"/>
        </w:rPr>
        <w:t xml:space="preserve">Admitted to intensive care for respiratory support requiring intubation and ventilation for </w:t>
      </w:r>
      <w:r w:rsidRPr="00073666">
        <w:rPr>
          <w:rFonts w:ascii="Calibri" w:hAnsi="Calibri" w:cs="Calibri"/>
          <w:color w:val="000000" w:themeColor="text1"/>
          <w:u w:val="single"/>
        </w:rPr>
        <w:t>&gt;</w:t>
      </w:r>
      <w:r w:rsidRPr="00073666">
        <w:rPr>
          <w:rFonts w:ascii="Calibri" w:hAnsi="Calibri" w:cs="Calibri"/>
          <w:color w:val="000000" w:themeColor="text1"/>
        </w:rPr>
        <w:t>24h</w:t>
      </w:r>
    </w:p>
    <w:p w14:paraId="1E5FD439" w14:textId="4B84C385" w:rsidR="00D014EE" w:rsidRPr="00073666" w:rsidRDefault="00D014EE" w:rsidP="00D014EE">
      <w:pPr>
        <w:pStyle w:val="ListParagraph"/>
        <w:spacing w:after="160" w:line="259" w:lineRule="auto"/>
        <w:rPr>
          <w:rFonts w:ascii="Calibri" w:hAnsi="Calibri" w:cs="Calibri"/>
          <w:b/>
          <w:color w:val="000000" w:themeColor="text1"/>
        </w:rPr>
      </w:pPr>
      <w:r w:rsidRPr="00073666">
        <w:rPr>
          <w:rFonts w:ascii="Calibri" w:hAnsi="Calibri" w:cs="Calibri"/>
          <w:b/>
          <w:color w:val="000000" w:themeColor="text1"/>
        </w:rPr>
        <w:t>AND</w:t>
      </w:r>
    </w:p>
    <w:p w14:paraId="1583A715" w14:textId="5D6E57BC" w:rsidR="00D014EE" w:rsidRPr="00073666" w:rsidRDefault="00814E86" w:rsidP="00D014EE">
      <w:pPr>
        <w:pStyle w:val="ListParagraph"/>
        <w:numPr>
          <w:ilvl w:val="0"/>
          <w:numId w:val="24"/>
        </w:numPr>
        <w:spacing w:after="160" w:line="259" w:lineRule="auto"/>
        <w:rPr>
          <w:rFonts w:ascii="Calibri" w:hAnsi="Calibri" w:cs="Calibri"/>
          <w:color w:val="000000" w:themeColor="text1"/>
        </w:rPr>
      </w:pPr>
      <w:r w:rsidRPr="00073666">
        <w:rPr>
          <w:rFonts w:ascii="Calibri" w:hAnsi="Calibri" w:cs="Calibri"/>
          <w:color w:val="000000" w:themeColor="text1"/>
        </w:rPr>
        <w:t xml:space="preserve">Positive influenza PCR (nasal, throat swab or other respiratory specimen) within </w:t>
      </w:r>
      <w:r w:rsidR="00FF0C3E" w:rsidRPr="00073666">
        <w:rPr>
          <w:rFonts w:ascii="Calibri" w:hAnsi="Calibri" w:cs="Calibri"/>
          <w:color w:val="000000" w:themeColor="text1"/>
        </w:rPr>
        <w:t>72</w:t>
      </w:r>
      <w:r w:rsidRPr="00073666">
        <w:rPr>
          <w:rFonts w:ascii="Calibri" w:hAnsi="Calibri" w:cs="Calibri"/>
          <w:color w:val="000000" w:themeColor="text1"/>
        </w:rPr>
        <w:t xml:space="preserve"> hours of admission to ICU</w:t>
      </w:r>
    </w:p>
    <w:p w14:paraId="04B3675C" w14:textId="77777777" w:rsidR="00D014EE" w:rsidRPr="00073666" w:rsidRDefault="00D014EE" w:rsidP="00D014EE">
      <w:pPr>
        <w:pStyle w:val="ListParagraph"/>
        <w:spacing w:after="160" w:line="259" w:lineRule="auto"/>
        <w:rPr>
          <w:rFonts w:ascii="Calibri" w:hAnsi="Calibri" w:cs="Calibri"/>
          <w:b/>
          <w:color w:val="000000" w:themeColor="text1"/>
        </w:rPr>
      </w:pPr>
      <w:r w:rsidRPr="00073666">
        <w:rPr>
          <w:rFonts w:ascii="Calibri" w:hAnsi="Calibri" w:cs="Calibri"/>
          <w:b/>
          <w:color w:val="000000" w:themeColor="text1"/>
        </w:rPr>
        <w:t>OR</w:t>
      </w:r>
    </w:p>
    <w:p w14:paraId="3E720208" w14:textId="7318CCC1" w:rsidR="0093643E" w:rsidRPr="00073666" w:rsidRDefault="00D014EE" w:rsidP="00D014EE">
      <w:pPr>
        <w:pStyle w:val="ListParagraph"/>
        <w:numPr>
          <w:ilvl w:val="0"/>
          <w:numId w:val="24"/>
        </w:numPr>
        <w:spacing w:after="160" w:line="259" w:lineRule="auto"/>
        <w:rPr>
          <w:rFonts w:ascii="Calibri" w:hAnsi="Calibri" w:cs="Calibri"/>
          <w:color w:val="000000" w:themeColor="text1"/>
        </w:rPr>
      </w:pPr>
      <w:r w:rsidRPr="00073666">
        <w:rPr>
          <w:rFonts w:ascii="Calibri" w:hAnsi="Calibri" w:cs="Calibri"/>
          <w:color w:val="000000" w:themeColor="text1"/>
        </w:rPr>
        <w:t xml:space="preserve">Influenza suspected but influenza PCR results awaited – under these circumstances the patient can be provisionally enrolled, but later excluded if no specimens taken within </w:t>
      </w:r>
      <w:r w:rsidR="00FF0C3E" w:rsidRPr="00073666">
        <w:rPr>
          <w:rFonts w:ascii="Calibri" w:hAnsi="Calibri" w:cs="Calibri"/>
          <w:color w:val="000000" w:themeColor="text1"/>
        </w:rPr>
        <w:t xml:space="preserve">72 </w:t>
      </w:r>
      <w:r w:rsidRPr="00073666">
        <w:rPr>
          <w:rFonts w:ascii="Calibri" w:hAnsi="Calibri" w:cs="Calibri"/>
          <w:color w:val="000000" w:themeColor="text1"/>
        </w:rPr>
        <w:t>hours pre/post admission to ICU is positive as above.</w:t>
      </w:r>
    </w:p>
    <w:p w14:paraId="02E1B4A5" w14:textId="5BBC12BD" w:rsidR="004966C8" w:rsidRPr="00073666" w:rsidRDefault="00AD4062" w:rsidP="004966C8">
      <w:pPr>
        <w:spacing w:after="160" w:line="259" w:lineRule="auto"/>
        <w:rPr>
          <w:rFonts w:ascii="Calibri" w:hAnsi="Calibri" w:cs="Calibri"/>
          <w:color w:val="000000" w:themeColor="text1"/>
        </w:rPr>
      </w:pPr>
      <w:r w:rsidRPr="00AD4062">
        <w:rPr>
          <w:rFonts w:ascii="Calibri" w:hAnsi="Calibri" w:cs="Calibri"/>
          <w:color w:val="000000" w:themeColor="text1"/>
          <w:highlight w:val="yellow"/>
        </w:rPr>
        <w:t>Two</w:t>
      </w:r>
      <w:r w:rsidR="00AD2550" w:rsidRPr="00AD4062">
        <w:rPr>
          <w:rFonts w:ascii="Calibri" w:hAnsi="Calibri" w:cs="Calibri"/>
          <w:color w:val="000000" w:themeColor="text1"/>
          <w:highlight w:val="yellow"/>
        </w:rPr>
        <w:t xml:space="preserve"> of the study sites </w:t>
      </w:r>
      <w:r w:rsidRPr="00AD4062">
        <w:rPr>
          <w:rFonts w:ascii="Calibri" w:hAnsi="Calibri" w:cs="Calibri"/>
          <w:color w:val="000000" w:themeColor="text1"/>
          <w:highlight w:val="yellow"/>
        </w:rPr>
        <w:t>are</w:t>
      </w:r>
      <w:r w:rsidR="00AD2550" w:rsidRPr="00AD4062">
        <w:rPr>
          <w:rFonts w:ascii="Calibri" w:hAnsi="Calibri" w:cs="Calibri"/>
          <w:color w:val="000000" w:themeColor="text1"/>
          <w:highlight w:val="yellow"/>
        </w:rPr>
        <w:t xml:space="preserve"> ECMO </w:t>
      </w:r>
      <w:r w:rsidR="00D014EE" w:rsidRPr="00AD4062">
        <w:rPr>
          <w:rFonts w:ascii="Calibri" w:hAnsi="Calibri" w:cs="Calibri"/>
          <w:color w:val="000000" w:themeColor="text1"/>
          <w:highlight w:val="yellow"/>
        </w:rPr>
        <w:t>referral centre</w:t>
      </w:r>
      <w:r w:rsidRPr="00AD4062">
        <w:rPr>
          <w:rFonts w:ascii="Calibri" w:hAnsi="Calibri" w:cs="Calibri"/>
          <w:color w:val="000000" w:themeColor="text1"/>
          <w:highlight w:val="yellow"/>
        </w:rPr>
        <w:t>s</w:t>
      </w:r>
      <w:r w:rsidR="00D014EE" w:rsidRPr="00AD4062">
        <w:rPr>
          <w:rFonts w:ascii="Calibri" w:hAnsi="Calibri" w:cs="Calibri"/>
          <w:color w:val="000000" w:themeColor="text1"/>
          <w:highlight w:val="yellow"/>
        </w:rPr>
        <w:t>.</w:t>
      </w:r>
      <w:r w:rsidR="00D014EE" w:rsidRPr="00073666">
        <w:rPr>
          <w:rFonts w:ascii="Calibri" w:hAnsi="Calibri" w:cs="Calibri"/>
          <w:color w:val="000000" w:themeColor="text1"/>
        </w:rPr>
        <w:t xml:space="preserve"> This means that during winter patients with severe influenza are transferred to </w:t>
      </w:r>
      <w:r w:rsidR="00D014EE" w:rsidRPr="00AD4062">
        <w:rPr>
          <w:rFonts w:ascii="Calibri" w:hAnsi="Calibri" w:cs="Calibri"/>
          <w:color w:val="000000" w:themeColor="text1"/>
          <w:highlight w:val="yellow"/>
        </w:rPr>
        <w:t>the</w:t>
      </w:r>
      <w:r w:rsidRPr="00AD4062">
        <w:rPr>
          <w:rFonts w:ascii="Calibri" w:hAnsi="Calibri" w:cs="Calibri"/>
          <w:color w:val="000000" w:themeColor="text1"/>
          <w:highlight w:val="yellow"/>
        </w:rPr>
        <w:t>se</w:t>
      </w:r>
      <w:r w:rsidR="00D014EE" w:rsidRPr="00AD4062">
        <w:rPr>
          <w:rFonts w:ascii="Calibri" w:hAnsi="Calibri" w:cs="Calibri"/>
          <w:color w:val="000000" w:themeColor="text1"/>
          <w:highlight w:val="yellow"/>
        </w:rPr>
        <w:t xml:space="preserve"> study site ICU from other hospitals.</w:t>
      </w:r>
      <w:r w:rsidR="00D014EE" w:rsidRPr="00073666">
        <w:rPr>
          <w:rFonts w:ascii="Calibri" w:hAnsi="Calibri" w:cs="Calibri"/>
          <w:color w:val="000000" w:themeColor="text1"/>
        </w:rPr>
        <w:t xml:space="preserve"> </w:t>
      </w:r>
      <w:r w:rsidR="004966C8" w:rsidRPr="00073666">
        <w:rPr>
          <w:rFonts w:ascii="Calibri" w:hAnsi="Calibri" w:cs="Calibri"/>
          <w:color w:val="000000" w:themeColor="text1"/>
        </w:rPr>
        <w:t>A BAL is usually performed shortly after admission, often before influenza PCR results from the referring hospital are available. It is therefore preferable to provisionally enrol these patients so that BAL can be stored appropriately. If no respiratory specimen taken within 48 hours pre/post admission is positive, then the patient can be subsequently excluded.</w:t>
      </w:r>
    </w:p>
    <w:p w14:paraId="36C4C3C0" w14:textId="77777777" w:rsidR="00475FDA" w:rsidRPr="00073666" w:rsidRDefault="00552E09" w:rsidP="00093582">
      <w:pPr>
        <w:rPr>
          <w:rFonts w:ascii="Calibri" w:hAnsi="Calibri" w:cs="Calibri"/>
          <w:b/>
          <w:bCs/>
        </w:rPr>
      </w:pPr>
      <w:r w:rsidRPr="00073666">
        <w:rPr>
          <w:rFonts w:ascii="Calibri" w:hAnsi="Calibri" w:cs="Calibri"/>
          <w:b/>
          <w:bCs/>
        </w:rPr>
        <w:t>7</w:t>
      </w:r>
      <w:r w:rsidR="00093582" w:rsidRPr="00073666">
        <w:rPr>
          <w:rFonts w:ascii="Calibri" w:hAnsi="Calibri" w:cs="Calibri"/>
          <w:b/>
          <w:bCs/>
        </w:rPr>
        <w:t>.</w:t>
      </w:r>
      <w:r w:rsidR="0093643E" w:rsidRPr="00073666">
        <w:rPr>
          <w:rFonts w:ascii="Calibri" w:hAnsi="Calibri" w:cs="Calibri"/>
          <w:b/>
          <w:bCs/>
        </w:rPr>
        <w:t>1.</w:t>
      </w:r>
      <w:r w:rsidR="00093582" w:rsidRPr="00073666">
        <w:rPr>
          <w:rFonts w:ascii="Calibri" w:hAnsi="Calibri" w:cs="Calibri"/>
          <w:b/>
          <w:bCs/>
        </w:rPr>
        <w:t>2</w:t>
      </w:r>
      <w:r w:rsidR="00093582" w:rsidRPr="00073666">
        <w:rPr>
          <w:rFonts w:ascii="Calibri" w:hAnsi="Calibri" w:cs="Calibri"/>
          <w:b/>
          <w:bCs/>
        </w:rPr>
        <w:tab/>
      </w:r>
      <w:r w:rsidR="00A86F4D" w:rsidRPr="00073666">
        <w:rPr>
          <w:rFonts w:ascii="Calibri" w:hAnsi="Calibri" w:cs="Calibri"/>
          <w:b/>
          <w:bCs/>
        </w:rPr>
        <w:t>Exclusion c</w:t>
      </w:r>
      <w:r w:rsidR="00475FDA" w:rsidRPr="00073666">
        <w:rPr>
          <w:rFonts w:ascii="Calibri" w:hAnsi="Calibri" w:cs="Calibri"/>
          <w:b/>
          <w:bCs/>
        </w:rPr>
        <w:t>riteria</w:t>
      </w:r>
      <w:r w:rsidR="001E070F" w:rsidRPr="00073666">
        <w:rPr>
          <w:rFonts w:ascii="Calibri" w:hAnsi="Calibri" w:cs="Calibri"/>
          <w:b/>
          <w:bCs/>
        </w:rPr>
        <w:t xml:space="preserve"> </w:t>
      </w:r>
    </w:p>
    <w:p w14:paraId="2273B241" w14:textId="77777777" w:rsidR="00814E86" w:rsidRPr="00073666" w:rsidRDefault="00814E86" w:rsidP="00814E86">
      <w:pPr>
        <w:pStyle w:val="ListParagraph"/>
        <w:numPr>
          <w:ilvl w:val="0"/>
          <w:numId w:val="25"/>
        </w:numPr>
        <w:spacing w:after="160" w:line="259" w:lineRule="auto"/>
        <w:rPr>
          <w:rFonts w:ascii="Calibri" w:hAnsi="Calibri" w:cs="Calibri"/>
          <w:color w:val="000000" w:themeColor="text1"/>
          <w:sz w:val="24"/>
          <w:szCs w:val="24"/>
        </w:rPr>
      </w:pPr>
      <w:r w:rsidRPr="00073666">
        <w:rPr>
          <w:rFonts w:ascii="Calibri" w:hAnsi="Calibri" w:cs="Calibri"/>
          <w:color w:val="000000" w:themeColor="text1"/>
          <w:sz w:val="24"/>
          <w:szCs w:val="24"/>
        </w:rPr>
        <w:t>Respiratory failure not the primary reason for ICU admission</w:t>
      </w:r>
    </w:p>
    <w:p w14:paraId="7DD3580F" w14:textId="7AE9BF6C" w:rsidR="00861961" w:rsidRPr="00073666" w:rsidRDefault="00814E86" w:rsidP="00861961">
      <w:pPr>
        <w:pStyle w:val="ListParagraph"/>
        <w:numPr>
          <w:ilvl w:val="0"/>
          <w:numId w:val="25"/>
        </w:numPr>
        <w:spacing w:after="160" w:line="259" w:lineRule="auto"/>
        <w:rPr>
          <w:rFonts w:ascii="Calibri" w:hAnsi="Calibri" w:cs="Calibri"/>
          <w:color w:val="000000" w:themeColor="text1"/>
          <w:sz w:val="24"/>
          <w:szCs w:val="24"/>
        </w:rPr>
      </w:pPr>
      <w:r w:rsidRPr="00073666">
        <w:rPr>
          <w:rFonts w:ascii="Calibri" w:hAnsi="Calibri" w:cs="Calibri"/>
          <w:color w:val="000000" w:themeColor="text1"/>
          <w:sz w:val="24"/>
          <w:szCs w:val="24"/>
        </w:rPr>
        <w:t>History of proven/ probable invasive pulmonary aspergillosis</w:t>
      </w:r>
    </w:p>
    <w:p w14:paraId="4F85F303" w14:textId="77777777" w:rsidR="00861961" w:rsidRPr="00073666" w:rsidRDefault="00861961" w:rsidP="00861961">
      <w:pPr>
        <w:rPr>
          <w:rFonts w:ascii="Calibri" w:hAnsi="Calibri" w:cstheme="minorHAnsi"/>
          <w:b/>
        </w:rPr>
      </w:pPr>
    </w:p>
    <w:p w14:paraId="74618ED6" w14:textId="7A1779B0" w:rsidR="00861961" w:rsidRPr="00073666" w:rsidRDefault="00861961" w:rsidP="00683CEC">
      <w:pPr>
        <w:rPr>
          <w:rFonts w:ascii="Calibri" w:hAnsi="Calibri" w:cstheme="minorHAnsi"/>
          <w:b/>
        </w:rPr>
      </w:pPr>
      <w:r w:rsidRPr="00073666">
        <w:rPr>
          <w:rFonts w:ascii="Calibri" w:hAnsi="Calibri" w:cstheme="minorHAnsi"/>
          <w:b/>
        </w:rPr>
        <w:t xml:space="preserve">7.2 </w:t>
      </w:r>
      <w:r w:rsidRPr="00073666">
        <w:rPr>
          <w:rFonts w:ascii="Calibri" w:hAnsi="Calibri" w:cstheme="minorHAnsi"/>
          <w:b/>
        </w:rPr>
        <w:tab/>
        <w:t>Sampling</w:t>
      </w:r>
    </w:p>
    <w:p w14:paraId="499989DC" w14:textId="77777777" w:rsidR="00683CEC" w:rsidRPr="00073666" w:rsidRDefault="00683CEC" w:rsidP="00683CEC">
      <w:pPr>
        <w:rPr>
          <w:rFonts w:ascii="Calibri" w:hAnsi="Calibri"/>
          <w:color w:val="000000" w:themeColor="text1"/>
          <w:szCs w:val="22"/>
        </w:rPr>
      </w:pPr>
    </w:p>
    <w:p w14:paraId="0E3277FD" w14:textId="3EF8B96D" w:rsidR="00683CEC" w:rsidRPr="00073666" w:rsidRDefault="00683CEC" w:rsidP="00683CEC">
      <w:pPr>
        <w:rPr>
          <w:rFonts w:ascii="Calibri" w:hAnsi="Calibri"/>
          <w:color w:val="000000" w:themeColor="text1"/>
          <w:szCs w:val="22"/>
        </w:rPr>
      </w:pPr>
      <w:r w:rsidRPr="00073666">
        <w:rPr>
          <w:rFonts w:ascii="Calibri" w:hAnsi="Calibri"/>
          <w:color w:val="000000" w:themeColor="text1"/>
          <w:szCs w:val="22"/>
        </w:rPr>
        <w:t>All potentially eligible patients who consent to be enrolled will be included in the study.</w:t>
      </w:r>
    </w:p>
    <w:p w14:paraId="64012CA8" w14:textId="4CA4AA88" w:rsidR="00A41AED" w:rsidRPr="00073666" w:rsidRDefault="00683CEC" w:rsidP="00683CEC">
      <w:pPr>
        <w:rPr>
          <w:rFonts w:ascii="Calibri" w:hAnsi="Calibri"/>
          <w:color w:val="000000" w:themeColor="text1"/>
          <w:szCs w:val="22"/>
        </w:rPr>
      </w:pPr>
      <w:r w:rsidRPr="00073666">
        <w:rPr>
          <w:rFonts w:ascii="Calibri" w:hAnsi="Calibri"/>
          <w:color w:val="000000" w:themeColor="text1"/>
          <w:szCs w:val="22"/>
        </w:rPr>
        <w:t>Extracting data from laboratory databases of ICU influenza diagnoses and following discussion with the PIs for each site of this study we estimate the following number of patients with severe influenza will be enrolled at each site: St George’s (n=10-15), Kings College Hospital (n=15-20)</w:t>
      </w:r>
      <w:r w:rsidR="00FC36FE">
        <w:rPr>
          <w:rFonts w:ascii="Calibri" w:hAnsi="Calibri"/>
          <w:color w:val="000000" w:themeColor="text1"/>
          <w:szCs w:val="22"/>
        </w:rPr>
        <w:t xml:space="preserve">, </w:t>
      </w:r>
      <w:r w:rsidRPr="00073666">
        <w:rPr>
          <w:rFonts w:ascii="Calibri" w:hAnsi="Calibri"/>
          <w:color w:val="000000" w:themeColor="text1"/>
          <w:szCs w:val="22"/>
        </w:rPr>
        <w:t>Guys and St Thomas’ Hospitals (n=45-50),</w:t>
      </w:r>
      <w:r w:rsidR="00FC36FE">
        <w:rPr>
          <w:rFonts w:ascii="Calibri" w:hAnsi="Calibri"/>
          <w:color w:val="000000" w:themeColor="text1"/>
          <w:szCs w:val="22"/>
        </w:rPr>
        <w:t xml:space="preserve"> </w:t>
      </w:r>
      <w:r w:rsidR="00FC36FE" w:rsidRPr="00FC36FE">
        <w:rPr>
          <w:rFonts w:ascii="Calibri" w:hAnsi="Calibri"/>
          <w:color w:val="000000" w:themeColor="text1"/>
          <w:szCs w:val="22"/>
          <w:highlight w:val="yellow"/>
        </w:rPr>
        <w:t>Manchester (n =</w:t>
      </w:r>
      <w:r w:rsidR="00A615BF">
        <w:rPr>
          <w:rFonts w:ascii="Calibri" w:hAnsi="Calibri"/>
          <w:color w:val="000000" w:themeColor="text1"/>
          <w:szCs w:val="22"/>
          <w:highlight w:val="yellow"/>
        </w:rPr>
        <w:t>5-10</w:t>
      </w:r>
      <w:r w:rsidR="00FC36FE" w:rsidRPr="00FC36FE">
        <w:rPr>
          <w:rFonts w:ascii="Calibri" w:hAnsi="Calibri"/>
          <w:color w:val="000000" w:themeColor="text1"/>
          <w:szCs w:val="22"/>
          <w:highlight w:val="yellow"/>
        </w:rPr>
        <w:t>)</w:t>
      </w:r>
      <w:r w:rsidRPr="00FC36FE">
        <w:rPr>
          <w:rFonts w:ascii="Calibri" w:hAnsi="Calibri"/>
          <w:color w:val="000000" w:themeColor="text1"/>
          <w:szCs w:val="22"/>
          <w:highlight w:val="yellow"/>
        </w:rPr>
        <w:t xml:space="preserve"> total (n=7</w:t>
      </w:r>
      <w:r w:rsidR="00A615BF">
        <w:rPr>
          <w:rFonts w:ascii="Calibri" w:hAnsi="Calibri"/>
          <w:color w:val="000000" w:themeColor="text1"/>
          <w:szCs w:val="22"/>
          <w:highlight w:val="yellow"/>
        </w:rPr>
        <w:t>5</w:t>
      </w:r>
      <w:r w:rsidRPr="00FC36FE">
        <w:rPr>
          <w:rFonts w:ascii="Calibri" w:hAnsi="Calibri"/>
          <w:color w:val="000000" w:themeColor="text1"/>
          <w:szCs w:val="22"/>
          <w:highlight w:val="yellow"/>
        </w:rPr>
        <w:t>-</w:t>
      </w:r>
      <w:r w:rsidR="00A615BF">
        <w:rPr>
          <w:rFonts w:ascii="Calibri" w:hAnsi="Calibri"/>
          <w:color w:val="000000" w:themeColor="text1"/>
          <w:szCs w:val="22"/>
          <w:highlight w:val="yellow"/>
        </w:rPr>
        <w:t>9</w:t>
      </w:r>
      <w:r w:rsidRPr="00FC36FE">
        <w:rPr>
          <w:rFonts w:ascii="Calibri" w:hAnsi="Calibri"/>
          <w:color w:val="000000" w:themeColor="text1"/>
          <w:szCs w:val="22"/>
          <w:highlight w:val="yellow"/>
        </w:rPr>
        <w:t>5).</w:t>
      </w:r>
    </w:p>
    <w:p w14:paraId="1EB3A423" w14:textId="77777777" w:rsidR="003768F0" w:rsidRPr="00073666" w:rsidRDefault="003768F0" w:rsidP="003802A1">
      <w:pPr>
        <w:pStyle w:val="BodyText"/>
        <w:tabs>
          <w:tab w:val="left" w:pos="709"/>
        </w:tabs>
        <w:spacing w:after="120"/>
        <w:rPr>
          <w:rFonts w:ascii="Calibri" w:hAnsi="Calibri" w:cs="Calibri"/>
          <w:b/>
          <w:i w:val="0"/>
          <w:szCs w:val="24"/>
        </w:rPr>
      </w:pPr>
    </w:p>
    <w:p w14:paraId="1A891E8E" w14:textId="15AEC2B7" w:rsidR="00077C32" w:rsidRPr="00073666" w:rsidRDefault="003768F0" w:rsidP="0034735E">
      <w:pPr>
        <w:pStyle w:val="BodyText"/>
        <w:tabs>
          <w:tab w:val="left" w:pos="709"/>
        </w:tabs>
        <w:spacing w:after="120"/>
        <w:rPr>
          <w:rFonts w:ascii="Calibri" w:hAnsi="Calibri" w:cs="Calibri"/>
          <w:b/>
          <w:i w:val="0"/>
          <w:szCs w:val="24"/>
        </w:rPr>
      </w:pPr>
      <w:r w:rsidRPr="00073666">
        <w:rPr>
          <w:rFonts w:ascii="Calibri" w:hAnsi="Calibri" w:cs="Calibri"/>
          <w:b/>
          <w:i w:val="0"/>
          <w:szCs w:val="24"/>
        </w:rPr>
        <w:t>7.3</w:t>
      </w:r>
      <w:r w:rsidR="00AF1D40" w:rsidRPr="00073666">
        <w:rPr>
          <w:rFonts w:ascii="Calibri" w:hAnsi="Calibri" w:cs="Calibri"/>
          <w:b/>
          <w:i w:val="0"/>
          <w:szCs w:val="24"/>
        </w:rPr>
        <w:tab/>
      </w:r>
      <w:r w:rsidRPr="00073666">
        <w:rPr>
          <w:rFonts w:ascii="Calibri" w:hAnsi="Calibri" w:cs="Calibri"/>
          <w:b/>
          <w:i w:val="0"/>
          <w:szCs w:val="24"/>
        </w:rPr>
        <w:t xml:space="preserve"> </w:t>
      </w:r>
      <w:r w:rsidR="00475FDA" w:rsidRPr="00073666">
        <w:rPr>
          <w:rFonts w:ascii="Calibri" w:hAnsi="Calibri" w:cs="Calibri"/>
          <w:b/>
          <w:i w:val="0"/>
          <w:szCs w:val="24"/>
        </w:rPr>
        <w:t>Recruitment</w:t>
      </w:r>
    </w:p>
    <w:p w14:paraId="1965E3E9" w14:textId="77777777" w:rsidR="00475FDA" w:rsidRPr="00073666" w:rsidRDefault="003768F0" w:rsidP="003802A1">
      <w:pPr>
        <w:pStyle w:val="BodyText"/>
        <w:spacing w:after="120"/>
        <w:rPr>
          <w:rFonts w:ascii="Calibri" w:hAnsi="Calibri" w:cs="Calibri"/>
          <w:b/>
          <w:bCs/>
          <w:i w:val="0"/>
          <w:iCs/>
          <w:szCs w:val="24"/>
        </w:rPr>
      </w:pPr>
      <w:r w:rsidRPr="00073666">
        <w:rPr>
          <w:rFonts w:ascii="Calibri" w:hAnsi="Calibri" w:cs="Calibri"/>
          <w:b/>
          <w:bCs/>
          <w:i w:val="0"/>
          <w:iCs/>
          <w:szCs w:val="24"/>
        </w:rPr>
        <w:t>7.3</w:t>
      </w:r>
      <w:r w:rsidR="00093582" w:rsidRPr="00073666">
        <w:rPr>
          <w:rFonts w:ascii="Calibri" w:hAnsi="Calibri" w:cs="Calibri"/>
          <w:b/>
          <w:bCs/>
          <w:i w:val="0"/>
          <w:iCs/>
          <w:szCs w:val="24"/>
        </w:rPr>
        <w:t xml:space="preserve">.1 </w:t>
      </w:r>
      <w:r w:rsidR="00524324" w:rsidRPr="00073666">
        <w:rPr>
          <w:rFonts w:ascii="Calibri" w:hAnsi="Calibri" w:cs="Calibri"/>
          <w:b/>
          <w:bCs/>
          <w:i w:val="0"/>
          <w:iCs/>
          <w:szCs w:val="24"/>
        </w:rPr>
        <w:t>Participant</w:t>
      </w:r>
      <w:r w:rsidR="00475FDA" w:rsidRPr="00073666">
        <w:rPr>
          <w:rFonts w:ascii="Calibri" w:hAnsi="Calibri" w:cs="Calibri"/>
          <w:b/>
          <w:bCs/>
          <w:i w:val="0"/>
          <w:iCs/>
          <w:szCs w:val="24"/>
        </w:rPr>
        <w:t xml:space="preserve"> identification</w:t>
      </w:r>
      <w:r w:rsidR="00524324" w:rsidRPr="00073666">
        <w:rPr>
          <w:rFonts w:ascii="Calibri" w:hAnsi="Calibri" w:cs="Calibri"/>
          <w:b/>
          <w:bCs/>
          <w:i w:val="0"/>
          <w:iCs/>
          <w:szCs w:val="24"/>
        </w:rPr>
        <w:t xml:space="preserve"> </w:t>
      </w:r>
    </w:p>
    <w:p w14:paraId="0E5839CB" w14:textId="43C98343" w:rsidR="00814E86" w:rsidRPr="00073666" w:rsidRDefault="00814E86" w:rsidP="00814E86">
      <w:pPr>
        <w:rPr>
          <w:rFonts w:ascii="Calibri" w:hAnsi="Calibri" w:cs="Calibri"/>
          <w:color w:val="000000" w:themeColor="text1"/>
        </w:rPr>
      </w:pPr>
      <w:r w:rsidRPr="00073666">
        <w:rPr>
          <w:rFonts w:ascii="Calibri" w:hAnsi="Calibri" w:cs="Calibri"/>
          <w:color w:val="000000" w:themeColor="text1"/>
        </w:rPr>
        <w:t>Intubated adults admitted to intensive care for respiratory support will be screened for eligibility by the clinical team, site PIs and/</w:t>
      </w:r>
      <w:r w:rsidR="001F6876" w:rsidRPr="00073666">
        <w:rPr>
          <w:rFonts w:ascii="Calibri" w:hAnsi="Calibri" w:cs="Calibri"/>
          <w:color w:val="000000" w:themeColor="text1"/>
        </w:rPr>
        <w:t>or site research nurses (providing NIHR</w:t>
      </w:r>
      <w:r w:rsidRPr="00073666">
        <w:rPr>
          <w:rFonts w:ascii="Calibri" w:hAnsi="Calibri" w:cs="Calibri"/>
          <w:color w:val="000000" w:themeColor="text1"/>
        </w:rPr>
        <w:t xml:space="preserve"> portfolio adopted). </w:t>
      </w:r>
      <w:r w:rsidR="00182EAE" w:rsidRPr="00073666">
        <w:rPr>
          <w:rFonts w:ascii="Calibri" w:hAnsi="Calibri" w:cs="Calibri"/>
          <w:color w:val="000000" w:themeColor="text1"/>
        </w:rPr>
        <w:t xml:space="preserve">Potential participants </w:t>
      </w:r>
      <w:r w:rsidRPr="00073666">
        <w:rPr>
          <w:rFonts w:ascii="Calibri" w:hAnsi="Calibri" w:cs="Calibri"/>
          <w:color w:val="000000" w:themeColor="text1"/>
        </w:rPr>
        <w:t xml:space="preserve">will </w:t>
      </w:r>
      <w:proofErr w:type="gramStart"/>
      <w:r w:rsidRPr="00073666">
        <w:rPr>
          <w:rFonts w:ascii="Calibri" w:hAnsi="Calibri" w:cs="Calibri"/>
          <w:color w:val="000000" w:themeColor="text1"/>
        </w:rPr>
        <w:t>identified through</w:t>
      </w:r>
      <w:proofErr w:type="gramEnd"/>
      <w:r w:rsidRPr="00073666">
        <w:rPr>
          <w:rFonts w:ascii="Calibri" w:hAnsi="Calibri" w:cs="Calibri"/>
          <w:color w:val="000000" w:themeColor="text1"/>
        </w:rPr>
        <w:t xml:space="preserve"> two methods:</w:t>
      </w:r>
    </w:p>
    <w:p w14:paraId="69ADD27F" w14:textId="77777777" w:rsidR="00814E86" w:rsidRPr="00073666" w:rsidRDefault="00814E86" w:rsidP="00814E86">
      <w:pPr>
        <w:pStyle w:val="ListParagraph"/>
        <w:numPr>
          <w:ilvl w:val="0"/>
          <w:numId w:val="36"/>
        </w:numPr>
        <w:spacing w:after="0" w:line="240" w:lineRule="auto"/>
        <w:rPr>
          <w:rFonts w:ascii="Calibri" w:hAnsi="Calibri" w:cs="Calibri"/>
          <w:color w:val="000000" w:themeColor="text1"/>
          <w:sz w:val="24"/>
          <w:szCs w:val="24"/>
        </w:rPr>
      </w:pPr>
      <w:r w:rsidRPr="00073666">
        <w:rPr>
          <w:rFonts w:ascii="Calibri" w:hAnsi="Calibri" w:cs="Calibri"/>
          <w:color w:val="000000" w:themeColor="text1"/>
          <w:sz w:val="24"/>
          <w:szCs w:val="24"/>
        </w:rPr>
        <w:t>Hospital Virology laboratory viral respiratory PCR result worksheets</w:t>
      </w:r>
    </w:p>
    <w:p w14:paraId="18CD12B6" w14:textId="77777777" w:rsidR="0034735E" w:rsidRPr="00073666" w:rsidRDefault="00814E86" w:rsidP="0034735E">
      <w:pPr>
        <w:pStyle w:val="ListParagraph"/>
        <w:numPr>
          <w:ilvl w:val="0"/>
          <w:numId w:val="36"/>
        </w:numPr>
        <w:spacing w:after="0" w:line="240" w:lineRule="auto"/>
        <w:rPr>
          <w:rFonts w:ascii="Calibri" w:hAnsi="Calibri" w:cs="Calibri"/>
          <w:color w:val="000000" w:themeColor="text1"/>
          <w:sz w:val="24"/>
          <w:szCs w:val="24"/>
        </w:rPr>
      </w:pPr>
      <w:r w:rsidRPr="00073666">
        <w:rPr>
          <w:rFonts w:ascii="Calibri" w:hAnsi="Calibri" w:cs="Calibri"/>
          <w:color w:val="000000" w:themeColor="text1"/>
          <w:sz w:val="24"/>
          <w:szCs w:val="24"/>
        </w:rPr>
        <w:t>Liaison with the clinical teams on each ICU.</w:t>
      </w:r>
    </w:p>
    <w:p w14:paraId="5E2ED975" w14:textId="77777777" w:rsidR="0034735E" w:rsidRPr="00073666" w:rsidRDefault="0034735E" w:rsidP="0034735E">
      <w:pPr>
        <w:rPr>
          <w:rFonts w:ascii="Calibri" w:hAnsi="Calibri" w:cs="Calibri"/>
          <w:color w:val="000000" w:themeColor="text1"/>
        </w:rPr>
      </w:pPr>
    </w:p>
    <w:p w14:paraId="23380485" w14:textId="5EFB54CA" w:rsidR="00182EAE" w:rsidRPr="00073666" w:rsidRDefault="00814E86" w:rsidP="0034735E">
      <w:pPr>
        <w:rPr>
          <w:rFonts w:ascii="Calibri" w:hAnsi="Calibri" w:cs="Calibri"/>
          <w:color w:val="000000" w:themeColor="text1"/>
        </w:rPr>
      </w:pPr>
      <w:r w:rsidRPr="00073666">
        <w:rPr>
          <w:rFonts w:ascii="Calibri" w:hAnsi="Calibri" w:cs="Calibri"/>
          <w:color w:val="000000" w:themeColor="text1"/>
        </w:rPr>
        <w:t xml:space="preserve">Each </w:t>
      </w:r>
      <w:r w:rsidR="00182EAE" w:rsidRPr="00073666">
        <w:rPr>
          <w:rFonts w:ascii="Calibri" w:hAnsi="Calibri" w:cs="Calibri"/>
          <w:color w:val="000000" w:themeColor="text1"/>
        </w:rPr>
        <w:t xml:space="preserve">potential </w:t>
      </w:r>
      <w:r w:rsidRPr="00073666">
        <w:rPr>
          <w:rFonts w:ascii="Calibri" w:hAnsi="Calibri" w:cs="Calibri"/>
          <w:color w:val="000000" w:themeColor="text1"/>
        </w:rPr>
        <w:t>participant must satisfy all the approved inclusion and exclusion criteria of the protocol to be</w:t>
      </w:r>
      <w:r w:rsidR="001F6876" w:rsidRPr="00073666">
        <w:rPr>
          <w:rFonts w:ascii="Calibri" w:hAnsi="Calibri" w:cs="Calibri"/>
          <w:color w:val="000000" w:themeColor="text1"/>
        </w:rPr>
        <w:t xml:space="preserve"> eligible for</w:t>
      </w:r>
      <w:r w:rsidR="00182EAE" w:rsidRPr="00073666">
        <w:rPr>
          <w:rFonts w:ascii="Calibri" w:hAnsi="Calibri" w:cs="Calibri"/>
          <w:color w:val="000000" w:themeColor="text1"/>
        </w:rPr>
        <w:t xml:space="preserve"> enrol</w:t>
      </w:r>
      <w:r w:rsidR="001F6876" w:rsidRPr="00073666">
        <w:rPr>
          <w:rFonts w:ascii="Calibri" w:hAnsi="Calibri" w:cs="Calibri"/>
          <w:color w:val="000000" w:themeColor="text1"/>
        </w:rPr>
        <w:t>ment</w:t>
      </w:r>
      <w:r w:rsidR="00182EAE" w:rsidRPr="00073666">
        <w:rPr>
          <w:rFonts w:ascii="Calibri" w:hAnsi="Calibri" w:cs="Calibri"/>
          <w:color w:val="000000" w:themeColor="text1"/>
        </w:rPr>
        <w:t>.</w:t>
      </w:r>
      <w:r w:rsidR="00182EAE" w:rsidRPr="00073666">
        <w:rPr>
          <w:rFonts w:ascii="Calibri" w:hAnsi="Calibri" w:cs="Calibri"/>
          <w:color w:val="000000" w:themeColor="text1"/>
          <w:szCs w:val="22"/>
        </w:rPr>
        <w:t xml:space="preserve"> Once a potential participant has been deemed eligible they will be approached by the clinical team, site PIs and/or site research </w:t>
      </w:r>
      <w:r w:rsidR="001F6876" w:rsidRPr="00073666">
        <w:rPr>
          <w:rFonts w:ascii="Calibri" w:hAnsi="Calibri" w:cs="Calibri"/>
          <w:color w:val="000000" w:themeColor="text1"/>
          <w:szCs w:val="22"/>
        </w:rPr>
        <w:t xml:space="preserve">nurses </w:t>
      </w:r>
      <w:r w:rsidR="00182EAE" w:rsidRPr="00073666">
        <w:rPr>
          <w:rFonts w:ascii="Calibri" w:hAnsi="Calibri" w:cs="Calibri"/>
          <w:color w:val="000000" w:themeColor="text1"/>
          <w:szCs w:val="22"/>
        </w:rPr>
        <w:t>to initiate the consent process.</w:t>
      </w:r>
    </w:p>
    <w:p w14:paraId="49DD0B54" w14:textId="77777777" w:rsidR="00AE0D8A" w:rsidRPr="00073666" w:rsidRDefault="00AE0D8A" w:rsidP="00AE0D8A">
      <w:pPr>
        <w:pStyle w:val="RightPar1"/>
        <w:tabs>
          <w:tab w:val="clear" w:pos="-720"/>
          <w:tab w:val="clear" w:pos="0"/>
          <w:tab w:val="clear" w:pos="720"/>
        </w:tabs>
        <w:suppressAutoHyphens w:val="0"/>
        <w:spacing w:after="120"/>
        <w:ind w:left="535"/>
        <w:rPr>
          <w:rFonts w:ascii="Calibri" w:hAnsi="Calibri" w:cs="Calibri"/>
          <w:color w:val="0000FF"/>
          <w:sz w:val="22"/>
          <w:szCs w:val="22"/>
        </w:rPr>
      </w:pPr>
    </w:p>
    <w:p w14:paraId="38671C1E" w14:textId="4565A04C" w:rsidR="00182EAE" w:rsidRPr="00073666" w:rsidRDefault="00580154" w:rsidP="003802A1">
      <w:pPr>
        <w:pStyle w:val="BodyText"/>
        <w:spacing w:after="120"/>
        <w:rPr>
          <w:rFonts w:ascii="Calibri" w:hAnsi="Calibri" w:cs="Calibri"/>
          <w:b/>
          <w:i w:val="0"/>
          <w:szCs w:val="24"/>
        </w:rPr>
      </w:pPr>
      <w:r w:rsidRPr="00073666">
        <w:rPr>
          <w:rFonts w:ascii="Calibri" w:hAnsi="Calibri" w:cs="Calibri"/>
          <w:b/>
          <w:i w:val="0"/>
          <w:szCs w:val="24"/>
        </w:rPr>
        <w:t>7.3</w:t>
      </w:r>
      <w:r w:rsidR="00093582" w:rsidRPr="00073666">
        <w:rPr>
          <w:rFonts w:ascii="Calibri" w:hAnsi="Calibri" w:cs="Calibri"/>
          <w:b/>
          <w:i w:val="0"/>
          <w:szCs w:val="24"/>
        </w:rPr>
        <w:t xml:space="preserve">.2 </w:t>
      </w:r>
      <w:r w:rsidR="00475FDA" w:rsidRPr="00073666">
        <w:rPr>
          <w:rFonts w:ascii="Calibri" w:hAnsi="Calibri" w:cs="Calibri"/>
          <w:b/>
          <w:i w:val="0"/>
          <w:szCs w:val="24"/>
        </w:rPr>
        <w:t>C</w:t>
      </w:r>
      <w:r w:rsidR="00950F3F" w:rsidRPr="00073666">
        <w:rPr>
          <w:rFonts w:ascii="Calibri" w:hAnsi="Calibri" w:cs="Calibri"/>
          <w:b/>
          <w:i w:val="0"/>
          <w:szCs w:val="24"/>
        </w:rPr>
        <w:t>onsent</w:t>
      </w:r>
    </w:p>
    <w:p w14:paraId="4F2463F9" w14:textId="2C2DD5AE" w:rsidR="00182EAE" w:rsidRPr="00073666" w:rsidRDefault="00182EAE" w:rsidP="003802A1">
      <w:pPr>
        <w:pStyle w:val="BodyText"/>
        <w:spacing w:after="120"/>
        <w:rPr>
          <w:rFonts w:ascii="Calibri" w:hAnsi="Calibri" w:cs="Calibri"/>
          <w:i w:val="0"/>
          <w:szCs w:val="24"/>
        </w:rPr>
      </w:pPr>
      <w:r w:rsidRPr="00073666">
        <w:rPr>
          <w:rFonts w:ascii="Calibri" w:hAnsi="Calibri" w:cs="Calibri"/>
          <w:i w:val="0"/>
          <w:szCs w:val="24"/>
        </w:rPr>
        <w:t>The consent proc</w:t>
      </w:r>
      <w:r w:rsidR="001F6876" w:rsidRPr="00073666">
        <w:rPr>
          <w:rFonts w:ascii="Calibri" w:hAnsi="Calibri" w:cs="Calibri"/>
          <w:i w:val="0"/>
          <w:szCs w:val="24"/>
        </w:rPr>
        <w:t>ess will be undertaken</w:t>
      </w:r>
      <w:r w:rsidRPr="00073666">
        <w:rPr>
          <w:rFonts w:ascii="Calibri" w:hAnsi="Calibri" w:cs="Calibri"/>
          <w:i w:val="0"/>
          <w:szCs w:val="24"/>
        </w:rPr>
        <w:t xml:space="preserve"> </w:t>
      </w:r>
      <w:r w:rsidRPr="00073666">
        <w:rPr>
          <w:rFonts w:ascii="Calibri" w:hAnsi="Calibri" w:cs="Calibri"/>
          <w:i w:val="0"/>
          <w:color w:val="000000" w:themeColor="text1"/>
          <w:szCs w:val="24"/>
        </w:rPr>
        <w:t>by the clinical team, site PIs and/</w:t>
      </w:r>
      <w:r w:rsidR="001F6876" w:rsidRPr="00073666">
        <w:rPr>
          <w:rFonts w:ascii="Calibri" w:hAnsi="Calibri" w:cs="Calibri"/>
          <w:i w:val="0"/>
          <w:color w:val="000000" w:themeColor="text1"/>
          <w:szCs w:val="24"/>
        </w:rPr>
        <w:t>or site research nurses (providing NIHR</w:t>
      </w:r>
      <w:r w:rsidRPr="00073666">
        <w:rPr>
          <w:rFonts w:ascii="Calibri" w:hAnsi="Calibri" w:cs="Calibri"/>
          <w:i w:val="0"/>
          <w:color w:val="000000" w:themeColor="text1"/>
          <w:szCs w:val="24"/>
        </w:rPr>
        <w:t xml:space="preserve"> portfolio adopted). T</w:t>
      </w:r>
      <w:r w:rsidR="001F6876" w:rsidRPr="00073666">
        <w:rPr>
          <w:rFonts w:ascii="Calibri" w:hAnsi="Calibri" w:cs="Calibri"/>
          <w:i w:val="0"/>
          <w:color w:val="000000" w:themeColor="text1"/>
          <w:szCs w:val="24"/>
        </w:rPr>
        <w:t>he clinical research fellow can</w:t>
      </w:r>
      <w:r w:rsidRPr="00073666">
        <w:rPr>
          <w:rFonts w:ascii="Calibri" w:hAnsi="Calibri" w:cs="Calibri"/>
          <w:i w:val="0"/>
          <w:color w:val="000000" w:themeColor="text1"/>
          <w:szCs w:val="24"/>
        </w:rPr>
        <w:t xml:space="preserve"> </w:t>
      </w:r>
      <w:r w:rsidR="001F6876" w:rsidRPr="00073666">
        <w:rPr>
          <w:rFonts w:ascii="Calibri" w:hAnsi="Calibri" w:cs="Calibri"/>
          <w:i w:val="0"/>
          <w:color w:val="000000" w:themeColor="text1"/>
          <w:szCs w:val="24"/>
        </w:rPr>
        <w:t>also undertake consent in circumstances</w:t>
      </w:r>
      <w:r w:rsidR="00323822" w:rsidRPr="00073666">
        <w:rPr>
          <w:rFonts w:ascii="Calibri" w:hAnsi="Calibri" w:cs="Calibri"/>
          <w:i w:val="0"/>
          <w:color w:val="000000" w:themeColor="text1"/>
          <w:szCs w:val="24"/>
        </w:rPr>
        <w:t xml:space="preserve"> </w:t>
      </w:r>
      <w:r w:rsidR="001F6876" w:rsidRPr="00073666">
        <w:rPr>
          <w:rFonts w:ascii="Calibri" w:hAnsi="Calibri" w:cs="Calibri"/>
          <w:i w:val="0"/>
          <w:color w:val="000000" w:themeColor="text1"/>
          <w:szCs w:val="24"/>
        </w:rPr>
        <w:t xml:space="preserve">where </w:t>
      </w:r>
      <w:r w:rsidR="00323822" w:rsidRPr="00073666">
        <w:rPr>
          <w:rFonts w:ascii="Calibri" w:hAnsi="Calibri" w:cs="Calibri"/>
          <w:i w:val="0"/>
          <w:color w:val="000000" w:themeColor="text1"/>
          <w:szCs w:val="24"/>
        </w:rPr>
        <w:t>the potential participant has already been identified and approached</w:t>
      </w:r>
      <w:r w:rsidR="001F6876" w:rsidRPr="00073666">
        <w:rPr>
          <w:rFonts w:ascii="Calibri" w:hAnsi="Calibri" w:cs="Calibri"/>
          <w:i w:val="0"/>
          <w:color w:val="000000" w:themeColor="text1"/>
          <w:szCs w:val="24"/>
        </w:rPr>
        <w:t xml:space="preserve"> by the local clinical/ research teams</w:t>
      </w:r>
      <w:r w:rsidR="00323822" w:rsidRPr="00073666">
        <w:rPr>
          <w:rFonts w:ascii="Calibri" w:hAnsi="Calibri" w:cs="Calibri"/>
          <w:i w:val="0"/>
          <w:color w:val="000000" w:themeColor="text1"/>
          <w:szCs w:val="24"/>
        </w:rPr>
        <w:t>.</w:t>
      </w:r>
    </w:p>
    <w:p w14:paraId="2F849687" w14:textId="756B4CA0" w:rsidR="00814E86" w:rsidRPr="00073666" w:rsidRDefault="00814E86" w:rsidP="00814E86">
      <w:pPr>
        <w:autoSpaceDE w:val="0"/>
        <w:autoSpaceDN w:val="0"/>
        <w:adjustRightInd w:val="0"/>
        <w:rPr>
          <w:rFonts w:ascii="Calibri" w:hAnsi="Calibri" w:cs="Calibri"/>
          <w:color w:val="000000" w:themeColor="text1"/>
          <w:lang w:val="en-US" w:eastAsia="en-GB"/>
        </w:rPr>
      </w:pPr>
      <w:r w:rsidRPr="00073666">
        <w:rPr>
          <w:rFonts w:ascii="Calibri" w:hAnsi="Calibri" w:cs="Calibri"/>
          <w:color w:val="000000" w:themeColor="text1"/>
          <w:lang w:val="en-US" w:eastAsia="en-GB"/>
        </w:rPr>
        <w:t>In many cases it will not be possible to obtain prospective</w:t>
      </w:r>
      <w:r w:rsidR="001F6876" w:rsidRPr="00073666">
        <w:rPr>
          <w:rFonts w:ascii="Calibri" w:hAnsi="Calibri" w:cs="Calibri"/>
          <w:color w:val="000000" w:themeColor="text1"/>
          <w:lang w:val="en-US" w:eastAsia="en-GB"/>
        </w:rPr>
        <w:t xml:space="preserve"> informed</w:t>
      </w:r>
      <w:r w:rsidRPr="00073666">
        <w:rPr>
          <w:rFonts w:ascii="Calibri" w:hAnsi="Calibri" w:cs="Calibri"/>
          <w:color w:val="000000" w:themeColor="text1"/>
          <w:lang w:val="en-US" w:eastAsia="en-GB"/>
        </w:rPr>
        <w:t xml:space="preserve"> consent from the patient at the time of enrolment. This is due to the fact that many patients will have a reduced level of consciousness due to their illness or due to sedative medications used as part of their treatment.</w:t>
      </w:r>
    </w:p>
    <w:p w14:paraId="3998868F" w14:textId="77777777" w:rsidR="00D60E98" w:rsidRPr="00073666" w:rsidRDefault="00D60E98" w:rsidP="00814E86">
      <w:pPr>
        <w:autoSpaceDE w:val="0"/>
        <w:autoSpaceDN w:val="0"/>
        <w:adjustRightInd w:val="0"/>
        <w:rPr>
          <w:rFonts w:ascii="Calibri" w:hAnsi="Calibri" w:cs="Calibri"/>
          <w:color w:val="000000" w:themeColor="text1"/>
          <w:lang w:val="en-US" w:eastAsia="en-GB"/>
        </w:rPr>
      </w:pPr>
    </w:p>
    <w:p w14:paraId="0C8F8D6A" w14:textId="77777777" w:rsidR="00814E86" w:rsidRPr="00073666" w:rsidRDefault="00814E86" w:rsidP="00814E86">
      <w:pPr>
        <w:autoSpaceDE w:val="0"/>
        <w:autoSpaceDN w:val="0"/>
        <w:adjustRightInd w:val="0"/>
        <w:rPr>
          <w:rFonts w:ascii="Calibri" w:hAnsi="Calibri" w:cs="Calibri"/>
          <w:b/>
          <w:bCs/>
          <w:color w:val="000000" w:themeColor="text1"/>
          <w:szCs w:val="22"/>
          <w:lang w:val="en-US" w:eastAsia="en-GB"/>
        </w:rPr>
      </w:pPr>
      <w:r w:rsidRPr="00073666">
        <w:rPr>
          <w:rFonts w:ascii="Calibri" w:hAnsi="Calibri" w:cs="Calibri"/>
          <w:b/>
          <w:bCs/>
          <w:color w:val="000000" w:themeColor="text1"/>
          <w:szCs w:val="22"/>
          <w:lang w:val="en-US" w:eastAsia="en-GB"/>
        </w:rPr>
        <w:t>Patient Consent</w:t>
      </w:r>
    </w:p>
    <w:p w14:paraId="7A30E336" w14:textId="284FD5E0" w:rsidR="00814E86" w:rsidRPr="00073666" w:rsidRDefault="00814E86" w:rsidP="00814E86">
      <w:pPr>
        <w:rPr>
          <w:rFonts w:ascii="Calibri" w:hAnsi="Calibri" w:cs="Calibri"/>
          <w:color w:val="000000" w:themeColor="text1"/>
          <w:szCs w:val="22"/>
          <w:lang w:val="en-US" w:eastAsia="en-GB"/>
        </w:rPr>
      </w:pPr>
      <w:r w:rsidRPr="00073666">
        <w:rPr>
          <w:rFonts w:ascii="Calibri" w:hAnsi="Calibri" w:cs="Calibri"/>
          <w:color w:val="000000" w:themeColor="text1"/>
          <w:szCs w:val="22"/>
          <w:lang w:val="en-US" w:eastAsia="en-GB"/>
        </w:rPr>
        <w:t xml:space="preserve">If possible, informed consent will be obtained </w:t>
      </w:r>
      <w:r w:rsidR="001F6876" w:rsidRPr="00073666">
        <w:rPr>
          <w:rFonts w:ascii="Calibri" w:hAnsi="Calibri" w:cs="Calibri"/>
          <w:color w:val="000000" w:themeColor="text1"/>
          <w:szCs w:val="22"/>
          <w:lang w:val="en-US" w:eastAsia="en-GB"/>
        </w:rPr>
        <w:t xml:space="preserve">directly </w:t>
      </w:r>
      <w:r w:rsidRPr="00073666">
        <w:rPr>
          <w:rFonts w:ascii="Calibri" w:hAnsi="Calibri" w:cs="Calibri"/>
          <w:color w:val="000000" w:themeColor="text1"/>
          <w:szCs w:val="22"/>
          <w:lang w:val="en-US" w:eastAsia="en-GB"/>
        </w:rPr>
        <w:t>from the patient. The patient will be informed about the study by the responsible clinician or a member of the research (co-investigator) team and given a copy of the Participant Inf</w:t>
      </w:r>
      <w:r w:rsidR="001F6876" w:rsidRPr="00073666">
        <w:rPr>
          <w:rFonts w:ascii="Calibri" w:hAnsi="Calibri" w:cs="Calibri"/>
          <w:color w:val="000000" w:themeColor="text1"/>
          <w:szCs w:val="22"/>
          <w:lang w:val="en-US" w:eastAsia="en-GB"/>
        </w:rPr>
        <w:t>ormation Sheet (PIS). P</w:t>
      </w:r>
      <w:r w:rsidRPr="00073666">
        <w:rPr>
          <w:rFonts w:ascii="Calibri" w:hAnsi="Calibri" w:cs="Calibri"/>
          <w:color w:val="000000" w:themeColor="text1"/>
          <w:szCs w:val="22"/>
          <w:lang w:val="en-US" w:eastAsia="en-GB"/>
        </w:rPr>
        <w:t>atients will be given an adequate amount of time to consider their participation in the study. If the patient decides to participate in the study they will be asked to sign the Patient Consent Form, together with the responsible clinician/researcher. The patient will retain one copy of the signed Consent Form. Another copy will be placed in the patient’s medical records whilst the original will be retained in the study Site File. Patients are expected to have been transferred and/or discharged up until the 90-day data collection point and will be assumed (if not withdrawn before this point) to have given consent up to this data collection point. Fluctuating capacity is anticipated for this patient group. Any patients who are initially able to consent will be asked to identify a person who knows them well in order to support with monitoring of their ongoing consent, alongside standard care.</w:t>
      </w:r>
    </w:p>
    <w:p w14:paraId="4089884D" w14:textId="77777777" w:rsidR="00814E86" w:rsidRPr="00073666" w:rsidRDefault="00814E86" w:rsidP="00814E86">
      <w:pPr>
        <w:rPr>
          <w:rFonts w:ascii="Calibri" w:hAnsi="Calibri" w:cs="Calibri"/>
          <w:color w:val="000000" w:themeColor="text1"/>
          <w:szCs w:val="22"/>
          <w:lang w:val="en-US" w:eastAsia="en-GB"/>
        </w:rPr>
      </w:pPr>
    </w:p>
    <w:p w14:paraId="773ECB36" w14:textId="77777777" w:rsidR="00814E86" w:rsidRPr="00073666" w:rsidRDefault="00814E86" w:rsidP="00814E86">
      <w:pPr>
        <w:autoSpaceDE w:val="0"/>
        <w:autoSpaceDN w:val="0"/>
        <w:adjustRightInd w:val="0"/>
        <w:rPr>
          <w:rFonts w:ascii="Calibri" w:hAnsi="Calibri" w:cs="Calibri"/>
          <w:color w:val="000000" w:themeColor="text1"/>
          <w:szCs w:val="22"/>
          <w:lang w:val="en-US" w:eastAsia="en-GB"/>
        </w:rPr>
      </w:pPr>
      <w:r w:rsidRPr="00073666">
        <w:rPr>
          <w:rFonts w:ascii="Calibri" w:hAnsi="Calibri" w:cs="Calibri"/>
          <w:b/>
          <w:bCs/>
          <w:color w:val="000000" w:themeColor="text1"/>
          <w:szCs w:val="22"/>
          <w:lang w:val="en-US" w:eastAsia="en-GB"/>
        </w:rPr>
        <w:t xml:space="preserve">Personal Consultee Declaration </w:t>
      </w:r>
    </w:p>
    <w:p w14:paraId="3F06BD45" w14:textId="19AA84AF" w:rsidR="00814E86" w:rsidRPr="00073666" w:rsidRDefault="00814E86" w:rsidP="00814E86">
      <w:pPr>
        <w:rPr>
          <w:rFonts w:ascii="Calibri" w:hAnsi="Calibri" w:cs="Calibri"/>
          <w:color w:val="000000" w:themeColor="text1"/>
          <w:szCs w:val="22"/>
          <w:lang w:val="en-US" w:eastAsia="en-GB"/>
        </w:rPr>
      </w:pPr>
      <w:r w:rsidRPr="00073666">
        <w:rPr>
          <w:rFonts w:ascii="Calibri" w:hAnsi="Calibri" w:cs="Calibri"/>
          <w:color w:val="000000" w:themeColor="text1"/>
          <w:szCs w:val="22"/>
          <w:lang w:val="en-US" w:eastAsia="en-GB"/>
        </w:rPr>
        <w:t xml:space="preserve">If the patient is unable to give consent </w:t>
      </w:r>
      <w:r w:rsidR="008F4EFB" w:rsidRPr="00073666">
        <w:rPr>
          <w:rFonts w:ascii="Calibri" w:hAnsi="Calibri" w:cs="Calibri"/>
          <w:color w:val="000000" w:themeColor="text1"/>
          <w:szCs w:val="22"/>
          <w:lang w:val="en-US" w:eastAsia="en-GB"/>
        </w:rPr>
        <w:t>then</w:t>
      </w:r>
      <w:r w:rsidRPr="00073666">
        <w:rPr>
          <w:rFonts w:ascii="Calibri" w:hAnsi="Calibri" w:cs="Calibri"/>
          <w:color w:val="000000" w:themeColor="text1"/>
          <w:szCs w:val="22"/>
          <w:lang w:val="en-US" w:eastAsia="en-GB"/>
        </w:rPr>
        <w:t xml:space="preserve"> advice will be sought from the patient’s Personal Consultee, who may be a relative, partner or close friend. This is in line with the legal requirements for obtaining consent in patients without capacity in England and Wales (Mental Capacity Act 2005). The Personal Consultee will be informed about the study by the responsible clinician or a member of the research team and provided with a copy of the Consultee Information Sheet and asked to give an opinion as to whether the patient would object to taking part in medical research. The Consultee will be given adequate time to consider the patient’s participation in the study. If the Consultee decides that the patient would have no objection to participating in the study they will be asked to sign the Consultee Declaration Form together with the consenting clinician / researcher. The Consultee will retain a copy of the signed Declaration/Assent Form. A second copy will be placed in the patients’ medical records whilst the original will be retained in the Study Site File. Patients are expected to have been transferred and/or discharged up until the 90-day data collection point, consent will be assumed under the signed Declaration/Assent Forms (unless withdrawn before this point) to continue to data collection points.</w:t>
      </w:r>
    </w:p>
    <w:p w14:paraId="0097D437" w14:textId="77777777" w:rsidR="00814E86" w:rsidRPr="00073666" w:rsidRDefault="00814E86" w:rsidP="00814E86">
      <w:pPr>
        <w:rPr>
          <w:rFonts w:ascii="Calibri" w:hAnsi="Calibri" w:cs="Calibri"/>
          <w:color w:val="000000" w:themeColor="text1"/>
          <w:szCs w:val="22"/>
          <w:lang w:val="en-US" w:eastAsia="en-GB"/>
        </w:rPr>
      </w:pPr>
    </w:p>
    <w:p w14:paraId="6C5B45AD" w14:textId="77777777" w:rsidR="001F6876" w:rsidRPr="00073666" w:rsidRDefault="001F6876" w:rsidP="00DC7DDC">
      <w:pPr>
        <w:autoSpaceDE w:val="0"/>
        <w:autoSpaceDN w:val="0"/>
        <w:adjustRightInd w:val="0"/>
        <w:rPr>
          <w:rFonts w:ascii="Calibri" w:hAnsi="Calibri" w:cs="Calibri"/>
          <w:b/>
          <w:bCs/>
          <w:color w:val="000000" w:themeColor="text1"/>
          <w:szCs w:val="22"/>
          <w:lang w:val="en-US" w:eastAsia="en-GB"/>
        </w:rPr>
      </w:pPr>
    </w:p>
    <w:p w14:paraId="076BCFF4" w14:textId="464BBFAE" w:rsidR="00DC7DDC" w:rsidRPr="00073666" w:rsidRDefault="00814E86" w:rsidP="00DC7DDC">
      <w:pPr>
        <w:autoSpaceDE w:val="0"/>
        <w:autoSpaceDN w:val="0"/>
        <w:adjustRightInd w:val="0"/>
        <w:rPr>
          <w:rFonts w:ascii="Calibri" w:hAnsi="Calibri" w:cs="Calibri"/>
          <w:color w:val="000000" w:themeColor="text1"/>
          <w:szCs w:val="22"/>
          <w:lang w:val="en-US" w:eastAsia="en-GB"/>
        </w:rPr>
      </w:pPr>
      <w:r w:rsidRPr="00073666">
        <w:rPr>
          <w:rFonts w:ascii="Calibri" w:hAnsi="Calibri" w:cs="Calibri"/>
          <w:b/>
          <w:bCs/>
          <w:color w:val="000000" w:themeColor="text1"/>
          <w:szCs w:val="22"/>
          <w:lang w:val="en-US" w:eastAsia="en-GB"/>
        </w:rPr>
        <w:lastRenderedPageBreak/>
        <w:t>Nominated Consultee Declaration</w:t>
      </w:r>
    </w:p>
    <w:p w14:paraId="74AD0693" w14:textId="2054877B" w:rsidR="00DF07C0" w:rsidRPr="00073666" w:rsidRDefault="00DF07C0" w:rsidP="00DF07C0">
      <w:pPr>
        <w:spacing w:after="160"/>
        <w:rPr>
          <w:rFonts w:ascii="Arial" w:hAnsi="Arial" w:cs="Arial"/>
          <w:color w:val="222222"/>
          <w:szCs w:val="22"/>
        </w:rPr>
      </w:pPr>
      <w:r w:rsidRPr="00073666">
        <w:rPr>
          <w:rFonts w:ascii="Calibri" w:hAnsi="Calibri" w:cs="Calibri"/>
          <w:color w:val="000000"/>
          <w:szCs w:val="22"/>
          <w:lang w:val="en-US"/>
        </w:rPr>
        <w:t>If the patient is unable to give informed consent and attempts to meet and discuss with a Personal Consultee have failed then a nominated Consultee, who is not connected with the conduct of the Study may act as a nominated/Professional Consultee.</w:t>
      </w:r>
    </w:p>
    <w:p w14:paraId="4336CC23" w14:textId="263AA424" w:rsidR="004869F2" w:rsidRPr="00073666" w:rsidRDefault="00DF07C0" w:rsidP="004869F2">
      <w:pPr>
        <w:spacing w:after="160"/>
        <w:rPr>
          <w:rFonts w:ascii="Calibri" w:hAnsi="Calibri" w:cs="Calibri"/>
          <w:color w:val="FF0000"/>
          <w:szCs w:val="22"/>
          <w:lang w:val="en-US"/>
        </w:rPr>
      </w:pPr>
      <w:r w:rsidRPr="00073666">
        <w:rPr>
          <w:rFonts w:ascii="Calibri" w:hAnsi="Calibri" w:cs="Calibri"/>
          <w:color w:val="000000"/>
          <w:szCs w:val="22"/>
          <w:lang w:val="en-US"/>
        </w:rPr>
        <w:t xml:space="preserve">It is expected that the majority of patients eligible for this study will have a BAL performed within the first 24-48 hours after admission to the study ICU. It would be preferable that patients are enrolled prior to this BAL so that a </w:t>
      </w:r>
      <w:r w:rsidR="004869F2" w:rsidRPr="00073666">
        <w:rPr>
          <w:rFonts w:ascii="Calibri" w:hAnsi="Calibri" w:cs="Calibri"/>
          <w:color w:val="000000" w:themeColor="text1"/>
          <w:szCs w:val="22"/>
        </w:rPr>
        <w:t xml:space="preserve">research sample of surplus BAL </w:t>
      </w:r>
      <w:r w:rsidRPr="00073666">
        <w:rPr>
          <w:rFonts w:ascii="Calibri" w:hAnsi="Calibri" w:cs="Calibri"/>
          <w:color w:val="000000"/>
          <w:szCs w:val="22"/>
          <w:lang w:val="en-US"/>
        </w:rPr>
        <w:t xml:space="preserve">can be obtained and stored. Therefore, if attempts to meet and discuss with a Personal Consultee fail by the time of this BAL then a nominated Consultee will be approached. Further attempts to meet with a Personal Consultee will continue for 1-2 working days because it would be preferable for Personal Consultee involvement prior to the baseline blood sampling (which is to occur </w:t>
      </w:r>
      <w:r w:rsidRPr="00073666">
        <w:rPr>
          <w:rFonts w:ascii="Calibri" w:hAnsi="Calibri" w:cs="Calibri"/>
          <w:color w:val="000000"/>
          <w:szCs w:val="22"/>
          <w:u w:val="single"/>
          <w:lang w:val="en-US"/>
        </w:rPr>
        <w:t>&lt;</w:t>
      </w:r>
      <w:r w:rsidRPr="00073666">
        <w:rPr>
          <w:rFonts w:ascii="Calibri" w:hAnsi="Calibri" w:cs="Calibri"/>
          <w:color w:val="000000"/>
          <w:szCs w:val="22"/>
          <w:lang w:val="en-US"/>
        </w:rPr>
        <w:t>72 hours after study ICU admission).</w:t>
      </w:r>
    </w:p>
    <w:p w14:paraId="2FF16946" w14:textId="2A0CAC32" w:rsidR="00814E86" w:rsidRPr="00073666" w:rsidRDefault="00814E86" w:rsidP="004869F2">
      <w:pPr>
        <w:spacing w:after="160"/>
        <w:rPr>
          <w:rFonts w:ascii="Calibri" w:hAnsi="Calibri" w:cs="Calibri"/>
          <w:color w:val="000000"/>
          <w:szCs w:val="22"/>
          <w:lang w:val="en-US"/>
        </w:rPr>
      </w:pPr>
      <w:r w:rsidRPr="00073666">
        <w:rPr>
          <w:rFonts w:ascii="Calibri" w:hAnsi="Calibri" w:cs="Calibri"/>
          <w:color w:val="000000" w:themeColor="text1"/>
          <w:szCs w:val="22"/>
          <w:lang w:val="en-US" w:eastAsia="en-GB"/>
        </w:rPr>
        <w:t>The Nominated Consultee will have received information about the study, by a member of the research team, prior to considering study participation for an individual patient. A copy of the CIS will</w:t>
      </w:r>
      <w:r w:rsidRPr="00073666">
        <w:rPr>
          <w:rFonts w:ascii="Calibri" w:hAnsi="Calibri" w:cs="Calibri"/>
          <w:color w:val="000000" w:themeColor="text1"/>
          <w:szCs w:val="22"/>
        </w:rPr>
        <w:t xml:space="preserve"> be provided each time an individual patient is to be considered. The patient’s treating physician, with the support of the research team will determine the patient’s eligibility to enter the study and a Nominated Consultee will advise as to whether the patient would decline to take part if he/she had capacity. The patient’s lead treating physician may act as a Nominated Consultee only if they have no connection with the conduct of the study and therefore would have a dual role in both determining eligibility and considering the patient’s participation. The Nominated Consultee, together with the researcher will sign and retain one copy of the signed Consultee Declaration/Assent Form, the original will be retained in the Study Site File. If a relative, partner or close friend should subsequently visit the patient, after enrolment and before the patient has regained capacity, they should be informed about the patient’s participation and invited to take over the role of Consultee and be informed about the retrospective consent process. Patients are expected to have been transferred and/or discharged up until the 90-day data collection point, consent will be assumed under the signed Declaration/Assent form (unless withdrawn before this point) to continue to data collection points.</w:t>
      </w:r>
    </w:p>
    <w:p w14:paraId="5B607D2B" w14:textId="77777777" w:rsidR="00814E86" w:rsidRPr="00073666" w:rsidRDefault="00814E86" w:rsidP="00814E86">
      <w:pPr>
        <w:rPr>
          <w:rFonts w:ascii="Calibri" w:hAnsi="Calibri" w:cs="Calibri"/>
          <w:color w:val="000000" w:themeColor="text1"/>
          <w:szCs w:val="22"/>
        </w:rPr>
      </w:pPr>
    </w:p>
    <w:p w14:paraId="5C901C05" w14:textId="77777777" w:rsidR="001F6876" w:rsidRPr="00073666" w:rsidRDefault="00814E86" w:rsidP="00814E86">
      <w:pPr>
        <w:autoSpaceDE w:val="0"/>
        <w:autoSpaceDN w:val="0"/>
        <w:adjustRightInd w:val="0"/>
        <w:rPr>
          <w:rFonts w:ascii="Calibri" w:hAnsi="Calibri" w:cs="Calibri"/>
          <w:b/>
          <w:bCs/>
          <w:color w:val="000000" w:themeColor="text1"/>
          <w:szCs w:val="22"/>
          <w:lang w:val="en-US" w:eastAsia="en-GB"/>
        </w:rPr>
      </w:pPr>
      <w:r w:rsidRPr="00073666">
        <w:rPr>
          <w:rFonts w:ascii="Calibri" w:hAnsi="Calibri" w:cs="Calibri"/>
          <w:b/>
          <w:bCs/>
          <w:color w:val="000000" w:themeColor="text1"/>
          <w:szCs w:val="22"/>
          <w:lang w:val="en-US" w:eastAsia="en-GB"/>
        </w:rPr>
        <w:t>Recovered Capacity</w:t>
      </w:r>
    </w:p>
    <w:p w14:paraId="0C1D06BE" w14:textId="24E9A8EA" w:rsidR="00814E86" w:rsidRPr="00073666" w:rsidRDefault="00814E86" w:rsidP="00814E86">
      <w:pPr>
        <w:autoSpaceDE w:val="0"/>
        <w:autoSpaceDN w:val="0"/>
        <w:adjustRightInd w:val="0"/>
        <w:rPr>
          <w:rFonts w:ascii="Calibri" w:hAnsi="Calibri" w:cs="Calibri"/>
          <w:color w:val="000000" w:themeColor="text1"/>
          <w:szCs w:val="22"/>
          <w:lang w:val="en-US" w:eastAsia="en-GB"/>
        </w:rPr>
      </w:pPr>
      <w:r w:rsidRPr="00073666">
        <w:rPr>
          <w:rFonts w:ascii="Calibri" w:hAnsi="Calibri" w:cs="Calibri"/>
          <w:color w:val="000000" w:themeColor="text1"/>
          <w:szCs w:val="22"/>
          <w:lang w:val="en-US" w:eastAsia="en-GB"/>
        </w:rPr>
        <w:t>Patients, for whom an opinion is given by a close relative, will be monitored in line with GCP and if they gain capacity by the time of primary hospital discharge, they will be informed of their participation in the study by the responsible clinician or a member of the research team. The clinician / researcher will discuss the study with the patient and the patient will be given a copy of the Recovered Capacity PIS to keep. The patient will be asked for consent to continue follow-up in the study or will be supported if they wish to withdraw, it will be confirmed that data already collected will be retained by default unless the participant or their Guardian/Welfare Attorney or Relative requests otherwise. If consent is given, the patient will be asked to sign the Recovered Capacity Consent Form. The patient will retain one copy of the signed Consent Form. Another copy will be placed in the patient’s medical records whilst the original will be retained in the Study Site File. If the patient does not want to continue follow-up in the study</w:t>
      </w:r>
      <w:r w:rsidR="001F6876" w:rsidRPr="00073666">
        <w:rPr>
          <w:rFonts w:ascii="Calibri" w:hAnsi="Calibri" w:cs="Calibri"/>
          <w:color w:val="000000" w:themeColor="text1"/>
          <w:szCs w:val="22"/>
          <w:lang w:val="en-US" w:eastAsia="en-GB"/>
        </w:rPr>
        <w:t>,</w:t>
      </w:r>
      <w:r w:rsidRPr="00073666">
        <w:rPr>
          <w:rFonts w:ascii="Calibri" w:hAnsi="Calibri" w:cs="Calibri"/>
          <w:color w:val="000000" w:themeColor="text1"/>
          <w:szCs w:val="22"/>
          <w:lang w:val="en-US" w:eastAsia="en-GB"/>
        </w:rPr>
        <w:t xml:space="preserve"> no further clinical data beyond that time-point or new samples will be collected.</w:t>
      </w:r>
    </w:p>
    <w:p w14:paraId="50985361" w14:textId="77777777" w:rsidR="00814E86" w:rsidRPr="00073666" w:rsidRDefault="00814E86" w:rsidP="00814E86">
      <w:pPr>
        <w:autoSpaceDE w:val="0"/>
        <w:autoSpaceDN w:val="0"/>
        <w:adjustRightInd w:val="0"/>
        <w:rPr>
          <w:rFonts w:ascii="Calibri" w:hAnsi="Calibri" w:cs="Calibri"/>
          <w:color w:val="000000" w:themeColor="text1"/>
          <w:szCs w:val="22"/>
          <w:lang w:val="en-US" w:eastAsia="en-GB"/>
        </w:rPr>
      </w:pPr>
    </w:p>
    <w:p w14:paraId="520F7B75" w14:textId="42E2BBF4" w:rsidR="004307C1" w:rsidRPr="00073666" w:rsidRDefault="00814E86" w:rsidP="00814E86">
      <w:pPr>
        <w:rPr>
          <w:rFonts w:ascii="Calibri" w:hAnsi="Calibri" w:cs="Calibri"/>
          <w:color w:val="000000" w:themeColor="text1"/>
          <w:szCs w:val="22"/>
          <w:lang w:val="en-US" w:eastAsia="en-GB"/>
        </w:rPr>
      </w:pPr>
      <w:r w:rsidRPr="00073666">
        <w:rPr>
          <w:rFonts w:ascii="Calibri" w:hAnsi="Calibri" w:cs="Calibri"/>
          <w:color w:val="000000" w:themeColor="text1"/>
          <w:szCs w:val="22"/>
          <w:lang w:val="en-US" w:eastAsia="en-GB"/>
        </w:rPr>
        <w:t>The right of the participant to refuse to participate without giving reasons must be respected. All participants are free to withdraw at any time from the study without giving reasons and without prejudicing further treatment.</w:t>
      </w:r>
    </w:p>
    <w:p w14:paraId="5CA18D14" w14:textId="77777777" w:rsidR="0034735E" w:rsidRPr="00073666" w:rsidRDefault="0034735E" w:rsidP="00D118D4">
      <w:pPr>
        <w:pStyle w:val="Heading2"/>
        <w:keepNext w:val="0"/>
        <w:numPr>
          <w:ilvl w:val="1"/>
          <w:numId w:val="0"/>
        </w:numPr>
        <w:spacing w:before="480" w:line="240" w:lineRule="auto"/>
        <w:contextualSpacing/>
        <w:rPr>
          <w:rFonts w:ascii="Calibri" w:hAnsi="Calibri" w:cs="Calibri"/>
          <w:b/>
          <w:color w:val="000000" w:themeColor="text1"/>
          <w:szCs w:val="24"/>
        </w:rPr>
      </w:pPr>
      <w:bookmarkStart w:id="6" w:name="_Toc17128399"/>
      <w:r w:rsidRPr="00073666">
        <w:rPr>
          <w:rFonts w:ascii="Calibri" w:hAnsi="Calibri" w:cs="Calibri"/>
          <w:b/>
          <w:color w:val="000000" w:themeColor="text1"/>
          <w:szCs w:val="24"/>
        </w:rPr>
        <w:lastRenderedPageBreak/>
        <w:t>Withdrawal of Participants</w:t>
      </w:r>
      <w:bookmarkEnd w:id="6"/>
    </w:p>
    <w:p w14:paraId="7AC08EF0" w14:textId="7571441A" w:rsidR="0034735E" w:rsidRPr="00073666" w:rsidRDefault="0034735E" w:rsidP="0034735E">
      <w:pPr>
        <w:autoSpaceDE w:val="0"/>
        <w:autoSpaceDN w:val="0"/>
        <w:adjustRightInd w:val="0"/>
        <w:rPr>
          <w:rFonts w:ascii="Calibri" w:hAnsi="Calibri" w:cs="Calibri"/>
          <w:color w:val="000000" w:themeColor="text1"/>
          <w:szCs w:val="22"/>
          <w:lang w:val="en-US" w:eastAsia="en-GB"/>
        </w:rPr>
      </w:pPr>
      <w:r w:rsidRPr="00073666">
        <w:rPr>
          <w:rFonts w:ascii="Calibri" w:hAnsi="Calibri" w:cs="Calibri"/>
          <w:color w:val="000000" w:themeColor="text1"/>
          <w:szCs w:val="22"/>
          <w:lang w:val="en-US" w:eastAsia="en-GB"/>
        </w:rPr>
        <w:t xml:space="preserve">Participants may withdraw from the study at any time without prejudice. This could be because the participant, or their Consultee/Guardian/Welfare Attorney withdraws consent, or because of Lead clinician opinion. </w:t>
      </w:r>
    </w:p>
    <w:p w14:paraId="48388E97" w14:textId="77777777" w:rsidR="0034735E" w:rsidRPr="00073666" w:rsidRDefault="0034735E" w:rsidP="0034735E">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According to the design of the study, participants may have the following two options for withdrawal:</w:t>
      </w:r>
    </w:p>
    <w:p w14:paraId="3CC30502" w14:textId="77777777" w:rsidR="0034735E" w:rsidRPr="00073666" w:rsidRDefault="0034735E" w:rsidP="0034735E">
      <w:pPr>
        <w:autoSpaceDE w:val="0"/>
        <w:autoSpaceDN w:val="0"/>
        <w:adjustRightInd w:val="0"/>
        <w:rPr>
          <w:rFonts w:ascii="Calibri" w:hAnsi="Calibri" w:cs="Calibri"/>
          <w:color w:val="000000" w:themeColor="text1"/>
          <w:szCs w:val="22"/>
        </w:rPr>
      </w:pPr>
    </w:p>
    <w:p w14:paraId="20A3E283" w14:textId="77777777" w:rsidR="0034735E" w:rsidRPr="00073666" w:rsidRDefault="0034735E" w:rsidP="0034735E">
      <w:pPr>
        <w:pStyle w:val="ListParagraph"/>
        <w:numPr>
          <w:ilvl w:val="0"/>
          <w:numId w:val="37"/>
        </w:numPr>
        <w:autoSpaceDE w:val="0"/>
        <w:autoSpaceDN w:val="0"/>
        <w:adjustRightInd w:val="0"/>
        <w:spacing w:after="0" w:line="240" w:lineRule="auto"/>
        <w:rPr>
          <w:rFonts w:ascii="Calibri" w:hAnsi="Calibri" w:cs="Calibri"/>
          <w:color w:val="000000" w:themeColor="text1"/>
        </w:rPr>
      </w:pPr>
      <w:r w:rsidRPr="00073666">
        <w:rPr>
          <w:rFonts w:ascii="Calibri" w:hAnsi="Calibri" w:cs="Calibri"/>
          <w:color w:val="000000" w:themeColor="text1"/>
        </w:rPr>
        <w:t>Participants may withdraw from any further communication but allow the study team to continue to access their medical records and any relevant hospital data that is recorded as part of routine standard of care; i.e., CT-Scans, blood results and disease progression data etc. No further samples will be taken/stored but any samples already taken/stored will still be included in the study.</w:t>
      </w:r>
    </w:p>
    <w:p w14:paraId="4A358BB0" w14:textId="77777777" w:rsidR="0034735E" w:rsidRPr="00073666" w:rsidRDefault="0034735E" w:rsidP="0034735E">
      <w:pPr>
        <w:rPr>
          <w:rFonts w:ascii="Calibri" w:hAnsi="Calibri" w:cs="Calibri"/>
          <w:color w:val="000000" w:themeColor="text1"/>
          <w:szCs w:val="22"/>
        </w:rPr>
      </w:pPr>
    </w:p>
    <w:p w14:paraId="033CBF73" w14:textId="77777777" w:rsidR="0034735E" w:rsidRPr="00073666" w:rsidRDefault="0034735E" w:rsidP="0034735E">
      <w:pPr>
        <w:pStyle w:val="ListParagraph"/>
        <w:numPr>
          <w:ilvl w:val="0"/>
          <w:numId w:val="37"/>
        </w:numPr>
        <w:autoSpaceDE w:val="0"/>
        <w:autoSpaceDN w:val="0"/>
        <w:adjustRightInd w:val="0"/>
        <w:spacing w:after="0" w:line="240" w:lineRule="auto"/>
        <w:rPr>
          <w:rFonts w:ascii="Calibri" w:hAnsi="Calibri" w:cs="Calibri"/>
          <w:color w:val="000000" w:themeColor="text1"/>
        </w:rPr>
      </w:pPr>
      <w:r w:rsidRPr="00073666">
        <w:rPr>
          <w:rFonts w:ascii="Calibri" w:hAnsi="Calibri" w:cs="Calibri"/>
          <w:color w:val="000000" w:themeColor="text1"/>
        </w:rPr>
        <w:t>Participants can withdraw completely from the study and withdraw the data and samples collected up until the point of withdrawal. The data and samples already collected would not be used in the final study analysis. Stored samples would be destroyed.</w:t>
      </w:r>
    </w:p>
    <w:p w14:paraId="4C895074" w14:textId="77777777" w:rsidR="0034735E" w:rsidRPr="00073666" w:rsidRDefault="0034735E" w:rsidP="0034735E">
      <w:pPr>
        <w:jc w:val="both"/>
        <w:rPr>
          <w:rFonts w:ascii="Calibri" w:hAnsi="Calibri" w:cs="Calibri"/>
          <w:color w:val="000000" w:themeColor="text1"/>
          <w:szCs w:val="22"/>
        </w:rPr>
      </w:pPr>
    </w:p>
    <w:p w14:paraId="3EABB73E" w14:textId="154E8499" w:rsidR="0034735E" w:rsidRPr="00073666" w:rsidRDefault="0034735E" w:rsidP="00D118D4">
      <w:pPr>
        <w:rPr>
          <w:rFonts w:ascii="Calibri" w:hAnsi="Calibri" w:cs="Calibri"/>
          <w:color w:val="000000" w:themeColor="text1"/>
        </w:rPr>
      </w:pPr>
      <w:r w:rsidRPr="00073666">
        <w:rPr>
          <w:rFonts w:ascii="Calibri" w:hAnsi="Calibri" w:cs="Calibri"/>
          <w:color w:val="000000" w:themeColor="text1"/>
          <w:szCs w:val="22"/>
        </w:rPr>
        <w:t>The type of withdrawal and reason for withdrawal will be recorded</w:t>
      </w:r>
    </w:p>
    <w:p w14:paraId="2C6CB667" w14:textId="77777777" w:rsidR="00840A29" w:rsidRPr="00073666" w:rsidRDefault="00840A29" w:rsidP="00840A29">
      <w:pPr>
        <w:pStyle w:val="Text"/>
        <w:spacing w:before="0" w:after="120"/>
        <w:jc w:val="left"/>
        <w:rPr>
          <w:rFonts w:ascii="Calibri" w:eastAsiaTheme="minorHAnsi" w:hAnsi="Calibri" w:cs="Calibri"/>
          <w:b/>
          <w:iCs/>
          <w:szCs w:val="22"/>
        </w:rPr>
      </w:pPr>
    </w:p>
    <w:p w14:paraId="619E5160" w14:textId="06613AE3" w:rsidR="00511E18" w:rsidRPr="00073666" w:rsidRDefault="00511E18" w:rsidP="00511E18">
      <w:pPr>
        <w:rPr>
          <w:rFonts w:ascii="Calibri" w:hAnsi="Calibri" w:cs="Calibri"/>
          <w:b/>
          <w:szCs w:val="22"/>
        </w:rPr>
      </w:pPr>
      <w:r w:rsidRPr="00073666">
        <w:rPr>
          <w:rFonts w:ascii="Calibri" w:hAnsi="Calibri" w:cs="Calibri"/>
          <w:b/>
          <w:szCs w:val="22"/>
        </w:rPr>
        <w:t xml:space="preserve">7.3.3 </w:t>
      </w:r>
      <w:bookmarkStart w:id="7" w:name="_Toc392780471"/>
      <w:bookmarkStart w:id="8" w:name="_Toc395002664"/>
      <w:bookmarkStart w:id="9" w:name="_Toc261532711"/>
      <w:r w:rsidRPr="00073666">
        <w:rPr>
          <w:rFonts w:ascii="Calibri" w:hAnsi="Calibri" w:cs="Calibri"/>
          <w:b/>
          <w:szCs w:val="22"/>
        </w:rPr>
        <w:t>Data collection tool</w:t>
      </w:r>
      <w:bookmarkEnd w:id="7"/>
      <w:bookmarkEnd w:id="8"/>
      <w:r w:rsidRPr="00073666">
        <w:rPr>
          <w:rFonts w:ascii="Calibri" w:hAnsi="Calibri" w:cs="Calibri"/>
          <w:b/>
          <w:szCs w:val="22"/>
        </w:rPr>
        <w:t xml:space="preserve"> </w:t>
      </w:r>
      <w:bookmarkEnd w:id="9"/>
    </w:p>
    <w:p w14:paraId="7594603B" w14:textId="22860749" w:rsidR="00524324" w:rsidRPr="00073666" w:rsidRDefault="00524324" w:rsidP="00524324">
      <w:pPr>
        <w:rPr>
          <w:rFonts w:ascii="Calibri" w:hAnsi="Calibri" w:cs="Calibri"/>
          <w:color w:val="0000FF"/>
          <w:szCs w:val="22"/>
          <w:lang w:val="en-US"/>
        </w:rPr>
      </w:pPr>
    </w:p>
    <w:p w14:paraId="714ACD89" w14:textId="498D44E8" w:rsidR="007E648C" w:rsidRPr="00073666" w:rsidRDefault="007E648C" w:rsidP="00406EC6">
      <w:pPr>
        <w:spacing w:after="160" w:line="259" w:lineRule="auto"/>
        <w:rPr>
          <w:rFonts w:ascii="Calibri" w:hAnsi="Calibri" w:cs="Calibri"/>
          <w:color w:val="000000"/>
          <w:szCs w:val="22"/>
          <w:lang w:val="en-US"/>
        </w:rPr>
      </w:pPr>
      <w:r w:rsidRPr="00073666">
        <w:rPr>
          <w:rFonts w:ascii="Calibri" w:hAnsi="Calibri" w:cs="Calibri"/>
          <w:color w:val="000000" w:themeColor="text1"/>
          <w:szCs w:val="22"/>
        </w:rPr>
        <w:t>Clinical, radiographic and microbiologic data relevant to the measures ou</w:t>
      </w:r>
      <w:r w:rsidR="00427FF2" w:rsidRPr="00073666">
        <w:rPr>
          <w:rFonts w:ascii="Calibri" w:hAnsi="Calibri" w:cs="Calibri"/>
          <w:color w:val="000000" w:themeColor="text1"/>
          <w:szCs w:val="22"/>
        </w:rPr>
        <w:t>tlined in Table 3</w:t>
      </w:r>
      <w:r w:rsidRPr="00073666">
        <w:rPr>
          <w:rFonts w:ascii="Calibri" w:hAnsi="Calibri" w:cs="Calibri"/>
          <w:color w:val="000000" w:themeColor="text1"/>
          <w:szCs w:val="22"/>
        </w:rPr>
        <w:t xml:space="preserve"> wil</w:t>
      </w:r>
      <w:r w:rsidR="002A0F7F" w:rsidRPr="00073666">
        <w:rPr>
          <w:rFonts w:ascii="Calibri" w:hAnsi="Calibri" w:cs="Calibri"/>
          <w:color w:val="000000" w:themeColor="text1"/>
          <w:szCs w:val="22"/>
        </w:rPr>
        <w:t>l be collected from the</w:t>
      </w:r>
      <w:r w:rsidRPr="00073666">
        <w:rPr>
          <w:rFonts w:ascii="Calibri" w:hAnsi="Calibri" w:cs="Calibri"/>
          <w:color w:val="000000" w:themeColor="text1"/>
          <w:szCs w:val="22"/>
        </w:rPr>
        <w:t xml:space="preserve"> electronic notes systems</w:t>
      </w:r>
      <w:r w:rsidR="002A0F7F" w:rsidRPr="00073666">
        <w:rPr>
          <w:rFonts w:ascii="Calibri" w:hAnsi="Calibri" w:cs="Calibri"/>
          <w:color w:val="000000" w:themeColor="text1"/>
          <w:szCs w:val="22"/>
        </w:rPr>
        <w:t xml:space="preserve"> and hospital databases</w:t>
      </w:r>
      <w:r w:rsidRPr="00073666">
        <w:rPr>
          <w:rFonts w:ascii="Calibri" w:hAnsi="Calibri" w:cs="Calibri"/>
          <w:color w:val="000000" w:themeColor="text1"/>
          <w:szCs w:val="22"/>
        </w:rPr>
        <w:t xml:space="preserve"> at each site and entered into an NHS </w:t>
      </w:r>
      <w:r w:rsidRPr="00073666">
        <w:rPr>
          <w:rFonts w:ascii="Calibri" w:hAnsi="Calibri" w:cs="Calibri"/>
          <w:color w:val="000000" w:themeColor="text1"/>
          <w:szCs w:val="22"/>
          <w:lang w:eastAsia="en-GB"/>
        </w:rPr>
        <w:t xml:space="preserve">compatible </w:t>
      </w:r>
      <w:proofErr w:type="spellStart"/>
      <w:r w:rsidRPr="00073666">
        <w:rPr>
          <w:rFonts w:ascii="Calibri" w:hAnsi="Calibri" w:cs="Calibri"/>
          <w:szCs w:val="22"/>
        </w:rPr>
        <w:t>REDCap</w:t>
      </w:r>
      <w:proofErr w:type="spellEnd"/>
      <w:r w:rsidRPr="00073666">
        <w:rPr>
          <w:rFonts w:ascii="Calibri" w:hAnsi="Calibri" w:cs="Calibri"/>
          <w:szCs w:val="22"/>
        </w:rPr>
        <w:t>™ database (Research Electronic Data Capture)</w:t>
      </w:r>
      <w:r w:rsidRPr="00073666">
        <w:rPr>
          <w:rFonts w:ascii="Calibri" w:hAnsi="Calibri" w:cs="Calibri"/>
          <w:color w:val="000000"/>
          <w:szCs w:val="22"/>
          <w:lang w:val="en-US"/>
        </w:rPr>
        <w:t>. Any information collected during the study will be kept strictly confidential and will only be used for research purposes</w:t>
      </w:r>
      <w:r w:rsidR="00406EC6" w:rsidRPr="00073666">
        <w:rPr>
          <w:rFonts w:ascii="Calibri" w:hAnsi="Calibri" w:cs="Calibri"/>
          <w:color w:val="000000"/>
          <w:szCs w:val="22"/>
          <w:lang w:val="en-US"/>
        </w:rPr>
        <w:t xml:space="preserve"> (see ‘</w:t>
      </w:r>
      <w:r w:rsidR="00406EC6" w:rsidRPr="00073666">
        <w:rPr>
          <w:rFonts w:ascii="Calibri" w:hAnsi="Calibri" w:cs="Calibri"/>
          <w:bCs/>
          <w:szCs w:val="22"/>
          <w:lang w:eastAsia="en-GB"/>
        </w:rPr>
        <w:t>8.6 Data protection and patient confidentiality’).</w:t>
      </w:r>
    </w:p>
    <w:p w14:paraId="535FD4C0" w14:textId="77777777" w:rsidR="00406EC6" w:rsidRPr="00073666" w:rsidRDefault="00406EC6" w:rsidP="00406EC6">
      <w:pPr>
        <w:spacing w:after="160" w:line="259" w:lineRule="auto"/>
        <w:rPr>
          <w:rFonts w:ascii="Calibri" w:hAnsi="Calibri" w:cs="Calibri"/>
          <w:color w:val="000000"/>
          <w:szCs w:val="22"/>
          <w:lang w:val="en-US"/>
        </w:rPr>
      </w:pPr>
    </w:p>
    <w:p w14:paraId="7C304EFB" w14:textId="13E719C5" w:rsidR="004307C1" w:rsidRPr="00073666" w:rsidRDefault="00E466D3" w:rsidP="004307C1">
      <w:pPr>
        <w:rPr>
          <w:rFonts w:ascii="Calibri" w:hAnsi="Calibri" w:cstheme="minorHAnsi"/>
          <w:b/>
          <w:bCs/>
          <w:szCs w:val="22"/>
        </w:rPr>
      </w:pPr>
      <w:r w:rsidRPr="00073666">
        <w:rPr>
          <w:rFonts w:ascii="Calibri" w:hAnsi="Calibri" w:cs="Calibri"/>
          <w:b/>
          <w:szCs w:val="22"/>
        </w:rPr>
        <w:t>7.3.4</w:t>
      </w:r>
      <w:r w:rsidRPr="00073666">
        <w:rPr>
          <w:rFonts w:ascii="Calibri" w:hAnsi="Calibri" w:cs="Calibri"/>
          <w:b/>
          <w:szCs w:val="22"/>
        </w:rPr>
        <w:tab/>
      </w:r>
      <w:r w:rsidRPr="00073666">
        <w:rPr>
          <w:rFonts w:ascii="Calibri" w:hAnsi="Calibri" w:cstheme="minorHAnsi"/>
          <w:b/>
          <w:szCs w:val="22"/>
        </w:rPr>
        <w:t>Biological</w:t>
      </w:r>
      <w:r w:rsidRPr="00073666">
        <w:rPr>
          <w:rFonts w:ascii="Calibri" w:hAnsi="Calibri" w:cstheme="minorHAnsi"/>
          <w:szCs w:val="22"/>
        </w:rPr>
        <w:t xml:space="preserve"> </w:t>
      </w:r>
      <w:r w:rsidRPr="00073666">
        <w:rPr>
          <w:rFonts w:ascii="Calibri" w:hAnsi="Calibri" w:cstheme="minorHAnsi"/>
          <w:b/>
          <w:bCs/>
          <w:szCs w:val="22"/>
        </w:rPr>
        <w:t>Sample Handling</w:t>
      </w:r>
    </w:p>
    <w:p w14:paraId="3776F716" w14:textId="77777777" w:rsidR="005C2CA7" w:rsidRPr="00073666" w:rsidRDefault="005C2CA7" w:rsidP="004307C1">
      <w:pPr>
        <w:rPr>
          <w:rFonts w:ascii="Calibri" w:hAnsi="Calibri" w:cs="Calibri"/>
          <w:b/>
          <w:szCs w:val="22"/>
        </w:rPr>
      </w:pPr>
    </w:p>
    <w:p w14:paraId="282EFAD3" w14:textId="077DB25D" w:rsidR="00E466D3" w:rsidRPr="00073666" w:rsidRDefault="00E466D3" w:rsidP="004307C1">
      <w:pPr>
        <w:rPr>
          <w:rFonts w:ascii="Calibri" w:hAnsi="Calibri" w:cs="Calibri"/>
          <w:b/>
          <w:szCs w:val="22"/>
        </w:rPr>
      </w:pPr>
      <w:r w:rsidRPr="00073666">
        <w:rPr>
          <w:rFonts w:ascii="Calibri" w:hAnsi="Calibri" w:cs="Calibri"/>
          <w:b/>
          <w:color w:val="000000" w:themeColor="text1"/>
          <w:szCs w:val="22"/>
        </w:rPr>
        <w:t>Blood samples</w:t>
      </w:r>
    </w:p>
    <w:p w14:paraId="09C04F66" w14:textId="7B216165" w:rsidR="00B468ED" w:rsidRPr="00073666" w:rsidRDefault="00E466D3" w:rsidP="00E466D3">
      <w:pPr>
        <w:rPr>
          <w:rFonts w:ascii="Calibri" w:hAnsi="Calibri" w:cs="Calibri"/>
          <w:color w:val="000000" w:themeColor="text1"/>
        </w:rPr>
      </w:pPr>
      <w:r w:rsidRPr="00073666">
        <w:rPr>
          <w:rFonts w:ascii="Calibri" w:hAnsi="Calibri" w:cs="Calibri"/>
          <w:color w:val="000000" w:themeColor="text1"/>
        </w:rPr>
        <w:t>Following informed consent, approximately 30-40mls of blood will be drawn from each patient for research purposes. This will include</w:t>
      </w:r>
      <w:r w:rsidR="00AD27AA" w:rsidRPr="00073666">
        <w:rPr>
          <w:rFonts w:ascii="Calibri" w:hAnsi="Calibri" w:cs="Calibri"/>
          <w:color w:val="000000" w:themeColor="text1"/>
        </w:rPr>
        <w:t xml:space="preserve"> </w:t>
      </w:r>
      <w:r w:rsidR="002A0F7F" w:rsidRPr="00073666">
        <w:rPr>
          <w:rFonts w:ascii="Calibri" w:hAnsi="Calibri" w:cs="Calibri"/>
          <w:color w:val="000000" w:themeColor="text1"/>
        </w:rPr>
        <w:t>heparin</w:t>
      </w:r>
      <w:r w:rsidR="00AD27AA" w:rsidRPr="00073666">
        <w:rPr>
          <w:rFonts w:ascii="Calibri" w:hAnsi="Calibri" w:cs="Calibri"/>
          <w:color w:val="000000" w:themeColor="text1"/>
        </w:rPr>
        <w:t>/EDTA</w:t>
      </w:r>
      <w:r w:rsidR="002A0F7F" w:rsidRPr="00073666">
        <w:rPr>
          <w:rFonts w:ascii="Calibri" w:hAnsi="Calibri" w:cs="Calibri"/>
          <w:color w:val="000000" w:themeColor="text1"/>
        </w:rPr>
        <w:t xml:space="preserve"> (</w:t>
      </w:r>
      <w:r w:rsidR="00AD27AA" w:rsidRPr="00073666">
        <w:rPr>
          <w:rFonts w:ascii="Calibri" w:hAnsi="Calibri" w:cs="Calibri"/>
          <w:color w:val="000000" w:themeColor="text1"/>
        </w:rPr>
        <w:t>25ml total</w:t>
      </w:r>
      <w:r w:rsidR="007A44D5" w:rsidRPr="00073666">
        <w:rPr>
          <w:rFonts w:ascii="Calibri" w:hAnsi="Calibri" w:cs="Calibri"/>
          <w:color w:val="000000" w:themeColor="text1"/>
        </w:rPr>
        <w:t>)</w:t>
      </w:r>
      <w:r w:rsidR="002A0F7F" w:rsidRPr="00073666">
        <w:rPr>
          <w:rFonts w:ascii="Calibri" w:hAnsi="Calibri" w:cs="Calibri"/>
          <w:color w:val="000000" w:themeColor="text1"/>
        </w:rPr>
        <w:t xml:space="preserve"> for PBMC</w:t>
      </w:r>
      <w:r w:rsidR="00AD27AA" w:rsidRPr="00073666">
        <w:rPr>
          <w:rFonts w:ascii="Calibri" w:hAnsi="Calibri" w:cs="Calibri"/>
          <w:color w:val="000000" w:themeColor="text1"/>
        </w:rPr>
        <w:t xml:space="preserve"> isolation</w:t>
      </w:r>
      <w:r w:rsidR="007A44D5" w:rsidRPr="00073666">
        <w:rPr>
          <w:rFonts w:ascii="Calibri" w:hAnsi="Calibri" w:cs="Calibri"/>
          <w:color w:val="000000" w:themeColor="text1"/>
        </w:rPr>
        <w:t>,</w:t>
      </w:r>
      <w:r w:rsidRPr="00073666">
        <w:rPr>
          <w:rFonts w:ascii="Calibri" w:hAnsi="Calibri" w:cs="Calibri"/>
          <w:color w:val="000000" w:themeColor="text1"/>
        </w:rPr>
        <w:t xml:space="preserve"> serum</w:t>
      </w:r>
      <w:r w:rsidR="00611945" w:rsidRPr="00073666">
        <w:rPr>
          <w:rFonts w:ascii="Calibri" w:hAnsi="Calibri" w:cs="Calibri"/>
          <w:color w:val="000000" w:themeColor="text1"/>
        </w:rPr>
        <w:t xml:space="preserve"> (</w:t>
      </w:r>
      <w:r w:rsidR="002A0F7F" w:rsidRPr="00073666">
        <w:rPr>
          <w:rFonts w:ascii="Calibri" w:hAnsi="Calibri" w:cs="Calibri"/>
          <w:bCs/>
          <w:iCs/>
          <w:color w:val="000000" w:themeColor="text1"/>
        </w:rPr>
        <w:t>1</w:t>
      </w:r>
      <w:r w:rsidR="00611945" w:rsidRPr="00073666">
        <w:rPr>
          <w:rFonts w:ascii="Calibri" w:hAnsi="Calibri" w:cs="Calibri"/>
          <w:bCs/>
          <w:iCs/>
          <w:color w:val="000000" w:themeColor="text1"/>
        </w:rPr>
        <w:t xml:space="preserve"> x 4ml)</w:t>
      </w:r>
      <w:r w:rsidRPr="00073666">
        <w:rPr>
          <w:rFonts w:ascii="Calibri" w:hAnsi="Calibri" w:cs="Calibri"/>
          <w:color w:val="000000" w:themeColor="text1"/>
        </w:rPr>
        <w:t xml:space="preserve">, and </w:t>
      </w:r>
      <w:proofErr w:type="spellStart"/>
      <w:r w:rsidRPr="00073666">
        <w:rPr>
          <w:rFonts w:ascii="Calibri" w:hAnsi="Calibri" w:cs="Calibri"/>
          <w:color w:val="000000" w:themeColor="text1"/>
        </w:rPr>
        <w:t>Paxgene</w:t>
      </w:r>
      <w:proofErr w:type="spellEnd"/>
      <w:r w:rsidRPr="00073666">
        <w:rPr>
          <w:rFonts w:ascii="Calibri" w:hAnsi="Calibri" w:cs="Calibri"/>
          <w:color w:val="000000" w:themeColor="text1"/>
        </w:rPr>
        <w:t xml:space="preserve"> tubes (DNA)</w:t>
      </w:r>
      <w:r w:rsidR="00611945" w:rsidRPr="00073666">
        <w:rPr>
          <w:rFonts w:ascii="Calibri" w:hAnsi="Calibri" w:cs="Calibri"/>
          <w:bCs/>
          <w:color w:val="000000" w:themeColor="text1"/>
        </w:rPr>
        <w:t xml:space="preserve"> (1 x 2.5ml)</w:t>
      </w:r>
      <w:r w:rsidRPr="00073666">
        <w:rPr>
          <w:rFonts w:ascii="Calibri" w:hAnsi="Calibri" w:cs="Calibri"/>
          <w:color w:val="000000" w:themeColor="text1"/>
        </w:rPr>
        <w:t xml:space="preserve">. </w:t>
      </w:r>
      <w:r w:rsidR="002A0F7F" w:rsidRPr="00073666">
        <w:rPr>
          <w:rFonts w:ascii="Calibri" w:hAnsi="Calibri" w:cs="Calibri"/>
          <w:color w:val="000000" w:themeColor="text1"/>
        </w:rPr>
        <w:t>Samples will be taken within 72h</w:t>
      </w:r>
      <w:r w:rsidRPr="00073666">
        <w:rPr>
          <w:rFonts w:ascii="Calibri" w:hAnsi="Calibri" w:cs="Calibri"/>
          <w:color w:val="000000" w:themeColor="text1"/>
        </w:rPr>
        <w:t xml:space="preserve"> of study ICU admission.</w:t>
      </w:r>
    </w:p>
    <w:p w14:paraId="5155A5F1" w14:textId="77777777" w:rsidR="00E466D3" w:rsidRPr="00073666" w:rsidRDefault="00E466D3" w:rsidP="00E466D3">
      <w:pPr>
        <w:rPr>
          <w:rFonts w:ascii="Calibri" w:hAnsi="Calibri" w:cs="Calibri"/>
          <w:color w:val="000000" w:themeColor="text1"/>
          <w:szCs w:val="22"/>
        </w:rPr>
      </w:pPr>
    </w:p>
    <w:p w14:paraId="07BB41C0" w14:textId="19EA0A0E" w:rsidR="004307C1" w:rsidRPr="00073666" w:rsidRDefault="00E466D3" w:rsidP="00E466D3">
      <w:pPr>
        <w:rPr>
          <w:rFonts w:ascii="Calibri" w:hAnsi="Calibri" w:cs="Calibri"/>
          <w:color w:val="000000" w:themeColor="text1"/>
          <w:szCs w:val="22"/>
        </w:rPr>
      </w:pPr>
      <w:r w:rsidRPr="00073666">
        <w:rPr>
          <w:rFonts w:ascii="Calibri" w:hAnsi="Calibri" w:cs="Calibri"/>
          <w:color w:val="000000" w:themeColor="text1"/>
          <w:szCs w:val="22"/>
        </w:rPr>
        <w:t>PBMCs will be separated from freshly drawn samples within 24h of collection and stored in liquid nitrogen. Serum</w:t>
      </w:r>
      <w:r w:rsidR="00AD27AA" w:rsidRPr="00073666">
        <w:rPr>
          <w:rFonts w:ascii="Calibri" w:hAnsi="Calibri" w:cs="Calibri"/>
          <w:color w:val="000000" w:themeColor="text1"/>
          <w:szCs w:val="22"/>
        </w:rPr>
        <w:t xml:space="preserve"> </w:t>
      </w:r>
      <w:r w:rsidRPr="00073666">
        <w:rPr>
          <w:rFonts w:ascii="Calibri" w:hAnsi="Calibri" w:cs="Calibri"/>
          <w:color w:val="000000" w:themeColor="text1"/>
          <w:szCs w:val="22"/>
        </w:rPr>
        <w:t xml:space="preserve">and DNA tubes will be </w:t>
      </w:r>
      <w:r w:rsidR="002A0F7F" w:rsidRPr="00073666">
        <w:rPr>
          <w:rFonts w:ascii="Calibri" w:hAnsi="Calibri" w:cs="Calibri"/>
          <w:color w:val="000000" w:themeColor="text1"/>
          <w:szCs w:val="22"/>
        </w:rPr>
        <w:t xml:space="preserve">frozen </w:t>
      </w:r>
      <w:r w:rsidRPr="00073666">
        <w:rPr>
          <w:rFonts w:ascii="Calibri" w:hAnsi="Calibri" w:cs="Calibri"/>
          <w:color w:val="000000" w:themeColor="text1"/>
          <w:szCs w:val="22"/>
        </w:rPr>
        <w:t xml:space="preserve">stored on site </w:t>
      </w:r>
      <w:r w:rsidR="002A0F7F" w:rsidRPr="00073666">
        <w:rPr>
          <w:rFonts w:ascii="Calibri" w:hAnsi="Calibri" w:cs="Calibri"/>
          <w:color w:val="000000" w:themeColor="text1"/>
          <w:szCs w:val="22"/>
        </w:rPr>
        <w:t xml:space="preserve">(-20C/ -80C as appropriate) and </w:t>
      </w:r>
      <w:r w:rsidRPr="00073666">
        <w:rPr>
          <w:rFonts w:ascii="Calibri" w:hAnsi="Calibri" w:cs="Calibri"/>
          <w:color w:val="000000" w:themeColor="text1"/>
          <w:szCs w:val="22"/>
        </w:rPr>
        <w:t>shipped on dry ice from the local hospital site to St Georges University of London</w:t>
      </w:r>
      <w:r w:rsidR="002A0F7F" w:rsidRPr="00073666">
        <w:rPr>
          <w:rFonts w:ascii="Calibri" w:hAnsi="Calibri" w:cs="Calibri"/>
          <w:color w:val="000000" w:themeColor="text1"/>
          <w:szCs w:val="22"/>
        </w:rPr>
        <w:t xml:space="preserve"> at the end of the study</w:t>
      </w:r>
      <w:r w:rsidRPr="00073666">
        <w:rPr>
          <w:rFonts w:ascii="Calibri" w:hAnsi="Calibri" w:cs="Calibri"/>
          <w:color w:val="000000" w:themeColor="text1"/>
          <w:szCs w:val="22"/>
        </w:rPr>
        <w:t>.</w:t>
      </w:r>
    </w:p>
    <w:p w14:paraId="112B691F" w14:textId="77777777" w:rsidR="004307C1" w:rsidRPr="00073666" w:rsidRDefault="004307C1" w:rsidP="00E466D3">
      <w:pPr>
        <w:rPr>
          <w:rFonts w:ascii="Calibri" w:hAnsi="Calibri" w:cs="Calibri"/>
          <w:color w:val="000000" w:themeColor="text1"/>
          <w:szCs w:val="22"/>
        </w:rPr>
      </w:pPr>
    </w:p>
    <w:p w14:paraId="68C47962" w14:textId="752B6311" w:rsidR="004027F8" w:rsidRPr="00073666" w:rsidRDefault="00E466D3" w:rsidP="00E466D3">
      <w:pPr>
        <w:rPr>
          <w:rFonts w:ascii="Calibri" w:hAnsi="Calibri" w:cs="Calibri"/>
          <w:color w:val="000000" w:themeColor="text1"/>
          <w:szCs w:val="22"/>
        </w:rPr>
      </w:pPr>
      <w:r w:rsidRPr="00073666">
        <w:rPr>
          <w:rFonts w:ascii="Calibri" w:hAnsi="Calibri" w:cs="Calibri"/>
          <w:color w:val="000000" w:themeColor="text1"/>
          <w:szCs w:val="22"/>
        </w:rPr>
        <w:t xml:space="preserve">For the immunopathogenesis sub-studies, PBMCs will undergo flow cytometry and </w:t>
      </w:r>
      <w:r w:rsidRPr="00073666">
        <w:rPr>
          <w:rFonts w:ascii="Calibri" w:hAnsi="Calibri" w:cs="Calibri"/>
          <w:i/>
          <w:color w:val="000000" w:themeColor="text1"/>
          <w:szCs w:val="22"/>
        </w:rPr>
        <w:t>ex vivo</w:t>
      </w:r>
      <w:r w:rsidRPr="00073666">
        <w:rPr>
          <w:rFonts w:ascii="Calibri" w:hAnsi="Calibri" w:cs="Calibri"/>
          <w:color w:val="000000" w:themeColor="text1"/>
          <w:szCs w:val="22"/>
        </w:rPr>
        <w:t xml:space="preserve"> antigen stimulation. Host DNA will be extracted for targeted sequencing of known genetic polymorphisms associated with an increased risk of IA (e.g. PTX3; Dectin-1 synthesis).</w:t>
      </w:r>
    </w:p>
    <w:p w14:paraId="63A3D4B7" w14:textId="77777777" w:rsidR="004027F8" w:rsidRPr="00073666" w:rsidRDefault="004027F8" w:rsidP="00E466D3">
      <w:pPr>
        <w:rPr>
          <w:rFonts w:ascii="Calibri" w:hAnsi="Calibri" w:cs="Calibri"/>
          <w:color w:val="000000" w:themeColor="text1"/>
          <w:szCs w:val="22"/>
        </w:rPr>
      </w:pPr>
    </w:p>
    <w:p w14:paraId="3C575631" w14:textId="77777777" w:rsidR="00E466D3" w:rsidRPr="00073666" w:rsidRDefault="00E466D3" w:rsidP="00E466D3">
      <w:pPr>
        <w:rPr>
          <w:rFonts w:ascii="Calibri" w:hAnsi="Calibri" w:cs="Calibri"/>
          <w:b/>
          <w:color w:val="000000" w:themeColor="text1"/>
          <w:szCs w:val="22"/>
        </w:rPr>
      </w:pPr>
      <w:r w:rsidRPr="00073666">
        <w:rPr>
          <w:rFonts w:ascii="Calibri" w:hAnsi="Calibri" w:cs="Calibri"/>
          <w:b/>
          <w:color w:val="000000" w:themeColor="text1"/>
          <w:szCs w:val="22"/>
        </w:rPr>
        <w:t>BAL samples</w:t>
      </w:r>
    </w:p>
    <w:p w14:paraId="2E003BFE" w14:textId="1605EE69" w:rsidR="004869F2" w:rsidRPr="00073666" w:rsidRDefault="004027F8" w:rsidP="00E466D3">
      <w:pPr>
        <w:rPr>
          <w:rFonts w:ascii="Calibri" w:hAnsi="Calibri" w:cs="Calibri"/>
        </w:rPr>
      </w:pPr>
      <w:r w:rsidRPr="00073666">
        <w:rPr>
          <w:rFonts w:ascii="Calibri" w:hAnsi="Calibri" w:cs="Calibri"/>
          <w:bCs/>
        </w:rPr>
        <w:t xml:space="preserve">Surplus material (30mls) of bronchoalveolar lavage (BAL) will be taken for research purposes at the time of </w:t>
      </w:r>
      <w:r w:rsidR="00045476" w:rsidRPr="00073666">
        <w:rPr>
          <w:rFonts w:ascii="Calibri" w:hAnsi="Calibri" w:cs="Calibri"/>
          <w:bCs/>
        </w:rPr>
        <w:t xml:space="preserve">each </w:t>
      </w:r>
      <w:r w:rsidR="00513686" w:rsidRPr="00073666">
        <w:rPr>
          <w:rFonts w:ascii="Calibri" w:hAnsi="Calibri" w:cs="Calibri"/>
          <w:bCs/>
        </w:rPr>
        <w:t>bronchoscopy</w:t>
      </w:r>
      <w:r w:rsidR="00611945" w:rsidRPr="00073666">
        <w:rPr>
          <w:rFonts w:ascii="Calibri" w:hAnsi="Calibri" w:cs="Calibri"/>
          <w:bCs/>
        </w:rPr>
        <w:t xml:space="preserve">. </w:t>
      </w:r>
      <w:r w:rsidR="00513686" w:rsidRPr="00073666">
        <w:rPr>
          <w:rFonts w:ascii="Calibri" w:hAnsi="Calibri" w:cs="Calibri"/>
          <w:bCs/>
        </w:rPr>
        <w:t xml:space="preserve">BAL </w:t>
      </w:r>
      <w:r w:rsidR="00611945" w:rsidRPr="00073666">
        <w:rPr>
          <w:rFonts w:ascii="Calibri" w:hAnsi="Calibri" w:cs="Calibri"/>
          <w:bCs/>
        </w:rPr>
        <w:t>will be</w:t>
      </w:r>
      <w:r w:rsidR="00611945" w:rsidRPr="00073666">
        <w:rPr>
          <w:rFonts w:ascii="Calibri" w:hAnsi="Calibri" w:cs="Calibri"/>
          <w:bCs/>
          <w:lang w:val="en-US"/>
        </w:rPr>
        <w:t xml:space="preserve"> divided </w:t>
      </w:r>
      <w:r w:rsidR="00611945" w:rsidRPr="00073666">
        <w:rPr>
          <w:rFonts w:ascii="Calibri" w:hAnsi="Calibri" w:cs="Calibri"/>
          <w:bCs/>
        </w:rPr>
        <w:t xml:space="preserve">into </w:t>
      </w:r>
      <w:r w:rsidR="00513686" w:rsidRPr="00073666">
        <w:rPr>
          <w:rFonts w:ascii="Calibri" w:hAnsi="Calibri" w:cs="Calibri"/>
          <w:bCs/>
        </w:rPr>
        <w:t xml:space="preserve">2-3 </w:t>
      </w:r>
      <w:r w:rsidR="00611945" w:rsidRPr="00073666">
        <w:rPr>
          <w:rFonts w:ascii="Calibri" w:hAnsi="Calibri" w:cs="Calibri"/>
          <w:bCs/>
        </w:rPr>
        <w:t xml:space="preserve">separate sterile </w:t>
      </w:r>
      <w:r w:rsidR="00513686" w:rsidRPr="00073666">
        <w:rPr>
          <w:rFonts w:ascii="Calibri" w:hAnsi="Calibri" w:cs="Calibri"/>
          <w:bCs/>
        </w:rPr>
        <w:t>Falcon tubes</w:t>
      </w:r>
      <w:r w:rsidRPr="00073666">
        <w:rPr>
          <w:rFonts w:ascii="Calibri" w:hAnsi="Calibri" w:cs="Calibri"/>
          <w:bCs/>
        </w:rPr>
        <w:t xml:space="preserve"> </w:t>
      </w:r>
      <w:r w:rsidRPr="00073666">
        <w:rPr>
          <w:rFonts w:ascii="Calibri" w:hAnsi="Calibri" w:cs="Calibri"/>
          <w:color w:val="000000" w:themeColor="text1"/>
          <w:szCs w:val="22"/>
        </w:rPr>
        <w:t>and</w:t>
      </w:r>
      <w:r w:rsidR="00E466D3" w:rsidRPr="00073666">
        <w:rPr>
          <w:rFonts w:ascii="Calibri" w:hAnsi="Calibri" w:cs="Calibri"/>
          <w:color w:val="000000" w:themeColor="text1"/>
          <w:szCs w:val="22"/>
        </w:rPr>
        <w:t xml:space="preserve"> stored</w:t>
      </w:r>
      <w:r w:rsidR="002A0F7F" w:rsidRPr="00073666">
        <w:rPr>
          <w:rFonts w:ascii="Calibri" w:hAnsi="Calibri" w:cs="Calibri"/>
          <w:color w:val="000000" w:themeColor="text1"/>
          <w:szCs w:val="22"/>
        </w:rPr>
        <w:t xml:space="preserve"> on site at -80</w:t>
      </w:r>
      <w:r w:rsidR="00E466D3" w:rsidRPr="00073666">
        <w:rPr>
          <w:rFonts w:ascii="Calibri" w:hAnsi="Calibri" w:cs="Calibri"/>
          <w:color w:val="000000" w:themeColor="text1"/>
          <w:szCs w:val="22"/>
        </w:rPr>
        <w:t xml:space="preserve">C. </w:t>
      </w:r>
      <w:r w:rsidRPr="00073666">
        <w:rPr>
          <w:rFonts w:ascii="Calibri" w:hAnsi="Calibri" w:cs="Calibri"/>
        </w:rPr>
        <w:t xml:space="preserve">If a </w:t>
      </w:r>
      <w:r w:rsidR="004869F2" w:rsidRPr="00073666">
        <w:rPr>
          <w:rFonts w:ascii="Calibri" w:hAnsi="Calibri" w:cs="Calibri"/>
        </w:rPr>
        <w:t>bronchoscopy</w:t>
      </w:r>
      <w:r w:rsidRPr="00073666">
        <w:rPr>
          <w:rFonts w:ascii="Calibri" w:hAnsi="Calibri" w:cs="Calibri"/>
        </w:rPr>
        <w:t xml:space="preserve"> was </w:t>
      </w:r>
      <w:r w:rsidR="004869F2" w:rsidRPr="00073666">
        <w:rPr>
          <w:rFonts w:ascii="Calibri" w:hAnsi="Calibri" w:cs="Calibri"/>
        </w:rPr>
        <w:t>underta</w:t>
      </w:r>
      <w:r w:rsidRPr="00073666">
        <w:rPr>
          <w:rFonts w:ascii="Calibri" w:hAnsi="Calibri" w:cs="Calibri"/>
        </w:rPr>
        <w:t xml:space="preserve">ken during the patient’s </w:t>
      </w:r>
      <w:r w:rsidR="00513686" w:rsidRPr="00073666">
        <w:rPr>
          <w:rFonts w:ascii="Calibri" w:hAnsi="Calibri" w:cs="Calibri"/>
        </w:rPr>
        <w:t xml:space="preserve">study </w:t>
      </w:r>
      <w:r w:rsidRPr="00073666">
        <w:rPr>
          <w:rFonts w:ascii="Calibri" w:hAnsi="Calibri" w:cs="Calibri"/>
        </w:rPr>
        <w:t xml:space="preserve">ICU stay, but before </w:t>
      </w:r>
      <w:r w:rsidRPr="00073666">
        <w:rPr>
          <w:rFonts w:ascii="Calibri" w:hAnsi="Calibri" w:cs="Calibri"/>
        </w:rPr>
        <w:lastRenderedPageBreak/>
        <w:t xml:space="preserve">enrolment, the clinical laboratory will be asked to provide any residual </w:t>
      </w:r>
      <w:r w:rsidR="004869F2" w:rsidRPr="00073666">
        <w:rPr>
          <w:rFonts w:ascii="Calibri" w:hAnsi="Calibri" w:cs="Calibri"/>
        </w:rPr>
        <w:t xml:space="preserve">BAL </w:t>
      </w:r>
      <w:r w:rsidRPr="00073666">
        <w:rPr>
          <w:rFonts w:ascii="Calibri" w:hAnsi="Calibri" w:cs="Calibri"/>
        </w:rPr>
        <w:t>from these once routine clinical testing has been completed on them</w:t>
      </w:r>
      <w:r w:rsidR="00513686" w:rsidRPr="00073666">
        <w:rPr>
          <w:rFonts w:ascii="Calibri" w:hAnsi="Calibri" w:cs="Calibri"/>
        </w:rPr>
        <w:t>.</w:t>
      </w:r>
    </w:p>
    <w:p w14:paraId="587C69C9" w14:textId="77777777" w:rsidR="00BF5563" w:rsidRPr="00073666" w:rsidRDefault="00BF5563" w:rsidP="00E466D3">
      <w:pPr>
        <w:rPr>
          <w:rFonts w:ascii="Calibri" w:hAnsi="Calibri" w:cs="Calibri"/>
          <w:color w:val="000000" w:themeColor="text1"/>
          <w:szCs w:val="22"/>
        </w:rPr>
      </w:pPr>
    </w:p>
    <w:p w14:paraId="5B667425" w14:textId="0A698F27" w:rsidR="005C2CA7" w:rsidRPr="00073666" w:rsidRDefault="005C2CA7" w:rsidP="00E466D3">
      <w:pPr>
        <w:rPr>
          <w:rFonts w:ascii="Calibri" w:hAnsi="Calibri" w:cs="Calibri"/>
          <w:color w:val="FF0000"/>
          <w:szCs w:val="22"/>
        </w:rPr>
      </w:pPr>
      <w:r w:rsidRPr="00073666">
        <w:rPr>
          <w:rFonts w:ascii="Calibri" w:hAnsi="Calibri" w:cs="Calibri"/>
          <w:color w:val="000000" w:themeColor="text1"/>
          <w:szCs w:val="22"/>
        </w:rPr>
        <w:t xml:space="preserve">It is anticipated that most patients in the study will have a BAL performed as part of </w:t>
      </w:r>
      <w:r w:rsidR="002A0F7F" w:rsidRPr="00073666">
        <w:rPr>
          <w:rFonts w:ascii="Calibri" w:hAnsi="Calibri" w:cs="Calibri"/>
          <w:color w:val="000000" w:themeColor="text1"/>
          <w:szCs w:val="22"/>
        </w:rPr>
        <w:t xml:space="preserve">routine clinical care within 72 </w:t>
      </w:r>
      <w:r w:rsidR="002A0F7F" w:rsidRPr="00073666">
        <w:rPr>
          <w:rFonts w:ascii="Calibri" w:hAnsi="Calibri" w:cs="Calibri"/>
          <w:szCs w:val="22"/>
        </w:rPr>
        <w:t>hours of ICU admission. P</w:t>
      </w:r>
      <w:r w:rsidRPr="00073666">
        <w:rPr>
          <w:rFonts w:ascii="Calibri" w:hAnsi="Calibri" w:cs="Calibri"/>
          <w:szCs w:val="22"/>
        </w:rPr>
        <w:t>atients that remain intubated for a prolonged pe</w:t>
      </w:r>
      <w:r w:rsidR="002A0F7F" w:rsidRPr="00073666">
        <w:rPr>
          <w:rFonts w:ascii="Calibri" w:hAnsi="Calibri" w:cs="Calibri"/>
          <w:szCs w:val="22"/>
        </w:rPr>
        <w:t>riod may have more than one BAL</w:t>
      </w:r>
      <w:r w:rsidR="00A0428D" w:rsidRPr="00073666">
        <w:rPr>
          <w:rFonts w:ascii="Calibri" w:hAnsi="Calibri" w:cs="Calibri"/>
          <w:szCs w:val="22"/>
        </w:rPr>
        <w:t xml:space="preserve">. </w:t>
      </w:r>
      <w:r w:rsidR="003439E7" w:rsidRPr="00073666">
        <w:rPr>
          <w:rFonts w:ascii="Calibri" w:hAnsi="Calibri" w:cs="Calibri"/>
          <w:szCs w:val="22"/>
        </w:rPr>
        <w:t>Surplus material from any</w:t>
      </w:r>
      <w:r w:rsidR="00A0428D" w:rsidRPr="00073666">
        <w:rPr>
          <w:rFonts w:ascii="Calibri" w:hAnsi="Calibri" w:cs="Calibri"/>
          <w:szCs w:val="22"/>
        </w:rPr>
        <w:t xml:space="preserve"> subsequent BAL will also be stored following the same procedure as for the first. </w:t>
      </w:r>
    </w:p>
    <w:p w14:paraId="03A53FEB" w14:textId="77777777" w:rsidR="00BF5563" w:rsidRPr="00073666" w:rsidRDefault="00BF5563" w:rsidP="00E466D3">
      <w:pPr>
        <w:rPr>
          <w:rFonts w:ascii="Calibri" w:hAnsi="Calibri" w:cs="Calibri"/>
          <w:color w:val="000000" w:themeColor="text1"/>
          <w:szCs w:val="22"/>
        </w:rPr>
      </w:pPr>
    </w:p>
    <w:p w14:paraId="61E739E3" w14:textId="7591CFDE" w:rsidR="0063168A" w:rsidRPr="00073666" w:rsidRDefault="0063168A" w:rsidP="00E466D3">
      <w:pPr>
        <w:rPr>
          <w:rFonts w:ascii="Calibri" w:hAnsi="Calibri" w:cs="Calibri"/>
          <w:color w:val="000000" w:themeColor="text1"/>
          <w:szCs w:val="22"/>
        </w:rPr>
      </w:pPr>
      <w:r w:rsidRPr="00073666">
        <w:rPr>
          <w:rFonts w:ascii="Calibri" w:hAnsi="Calibri" w:cs="Calibri"/>
          <w:color w:val="000000" w:themeColor="text1"/>
          <w:szCs w:val="22"/>
        </w:rPr>
        <w:t xml:space="preserve">After the influenza season BAL samples will be transferred </w:t>
      </w:r>
      <w:r w:rsidR="00611945" w:rsidRPr="00073666">
        <w:rPr>
          <w:rFonts w:ascii="Calibri" w:hAnsi="Calibri" w:cs="Calibri"/>
          <w:color w:val="000000" w:themeColor="text1"/>
          <w:szCs w:val="22"/>
        </w:rPr>
        <w:t>by</w:t>
      </w:r>
      <w:r w:rsidRPr="00073666">
        <w:rPr>
          <w:rFonts w:ascii="Calibri" w:hAnsi="Calibri" w:cs="Calibri"/>
          <w:color w:val="000000" w:themeColor="text1"/>
          <w:szCs w:val="22"/>
        </w:rPr>
        <w:t xml:space="preserve"> batch shipped on dry ice from the local hospital site to St Georges University of London.</w:t>
      </w:r>
    </w:p>
    <w:p w14:paraId="75E06C02" w14:textId="77777777" w:rsidR="00BF5563" w:rsidRPr="00073666" w:rsidRDefault="00BF5563" w:rsidP="00E466D3">
      <w:pPr>
        <w:rPr>
          <w:rFonts w:ascii="Calibri" w:hAnsi="Calibri" w:cs="Calibri"/>
          <w:color w:val="000000" w:themeColor="text1"/>
          <w:szCs w:val="22"/>
        </w:rPr>
      </w:pPr>
    </w:p>
    <w:p w14:paraId="1CA6D4BE" w14:textId="5E61A437" w:rsidR="004307C1" w:rsidRPr="00073666" w:rsidRDefault="005C2CA7" w:rsidP="00E466D3">
      <w:pPr>
        <w:rPr>
          <w:rFonts w:ascii="Calibri" w:hAnsi="Calibri" w:cs="Calibri"/>
          <w:color w:val="000000" w:themeColor="text1"/>
          <w:szCs w:val="22"/>
        </w:rPr>
      </w:pPr>
      <w:r w:rsidRPr="00073666">
        <w:rPr>
          <w:rFonts w:ascii="Calibri" w:hAnsi="Calibri" w:cs="Calibri"/>
          <w:color w:val="000000" w:themeColor="text1"/>
          <w:szCs w:val="22"/>
        </w:rPr>
        <w:t xml:space="preserve">After the influenza season both serum and BAL will undergo retrospective testing by galactomannan EIA and </w:t>
      </w:r>
      <w:proofErr w:type="spellStart"/>
      <w:r w:rsidRPr="00073666">
        <w:rPr>
          <w:rFonts w:ascii="Calibri" w:hAnsi="Calibri" w:cs="Calibri"/>
          <w:color w:val="000000" w:themeColor="text1"/>
          <w:szCs w:val="22"/>
        </w:rPr>
        <w:t>AspLFD</w:t>
      </w:r>
      <w:proofErr w:type="spellEnd"/>
      <w:r w:rsidRPr="00073666">
        <w:rPr>
          <w:rFonts w:ascii="Calibri" w:hAnsi="Calibri" w:cs="Calibri"/>
          <w:color w:val="000000" w:themeColor="text1"/>
          <w:szCs w:val="22"/>
        </w:rPr>
        <w:t xml:space="preserve"> (see 5.2 ‘Outline of Methods’ and ‘Study Schematic’). </w:t>
      </w:r>
      <w:r w:rsidR="002A0F7F" w:rsidRPr="00073666">
        <w:rPr>
          <w:rFonts w:ascii="Calibri" w:hAnsi="Calibri" w:cs="Calibri"/>
          <w:color w:val="000000" w:themeColor="text1"/>
          <w:szCs w:val="22"/>
        </w:rPr>
        <w:t xml:space="preserve">Chemokine/ </w:t>
      </w:r>
      <w:r w:rsidR="00E466D3" w:rsidRPr="00073666">
        <w:rPr>
          <w:rFonts w:ascii="Calibri" w:hAnsi="Calibri" w:cs="Calibri"/>
          <w:color w:val="000000" w:themeColor="text1"/>
          <w:szCs w:val="22"/>
        </w:rPr>
        <w:t>cytokine analyses will be performed as part of the immunopathogenesis sub-studies.</w:t>
      </w:r>
    </w:p>
    <w:p w14:paraId="762234A0" w14:textId="77777777" w:rsidR="00E466D3" w:rsidRPr="00073666" w:rsidRDefault="00E466D3" w:rsidP="00E466D3">
      <w:pPr>
        <w:rPr>
          <w:rFonts w:ascii="Calibri" w:hAnsi="Calibri" w:cs="Calibri"/>
          <w:color w:val="000000" w:themeColor="text1"/>
          <w:szCs w:val="22"/>
        </w:rPr>
      </w:pPr>
    </w:p>
    <w:p w14:paraId="1949DDBB" w14:textId="77777777" w:rsidR="00E466D3" w:rsidRPr="00073666" w:rsidRDefault="00E466D3" w:rsidP="00E466D3">
      <w:pPr>
        <w:rPr>
          <w:rFonts w:ascii="Calibri" w:hAnsi="Calibri" w:cs="Calibri"/>
          <w:color w:val="000000" w:themeColor="text1"/>
          <w:szCs w:val="22"/>
        </w:rPr>
      </w:pPr>
      <w:r w:rsidRPr="00073666">
        <w:rPr>
          <w:rFonts w:ascii="Calibri" w:hAnsi="Calibri" w:cs="Calibri"/>
          <w:b/>
          <w:color w:val="000000" w:themeColor="text1"/>
          <w:szCs w:val="22"/>
        </w:rPr>
        <w:t>Pathogen samples</w:t>
      </w:r>
    </w:p>
    <w:p w14:paraId="4C73B192" w14:textId="7862FB29" w:rsidR="00E466D3" w:rsidRPr="00073666" w:rsidRDefault="00E466D3" w:rsidP="00E466D3">
      <w:pPr>
        <w:rPr>
          <w:rFonts w:ascii="Calibri" w:hAnsi="Calibri" w:cs="Calibri"/>
          <w:color w:val="000000" w:themeColor="text1"/>
          <w:szCs w:val="22"/>
        </w:rPr>
      </w:pPr>
      <w:r w:rsidRPr="00073666">
        <w:rPr>
          <w:rFonts w:ascii="Calibri" w:hAnsi="Calibri" w:cs="Calibri"/>
          <w:color w:val="000000" w:themeColor="text1"/>
          <w:szCs w:val="22"/>
        </w:rPr>
        <w:t>Respiratory swabs/ NPA transport medium will be stored to allow</w:t>
      </w:r>
      <w:r w:rsidR="002A0F7F" w:rsidRPr="00073666">
        <w:rPr>
          <w:rFonts w:ascii="Calibri" w:hAnsi="Calibri" w:cs="Calibri"/>
          <w:color w:val="000000" w:themeColor="text1"/>
          <w:szCs w:val="22"/>
        </w:rPr>
        <w:t xml:space="preserve"> subsequent</w:t>
      </w:r>
      <w:r w:rsidRPr="00073666">
        <w:rPr>
          <w:rFonts w:ascii="Calibri" w:hAnsi="Calibri" w:cs="Calibri"/>
          <w:color w:val="000000" w:themeColor="text1"/>
          <w:szCs w:val="22"/>
        </w:rPr>
        <w:t xml:space="preserve"> influenza typing. Any </w:t>
      </w:r>
      <w:r w:rsidR="00513686" w:rsidRPr="00073666">
        <w:rPr>
          <w:rFonts w:ascii="Calibri" w:hAnsi="Calibri" w:cs="Calibri"/>
          <w:i/>
          <w:color w:val="000000" w:themeColor="text1"/>
          <w:szCs w:val="22"/>
        </w:rPr>
        <w:t>A</w:t>
      </w:r>
      <w:r w:rsidRPr="00073666">
        <w:rPr>
          <w:rFonts w:ascii="Calibri" w:hAnsi="Calibri" w:cs="Calibri"/>
          <w:i/>
          <w:color w:val="000000" w:themeColor="text1"/>
          <w:szCs w:val="22"/>
        </w:rPr>
        <w:t xml:space="preserve">spergillus </w:t>
      </w:r>
      <w:r w:rsidRPr="00073666">
        <w:rPr>
          <w:rFonts w:ascii="Calibri" w:hAnsi="Calibri" w:cs="Calibri"/>
          <w:color w:val="000000" w:themeColor="text1"/>
          <w:szCs w:val="22"/>
        </w:rPr>
        <w:t>isolates</w:t>
      </w:r>
      <w:r w:rsidR="002A0F7F" w:rsidRPr="00073666">
        <w:rPr>
          <w:rFonts w:ascii="Calibri" w:hAnsi="Calibri" w:cs="Calibri"/>
          <w:color w:val="000000" w:themeColor="text1"/>
          <w:szCs w:val="22"/>
        </w:rPr>
        <w:t xml:space="preserve"> cultured</w:t>
      </w:r>
      <w:r w:rsidRPr="00073666">
        <w:rPr>
          <w:rFonts w:ascii="Calibri" w:hAnsi="Calibri" w:cs="Calibri"/>
          <w:color w:val="000000" w:themeColor="text1"/>
          <w:szCs w:val="22"/>
        </w:rPr>
        <w:t xml:space="preserve"> from BAL samples will be stored for </w:t>
      </w:r>
      <w:r w:rsidR="002A0F7F" w:rsidRPr="00073666">
        <w:rPr>
          <w:rFonts w:ascii="Calibri" w:hAnsi="Calibri" w:cs="Calibri"/>
          <w:color w:val="000000" w:themeColor="text1"/>
          <w:szCs w:val="22"/>
        </w:rPr>
        <w:t xml:space="preserve">subsequent </w:t>
      </w:r>
      <w:r w:rsidRPr="00073666">
        <w:rPr>
          <w:rFonts w:ascii="Calibri" w:hAnsi="Calibri" w:cs="Calibri"/>
          <w:color w:val="000000" w:themeColor="text1"/>
          <w:szCs w:val="22"/>
        </w:rPr>
        <w:t>resistance genotyping.</w:t>
      </w:r>
    </w:p>
    <w:p w14:paraId="084A4B42" w14:textId="77777777" w:rsidR="002A0F7F" w:rsidRPr="00073666" w:rsidRDefault="002A0F7F" w:rsidP="00E466D3">
      <w:pPr>
        <w:rPr>
          <w:rFonts w:ascii="Calibri" w:hAnsi="Calibri" w:cs="Calibri"/>
          <w:color w:val="000000" w:themeColor="text1"/>
          <w:szCs w:val="22"/>
        </w:rPr>
      </w:pPr>
    </w:p>
    <w:p w14:paraId="6A3250B7" w14:textId="39A93ED2" w:rsidR="00524324" w:rsidRPr="00073666" w:rsidRDefault="005C2CA7" w:rsidP="0063168A">
      <w:pPr>
        <w:rPr>
          <w:rFonts w:ascii="Calibri" w:hAnsi="Calibri" w:cs="Calibri"/>
          <w:color w:val="000000" w:themeColor="text1"/>
          <w:szCs w:val="22"/>
        </w:rPr>
      </w:pPr>
      <w:r w:rsidRPr="00073666">
        <w:rPr>
          <w:rFonts w:ascii="Calibri" w:hAnsi="Calibri" w:cs="Calibri"/>
          <w:color w:val="000000" w:themeColor="text1"/>
          <w:szCs w:val="22"/>
        </w:rPr>
        <w:t>Only members of the research team under the supervision of the sponsor will have access to the store</w:t>
      </w:r>
      <w:r w:rsidR="00513686" w:rsidRPr="00073666">
        <w:rPr>
          <w:rFonts w:ascii="Calibri" w:hAnsi="Calibri" w:cs="Calibri"/>
          <w:color w:val="000000" w:themeColor="text1"/>
          <w:szCs w:val="22"/>
        </w:rPr>
        <w:t>d</w:t>
      </w:r>
      <w:r w:rsidRPr="00073666">
        <w:rPr>
          <w:rFonts w:ascii="Calibri" w:hAnsi="Calibri" w:cs="Calibri"/>
          <w:color w:val="000000" w:themeColor="text1"/>
          <w:szCs w:val="22"/>
        </w:rPr>
        <w:t xml:space="preserve"> biological samples. </w:t>
      </w:r>
      <w:r w:rsidR="00E466D3" w:rsidRPr="00073666">
        <w:rPr>
          <w:rFonts w:ascii="Calibri" w:hAnsi="Calibri" w:cs="Calibri"/>
          <w:color w:val="000000" w:themeColor="text1"/>
          <w:szCs w:val="22"/>
        </w:rPr>
        <w:t>Analyses will only be performed within the scope described in this protocol. If there is a desire to use the stored samples for a subsequent research project a new IRAS application will be made.</w:t>
      </w:r>
    </w:p>
    <w:p w14:paraId="274F768A" w14:textId="77777777" w:rsidR="00475FDA" w:rsidRPr="00073666" w:rsidRDefault="00475FDA" w:rsidP="003802A1">
      <w:pPr>
        <w:rPr>
          <w:rFonts w:ascii="Calibri" w:hAnsi="Calibri" w:cs="Calibri"/>
          <w:szCs w:val="22"/>
        </w:rPr>
      </w:pPr>
    </w:p>
    <w:p w14:paraId="2E8361DA" w14:textId="59C411DA" w:rsidR="00475FDA" w:rsidRPr="00073666" w:rsidRDefault="00997241" w:rsidP="006B6502">
      <w:pPr>
        <w:pStyle w:val="Heading1"/>
        <w:spacing w:before="0" w:after="120"/>
        <w:rPr>
          <w:rFonts w:ascii="Calibri" w:hAnsi="Calibri" w:cs="Calibri"/>
          <w:color w:val="auto"/>
          <w:sz w:val="24"/>
          <w:szCs w:val="24"/>
        </w:rPr>
      </w:pPr>
      <w:r w:rsidRPr="00073666">
        <w:rPr>
          <w:rFonts w:ascii="Calibri" w:hAnsi="Calibri" w:cs="Calibri"/>
          <w:color w:val="auto"/>
          <w:sz w:val="24"/>
          <w:szCs w:val="24"/>
        </w:rPr>
        <w:t>8</w:t>
      </w:r>
      <w:r w:rsidR="00D027C8" w:rsidRPr="00073666">
        <w:rPr>
          <w:rFonts w:ascii="Calibri" w:hAnsi="Calibri" w:cs="Calibri"/>
          <w:color w:val="auto"/>
          <w:sz w:val="24"/>
          <w:szCs w:val="24"/>
        </w:rPr>
        <w:tab/>
      </w:r>
      <w:r w:rsidR="00475FDA" w:rsidRPr="00073666">
        <w:rPr>
          <w:rFonts w:ascii="Calibri" w:hAnsi="Calibri" w:cs="Calibri"/>
          <w:color w:val="auto"/>
          <w:sz w:val="24"/>
          <w:szCs w:val="24"/>
        </w:rPr>
        <w:t>ETHICAL AND REGULATORY CONSIDERATIONS</w:t>
      </w:r>
    </w:p>
    <w:p w14:paraId="51EDC630" w14:textId="2D1A95BC" w:rsidR="007E648C" w:rsidRPr="00073666" w:rsidRDefault="007E648C" w:rsidP="007E648C">
      <w:pPr>
        <w:rPr>
          <w:rFonts w:ascii="Calibri" w:hAnsi="Calibri" w:cs="Calibri"/>
        </w:rPr>
      </w:pPr>
    </w:p>
    <w:p w14:paraId="6FEF2509" w14:textId="5E7D2CD1" w:rsidR="007E648C" w:rsidRPr="00073666" w:rsidRDefault="007E648C" w:rsidP="007E648C">
      <w:pPr>
        <w:rPr>
          <w:rFonts w:ascii="Calibri" w:hAnsi="Calibri" w:cs="Calibri"/>
          <w:b/>
        </w:rPr>
      </w:pPr>
      <w:r w:rsidRPr="00073666">
        <w:rPr>
          <w:rFonts w:ascii="Calibri" w:hAnsi="Calibri" w:cs="Calibri"/>
          <w:b/>
        </w:rPr>
        <w:t>Ethical Considerations</w:t>
      </w:r>
    </w:p>
    <w:p w14:paraId="58988191" w14:textId="3BDEC993" w:rsidR="0063168A" w:rsidRPr="00073666" w:rsidRDefault="007E648C" w:rsidP="0063168A">
      <w:pPr>
        <w:autoSpaceDE w:val="0"/>
        <w:autoSpaceDN w:val="0"/>
        <w:adjustRightInd w:val="0"/>
        <w:rPr>
          <w:rFonts w:ascii="Calibri" w:hAnsi="Calibri" w:cs="Calibri"/>
          <w:color w:val="000000" w:themeColor="text1"/>
          <w:szCs w:val="22"/>
          <w:lang w:val="en-US"/>
        </w:rPr>
      </w:pPr>
      <w:r w:rsidRPr="00073666">
        <w:rPr>
          <w:rFonts w:ascii="Calibri" w:hAnsi="Calibri" w:cs="Calibri"/>
          <w:color w:val="000000" w:themeColor="text1"/>
          <w:szCs w:val="22"/>
          <w:lang w:val="en-US"/>
        </w:rPr>
        <w:t>Most patients with severe influenza or other respiratory on ICU will be unable to give informed consent due to alterations in consciousness and cognition caused by illness and, in some cases, therapeutic sedation. Consent will therefore be obtained in line with legal requirements for obtaining consent in patients without capacity in England &amp; Wales (Mental Capacity Act 2005)</w:t>
      </w:r>
      <w:r w:rsidR="006B122B" w:rsidRPr="00073666">
        <w:rPr>
          <w:rFonts w:ascii="Calibri" w:hAnsi="Calibri" w:cs="Calibri"/>
          <w:color w:val="000000" w:themeColor="text1"/>
          <w:szCs w:val="22"/>
          <w:lang w:val="en-US"/>
        </w:rPr>
        <w:t xml:space="preserve"> </w:t>
      </w:r>
      <w:r w:rsidR="0063168A" w:rsidRPr="00073666">
        <w:rPr>
          <w:rFonts w:ascii="Calibri" w:hAnsi="Calibri" w:cs="Calibri"/>
          <w:color w:val="000000" w:themeColor="text1"/>
          <w:szCs w:val="22"/>
          <w:lang w:val="en-US"/>
        </w:rPr>
        <w:t>(</w:t>
      </w:r>
      <w:r w:rsidRPr="00073666">
        <w:rPr>
          <w:rFonts w:ascii="Calibri" w:hAnsi="Calibri" w:cs="Calibri"/>
          <w:color w:val="000000" w:themeColor="text1"/>
          <w:szCs w:val="22"/>
          <w:lang w:val="en-US"/>
        </w:rPr>
        <w:t xml:space="preserve">see </w:t>
      </w:r>
      <w:r w:rsidR="0063168A" w:rsidRPr="00073666">
        <w:rPr>
          <w:rFonts w:ascii="Calibri" w:hAnsi="Calibri" w:cs="Calibri"/>
          <w:color w:val="000000" w:themeColor="text1"/>
          <w:szCs w:val="22"/>
          <w:lang w:val="en-US"/>
        </w:rPr>
        <w:t>‘</w:t>
      </w:r>
      <w:r w:rsidR="0063168A" w:rsidRPr="00073666">
        <w:rPr>
          <w:rFonts w:ascii="Calibri" w:hAnsi="Calibri" w:cs="Calibri"/>
          <w:szCs w:val="22"/>
        </w:rPr>
        <w:t>7.3.2 Consent’).</w:t>
      </w:r>
    </w:p>
    <w:p w14:paraId="68896953" w14:textId="77777777" w:rsidR="007E648C" w:rsidRPr="00073666" w:rsidRDefault="007E648C" w:rsidP="007E648C">
      <w:pPr>
        <w:autoSpaceDE w:val="0"/>
        <w:autoSpaceDN w:val="0"/>
        <w:adjustRightInd w:val="0"/>
        <w:rPr>
          <w:rFonts w:ascii="Calibri" w:hAnsi="Calibri" w:cs="Calibri"/>
          <w:color w:val="000000" w:themeColor="text1"/>
          <w:szCs w:val="22"/>
          <w:lang w:val="en-US"/>
        </w:rPr>
      </w:pPr>
    </w:p>
    <w:p w14:paraId="7A9A9520" w14:textId="77777777" w:rsidR="007E648C" w:rsidRPr="00073666" w:rsidRDefault="007E648C" w:rsidP="007E648C">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lang w:val="en-US"/>
        </w:rPr>
        <w:t>Some patients will have capacity to consent, either during their acute illness or after they recover. Under these circumstances the consent process will include: assessment and documentation of capacity by a trained member of a research team; providing written information about the study; allowing sufficient time for the patient</w:t>
      </w:r>
      <w:r w:rsidRPr="00073666">
        <w:rPr>
          <w:rFonts w:ascii="Calibri" w:hAnsi="Calibri" w:cs="Calibri"/>
          <w:color w:val="000000" w:themeColor="text1"/>
          <w:szCs w:val="22"/>
        </w:rPr>
        <w:t xml:space="preserve"> to understand the material and ask questions; obtaining written informed consent.</w:t>
      </w:r>
    </w:p>
    <w:p w14:paraId="43840452" w14:textId="77777777" w:rsidR="007E648C" w:rsidRPr="00073666" w:rsidRDefault="007E648C" w:rsidP="007E648C">
      <w:pPr>
        <w:pStyle w:val="Heading2"/>
        <w:rPr>
          <w:rFonts w:ascii="Calibri" w:hAnsi="Calibri" w:cs="Calibri"/>
          <w:b/>
          <w:color w:val="000000" w:themeColor="text1"/>
          <w:sz w:val="22"/>
          <w:szCs w:val="22"/>
        </w:rPr>
      </w:pPr>
      <w:bookmarkStart w:id="10" w:name="_Toc17128405"/>
      <w:r w:rsidRPr="00073666">
        <w:rPr>
          <w:rFonts w:ascii="Calibri" w:hAnsi="Calibri" w:cs="Calibri"/>
          <w:b/>
          <w:color w:val="000000" w:themeColor="text1"/>
          <w:sz w:val="22"/>
          <w:szCs w:val="22"/>
        </w:rPr>
        <w:t>Declaration of Helsinki</w:t>
      </w:r>
      <w:bookmarkEnd w:id="10"/>
    </w:p>
    <w:p w14:paraId="3AA6954E" w14:textId="77777777" w:rsidR="007E648C" w:rsidRPr="00073666" w:rsidRDefault="007E648C" w:rsidP="007E648C">
      <w:pPr>
        <w:rPr>
          <w:rFonts w:ascii="Calibri" w:hAnsi="Calibri" w:cs="Calibri"/>
          <w:color w:val="000000" w:themeColor="text1"/>
          <w:szCs w:val="22"/>
        </w:rPr>
      </w:pPr>
      <w:r w:rsidRPr="00073666">
        <w:rPr>
          <w:rFonts w:ascii="Calibri" w:hAnsi="Calibri" w:cs="Calibri"/>
          <w:color w:val="000000" w:themeColor="text1"/>
          <w:szCs w:val="22"/>
        </w:rPr>
        <w:t>The Chief Investigator will ensure that this study is conducted in accordance with the principles of the Declaration of Helsinki.</w:t>
      </w:r>
    </w:p>
    <w:p w14:paraId="23BAB12C" w14:textId="77777777" w:rsidR="007E648C" w:rsidRPr="00073666" w:rsidRDefault="007E648C" w:rsidP="007E648C">
      <w:pPr>
        <w:pStyle w:val="Heading2"/>
        <w:rPr>
          <w:rFonts w:ascii="Calibri" w:hAnsi="Calibri" w:cs="Calibri"/>
          <w:b/>
          <w:color w:val="000000" w:themeColor="text1"/>
          <w:sz w:val="22"/>
          <w:szCs w:val="22"/>
        </w:rPr>
      </w:pPr>
      <w:bookmarkStart w:id="11" w:name="_Toc17128406"/>
      <w:r w:rsidRPr="00073666">
        <w:rPr>
          <w:rFonts w:ascii="Calibri" w:hAnsi="Calibri" w:cs="Calibri"/>
          <w:b/>
          <w:color w:val="000000" w:themeColor="text1"/>
          <w:sz w:val="22"/>
          <w:szCs w:val="22"/>
        </w:rPr>
        <w:t>Guidelines for Good Clinical Practice</w:t>
      </w:r>
      <w:bookmarkEnd w:id="11"/>
    </w:p>
    <w:p w14:paraId="4C2BA4AC" w14:textId="77777777" w:rsidR="007E648C" w:rsidRPr="00073666" w:rsidRDefault="007E648C" w:rsidP="007E648C">
      <w:pPr>
        <w:rPr>
          <w:rFonts w:ascii="Calibri" w:hAnsi="Calibri" w:cs="Calibri"/>
          <w:color w:val="000000" w:themeColor="text1"/>
          <w:szCs w:val="22"/>
        </w:rPr>
      </w:pPr>
      <w:r w:rsidRPr="00073666">
        <w:rPr>
          <w:rFonts w:ascii="Calibri" w:hAnsi="Calibri" w:cs="Calibri"/>
          <w:color w:val="000000" w:themeColor="text1"/>
          <w:szCs w:val="22"/>
        </w:rPr>
        <w:t>The Chief Investigator will ensure that this study is conducted in accordance with Good Clinical Practice and that local PIs and co-investigators are up-to-date with GCP training.</w:t>
      </w:r>
    </w:p>
    <w:p w14:paraId="41594376" w14:textId="77777777" w:rsidR="007E648C" w:rsidRPr="00073666" w:rsidRDefault="007E648C" w:rsidP="007E648C">
      <w:pPr>
        <w:pStyle w:val="Heading2"/>
        <w:rPr>
          <w:rFonts w:ascii="Calibri" w:hAnsi="Calibri" w:cs="Calibri"/>
          <w:b/>
          <w:color w:val="000000" w:themeColor="text1"/>
          <w:sz w:val="22"/>
          <w:szCs w:val="22"/>
        </w:rPr>
      </w:pPr>
      <w:bookmarkStart w:id="12" w:name="_Toc17128407"/>
      <w:r w:rsidRPr="00073666">
        <w:rPr>
          <w:rFonts w:ascii="Calibri" w:hAnsi="Calibri" w:cs="Calibri"/>
          <w:b/>
          <w:color w:val="000000" w:themeColor="text1"/>
          <w:sz w:val="22"/>
          <w:szCs w:val="22"/>
        </w:rPr>
        <w:lastRenderedPageBreak/>
        <w:t>Approvals</w:t>
      </w:r>
      <w:bookmarkEnd w:id="12"/>
    </w:p>
    <w:p w14:paraId="187DCBB4" w14:textId="360E3EA5" w:rsidR="007E648C" w:rsidRPr="00073666" w:rsidRDefault="007E648C" w:rsidP="007E648C">
      <w:pPr>
        <w:autoSpaceDE w:val="0"/>
        <w:autoSpaceDN w:val="0"/>
        <w:adjustRightInd w:val="0"/>
        <w:rPr>
          <w:rFonts w:ascii="Calibri" w:hAnsi="Calibri" w:cs="Calibri"/>
          <w:color w:val="000000" w:themeColor="text1"/>
          <w:szCs w:val="22"/>
          <w:lang w:val="en-US" w:eastAsia="en-GB"/>
        </w:rPr>
      </w:pPr>
      <w:r w:rsidRPr="00073666">
        <w:rPr>
          <w:rFonts w:ascii="Calibri" w:hAnsi="Calibri" w:cs="Calibri"/>
          <w:color w:val="000000" w:themeColor="text1"/>
          <w:szCs w:val="22"/>
          <w:lang w:val="en-US" w:eastAsia="en-GB"/>
        </w:rPr>
        <w:t>Ethical approval for the study will be sought using the Integrated Research Application System (IRAS).</w:t>
      </w:r>
      <w:r w:rsidRPr="00073666">
        <w:rPr>
          <w:rFonts w:ascii="Calibri" w:hAnsi="Calibri" w:cs="Calibri"/>
          <w:color w:val="000000" w:themeColor="text1"/>
          <w:szCs w:val="22"/>
        </w:rPr>
        <w:t xml:space="preserve"> The informed consent form and PIS </w:t>
      </w:r>
      <w:r w:rsidRPr="00073666">
        <w:rPr>
          <w:rFonts w:ascii="Calibri" w:hAnsi="Calibri" w:cs="Calibri"/>
          <w:color w:val="000000" w:themeColor="text1"/>
          <w:szCs w:val="22"/>
          <w:lang w:val="en-US" w:eastAsia="en-GB"/>
        </w:rPr>
        <w:t>will both be submitted to IRAS.</w:t>
      </w:r>
    </w:p>
    <w:p w14:paraId="2CFC76F5" w14:textId="77777777" w:rsidR="007E648C" w:rsidRPr="00073666" w:rsidRDefault="007E648C" w:rsidP="007E648C">
      <w:pPr>
        <w:autoSpaceDE w:val="0"/>
        <w:autoSpaceDN w:val="0"/>
        <w:adjustRightInd w:val="0"/>
        <w:rPr>
          <w:rFonts w:ascii="Calibri" w:hAnsi="Calibri" w:cs="Calibri"/>
          <w:color w:val="000000" w:themeColor="text1"/>
          <w:szCs w:val="22"/>
          <w:lang w:val="en-US" w:eastAsia="en-GB"/>
        </w:rPr>
      </w:pPr>
    </w:p>
    <w:p w14:paraId="6C6C622D" w14:textId="77777777" w:rsidR="007E648C" w:rsidRPr="00073666" w:rsidRDefault="007E648C" w:rsidP="007E648C">
      <w:pPr>
        <w:autoSpaceDE w:val="0"/>
        <w:autoSpaceDN w:val="0"/>
        <w:adjustRightInd w:val="0"/>
        <w:rPr>
          <w:rFonts w:ascii="Calibri" w:hAnsi="Calibri" w:cs="Calibri"/>
          <w:color w:val="000000" w:themeColor="text1"/>
          <w:szCs w:val="22"/>
          <w:lang w:val="en-US" w:eastAsia="en-GB"/>
        </w:rPr>
      </w:pPr>
      <w:r w:rsidRPr="00073666">
        <w:rPr>
          <w:rFonts w:ascii="Calibri" w:hAnsi="Calibri" w:cs="Calibri"/>
          <w:color w:val="000000" w:themeColor="text1"/>
          <w:szCs w:val="22"/>
          <w:lang w:val="en-US" w:eastAsia="en-GB"/>
        </w:rPr>
        <w:t>Before enrolling patients into the trial, each trial site must ensure that the local conduct of the trial has the agreement of each NHS Trust Research &amp; Development (R&amp;D) department.</w:t>
      </w:r>
    </w:p>
    <w:p w14:paraId="14FF5C00" w14:textId="77777777" w:rsidR="007E648C" w:rsidRPr="00073666" w:rsidRDefault="007E648C" w:rsidP="007E648C">
      <w:pPr>
        <w:rPr>
          <w:rFonts w:ascii="Calibri" w:hAnsi="Calibri" w:cs="Calibri"/>
          <w:color w:val="000000" w:themeColor="text1"/>
          <w:szCs w:val="22"/>
          <w:lang w:val="en-US" w:eastAsia="en-GB"/>
        </w:rPr>
      </w:pPr>
    </w:p>
    <w:p w14:paraId="1EB38431" w14:textId="6CE7D395" w:rsidR="00441AFA" w:rsidRPr="00073666" w:rsidRDefault="007E648C" w:rsidP="00441AFA">
      <w:pPr>
        <w:rPr>
          <w:rFonts w:ascii="Calibri" w:hAnsi="Calibri" w:cs="Calibri"/>
          <w:color w:val="000000" w:themeColor="text1"/>
          <w:szCs w:val="22"/>
        </w:rPr>
      </w:pPr>
      <w:r w:rsidRPr="00073666">
        <w:rPr>
          <w:rFonts w:ascii="Calibri" w:hAnsi="Calibri" w:cs="Calibri"/>
          <w:color w:val="000000" w:themeColor="text1"/>
          <w:szCs w:val="22"/>
        </w:rPr>
        <w:t>The CI will submit a final report to the required authorities with the results, including any publications</w:t>
      </w:r>
      <w:r w:rsidR="006B122B" w:rsidRPr="00073666">
        <w:rPr>
          <w:rFonts w:ascii="Calibri" w:hAnsi="Calibri" w:cs="Calibri"/>
          <w:color w:val="000000" w:themeColor="text1"/>
          <w:szCs w:val="22"/>
        </w:rPr>
        <w:t>,</w:t>
      </w:r>
      <w:r w:rsidRPr="00073666">
        <w:rPr>
          <w:rFonts w:ascii="Calibri" w:hAnsi="Calibri" w:cs="Calibri"/>
          <w:color w:val="000000" w:themeColor="text1"/>
          <w:szCs w:val="22"/>
        </w:rPr>
        <w:t xml:space="preserve"> within one year of the end of the study.</w:t>
      </w:r>
    </w:p>
    <w:p w14:paraId="5CD471FB" w14:textId="77777777" w:rsidR="0063168A" w:rsidRPr="00073666" w:rsidRDefault="0063168A" w:rsidP="00441AFA">
      <w:pPr>
        <w:rPr>
          <w:rFonts w:ascii="Calibri" w:hAnsi="Calibri" w:cs="Calibri"/>
          <w:color w:val="000000" w:themeColor="text1"/>
          <w:szCs w:val="22"/>
        </w:rPr>
      </w:pPr>
    </w:p>
    <w:p w14:paraId="155BD931" w14:textId="2B4541B7" w:rsidR="0063168A" w:rsidRPr="00073666" w:rsidRDefault="00997241" w:rsidP="0063168A">
      <w:pPr>
        <w:pStyle w:val="Heading2"/>
        <w:spacing w:before="0" w:after="120" w:line="240" w:lineRule="auto"/>
        <w:rPr>
          <w:rFonts w:ascii="Calibri" w:hAnsi="Calibri" w:cs="Calibri"/>
          <w:b/>
          <w:color w:val="auto"/>
          <w:sz w:val="22"/>
          <w:szCs w:val="22"/>
        </w:rPr>
      </w:pPr>
      <w:r w:rsidRPr="00073666">
        <w:rPr>
          <w:rFonts w:ascii="Calibri" w:eastAsiaTheme="majorEastAsia" w:hAnsi="Calibri" w:cs="Calibri"/>
          <w:b/>
          <w:iCs w:val="0"/>
          <w:color w:val="auto"/>
          <w:sz w:val="22"/>
          <w:szCs w:val="22"/>
        </w:rPr>
        <w:t>8</w:t>
      </w:r>
      <w:r w:rsidR="00C975D7" w:rsidRPr="00073666">
        <w:rPr>
          <w:rFonts w:ascii="Calibri" w:eastAsiaTheme="majorEastAsia" w:hAnsi="Calibri" w:cs="Calibri"/>
          <w:b/>
          <w:iCs w:val="0"/>
          <w:color w:val="auto"/>
          <w:sz w:val="22"/>
          <w:szCs w:val="22"/>
        </w:rPr>
        <w:t>.1</w:t>
      </w:r>
      <w:r w:rsidR="00AF1D40" w:rsidRPr="00073666">
        <w:rPr>
          <w:rFonts w:ascii="Calibri" w:hAnsi="Calibri" w:cs="Calibri"/>
          <w:b/>
          <w:color w:val="auto"/>
          <w:sz w:val="22"/>
          <w:szCs w:val="22"/>
        </w:rPr>
        <w:tab/>
        <w:t>Assessment and management of risk</w:t>
      </w:r>
    </w:p>
    <w:p w14:paraId="7FA7E5BE" w14:textId="2588E7B0" w:rsidR="0063168A" w:rsidRPr="00073666" w:rsidRDefault="0063168A" w:rsidP="0063168A">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Apart from the taking of blood samples this study is non-interventional.</w:t>
      </w:r>
      <w:r w:rsidR="00111044" w:rsidRPr="00073666">
        <w:rPr>
          <w:rFonts w:ascii="Calibri" w:hAnsi="Calibri" w:cs="Calibri"/>
          <w:color w:val="000000" w:themeColor="text1"/>
          <w:szCs w:val="22"/>
        </w:rPr>
        <w:t xml:space="preserve"> Th</w:t>
      </w:r>
      <w:r w:rsidR="00F57720" w:rsidRPr="00073666">
        <w:rPr>
          <w:rFonts w:ascii="Calibri" w:hAnsi="Calibri" w:cs="Calibri"/>
          <w:color w:val="000000" w:themeColor="text1"/>
          <w:szCs w:val="22"/>
        </w:rPr>
        <w:t xml:space="preserve">e taking of </w:t>
      </w:r>
      <w:r w:rsidR="004869F2" w:rsidRPr="00073666">
        <w:rPr>
          <w:rFonts w:ascii="Calibri" w:hAnsi="Calibri" w:cs="Calibri"/>
          <w:color w:val="000000" w:themeColor="text1"/>
          <w:szCs w:val="22"/>
        </w:rPr>
        <w:t xml:space="preserve">a 30ml sample of surplus </w:t>
      </w:r>
      <w:r w:rsidR="00F57720" w:rsidRPr="00073666">
        <w:rPr>
          <w:rFonts w:ascii="Calibri" w:hAnsi="Calibri" w:cs="Calibri"/>
          <w:color w:val="000000" w:themeColor="text1"/>
          <w:szCs w:val="22"/>
        </w:rPr>
        <w:t>BAL during a bronchoscopy already being performed as part of routine clinical care is not expected to</w:t>
      </w:r>
      <w:r w:rsidR="006B122B" w:rsidRPr="00073666">
        <w:rPr>
          <w:rFonts w:ascii="Calibri" w:hAnsi="Calibri" w:cs="Calibri"/>
          <w:color w:val="000000" w:themeColor="text1"/>
          <w:szCs w:val="22"/>
        </w:rPr>
        <w:t xml:space="preserve"> </w:t>
      </w:r>
      <w:proofErr w:type="spellStart"/>
      <w:r w:rsidR="006B122B" w:rsidRPr="00073666">
        <w:rPr>
          <w:rFonts w:ascii="Calibri" w:hAnsi="Calibri" w:cs="Calibri"/>
          <w:color w:val="000000" w:themeColor="text1"/>
          <w:szCs w:val="22"/>
        </w:rPr>
        <w:t>entaill</w:t>
      </w:r>
      <w:proofErr w:type="spellEnd"/>
      <w:r w:rsidR="006B122B" w:rsidRPr="00073666">
        <w:rPr>
          <w:rFonts w:ascii="Calibri" w:hAnsi="Calibri" w:cs="Calibri"/>
          <w:color w:val="000000" w:themeColor="text1"/>
          <w:szCs w:val="22"/>
        </w:rPr>
        <w:t xml:space="preserve"> any additional risks</w:t>
      </w:r>
      <w:r w:rsidR="00F57720" w:rsidRPr="00073666">
        <w:rPr>
          <w:rFonts w:ascii="Calibri" w:hAnsi="Calibri" w:cs="Calibri"/>
          <w:color w:val="000000" w:themeColor="text1"/>
          <w:szCs w:val="22"/>
        </w:rPr>
        <w:t xml:space="preserve">. </w:t>
      </w:r>
      <w:r w:rsidRPr="00073666">
        <w:rPr>
          <w:rFonts w:ascii="Calibri" w:hAnsi="Calibri" w:cs="Calibri"/>
          <w:color w:val="000000" w:themeColor="text1"/>
          <w:szCs w:val="22"/>
        </w:rPr>
        <w:t>St</w:t>
      </w:r>
      <w:r w:rsidR="006B122B" w:rsidRPr="00073666">
        <w:rPr>
          <w:rFonts w:ascii="Calibri" w:hAnsi="Calibri" w:cs="Calibri"/>
          <w:color w:val="000000" w:themeColor="text1"/>
          <w:szCs w:val="22"/>
        </w:rPr>
        <w:t>udy enrolment is thus</w:t>
      </w:r>
      <w:r w:rsidRPr="00073666">
        <w:rPr>
          <w:rFonts w:ascii="Calibri" w:hAnsi="Calibri" w:cs="Calibri"/>
          <w:color w:val="000000" w:themeColor="text1"/>
          <w:szCs w:val="22"/>
        </w:rPr>
        <w:t xml:space="preserve"> not associated with physical </w:t>
      </w:r>
      <w:r w:rsidR="006B122B" w:rsidRPr="00073666">
        <w:rPr>
          <w:rFonts w:ascii="Calibri" w:hAnsi="Calibri" w:cs="Calibri"/>
          <w:color w:val="000000" w:themeColor="text1"/>
          <w:szCs w:val="22"/>
        </w:rPr>
        <w:t>risk</w:t>
      </w:r>
      <w:r w:rsidRPr="00073666">
        <w:rPr>
          <w:rFonts w:ascii="Calibri" w:hAnsi="Calibri" w:cs="Calibri"/>
          <w:color w:val="000000" w:themeColor="text1"/>
          <w:szCs w:val="22"/>
        </w:rPr>
        <w:t xml:space="preserve"> to the patient.</w:t>
      </w:r>
    </w:p>
    <w:p w14:paraId="5CBFC99C" w14:textId="77777777" w:rsidR="004869F2" w:rsidRPr="00073666" w:rsidRDefault="004869F2" w:rsidP="0063168A">
      <w:pPr>
        <w:autoSpaceDE w:val="0"/>
        <w:autoSpaceDN w:val="0"/>
        <w:adjustRightInd w:val="0"/>
        <w:rPr>
          <w:rFonts w:ascii="Calibri" w:hAnsi="Calibri" w:cs="Calibri"/>
          <w:color w:val="000000" w:themeColor="text1"/>
          <w:szCs w:val="22"/>
        </w:rPr>
      </w:pPr>
    </w:p>
    <w:p w14:paraId="71E44FC0" w14:textId="563AA68D" w:rsidR="00AF1D40" w:rsidRPr="00073666" w:rsidRDefault="0063168A" w:rsidP="00406EC6">
      <w:pPr>
        <w:autoSpaceDE w:val="0"/>
        <w:autoSpaceDN w:val="0"/>
        <w:adjustRightInd w:val="0"/>
        <w:rPr>
          <w:rFonts w:ascii="Calibri" w:hAnsi="Calibri" w:cs="Calibri"/>
          <w:szCs w:val="22"/>
        </w:rPr>
      </w:pPr>
      <w:r w:rsidRPr="00073666">
        <w:rPr>
          <w:rFonts w:ascii="Calibri" w:hAnsi="Calibri" w:cs="Calibri"/>
          <w:color w:val="000000" w:themeColor="text1"/>
          <w:szCs w:val="22"/>
        </w:rPr>
        <w:t>There will be no direct information gathering from participants. All information will be gathered from the electronic medical no</w:t>
      </w:r>
      <w:r w:rsidR="00406EC6" w:rsidRPr="00073666">
        <w:rPr>
          <w:rFonts w:ascii="Calibri" w:hAnsi="Calibri" w:cs="Calibri"/>
          <w:color w:val="000000" w:themeColor="text1"/>
          <w:szCs w:val="22"/>
        </w:rPr>
        <w:t>t</w:t>
      </w:r>
      <w:r w:rsidRPr="00073666">
        <w:rPr>
          <w:rFonts w:ascii="Calibri" w:hAnsi="Calibri" w:cs="Calibri"/>
          <w:color w:val="000000" w:themeColor="text1"/>
          <w:szCs w:val="22"/>
        </w:rPr>
        <w:t>es, and limited to that</w:t>
      </w:r>
      <w:r w:rsidR="00427FF2" w:rsidRPr="00073666">
        <w:rPr>
          <w:rFonts w:ascii="Calibri" w:hAnsi="Calibri" w:cs="Calibri"/>
          <w:color w:val="000000" w:themeColor="text1"/>
          <w:szCs w:val="22"/>
        </w:rPr>
        <w:t xml:space="preserve"> information outlines in Table 3</w:t>
      </w:r>
      <w:r w:rsidRPr="00073666">
        <w:rPr>
          <w:rFonts w:ascii="Calibri" w:hAnsi="Calibri" w:cs="Calibri"/>
          <w:color w:val="000000" w:themeColor="text1"/>
          <w:szCs w:val="22"/>
        </w:rPr>
        <w:t xml:space="preserve"> </w:t>
      </w:r>
      <w:r w:rsidRPr="00073666">
        <w:rPr>
          <w:rFonts w:ascii="Calibri" w:hAnsi="Calibri" w:cs="Calibri"/>
          <w:szCs w:val="22"/>
        </w:rPr>
        <w:t xml:space="preserve">(‘5.3 Data Collection’). This means there is </w:t>
      </w:r>
      <w:r w:rsidR="00406EC6" w:rsidRPr="00073666">
        <w:rPr>
          <w:rFonts w:ascii="Calibri" w:hAnsi="Calibri" w:cs="Calibri"/>
          <w:szCs w:val="22"/>
        </w:rPr>
        <w:t>minimal</w:t>
      </w:r>
      <w:r w:rsidRPr="00073666">
        <w:rPr>
          <w:rFonts w:ascii="Calibri" w:hAnsi="Calibri" w:cs="Calibri"/>
          <w:szCs w:val="22"/>
        </w:rPr>
        <w:t xml:space="preserve"> scope that a researcher could come into information that has safeguarding implications</w:t>
      </w:r>
      <w:r w:rsidR="004869F2" w:rsidRPr="00073666">
        <w:rPr>
          <w:rFonts w:ascii="Calibri" w:hAnsi="Calibri" w:cs="Calibri"/>
          <w:szCs w:val="22"/>
        </w:rPr>
        <w:t>.</w:t>
      </w:r>
    </w:p>
    <w:p w14:paraId="59580FE3" w14:textId="77777777" w:rsidR="004869F2" w:rsidRPr="00073666" w:rsidRDefault="004869F2" w:rsidP="00406EC6">
      <w:pPr>
        <w:autoSpaceDE w:val="0"/>
        <w:autoSpaceDN w:val="0"/>
        <w:adjustRightInd w:val="0"/>
        <w:rPr>
          <w:rFonts w:ascii="Calibri" w:hAnsi="Calibri" w:cs="Calibri"/>
          <w:szCs w:val="22"/>
        </w:rPr>
      </w:pPr>
    </w:p>
    <w:p w14:paraId="5959D458" w14:textId="30EED9A7" w:rsidR="00406EC6" w:rsidRPr="00073666" w:rsidRDefault="00406EC6" w:rsidP="00406EC6">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In the event that during the enrolment process the potential participant reveals information that has safeguarding implications this would be brought to the attention of the clinical team caring for the patient on the ICU.</w:t>
      </w:r>
    </w:p>
    <w:p w14:paraId="41A2A3A4" w14:textId="77777777" w:rsidR="00406EC6" w:rsidRPr="00073666" w:rsidRDefault="00406EC6" w:rsidP="00406EC6">
      <w:pPr>
        <w:autoSpaceDE w:val="0"/>
        <w:autoSpaceDN w:val="0"/>
        <w:adjustRightInd w:val="0"/>
        <w:rPr>
          <w:rFonts w:ascii="Calibri" w:hAnsi="Calibri" w:cs="Calibri"/>
          <w:color w:val="000000" w:themeColor="text1"/>
          <w:szCs w:val="22"/>
        </w:rPr>
      </w:pPr>
    </w:p>
    <w:p w14:paraId="5ED47C66" w14:textId="77777777" w:rsidR="00475FDA" w:rsidRPr="00073666" w:rsidRDefault="00997241" w:rsidP="003802A1">
      <w:pPr>
        <w:pStyle w:val="BodyText"/>
        <w:tabs>
          <w:tab w:val="left" w:pos="709"/>
        </w:tabs>
        <w:spacing w:after="120"/>
        <w:rPr>
          <w:rFonts w:ascii="Calibri" w:hAnsi="Calibri" w:cs="Calibri"/>
          <w:b/>
          <w:i w:val="0"/>
          <w:szCs w:val="24"/>
        </w:rPr>
      </w:pPr>
      <w:r w:rsidRPr="00073666">
        <w:rPr>
          <w:rFonts w:ascii="Calibri" w:hAnsi="Calibri" w:cs="Calibri"/>
          <w:b/>
          <w:i w:val="0"/>
          <w:szCs w:val="24"/>
        </w:rPr>
        <w:t>8</w:t>
      </w:r>
      <w:r w:rsidR="00AF1D40" w:rsidRPr="00073666">
        <w:rPr>
          <w:rFonts w:ascii="Calibri" w:hAnsi="Calibri" w:cs="Calibri"/>
          <w:b/>
          <w:i w:val="0"/>
          <w:szCs w:val="24"/>
        </w:rPr>
        <w:t>.2</w:t>
      </w:r>
      <w:r w:rsidR="00475FDA" w:rsidRPr="00073666">
        <w:rPr>
          <w:rFonts w:ascii="Calibri" w:hAnsi="Calibri" w:cs="Calibri"/>
          <w:b/>
          <w:i w:val="0"/>
          <w:szCs w:val="24"/>
        </w:rPr>
        <w:t xml:space="preserve"> </w:t>
      </w:r>
      <w:r w:rsidR="003F65B6" w:rsidRPr="00073666">
        <w:rPr>
          <w:rFonts w:ascii="Calibri" w:hAnsi="Calibri" w:cs="Calibri"/>
          <w:b/>
          <w:i w:val="0"/>
          <w:szCs w:val="24"/>
        </w:rPr>
        <w:tab/>
        <w:t xml:space="preserve"> </w:t>
      </w:r>
      <w:r w:rsidR="00475FDA" w:rsidRPr="00073666">
        <w:rPr>
          <w:rFonts w:ascii="Calibri" w:hAnsi="Calibri" w:cs="Calibri"/>
          <w:b/>
          <w:i w:val="0"/>
          <w:szCs w:val="24"/>
        </w:rPr>
        <w:t xml:space="preserve">Research Ethics Committee (REC) </w:t>
      </w:r>
      <w:r w:rsidR="009F4727" w:rsidRPr="00073666">
        <w:rPr>
          <w:rFonts w:ascii="Calibri" w:hAnsi="Calibri" w:cs="Calibri"/>
          <w:b/>
          <w:i w:val="0"/>
          <w:szCs w:val="24"/>
        </w:rPr>
        <w:t xml:space="preserve">and other Regulatory </w:t>
      </w:r>
      <w:r w:rsidR="00475FDA" w:rsidRPr="00073666">
        <w:rPr>
          <w:rFonts w:ascii="Calibri" w:hAnsi="Calibri" w:cs="Calibri"/>
          <w:b/>
          <w:i w:val="0"/>
          <w:szCs w:val="24"/>
        </w:rPr>
        <w:t>review</w:t>
      </w:r>
      <w:r w:rsidR="00C975D7" w:rsidRPr="00073666">
        <w:rPr>
          <w:rFonts w:ascii="Calibri" w:hAnsi="Calibri" w:cs="Calibri"/>
          <w:b/>
          <w:i w:val="0"/>
          <w:szCs w:val="24"/>
        </w:rPr>
        <w:t xml:space="preserve"> </w:t>
      </w:r>
      <w:r w:rsidR="00475FDA" w:rsidRPr="00073666">
        <w:rPr>
          <w:rFonts w:ascii="Calibri" w:hAnsi="Calibri" w:cs="Calibri"/>
          <w:b/>
          <w:i w:val="0"/>
          <w:szCs w:val="24"/>
        </w:rPr>
        <w:t>&amp; reports</w:t>
      </w:r>
    </w:p>
    <w:p w14:paraId="18B53471" w14:textId="77777777" w:rsidR="009F4727" w:rsidRPr="00073666" w:rsidRDefault="00C779BB" w:rsidP="001068D5">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lang w:eastAsia="en-GB"/>
        </w:rPr>
        <w:t>B</w:t>
      </w:r>
      <w:r w:rsidR="00475FDA" w:rsidRPr="00073666">
        <w:rPr>
          <w:rFonts w:ascii="Calibri" w:hAnsi="Calibri" w:cs="Calibri"/>
          <w:color w:val="000000" w:themeColor="text1"/>
          <w:szCs w:val="22"/>
          <w:lang w:eastAsia="en-GB"/>
        </w:rPr>
        <w:t xml:space="preserve">efore the start of the </w:t>
      </w:r>
      <w:r w:rsidR="002E5A6A" w:rsidRPr="00073666">
        <w:rPr>
          <w:rFonts w:ascii="Calibri" w:hAnsi="Calibri" w:cs="Calibri"/>
          <w:color w:val="000000" w:themeColor="text1"/>
          <w:szCs w:val="22"/>
          <w:lang w:eastAsia="en-GB"/>
        </w:rPr>
        <w:t>study</w:t>
      </w:r>
      <w:r w:rsidR="00475FDA" w:rsidRPr="00073666">
        <w:rPr>
          <w:rFonts w:ascii="Calibri" w:hAnsi="Calibri" w:cs="Calibri"/>
          <w:color w:val="000000" w:themeColor="text1"/>
          <w:szCs w:val="22"/>
          <w:lang w:eastAsia="en-GB"/>
        </w:rPr>
        <w:t xml:space="preserve">, </w:t>
      </w:r>
      <w:r w:rsidR="00E51ACD" w:rsidRPr="00073666">
        <w:rPr>
          <w:rFonts w:ascii="Calibri" w:hAnsi="Calibri" w:cs="Calibri"/>
          <w:color w:val="000000" w:themeColor="text1"/>
          <w:szCs w:val="22"/>
          <w:lang w:eastAsia="en-GB"/>
        </w:rPr>
        <w:t xml:space="preserve">a favourable opinion </w:t>
      </w:r>
      <w:r w:rsidR="00475FDA" w:rsidRPr="00073666">
        <w:rPr>
          <w:rFonts w:ascii="Calibri" w:hAnsi="Calibri" w:cs="Calibri"/>
          <w:color w:val="000000" w:themeColor="text1"/>
          <w:szCs w:val="22"/>
          <w:lang w:eastAsia="en-GB"/>
        </w:rPr>
        <w:t>will be sought from a</w:t>
      </w:r>
      <w:r w:rsidR="001068D5" w:rsidRPr="00073666">
        <w:rPr>
          <w:rFonts w:ascii="Calibri" w:hAnsi="Calibri" w:cs="Calibri"/>
          <w:color w:val="000000" w:themeColor="text1"/>
          <w:szCs w:val="22"/>
          <w:lang w:eastAsia="en-GB"/>
        </w:rPr>
        <w:t xml:space="preserve">n </w:t>
      </w:r>
      <w:r w:rsidR="00511E18" w:rsidRPr="00073666">
        <w:rPr>
          <w:rFonts w:ascii="Calibri" w:hAnsi="Calibri" w:cs="Calibri"/>
          <w:color w:val="000000" w:themeColor="text1"/>
          <w:szCs w:val="22"/>
          <w:lang w:eastAsia="en-GB"/>
        </w:rPr>
        <w:t>appropriate REC</w:t>
      </w:r>
      <w:r w:rsidR="00475FDA" w:rsidRPr="00073666">
        <w:rPr>
          <w:rFonts w:ascii="Calibri" w:hAnsi="Calibri" w:cs="Calibri"/>
          <w:color w:val="000000" w:themeColor="text1"/>
          <w:szCs w:val="22"/>
          <w:lang w:eastAsia="en-GB"/>
        </w:rPr>
        <w:t xml:space="preserve"> for the </w:t>
      </w:r>
      <w:r w:rsidR="002E5A6A" w:rsidRPr="00073666">
        <w:rPr>
          <w:rFonts w:ascii="Calibri" w:hAnsi="Calibri" w:cs="Calibri"/>
          <w:color w:val="000000" w:themeColor="text1"/>
          <w:szCs w:val="22"/>
          <w:lang w:eastAsia="en-GB"/>
        </w:rPr>
        <w:t>study</w:t>
      </w:r>
      <w:r w:rsidR="00475FDA" w:rsidRPr="00073666">
        <w:rPr>
          <w:rFonts w:ascii="Calibri" w:hAnsi="Calibri" w:cs="Calibri"/>
          <w:color w:val="000000" w:themeColor="text1"/>
          <w:szCs w:val="22"/>
          <w:lang w:eastAsia="en-GB"/>
        </w:rPr>
        <w:t xml:space="preserve"> protocol, informed consent </w:t>
      </w:r>
      <w:r w:rsidR="00475FDA" w:rsidRPr="00073666">
        <w:rPr>
          <w:rFonts w:ascii="Calibri" w:hAnsi="Calibri" w:cs="Calibri"/>
          <w:color w:val="000000" w:themeColor="text1"/>
          <w:szCs w:val="22"/>
        </w:rPr>
        <w:t>forms and other relevant documents e.g. advertisements</w:t>
      </w:r>
      <w:r w:rsidR="00441AFA" w:rsidRPr="00073666">
        <w:rPr>
          <w:rFonts w:ascii="Calibri" w:hAnsi="Calibri" w:cs="Calibri"/>
          <w:color w:val="000000" w:themeColor="text1"/>
          <w:szCs w:val="22"/>
        </w:rPr>
        <w:t>.</w:t>
      </w:r>
      <w:r w:rsidR="00475FDA" w:rsidRPr="00073666">
        <w:rPr>
          <w:rFonts w:ascii="Calibri" w:hAnsi="Calibri" w:cs="Calibri"/>
          <w:color w:val="000000" w:themeColor="text1"/>
          <w:szCs w:val="22"/>
        </w:rPr>
        <w:t xml:space="preserve"> </w:t>
      </w:r>
    </w:p>
    <w:p w14:paraId="7AA98F4A" w14:textId="77777777" w:rsidR="009F4727" w:rsidRPr="00073666" w:rsidRDefault="009F4727" w:rsidP="009F4727">
      <w:pPr>
        <w:autoSpaceDE w:val="0"/>
        <w:autoSpaceDN w:val="0"/>
        <w:adjustRightInd w:val="0"/>
        <w:rPr>
          <w:rFonts w:ascii="Calibri" w:hAnsi="Calibri" w:cs="Calibri"/>
          <w:color w:val="000000" w:themeColor="text1"/>
          <w:szCs w:val="22"/>
        </w:rPr>
      </w:pPr>
      <w:r w:rsidRPr="00073666">
        <w:rPr>
          <w:rFonts w:ascii="Calibri" w:hAnsi="Calibri" w:cs="Calibri"/>
          <w:b/>
          <w:color w:val="000000" w:themeColor="text1"/>
        </w:rPr>
        <w:t xml:space="preserve">For </w:t>
      </w:r>
      <w:r w:rsidR="001068D5" w:rsidRPr="00073666">
        <w:rPr>
          <w:rFonts w:ascii="Calibri" w:hAnsi="Calibri" w:cs="Calibri"/>
          <w:b/>
          <w:color w:val="000000" w:themeColor="text1"/>
        </w:rPr>
        <w:t xml:space="preserve">HRA- </w:t>
      </w:r>
      <w:r w:rsidRPr="00073666">
        <w:rPr>
          <w:rFonts w:ascii="Calibri" w:hAnsi="Calibri" w:cs="Calibri"/>
          <w:b/>
          <w:color w:val="000000" w:themeColor="text1"/>
        </w:rPr>
        <w:t>NHS REC reviewed research</w:t>
      </w:r>
    </w:p>
    <w:p w14:paraId="55EB0B95" w14:textId="77777777" w:rsidR="00475FDA" w:rsidRPr="00073666" w:rsidRDefault="00C779BB" w:rsidP="004A650C">
      <w:pPr>
        <w:numPr>
          <w:ilvl w:val="0"/>
          <w:numId w:val="7"/>
        </w:num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S</w:t>
      </w:r>
      <w:r w:rsidR="00475FDA" w:rsidRPr="00073666">
        <w:rPr>
          <w:rFonts w:ascii="Calibri" w:hAnsi="Calibri" w:cs="Calibri"/>
          <w:color w:val="000000" w:themeColor="text1"/>
          <w:szCs w:val="22"/>
        </w:rPr>
        <w:t xml:space="preserve">ubstantial amendments that require review by </w:t>
      </w:r>
      <w:r w:rsidR="00796D2D" w:rsidRPr="00073666">
        <w:rPr>
          <w:rFonts w:ascii="Calibri" w:hAnsi="Calibri" w:cs="Calibri"/>
          <w:color w:val="000000" w:themeColor="text1"/>
          <w:szCs w:val="22"/>
        </w:rPr>
        <w:t xml:space="preserve">NHS </w:t>
      </w:r>
      <w:r w:rsidR="00475FDA" w:rsidRPr="00073666">
        <w:rPr>
          <w:rFonts w:ascii="Calibri" w:hAnsi="Calibri" w:cs="Calibri"/>
          <w:color w:val="000000" w:themeColor="text1"/>
          <w:szCs w:val="22"/>
        </w:rPr>
        <w:t>REC will not be implemented until th</w:t>
      </w:r>
      <w:r w:rsidR="00E51ACD" w:rsidRPr="00073666">
        <w:rPr>
          <w:rFonts w:ascii="Calibri" w:hAnsi="Calibri" w:cs="Calibri"/>
          <w:color w:val="000000" w:themeColor="text1"/>
          <w:szCs w:val="22"/>
        </w:rPr>
        <w:t xml:space="preserve">at review is in place and other mechanisms are in place to implement at site.  </w:t>
      </w:r>
    </w:p>
    <w:p w14:paraId="35283D27" w14:textId="77777777" w:rsidR="00475FDA" w:rsidRPr="00073666" w:rsidRDefault="00C779BB" w:rsidP="004A650C">
      <w:pPr>
        <w:numPr>
          <w:ilvl w:val="0"/>
          <w:numId w:val="7"/>
        </w:num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I</w:t>
      </w:r>
      <w:r w:rsidR="00475FDA" w:rsidRPr="00073666">
        <w:rPr>
          <w:rFonts w:ascii="Calibri" w:hAnsi="Calibri" w:cs="Calibri"/>
          <w:color w:val="000000" w:themeColor="text1"/>
          <w:szCs w:val="22"/>
        </w:rPr>
        <w:t>t is the Chief Investigator’s responsibility to produce the annua</w:t>
      </w:r>
      <w:r w:rsidR="001068D5" w:rsidRPr="00073666">
        <w:rPr>
          <w:rFonts w:ascii="Calibri" w:hAnsi="Calibri" w:cs="Calibri"/>
          <w:color w:val="000000" w:themeColor="text1"/>
          <w:szCs w:val="22"/>
        </w:rPr>
        <w:t xml:space="preserve">l reports and submit </w:t>
      </w:r>
      <w:r w:rsidR="001068D5" w:rsidRPr="00073666">
        <w:rPr>
          <w:rFonts w:ascii="Calibri" w:hAnsi="Calibri" w:cs="Calibri"/>
          <w:color w:val="000000" w:themeColor="text1"/>
        </w:rPr>
        <w:t>the REC within 30 days of the anniversary date on which the favourable opinion was given, and annually until the study is declared ended.</w:t>
      </w:r>
    </w:p>
    <w:p w14:paraId="63BEDBD4" w14:textId="57DE4498" w:rsidR="009F4727" w:rsidRPr="00073666" w:rsidRDefault="00C779BB" w:rsidP="004A650C">
      <w:pPr>
        <w:numPr>
          <w:ilvl w:val="0"/>
          <w:numId w:val="7"/>
        </w:numPr>
        <w:autoSpaceDE w:val="0"/>
        <w:autoSpaceDN w:val="0"/>
        <w:adjustRightInd w:val="0"/>
        <w:rPr>
          <w:rFonts w:ascii="Calibri" w:hAnsi="Calibri" w:cs="Calibri"/>
          <w:color w:val="000000" w:themeColor="text1"/>
          <w:szCs w:val="22"/>
          <w:lang w:eastAsia="en-GB"/>
        </w:rPr>
      </w:pPr>
      <w:r w:rsidRPr="00073666">
        <w:rPr>
          <w:rFonts w:ascii="Calibri" w:hAnsi="Calibri" w:cs="Calibri"/>
          <w:color w:val="000000" w:themeColor="text1"/>
          <w:szCs w:val="22"/>
        </w:rPr>
        <w:t>T</w:t>
      </w:r>
      <w:r w:rsidR="00475FDA" w:rsidRPr="00073666">
        <w:rPr>
          <w:rFonts w:ascii="Calibri" w:hAnsi="Calibri" w:cs="Calibri"/>
          <w:color w:val="000000" w:themeColor="text1"/>
          <w:szCs w:val="22"/>
        </w:rPr>
        <w:t xml:space="preserve">he Chief Investigator will notify the </w:t>
      </w:r>
      <w:r w:rsidR="00E51ACD" w:rsidRPr="00073666">
        <w:rPr>
          <w:rFonts w:ascii="Calibri" w:hAnsi="Calibri" w:cs="Calibri"/>
          <w:color w:val="000000" w:themeColor="text1"/>
          <w:szCs w:val="22"/>
        </w:rPr>
        <w:t xml:space="preserve">REC </w:t>
      </w:r>
      <w:r w:rsidR="00475FDA" w:rsidRPr="00073666">
        <w:rPr>
          <w:rFonts w:ascii="Calibri" w:hAnsi="Calibri" w:cs="Calibri"/>
          <w:color w:val="000000" w:themeColor="text1"/>
          <w:szCs w:val="22"/>
        </w:rPr>
        <w:t xml:space="preserve">of the end of the </w:t>
      </w:r>
      <w:r w:rsidR="001068D5" w:rsidRPr="00073666">
        <w:rPr>
          <w:rFonts w:ascii="Calibri" w:hAnsi="Calibri" w:cs="Calibri"/>
          <w:color w:val="000000" w:themeColor="text1"/>
          <w:szCs w:val="22"/>
        </w:rPr>
        <w:t>study within one year after the end of the study.</w:t>
      </w:r>
    </w:p>
    <w:p w14:paraId="2C044BFA" w14:textId="77777777" w:rsidR="00475FDA" w:rsidRPr="00073666" w:rsidRDefault="00C779BB" w:rsidP="004A650C">
      <w:pPr>
        <w:numPr>
          <w:ilvl w:val="0"/>
          <w:numId w:val="7"/>
        </w:num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I</w:t>
      </w:r>
      <w:r w:rsidR="00475FDA" w:rsidRPr="00073666">
        <w:rPr>
          <w:rFonts w:ascii="Calibri" w:hAnsi="Calibri" w:cs="Calibri"/>
          <w:color w:val="000000" w:themeColor="text1"/>
          <w:szCs w:val="22"/>
        </w:rPr>
        <w:t>f the study is ended prematurely, the Chief Investigator will notify the REC, including the reasons for the premature termination</w:t>
      </w:r>
      <w:r w:rsidRPr="00073666">
        <w:rPr>
          <w:rFonts w:ascii="Calibri" w:hAnsi="Calibri" w:cs="Calibri"/>
          <w:color w:val="000000" w:themeColor="text1"/>
          <w:szCs w:val="22"/>
        </w:rPr>
        <w:t>.</w:t>
      </w:r>
    </w:p>
    <w:p w14:paraId="3BE3883E" w14:textId="77777777" w:rsidR="0074226F" w:rsidRPr="00073666" w:rsidRDefault="0074226F" w:rsidP="0074226F">
      <w:pPr>
        <w:autoSpaceDE w:val="0"/>
        <w:autoSpaceDN w:val="0"/>
        <w:adjustRightInd w:val="0"/>
        <w:ind w:left="1440"/>
        <w:rPr>
          <w:rFonts w:ascii="Calibri" w:hAnsi="Calibri" w:cs="Calibri"/>
          <w:color w:val="0000FF"/>
          <w:szCs w:val="22"/>
          <w:lang w:eastAsia="en-GB"/>
        </w:rPr>
      </w:pPr>
    </w:p>
    <w:p w14:paraId="22EE84DF" w14:textId="77777777" w:rsidR="003F65B6" w:rsidRPr="00073666" w:rsidRDefault="003F65B6" w:rsidP="003F65B6">
      <w:pPr>
        <w:autoSpaceDE w:val="0"/>
        <w:autoSpaceDN w:val="0"/>
        <w:adjustRightInd w:val="0"/>
        <w:rPr>
          <w:rFonts w:ascii="Calibri" w:hAnsi="Calibri" w:cs="Calibri"/>
          <w:b/>
          <w:bCs/>
          <w:szCs w:val="22"/>
          <w:lang w:eastAsia="en-GB"/>
        </w:rPr>
      </w:pPr>
      <w:r w:rsidRPr="00073666">
        <w:rPr>
          <w:rFonts w:ascii="Calibri" w:hAnsi="Calibri" w:cs="Calibri"/>
          <w:b/>
          <w:bCs/>
          <w:szCs w:val="22"/>
          <w:lang w:eastAsia="en-GB"/>
        </w:rPr>
        <w:t xml:space="preserve">Regulatory Review &amp; Compliance </w:t>
      </w:r>
    </w:p>
    <w:p w14:paraId="336C2A64" w14:textId="04FA6ED6" w:rsidR="003F65B6" w:rsidRPr="00073666" w:rsidRDefault="003F65B6" w:rsidP="001068D5">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Before any site can enrol patients into the study, the Chief Investigator/Principal Investigator or designee will ensure that appropriate approvals from participating organisations are in place. Specific arrangements on how to gain approval from participating organisations are in place and comply with the relevant guidance</w:t>
      </w:r>
      <w:r w:rsidR="00125CCC" w:rsidRPr="00073666">
        <w:rPr>
          <w:rFonts w:ascii="Calibri" w:hAnsi="Calibri" w:cs="Calibri"/>
          <w:color w:val="000000" w:themeColor="text1"/>
          <w:szCs w:val="22"/>
        </w:rPr>
        <w:t>.</w:t>
      </w:r>
    </w:p>
    <w:p w14:paraId="346D4F0C" w14:textId="77777777" w:rsidR="006B122B" w:rsidRPr="00073666" w:rsidRDefault="006B122B" w:rsidP="00443825">
      <w:pPr>
        <w:pStyle w:val="Heading31"/>
        <w:suppressAutoHyphens w:val="0"/>
        <w:spacing w:after="120"/>
        <w:rPr>
          <w:rFonts w:ascii="Calibri" w:hAnsi="Calibri" w:cs="Calibri"/>
          <w:bCs/>
          <w:sz w:val="22"/>
          <w:szCs w:val="22"/>
          <w:lang w:val="en-GB"/>
        </w:rPr>
      </w:pPr>
    </w:p>
    <w:p w14:paraId="57A30DD3" w14:textId="77777777" w:rsidR="00443825" w:rsidRPr="00073666" w:rsidRDefault="00443825" w:rsidP="00443825">
      <w:pPr>
        <w:pStyle w:val="Heading31"/>
        <w:suppressAutoHyphens w:val="0"/>
        <w:spacing w:after="120"/>
        <w:rPr>
          <w:rFonts w:ascii="Calibri" w:hAnsi="Calibri" w:cs="Calibri"/>
          <w:bCs/>
          <w:szCs w:val="24"/>
          <w:lang w:val="en-GB"/>
        </w:rPr>
      </w:pPr>
      <w:r w:rsidRPr="00073666">
        <w:rPr>
          <w:rFonts w:ascii="Calibri" w:hAnsi="Calibri" w:cs="Calibri"/>
          <w:bCs/>
          <w:szCs w:val="24"/>
          <w:lang w:val="en-GB"/>
        </w:rPr>
        <w:lastRenderedPageBreak/>
        <w:t xml:space="preserve">Amendments </w:t>
      </w:r>
    </w:p>
    <w:p w14:paraId="25564D24" w14:textId="77827880" w:rsidR="003F65B6" w:rsidRPr="00073666" w:rsidRDefault="003F65B6" w:rsidP="001068D5">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For any amendment to the study, the Chief Investigator or designee, in agreement with the sponsor will submit information to the appropriate body in order for them to issue approval for the amendment. The Chief Investigator or designee will work with sites (R&amp;D departments at NHS sites as well as the study delivery team) so they can put the necessary arrangements in place to implement the amendment</w:t>
      </w:r>
      <w:r w:rsidR="006B122B" w:rsidRPr="00073666">
        <w:rPr>
          <w:rFonts w:ascii="Calibri" w:hAnsi="Calibri" w:cs="Calibri"/>
          <w:color w:val="000000" w:themeColor="text1"/>
          <w:szCs w:val="22"/>
        </w:rPr>
        <w:t xml:space="preserve"> and</w:t>
      </w:r>
      <w:r w:rsidR="00125CCC" w:rsidRPr="00073666">
        <w:rPr>
          <w:rFonts w:ascii="Calibri" w:hAnsi="Calibri" w:cs="Calibri"/>
          <w:color w:val="000000" w:themeColor="text1"/>
          <w:szCs w:val="22"/>
        </w:rPr>
        <w:t xml:space="preserve"> confirm</w:t>
      </w:r>
      <w:r w:rsidRPr="00073666">
        <w:rPr>
          <w:rFonts w:ascii="Calibri" w:hAnsi="Calibri" w:cs="Calibri"/>
          <w:color w:val="000000" w:themeColor="text1"/>
          <w:szCs w:val="22"/>
        </w:rPr>
        <w:t xml:space="preserve"> their support for the study as </w:t>
      </w:r>
      <w:hyperlink r:id="rId27" w:history="1">
        <w:r w:rsidRPr="00073666">
          <w:rPr>
            <w:rStyle w:val="Hyperlink"/>
            <w:rFonts w:ascii="Calibri" w:hAnsi="Calibri" w:cs="Calibri"/>
            <w:color w:val="000000" w:themeColor="text1"/>
            <w:szCs w:val="22"/>
            <w:u w:val="none"/>
          </w:rPr>
          <w:t>amended</w:t>
        </w:r>
      </w:hyperlink>
      <w:r w:rsidRPr="00073666">
        <w:rPr>
          <w:rFonts w:ascii="Calibri" w:hAnsi="Calibri" w:cs="Calibri"/>
          <w:color w:val="000000" w:themeColor="text1"/>
          <w:szCs w:val="22"/>
        </w:rPr>
        <w:t>.</w:t>
      </w:r>
    </w:p>
    <w:p w14:paraId="3D08CE9E" w14:textId="77777777" w:rsidR="00406EC6" w:rsidRPr="00073666" w:rsidRDefault="00406EC6" w:rsidP="001068D5">
      <w:pPr>
        <w:autoSpaceDE w:val="0"/>
        <w:autoSpaceDN w:val="0"/>
        <w:adjustRightInd w:val="0"/>
        <w:rPr>
          <w:rFonts w:ascii="Calibri" w:hAnsi="Calibri" w:cs="Calibri"/>
          <w:color w:val="000000" w:themeColor="text1"/>
          <w:szCs w:val="22"/>
        </w:rPr>
      </w:pPr>
    </w:p>
    <w:p w14:paraId="7ADA30B9" w14:textId="77777777" w:rsidR="00475FDA" w:rsidRPr="00073666" w:rsidRDefault="00997241" w:rsidP="006B6502">
      <w:pPr>
        <w:pStyle w:val="BodyText"/>
        <w:spacing w:after="120"/>
        <w:ind w:left="720" w:hanging="720"/>
        <w:rPr>
          <w:rFonts w:ascii="Calibri" w:hAnsi="Calibri" w:cs="Calibri"/>
          <w:b/>
          <w:i w:val="0"/>
          <w:szCs w:val="24"/>
        </w:rPr>
      </w:pPr>
      <w:r w:rsidRPr="00073666">
        <w:rPr>
          <w:rFonts w:ascii="Calibri" w:hAnsi="Calibri" w:cs="Calibri"/>
          <w:b/>
          <w:i w:val="0"/>
          <w:szCs w:val="24"/>
        </w:rPr>
        <w:t>8</w:t>
      </w:r>
      <w:r w:rsidR="00441AFA" w:rsidRPr="00073666">
        <w:rPr>
          <w:rFonts w:ascii="Calibri" w:hAnsi="Calibri" w:cs="Calibri"/>
          <w:b/>
          <w:i w:val="0"/>
          <w:szCs w:val="24"/>
        </w:rPr>
        <w:t>.</w:t>
      </w:r>
      <w:r w:rsidR="00401DE9" w:rsidRPr="00073666">
        <w:rPr>
          <w:rFonts w:ascii="Calibri" w:hAnsi="Calibri" w:cs="Calibri"/>
          <w:b/>
          <w:i w:val="0"/>
          <w:szCs w:val="24"/>
        </w:rPr>
        <w:t>3</w:t>
      </w:r>
      <w:r w:rsidR="00475FDA" w:rsidRPr="00073666">
        <w:rPr>
          <w:rFonts w:ascii="Calibri" w:hAnsi="Calibri" w:cs="Calibri"/>
          <w:b/>
          <w:i w:val="0"/>
          <w:szCs w:val="24"/>
        </w:rPr>
        <w:t xml:space="preserve"> </w:t>
      </w:r>
      <w:r w:rsidR="00D027C8" w:rsidRPr="00073666">
        <w:rPr>
          <w:rFonts w:ascii="Calibri" w:hAnsi="Calibri" w:cs="Calibri"/>
          <w:b/>
          <w:i w:val="0"/>
          <w:szCs w:val="24"/>
        </w:rPr>
        <w:tab/>
      </w:r>
      <w:r w:rsidR="00475FDA" w:rsidRPr="00073666">
        <w:rPr>
          <w:rFonts w:ascii="Calibri" w:hAnsi="Calibri" w:cs="Calibri"/>
          <w:b/>
          <w:i w:val="0"/>
          <w:szCs w:val="24"/>
        </w:rPr>
        <w:t>Peer review</w:t>
      </w:r>
    </w:p>
    <w:p w14:paraId="4FF982DE" w14:textId="58820D9C" w:rsidR="00A217E2" w:rsidRPr="00073666" w:rsidRDefault="006B122B" w:rsidP="007F0EA3">
      <w:pPr>
        <w:autoSpaceDE w:val="0"/>
        <w:autoSpaceDN w:val="0"/>
        <w:adjustRightInd w:val="0"/>
        <w:rPr>
          <w:rFonts w:ascii="Calibri" w:hAnsi="Calibri" w:cs="Calibri"/>
          <w:szCs w:val="22"/>
          <w:lang w:val="en-US"/>
        </w:rPr>
      </w:pPr>
      <w:r w:rsidRPr="00073666">
        <w:rPr>
          <w:rFonts w:ascii="Calibri" w:hAnsi="Calibri" w:cs="Calibri"/>
          <w:sz w:val="22"/>
          <w:szCs w:val="22"/>
          <w:lang w:val="en-US"/>
        </w:rPr>
        <w:t>The research protocol was written and reviewed</w:t>
      </w:r>
      <w:r w:rsidR="007F0EA3" w:rsidRPr="00073666">
        <w:rPr>
          <w:rFonts w:ascii="Calibri" w:hAnsi="Calibri" w:cs="Calibri"/>
          <w:sz w:val="22"/>
          <w:szCs w:val="22"/>
          <w:lang w:val="en-US"/>
        </w:rPr>
        <w:t xml:space="preserve"> by members of </w:t>
      </w:r>
      <w:r w:rsidR="00041563" w:rsidRPr="00073666">
        <w:rPr>
          <w:rFonts w:ascii="Calibri" w:hAnsi="Calibri" w:cs="Calibri"/>
          <w:sz w:val="22"/>
          <w:szCs w:val="22"/>
          <w:lang w:val="en-US"/>
        </w:rPr>
        <w:t xml:space="preserve">Study steering group </w:t>
      </w:r>
      <w:r w:rsidR="00041563" w:rsidRPr="00073666">
        <w:rPr>
          <w:rFonts w:ascii="Calibri" w:hAnsi="Calibri" w:cs="Calibri"/>
          <w:szCs w:val="22"/>
          <w:lang w:val="en-US"/>
        </w:rPr>
        <w:t xml:space="preserve">(CI, </w:t>
      </w:r>
      <w:r w:rsidRPr="00073666">
        <w:rPr>
          <w:rFonts w:ascii="Calibri" w:hAnsi="Calibri" w:cs="Calibri"/>
          <w:szCs w:val="22"/>
          <w:lang w:val="en-US"/>
        </w:rPr>
        <w:t>Principal</w:t>
      </w:r>
      <w:r w:rsidR="007F0EA3" w:rsidRPr="00073666">
        <w:rPr>
          <w:rFonts w:ascii="Calibri" w:hAnsi="Calibri" w:cs="Calibri"/>
          <w:szCs w:val="22"/>
          <w:lang w:val="en-US"/>
        </w:rPr>
        <w:t xml:space="preserve"> Investigators and </w:t>
      </w:r>
      <w:r w:rsidR="007F0EA3" w:rsidRPr="00073666">
        <w:rPr>
          <w:rFonts w:ascii="Calibri" w:hAnsi="Calibri" w:cs="Calibri"/>
          <w:color w:val="000000" w:themeColor="text1"/>
          <w:szCs w:val="22"/>
        </w:rPr>
        <w:t xml:space="preserve">Co-investigators above). </w:t>
      </w:r>
      <w:r w:rsidR="007F0EA3" w:rsidRPr="00073666">
        <w:rPr>
          <w:rFonts w:ascii="Calibri" w:hAnsi="Calibri" w:cs="Calibri"/>
          <w:sz w:val="22"/>
          <w:szCs w:val="22"/>
          <w:lang w:val="en-US"/>
        </w:rPr>
        <w:t>This group</w:t>
      </w:r>
      <w:r w:rsidR="007F0EA3" w:rsidRPr="00073666">
        <w:rPr>
          <w:rFonts w:ascii="Calibri" w:hAnsi="Calibri" w:cs="Calibri"/>
          <w:szCs w:val="22"/>
          <w:lang w:val="en-US"/>
        </w:rPr>
        <w:t xml:space="preserve"> </w:t>
      </w:r>
      <w:r w:rsidR="00041563" w:rsidRPr="00073666">
        <w:rPr>
          <w:rFonts w:ascii="Calibri" w:hAnsi="Calibri" w:cs="Calibri"/>
          <w:sz w:val="22"/>
          <w:szCs w:val="22"/>
          <w:lang w:val="en-US"/>
        </w:rPr>
        <w:t>comprises</w:t>
      </w:r>
      <w:r w:rsidR="007F0EA3" w:rsidRPr="00073666">
        <w:rPr>
          <w:rFonts w:ascii="Calibri" w:hAnsi="Calibri" w:cs="Calibri"/>
          <w:sz w:val="22"/>
          <w:szCs w:val="22"/>
          <w:lang w:val="en-US"/>
        </w:rPr>
        <w:t xml:space="preserve"> at least one Infection and one Intensiv</w:t>
      </w:r>
      <w:r w:rsidR="00041563" w:rsidRPr="00073666">
        <w:rPr>
          <w:rFonts w:ascii="Calibri" w:hAnsi="Calibri" w:cs="Calibri"/>
          <w:sz w:val="22"/>
          <w:szCs w:val="22"/>
          <w:lang w:val="en-US"/>
        </w:rPr>
        <w:t>e care specialist for each site.</w:t>
      </w:r>
    </w:p>
    <w:p w14:paraId="4F9A7793" w14:textId="77777777" w:rsidR="00A217E2" w:rsidRPr="00073666" w:rsidRDefault="00A217E2" w:rsidP="007F0EA3">
      <w:pPr>
        <w:autoSpaceDE w:val="0"/>
        <w:autoSpaceDN w:val="0"/>
        <w:adjustRightInd w:val="0"/>
        <w:rPr>
          <w:rFonts w:ascii="Calibri" w:hAnsi="Calibri" w:cs="Calibri"/>
          <w:szCs w:val="22"/>
          <w:lang w:val="en-US"/>
        </w:rPr>
      </w:pPr>
    </w:p>
    <w:p w14:paraId="7D492D0C" w14:textId="47CB4C9D" w:rsidR="00A217E2" w:rsidRPr="00073666" w:rsidRDefault="00041563" w:rsidP="007F0EA3">
      <w:pPr>
        <w:autoSpaceDE w:val="0"/>
        <w:autoSpaceDN w:val="0"/>
        <w:adjustRightInd w:val="0"/>
        <w:rPr>
          <w:rStyle w:val="Hyperlink"/>
          <w:rFonts w:ascii="Calibri" w:hAnsi="Calibri" w:cs="Calibri"/>
          <w:sz w:val="22"/>
          <w:szCs w:val="22"/>
          <w:lang w:val="en-US"/>
        </w:rPr>
      </w:pPr>
      <w:r w:rsidRPr="00073666">
        <w:rPr>
          <w:rFonts w:ascii="Calibri" w:hAnsi="Calibri" w:cs="Calibri"/>
          <w:sz w:val="22"/>
          <w:szCs w:val="22"/>
          <w:lang w:val="en-US"/>
        </w:rPr>
        <w:t xml:space="preserve">Funding for the study was awarded via a competitive, peer-reviewed scheme open to applicants in the UK and Ireland via the Gilead Fellowship Scheme </w:t>
      </w:r>
      <w:hyperlink r:id="rId28" w:history="1">
        <w:r w:rsidRPr="00073666">
          <w:rPr>
            <w:rStyle w:val="Hyperlink"/>
            <w:rFonts w:ascii="Calibri" w:hAnsi="Calibri" w:cs="Calibri"/>
            <w:sz w:val="22"/>
            <w:szCs w:val="22"/>
            <w:lang w:val="en-US"/>
          </w:rPr>
          <w:t>https://www.ukifellowshipprogramme.com/</w:t>
        </w:r>
      </w:hyperlink>
    </w:p>
    <w:p w14:paraId="5D470231" w14:textId="082C05DE" w:rsidR="002206DC" w:rsidRPr="00073666" w:rsidRDefault="002206DC" w:rsidP="007F0EA3">
      <w:pPr>
        <w:autoSpaceDE w:val="0"/>
        <w:autoSpaceDN w:val="0"/>
        <w:adjustRightInd w:val="0"/>
        <w:rPr>
          <w:rFonts w:ascii="Calibri" w:hAnsi="Calibri" w:cs="Calibri"/>
          <w:sz w:val="22"/>
          <w:szCs w:val="22"/>
          <w:lang w:val="en-US"/>
        </w:rPr>
      </w:pPr>
    </w:p>
    <w:p w14:paraId="1BE9D6FD" w14:textId="1F0F3F20" w:rsidR="002206DC" w:rsidRPr="00073666" w:rsidRDefault="002206DC" w:rsidP="007F0EA3">
      <w:pPr>
        <w:autoSpaceDE w:val="0"/>
        <w:autoSpaceDN w:val="0"/>
        <w:adjustRightInd w:val="0"/>
        <w:rPr>
          <w:rFonts w:ascii="Calibri" w:hAnsi="Calibri" w:cs="Calibri"/>
          <w:sz w:val="22"/>
          <w:szCs w:val="22"/>
          <w:lang w:val="en-US"/>
        </w:rPr>
      </w:pPr>
      <w:r w:rsidRPr="00073666">
        <w:rPr>
          <w:rFonts w:ascii="Calibri" w:hAnsi="Calibri" w:cs="Calibri"/>
          <w:sz w:val="22"/>
          <w:szCs w:val="22"/>
          <w:lang w:val="en-US"/>
        </w:rPr>
        <w:t>The protocol (Version 0.2) was also given a favorable external expert peer review using a standardized feedback form.</w:t>
      </w:r>
    </w:p>
    <w:p w14:paraId="5FF8CA01" w14:textId="666A6918" w:rsidR="00A217E2" w:rsidRPr="00073666" w:rsidRDefault="00A217E2" w:rsidP="007F0EA3">
      <w:pPr>
        <w:autoSpaceDE w:val="0"/>
        <w:autoSpaceDN w:val="0"/>
        <w:adjustRightInd w:val="0"/>
        <w:rPr>
          <w:rFonts w:ascii="Calibri" w:hAnsi="Calibri" w:cs="Calibri"/>
          <w:szCs w:val="22"/>
          <w:lang w:val="en-US"/>
        </w:rPr>
      </w:pPr>
    </w:p>
    <w:p w14:paraId="550F2BE1" w14:textId="77777777" w:rsidR="00AB2654" w:rsidRPr="00073666" w:rsidRDefault="00AB2654" w:rsidP="007F0EA3">
      <w:pPr>
        <w:autoSpaceDE w:val="0"/>
        <w:autoSpaceDN w:val="0"/>
        <w:adjustRightInd w:val="0"/>
        <w:rPr>
          <w:rFonts w:ascii="Ü”€Tˇ" w:hAnsi="Ü”€Tˇ" w:cs="Ü”€Tˇ"/>
          <w:sz w:val="18"/>
          <w:szCs w:val="18"/>
          <w:lang w:val="en-US"/>
        </w:rPr>
      </w:pPr>
    </w:p>
    <w:p w14:paraId="1138B63C" w14:textId="77777777" w:rsidR="00475FDA" w:rsidRPr="00073666" w:rsidRDefault="00997241" w:rsidP="006B6502">
      <w:pPr>
        <w:pStyle w:val="BodyText"/>
        <w:spacing w:after="120"/>
        <w:ind w:left="720" w:hanging="720"/>
        <w:rPr>
          <w:rFonts w:ascii="Calibri" w:hAnsi="Calibri" w:cs="Calibri"/>
          <w:b/>
          <w:i w:val="0"/>
          <w:sz w:val="22"/>
          <w:szCs w:val="22"/>
        </w:rPr>
      </w:pPr>
      <w:r w:rsidRPr="00073666">
        <w:rPr>
          <w:rFonts w:ascii="Calibri" w:hAnsi="Calibri" w:cs="Calibri"/>
          <w:b/>
          <w:i w:val="0"/>
          <w:sz w:val="22"/>
          <w:szCs w:val="22"/>
        </w:rPr>
        <w:t>8</w:t>
      </w:r>
      <w:r w:rsidR="00441AFA" w:rsidRPr="00073666">
        <w:rPr>
          <w:rFonts w:ascii="Calibri" w:hAnsi="Calibri" w:cs="Calibri"/>
          <w:b/>
          <w:i w:val="0"/>
          <w:sz w:val="22"/>
          <w:szCs w:val="22"/>
        </w:rPr>
        <w:t>.4</w:t>
      </w:r>
      <w:r w:rsidR="00475FDA" w:rsidRPr="00073666">
        <w:rPr>
          <w:rFonts w:ascii="Calibri" w:hAnsi="Calibri" w:cs="Calibri"/>
          <w:b/>
          <w:i w:val="0"/>
          <w:sz w:val="22"/>
          <w:szCs w:val="22"/>
        </w:rPr>
        <w:t xml:space="preserve"> </w:t>
      </w:r>
      <w:r w:rsidR="00D027C8" w:rsidRPr="00073666">
        <w:rPr>
          <w:rFonts w:ascii="Calibri" w:hAnsi="Calibri" w:cs="Calibri"/>
          <w:b/>
          <w:i w:val="0"/>
          <w:sz w:val="22"/>
          <w:szCs w:val="22"/>
        </w:rPr>
        <w:tab/>
      </w:r>
      <w:r w:rsidR="00441AFA" w:rsidRPr="00073666">
        <w:rPr>
          <w:rFonts w:ascii="Calibri" w:hAnsi="Calibri" w:cs="Calibri"/>
          <w:b/>
          <w:i w:val="0"/>
          <w:sz w:val="22"/>
          <w:szCs w:val="22"/>
        </w:rPr>
        <w:t xml:space="preserve">Patient &amp; </w:t>
      </w:r>
      <w:r w:rsidR="00475FDA" w:rsidRPr="00073666">
        <w:rPr>
          <w:rFonts w:ascii="Calibri" w:hAnsi="Calibri" w:cs="Calibri"/>
          <w:b/>
          <w:i w:val="0"/>
          <w:sz w:val="22"/>
          <w:szCs w:val="22"/>
        </w:rPr>
        <w:t xml:space="preserve">Public </w:t>
      </w:r>
      <w:r w:rsidR="00DD31D1" w:rsidRPr="00073666">
        <w:rPr>
          <w:rFonts w:ascii="Calibri" w:hAnsi="Calibri" w:cs="Calibri"/>
          <w:b/>
          <w:i w:val="0"/>
          <w:sz w:val="22"/>
          <w:szCs w:val="22"/>
        </w:rPr>
        <w:t>I</w:t>
      </w:r>
      <w:r w:rsidR="00475FDA" w:rsidRPr="00073666">
        <w:rPr>
          <w:rFonts w:ascii="Calibri" w:hAnsi="Calibri" w:cs="Calibri"/>
          <w:b/>
          <w:i w:val="0"/>
          <w:sz w:val="22"/>
          <w:szCs w:val="22"/>
        </w:rPr>
        <w:t>nvolvement</w:t>
      </w:r>
    </w:p>
    <w:p w14:paraId="418112FD" w14:textId="2266550D" w:rsidR="0077172F" w:rsidRPr="00073666" w:rsidRDefault="0077172F" w:rsidP="0077172F">
      <w:pPr>
        <w:rPr>
          <w:rFonts w:ascii="Calibri" w:hAnsi="Calibri" w:cs="Calibri"/>
          <w:color w:val="000000" w:themeColor="text1"/>
          <w:sz w:val="22"/>
          <w:szCs w:val="22"/>
          <w:lang w:val="en-US" w:eastAsia="en-GB"/>
        </w:rPr>
      </w:pPr>
      <w:r w:rsidRPr="00073666">
        <w:rPr>
          <w:rFonts w:ascii="Calibri" w:eastAsia="Calibri" w:hAnsi="Calibri" w:cs="Calibri"/>
          <w:color w:val="000000"/>
          <w:sz w:val="22"/>
          <w:szCs w:val="22"/>
          <w:u w:color="000000"/>
          <w14:textOutline w14:w="0" w14:cap="flat" w14:cmpd="sng" w14:algn="ctr">
            <w14:noFill/>
            <w14:prstDash w14:val="solid"/>
            <w14:bevel/>
          </w14:textOutline>
        </w:rPr>
        <w:t xml:space="preserve">Patient and public involvement was sought at a fundraising event for a </w:t>
      </w:r>
      <w:r w:rsidRPr="00073666">
        <w:rPr>
          <w:rFonts w:ascii="Calibri" w:hAnsi="Calibri" w:cs="Calibri"/>
          <w:color w:val="000000" w:themeColor="text1"/>
          <w:sz w:val="22"/>
          <w:szCs w:val="22"/>
          <w:lang w:val="en-US" w:eastAsia="en-GB"/>
        </w:rPr>
        <w:t>St Thomas’ Hospital ECMO patient group.</w:t>
      </w:r>
    </w:p>
    <w:p w14:paraId="41E36C43" w14:textId="77777777" w:rsidR="004869F2" w:rsidRPr="00073666" w:rsidRDefault="004869F2" w:rsidP="0077172F">
      <w:pPr>
        <w:rPr>
          <w:rFonts w:ascii="Calibri" w:eastAsia="Calibri" w:hAnsi="Calibri" w:cs="Calibri"/>
          <w:color w:val="000000"/>
          <w:sz w:val="22"/>
          <w:szCs w:val="22"/>
          <w:u w:color="000000"/>
          <w14:textOutline w14:w="0" w14:cap="flat" w14:cmpd="sng" w14:algn="ctr">
            <w14:noFill/>
            <w14:prstDash w14:val="solid"/>
            <w14:bevel/>
          </w14:textOutline>
        </w:rPr>
      </w:pPr>
    </w:p>
    <w:p w14:paraId="7E60080B" w14:textId="4E47C403" w:rsidR="00406EC6" w:rsidRPr="00073666" w:rsidRDefault="0077172F" w:rsidP="0077172F">
      <w:pPr>
        <w:pStyle w:val="Default"/>
        <w:spacing w:after="120"/>
        <w:rPr>
          <w:rFonts w:eastAsia="Calibri"/>
          <w:sz w:val="22"/>
          <w:szCs w:val="22"/>
          <w:u w:color="000000"/>
          <w14:textOutline w14:w="0" w14:cap="flat" w14:cmpd="sng" w14:algn="ctr">
            <w14:noFill/>
            <w14:prstDash w14:val="solid"/>
            <w14:bevel/>
          </w14:textOutline>
        </w:rPr>
      </w:pPr>
      <w:r w:rsidRPr="00073666">
        <w:rPr>
          <w:rFonts w:eastAsia="Calibri"/>
          <w:sz w:val="22"/>
          <w:szCs w:val="22"/>
          <w:u w:color="000000"/>
          <w14:textOutline w14:w="0" w14:cap="flat" w14:cmpd="sng" w14:algn="ctr">
            <w14:noFill/>
            <w14:prstDash w14:val="solid"/>
            <w14:bevel/>
          </w14:textOutline>
        </w:rPr>
        <w:t xml:space="preserve">A number of people kindly volunteered. This included three people who had previously been patients on ECMO at St Thomas’ for severe infections including </w:t>
      </w:r>
      <w:r w:rsidR="00041563" w:rsidRPr="00073666">
        <w:rPr>
          <w:rFonts w:eastAsia="Calibri"/>
          <w:sz w:val="22"/>
          <w:szCs w:val="22"/>
          <w:u w:color="000000"/>
          <w14:textOutline w14:w="0" w14:cap="flat" w14:cmpd="sng" w14:algn="ctr">
            <w14:noFill/>
            <w14:prstDash w14:val="solid"/>
            <w14:bevel/>
          </w14:textOutline>
        </w:rPr>
        <w:t>influenza, plus</w:t>
      </w:r>
      <w:r w:rsidRPr="00073666">
        <w:rPr>
          <w:rFonts w:eastAsia="Calibri"/>
          <w:sz w:val="22"/>
          <w:szCs w:val="22"/>
          <w:u w:color="000000"/>
          <w14:textOutline w14:w="0" w14:cap="flat" w14:cmpd="sng" w14:algn="ctr">
            <w14:noFill/>
            <w14:prstDash w14:val="solid"/>
            <w14:bevel/>
          </w14:textOutline>
        </w:rPr>
        <w:t xml:space="preserve"> a partner of </w:t>
      </w:r>
      <w:r w:rsidR="00041563" w:rsidRPr="00073666">
        <w:rPr>
          <w:rFonts w:eastAsia="Calibri"/>
          <w:sz w:val="22"/>
          <w:szCs w:val="22"/>
          <w:u w:color="000000"/>
          <w14:textOutline w14:w="0" w14:cap="flat" w14:cmpd="sng" w14:algn="ctr">
            <w14:noFill/>
            <w14:prstDash w14:val="solid"/>
            <w14:bevel/>
          </w14:textOutline>
        </w:rPr>
        <w:t xml:space="preserve">one such </w:t>
      </w:r>
      <w:r w:rsidRPr="00073666">
        <w:rPr>
          <w:rFonts w:eastAsia="Calibri"/>
          <w:sz w:val="22"/>
          <w:szCs w:val="22"/>
          <w:u w:color="000000"/>
          <w14:textOutline w14:w="0" w14:cap="flat" w14:cmpd="sng" w14:algn="ctr">
            <w14:noFill/>
            <w14:prstDash w14:val="solid"/>
            <w14:bevel/>
          </w14:textOutline>
        </w:rPr>
        <w:t>patient.</w:t>
      </w:r>
    </w:p>
    <w:p w14:paraId="01349188" w14:textId="7E7FF5B4" w:rsidR="0077172F" w:rsidRPr="00073666" w:rsidRDefault="0077172F" w:rsidP="0077172F">
      <w:pPr>
        <w:pStyle w:val="Body"/>
        <w:rPr>
          <w:bCs/>
          <w:lang w:val="en-US"/>
        </w:rPr>
      </w:pPr>
      <w:r w:rsidRPr="00073666">
        <w:rPr>
          <w:color w:val="auto"/>
        </w:rPr>
        <w:t>A copy of the patient information sheet (PIS) and study protocol (version 0.2) was provided to all volunteers alongside a ‘</w:t>
      </w:r>
      <w:r w:rsidRPr="00073666">
        <w:rPr>
          <w:bCs/>
          <w:lang w:val="en-US"/>
        </w:rPr>
        <w:t>Patient &amp; Public Feedback Form’ to complete.</w:t>
      </w:r>
    </w:p>
    <w:p w14:paraId="61596E91" w14:textId="77777777" w:rsidR="00F50374" w:rsidRPr="00073666" w:rsidRDefault="0077172F" w:rsidP="0077172F">
      <w:pPr>
        <w:pStyle w:val="Body"/>
        <w:rPr>
          <w:bCs/>
        </w:rPr>
      </w:pPr>
      <w:r w:rsidRPr="00073666">
        <w:rPr>
          <w:bCs/>
        </w:rPr>
        <w:t xml:space="preserve">All found the PIS easy to </w:t>
      </w:r>
      <w:r w:rsidR="005D7193" w:rsidRPr="00073666">
        <w:rPr>
          <w:bCs/>
        </w:rPr>
        <w:t>read</w:t>
      </w:r>
      <w:r w:rsidR="004869F2" w:rsidRPr="00073666">
        <w:rPr>
          <w:bCs/>
        </w:rPr>
        <w:t xml:space="preserve"> and </w:t>
      </w:r>
      <w:r w:rsidR="005D7193" w:rsidRPr="00073666">
        <w:rPr>
          <w:bCs/>
        </w:rPr>
        <w:t>u</w:t>
      </w:r>
      <w:r w:rsidR="004869F2" w:rsidRPr="00073666">
        <w:rPr>
          <w:bCs/>
        </w:rPr>
        <w:t xml:space="preserve">nderstand. All felt that the PIS made clear </w:t>
      </w:r>
      <w:r w:rsidR="000642FC" w:rsidRPr="00073666">
        <w:rPr>
          <w:bCs/>
        </w:rPr>
        <w:t>b</w:t>
      </w:r>
      <w:r w:rsidR="004869F2" w:rsidRPr="00073666">
        <w:rPr>
          <w:bCs/>
        </w:rPr>
        <w:t xml:space="preserve">oth </w:t>
      </w:r>
      <w:r w:rsidR="00041563" w:rsidRPr="00073666">
        <w:rPr>
          <w:bCs/>
        </w:rPr>
        <w:t xml:space="preserve">the purpose of the study </w:t>
      </w:r>
      <w:r w:rsidRPr="00073666">
        <w:rPr>
          <w:bCs/>
        </w:rPr>
        <w:t>and what participat</w:t>
      </w:r>
      <w:r w:rsidR="000642FC" w:rsidRPr="00073666">
        <w:rPr>
          <w:bCs/>
        </w:rPr>
        <w:t xml:space="preserve">ion </w:t>
      </w:r>
      <w:r w:rsidRPr="00073666">
        <w:rPr>
          <w:bCs/>
        </w:rPr>
        <w:t xml:space="preserve">would involve. </w:t>
      </w:r>
      <w:r w:rsidR="00041563" w:rsidRPr="00073666">
        <w:rPr>
          <w:bCs/>
        </w:rPr>
        <w:t>None</w:t>
      </w:r>
      <w:r w:rsidR="000642FC" w:rsidRPr="00073666">
        <w:rPr>
          <w:bCs/>
        </w:rPr>
        <w:t xml:space="preserve"> reported that</w:t>
      </w:r>
      <w:r w:rsidRPr="00073666">
        <w:rPr>
          <w:bCs/>
        </w:rPr>
        <w:t xml:space="preserve"> they would</w:t>
      </w:r>
      <w:r w:rsidR="000642FC" w:rsidRPr="00073666">
        <w:rPr>
          <w:bCs/>
        </w:rPr>
        <w:t xml:space="preserve"> not</w:t>
      </w:r>
      <w:r w:rsidRPr="00073666">
        <w:rPr>
          <w:bCs/>
        </w:rPr>
        <w:t xml:space="preserve"> take part in the study after reading the PIS.</w:t>
      </w:r>
    </w:p>
    <w:p w14:paraId="0E01E3D1" w14:textId="27FAF36D" w:rsidR="0077172F" w:rsidRPr="00073666" w:rsidRDefault="0077172F" w:rsidP="0077172F">
      <w:pPr>
        <w:pStyle w:val="Body"/>
        <w:rPr>
          <w:bCs/>
        </w:rPr>
      </w:pPr>
      <w:r w:rsidRPr="00073666">
        <w:rPr>
          <w:bCs/>
        </w:rPr>
        <w:t xml:space="preserve">The study was deemed worthwhile and no concerns were raised </w:t>
      </w:r>
      <w:r w:rsidR="00830AF2" w:rsidRPr="00073666">
        <w:rPr>
          <w:bCs/>
        </w:rPr>
        <w:t xml:space="preserve">regarding the study design, management, </w:t>
      </w:r>
      <w:r w:rsidR="000642FC" w:rsidRPr="00073666">
        <w:rPr>
          <w:bCs/>
        </w:rPr>
        <w:t xml:space="preserve">or </w:t>
      </w:r>
      <w:r w:rsidR="00830AF2" w:rsidRPr="00073666">
        <w:rPr>
          <w:bCs/>
        </w:rPr>
        <w:t xml:space="preserve">ethical </w:t>
      </w:r>
      <w:r w:rsidR="005D7193" w:rsidRPr="00073666">
        <w:rPr>
          <w:bCs/>
        </w:rPr>
        <w:t>aspects</w:t>
      </w:r>
      <w:r w:rsidR="00830AF2" w:rsidRPr="00073666">
        <w:rPr>
          <w:bCs/>
        </w:rPr>
        <w:t>.</w:t>
      </w:r>
    </w:p>
    <w:p w14:paraId="60A7AFD1" w14:textId="6256A727" w:rsidR="00830AF2" w:rsidRPr="00073666" w:rsidRDefault="00830AF2" w:rsidP="0077172F">
      <w:pPr>
        <w:pStyle w:val="Body"/>
        <w:rPr>
          <w:bCs/>
        </w:rPr>
      </w:pPr>
      <w:r w:rsidRPr="00073666">
        <w:rPr>
          <w:bCs/>
        </w:rPr>
        <w:t>Volunteers provided some excellent feedback which helped improve the PIS</w:t>
      </w:r>
      <w:r w:rsidR="00041563" w:rsidRPr="00073666">
        <w:rPr>
          <w:bCs/>
        </w:rPr>
        <w:t xml:space="preserve"> (subsequent </w:t>
      </w:r>
      <w:r w:rsidR="003D473C" w:rsidRPr="00073666">
        <w:rPr>
          <w:bCs/>
        </w:rPr>
        <w:t>modifications</w:t>
      </w:r>
      <w:r w:rsidR="00041563" w:rsidRPr="00073666">
        <w:rPr>
          <w:bCs/>
        </w:rPr>
        <w:t xml:space="preserve"> italicised below)</w:t>
      </w:r>
      <w:r w:rsidRPr="00073666">
        <w:rPr>
          <w:bCs/>
        </w:rPr>
        <w:t>. This included:</w:t>
      </w:r>
    </w:p>
    <w:p w14:paraId="3E20B243" w14:textId="6F7AF011" w:rsidR="00830AF2" w:rsidRPr="00073666" w:rsidRDefault="00830AF2" w:rsidP="00830AF2">
      <w:pPr>
        <w:pStyle w:val="Body"/>
        <w:numPr>
          <w:ilvl w:val="0"/>
          <w:numId w:val="39"/>
        </w:numPr>
        <w:rPr>
          <w:bCs/>
          <w:i/>
        </w:rPr>
      </w:pPr>
      <w:r w:rsidRPr="00073666">
        <w:rPr>
          <w:bCs/>
        </w:rPr>
        <w:t xml:space="preserve">Making the </w:t>
      </w:r>
      <w:r w:rsidR="005D7193" w:rsidRPr="00073666">
        <w:rPr>
          <w:bCs/>
        </w:rPr>
        <w:t>observational</w:t>
      </w:r>
      <w:r w:rsidRPr="00073666">
        <w:rPr>
          <w:bCs/>
        </w:rPr>
        <w:t xml:space="preserve"> nature of the study clear from the outset of the PIS</w:t>
      </w:r>
      <w:r w:rsidR="00041563" w:rsidRPr="00073666">
        <w:rPr>
          <w:bCs/>
        </w:rPr>
        <w:t xml:space="preserve"> -</w:t>
      </w:r>
      <w:r w:rsidR="00E23BCD" w:rsidRPr="00073666">
        <w:rPr>
          <w:bCs/>
        </w:rPr>
        <w:t xml:space="preserve"> </w:t>
      </w:r>
      <w:r w:rsidR="00E23BCD" w:rsidRPr="00073666">
        <w:rPr>
          <w:bCs/>
          <w:i/>
        </w:rPr>
        <w:t>sentence added to introductory paragraph</w:t>
      </w:r>
      <w:r w:rsidR="005D7193" w:rsidRPr="00073666">
        <w:rPr>
          <w:bCs/>
          <w:i/>
        </w:rPr>
        <w:t>.</w:t>
      </w:r>
    </w:p>
    <w:p w14:paraId="5783E4A8" w14:textId="14E4592B" w:rsidR="00E23BCD" w:rsidRPr="00073666" w:rsidRDefault="00E23BCD" w:rsidP="00830AF2">
      <w:pPr>
        <w:pStyle w:val="Body"/>
        <w:numPr>
          <w:ilvl w:val="0"/>
          <w:numId w:val="39"/>
        </w:numPr>
        <w:rPr>
          <w:bCs/>
          <w:i/>
        </w:rPr>
      </w:pPr>
      <w:r w:rsidRPr="00073666">
        <w:rPr>
          <w:bCs/>
        </w:rPr>
        <w:t>Having a brief synopsis at beginning allowing people to read on to find out more</w:t>
      </w:r>
      <w:r w:rsidR="005D7193" w:rsidRPr="00073666">
        <w:rPr>
          <w:bCs/>
        </w:rPr>
        <w:t xml:space="preserve"> if they </w:t>
      </w:r>
      <w:proofErr w:type="gramStart"/>
      <w:r w:rsidR="005D7193" w:rsidRPr="00073666">
        <w:rPr>
          <w:bCs/>
        </w:rPr>
        <w:t>wish</w:t>
      </w:r>
      <w:r w:rsidR="00041563" w:rsidRPr="00073666">
        <w:rPr>
          <w:bCs/>
        </w:rPr>
        <w:t xml:space="preserve"> </w:t>
      </w:r>
      <w:r w:rsidR="00041563" w:rsidRPr="00073666">
        <w:rPr>
          <w:bCs/>
          <w:i/>
        </w:rPr>
        <w:t>:</w:t>
      </w:r>
      <w:proofErr w:type="gramEnd"/>
      <w:r w:rsidR="00041563" w:rsidRPr="00073666">
        <w:rPr>
          <w:bCs/>
          <w:i/>
        </w:rPr>
        <w:t xml:space="preserve"> </w:t>
      </w:r>
      <w:r w:rsidRPr="00073666">
        <w:rPr>
          <w:bCs/>
          <w:i/>
        </w:rPr>
        <w:t>‘short summary’ box added to first page</w:t>
      </w:r>
      <w:r w:rsidR="005D7193" w:rsidRPr="00073666">
        <w:rPr>
          <w:bCs/>
          <w:i/>
        </w:rPr>
        <w:t>.</w:t>
      </w:r>
    </w:p>
    <w:p w14:paraId="48D60790" w14:textId="226B067A" w:rsidR="00830AF2" w:rsidRPr="00073666" w:rsidRDefault="00830AF2" w:rsidP="00830AF2">
      <w:pPr>
        <w:pStyle w:val="Body"/>
        <w:numPr>
          <w:ilvl w:val="0"/>
          <w:numId w:val="39"/>
        </w:numPr>
        <w:rPr>
          <w:bCs/>
          <w:i/>
        </w:rPr>
      </w:pPr>
      <w:r w:rsidRPr="00073666">
        <w:rPr>
          <w:bCs/>
        </w:rPr>
        <w:t xml:space="preserve">Make clear that blood samples could be taken alongside routine bloods and that a </w:t>
      </w:r>
      <w:r w:rsidR="005D7193" w:rsidRPr="00073666">
        <w:t>bronchoscopy</w:t>
      </w:r>
      <w:r w:rsidRPr="00073666">
        <w:t xml:space="preserve"> wouldn’t be unnecessarily done for the purpose of the study</w:t>
      </w:r>
      <w:r w:rsidR="00041563" w:rsidRPr="00073666">
        <w:t>:</w:t>
      </w:r>
      <w:r w:rsidR="00E23BCD" w:rsidRPr="00073666">
        <w:t xml:space="preserve"> </w:t>
      </w:r>
      <w:r w:rsidR="005D7193" w:rsidRPr="00073666">
        <w:rPr>
          <w:i/>
        </w:rPr>
        <w:t xml:space="preserve">added to brief synopsis and </w:t>
      </w:r>
      <w:r w:rsidR="00041563" w:rsidRPr="00073666">
        <w:rPr>
          <w:i/>
        </w:rPr>
        <w:t>bold type used i</w:t>
      </w:r>
      <w:r w:rsidR="00E23BCD" w:rsidRPr="00073666">
        <w:rPr>
          <w:i/>
        </w:rPr>
        <w:t>n sentences highlighting this</w:t>
      </w:r>
      <w:r w:rsidR="005D7193" w:rsidRPr="00073666">
        <w:rPr>
          <w:i/>
        </w:rPr>
        <w:t>.</w:t>
      </w:r>
    </w:p>
    <w:p w14:paraId="6379ED3D" w14:textId="162C3A5B" w:rsidR="00830AF2" w:rsidRPr="00073666" w:rsidRDefault="00830AF2" w:rsidP="00830AF2">
      <w:pPr>
        <w:pStyle w:val="Body"/>
        <w:numPr>
          <w:ilvl w:val="0"/>
          <w:numId w:val="39"/>
        </w:numPr>
        <w:rPr>
          <w:bCs/>
        </w:rPr>
      </w:pPr>
      <w:r w:rsidRPr="00073666">
        <w:rPr>
          <w:bCs/>
        </w:rPr>
        <w:lastRenderedPageBreak/>
        <w:t xml:space="preserve">Use pictures in the PIS, including a picture of the </w:t>
      </w:r>
      <w:proofErr w:type="spellStart"/>
      <w:proofErr w:type="gramStart"/>
      <w:r w:rsidRPr="00073666">
        <w:rPr>
          <w:bCs/>
        </w:rPr>
        <w:t>AspLFD</w:t>
      </w:r>
      <w:proofErr w:type="spellEnd"/>
      <w:r w:rsidR="00041563" w:rsidRPr="00073666">
        <w:rPr>
          <w:bCs/>
        </w:rPr>
        <w:t xml:space="preserve"> :</w:t>
      </w:r>
      <w:proofErr w:type="gramEnd"/>
      <w:r w:rsidR="00E23BCD" w:rsidRPr="00073666">
        <w:rPr>
          <w:bCs/>
        </w:rPr>
        <w:t xml:space="preserve"> </w:t>
      </w:r>
      <w:r w:rsidR="00E23BCD" w:rsidRPr="00073666">
        <w:rPr>
          <w:bCs/>
          <w:i/>
        </w:rPr>
        <w:t xml:space="preserve">pictures of bronchoscopy and </w:t>
      </w:r>
      <w:proofErr w:type="spellStart"/>
      <w:r w:rsidR="00E23BCD" w:rsidRPr="00073666">
        <w:rPr>
          <w:bCs/>
          <w:i/>
        </w:rPr>
        <w:t>AspLFD</w:t>
      </w:r>
      <w:proofErr w:type="spellEnd"/>
      <w:r w:rsidR="00E23BCD" w:rsidRPr="00073666">
        <w:rPr>
          <w:bCs/>
          <w:i/>
        </w:rPr>
        <w:t xml:space="preserve"> added</w:t>
      </w:r>
      <w:r w:rsidR="005D7193" w:rsidRPr="00073666">
        <w:rPr>
          <w:bCs/>
          <w:i/>
        </w:rPr>
        <w:t>.</w:t>
      </w:r>
    </w:p>
    <w:p w14:paraId="6439335F" w14:textId="7EBFF19A" w:rsidR="00E23BCD" w:rsidRPr="00073666" w:rsidRDefault="00830AF2" w:rsidP="005D7193">
      <w:pPr>
        <w:pStyle w:val="Body"/>
        <w:numPr>
          <w:ilvl w:val="0"/>
          <w:numId w:val="39"/>
        </w:numPr>
        <w:rPr>
          <w:bCs/>
          <w:i/>
        </w:rPr>
      </w:pPr>
      <w:r w:rsidRPr="00073666">
        <w:rPr>
          <w:bCs/>
        </w:rPr>
        <w:t>Make clear publications would contain anonymised data only</w:t>
      </w:r>
      <w:r w:rsidR="00041563" w:rsidRPr="00073666">
        <w:rPr>
          <w:bCs/>
          <w:i/>
        </w:rPr>
        <w:t xml:space="preserve">: </w:t>
      </w:r>
      <w:r w:rsidR="00E23BCD" w:rsidRPr="00073666">
        <w:rPr>
          <w:bCs/>
          <w:i/>
        </w:rPr>
        <w:t>sentence added to this effect</w:t>
      </w:r>
      <w:r w:rsidR="005D7193" w:rsidRPr="00073666">
        <w:rPr>
          <w:bCs/>
          <w:i/>
        </w:rPr>
        <w:t>.</w:t>
      </w:r>
    </w:p>
    <w:p w14:paraId="5E8D1DF3" w14:textId="3FA57940" w:rsidR="00830AF2" w:rsidRPr="00073666" w:rsidRDefault="00830AF2" w:rsidP="0077172F">
      <w:pPr>
        <w:pStyle w:val="Body"/>
        <w:rPr>
          <w:bCs/>
        </w:rPr>
      </w:pPr>
      <w:r w:rsidRPr="00073666">
        <w:rPr>
          <w:bCs/>
        </w:rPr>
        <w:t xml:space="preserve">Some </w:t>
      </w:r>
      <w:r w:rsidR="00E23BCD" w:rsidRPr="00073666">
        <w:rPr>
          <w:bCs/>
        </w:rPr>
        <w:t>excerpts</w:t>
      </w:r>
      <w:r w:rsidR="00041563" w:rsidRPr="00073666">
        <w:rPr>
          <w:bCs/>
        </w:rPr>
        <w:t xml:space="preserve"> from comments</w:t>
      </w:r>
      <w:r w:rsidRPr="00073666">
        <w:rPr>
          <w:bCs/>
        </w:rPr>
        <w:t xml:space="preserve"> include:</w:t>
      </w:r>
    </w:p>
    <w:tbl>
      <w:tblPr>
        <w:tblW w:w="104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98"/>
        <w:gridCol w:w="6487"/>
      </w:tblGrid>
      <w:tr w:rsidR="00830AF2" w:rsidRPr="00073666" w14:paraId="15567CF1" w14:textId="77777777" w:rsidTr="00460E41">
        <w:trPr>
          <w:trHeight w:val="612"/>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D8039E" w14:textId="77777777" w:rsidR="00830AF2" w:rsidRPr="00073666" w:rsidRDefault="00830AF2" w:rsidP="00460E41">
            <w:pPr>
              <w:pStyle w:val="Body"/>
              <w:spacing w:before="60" w:after="60"/>
              <w:jc w:val="both"/>
            </w:pPr>
            <w:r w:rsidRPr="00073666">
              <w:rPr>
                <w:lang w:val="en-US"/>
              </w:rPr>
              <w:t>Do you think the study is worthwhile and why?</w:t>
            </w:r>
          </w:p>
        </w:tc>
        <w:tc>
          <w:tcPr>
            <w:tcW w:w="6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F8B0E" w14:textId="58B1C18E" w:rsidR="00830AF2" w:rsidRPr="00073666" w:rsidRDefault="00E23BCD" w:rsidP="00460E41">
            <w:pPr>
              <w:spacing w:before="60" w:after="60" w:line="276" w:lineRule="auto"/>
              <w:rPr>
                <w:sz w:val="22"/>
                <w:szCs w:val="22"/>
              </w:rPr>
            </w:pPr>
            <w:r w:rsidRPr="00073666">
              <w:rPr>
                <w:rFonts w:ascii="Calibri" w:eastAsia="Calibri" w:hAnsi="Calibri" w:cs="Calibri"/>
                <w:color w:val="000000"/>
                <w:sz w:val="22"/>
                <w:szCs w:val="22"/>
                <w:u w:color="000000"/>
                <w14:textOutline w14:w="0" w14:cap="flat" w14:cmpd="sng" w14:algn="ctr">
                  <w14:noFill/>
                  <w14:prstDash w14:val="solid"/>
                  <w14:bevel/>
                </w14:textOutline>
              </w:rPr>
              <w:t>“</w:t>
            </w:r>
            <w:r w:rsidR="00830AF2" w:rsidRPr="00073666">
              <w:rPr>
                <w:rFonts w:ascii="Calibri" w:eastAsia="Calibri" w:hAnsi="Calibri" w:cs="Calibri"/>
                <w:color w:val="000000"/>
                <w:sz w:val="22"/>
                <w:szCs w:val="22"/>
                <w:u w:color="000000"/>
                <w14:textOutline w14:w="0" w14:cap="flat" w14:cmpd="sng" w14:algn="ctr">
                  <w14:noFill/>
                  <w14:prstDash w14:val="solid"/>
                  <w14:bevel/>
                </w14:textOutline>
              </w:rPr>
              <w:t>Absolutely, prediction would allow earlier diagnosis and thus potentially save lives</w:t>
            </w:r>
            <w:r w:rsidRPr="00073666">
              <w:rPr>
                <w:rFonts w:ascii="Calibri" w:eastAsia="Calibri" w:hAnsi="Calibri" w:cs="Calibri"/>
                <w:color w:val="000000"/>
                <w:sz w:val="22"/>
                <w:szCs w:val="22"/>
                <w:u w:color="000000"/>
                <w14:textOutline w14:w="0" w14:cap="flat" w14:cmpd="sng" w14:algn="ctr">
                  <w14:noFill/>
                  <w14:prstDash w14:val="solid"/>
                  <w14:bevel/>
                </w14:textOutline>
              </w:rPr>
              <w:t>”</w:t>
            </w:r>
          </w:p>
        </w:tc>
      </w:tr>
      <w:tr w:rsidR="00830AF2" w:rsidRPr="00073666" w14:paraId="44C3B675" w14:textId="77777777" w:rsidTr="00460E41">
        <w:trPr>
          <w:trHeight w:val="612"/>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32280" w14:textId="0E44B3A3" w:rsidR="00830AF2" w:rsidRPr="00073666" w:rsidRDefault="00830AF2" w:rsidP="00830AF2">
            <w:pPr>
              <w:pStyle w:val="Body"/>
              <w:spacing w:before="60" w:after="60"/>
              <w:jc w:val="both"/>
              <w:rPr>
                <w:lang w:val="en-US"/>
              </w:rPr>
            </w:pPr>
            <w:r w:rsidRPr="00073666">
              <w:rPr>
                <w:lang w:val="en-US"/>
              </w:rPr>
              <w:t>After reading this PIS, would you be inclined to participate in the study? If not why? Is there anything in the PIS that puts you off?</w:t>
            </w:r>
          </w:p>
        </w:tc>
        <w:tc>
          <w:tcPr>
            <w:tcW w:w="6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F3C93" w14:textId="47FFE949" w:rsidR="00830AF2" w:rsidRPr="00073666" w:rsidRDefault="00E23BCD" w:rsidP="00830AF2">
            <w:pPr>
              <w:spacing w:before="60" w:after="60" w:line="276" w:lineRule="auto"/>
              <w:rPr>
                <w:rFonts w:ascii="Calibri" w:eastAsia="Calibri" w:hAnsi="Calibri" w:cs="Calibri"/>
                <w:color w:val="000000"/>
                <w:sz w:val="22"/>
                <w:szCs w:val="22"/>
                <w:u w:color="000000"/>
                <w14:textOutline w14:w="0" w14:cap="flat" w14:cmpd="sng" w14:algn="ctr">
                  <w14:noFill/>
                  <w14:prstDash w14:val="solid"/>
                  <w14:bevel/>
                </w14:textOutline>
              </w:rPr>
            </w:pPr>
            <w:r w:rsidRPr="00073666">
              <w:rPr>
                <w:rFonts w:ascii="Calibri" w:eastAsia="Calibri" w:hAnsi="Calibri" w:cs="Calibri"/>
                <w:color w:val="000000"/>
                <w:sz w:val="22"/>
                <w:szCs w:val="22"/>
                <w:u w:color="000000"/>
                <w14:textOutline w14:w="0" w14:cap="flat" w14:cmpd="sng" w14:algn="ctr">
                  <w14:noFill/>
                  <w14:prstDash w14:val="solid"/>
                  <w14:bevel/>
                </w14:textOutline>
              </w:rPr>
              <w:t>“</w:t>
            </w:r>
            <w:proofErr w:type="gramStart"/>
            <w:r w:rsidR="00830AF2" w:rsidRPr="00073666">
              <w:rPr>
                <w:rFonts w:ascii="Calibri" w:eastAsia="Calibri" w:hAnsi="Calibri" w:cs="Calibri"/>
                <w:color w:val="000000"/>
                <w:sz w:val="22"/>
                <w:szCs w:val="22"/>
                <w:u w:color="000000"/>
                <w14:textOutline w14:w="0" w14:cap="flat" w14:cmpd="sng" w14:algn="ctr">
                  <w14:noFill/>
                  <w14:prstDash w14:val="solid"/>
                  <w14:bevel/>
                </w14:textOutline>
              </w:rPr>
              <w:t>Yes</w:t>
            </w:r>
            <w:proofErr w:type="gramEnd"/>
            <w:r w:rsidR="00830AF2" w:rsidRPr="00073666">
              <w:rPr>
                <w:rFonts w:ascii="Calibri" w:eastAsia="Calibri" w:hAnsi="Calibri" w:cs="Calibri"/>
                <w:color w:val="000000"/>
                <w:sz w:val="22"/>
                <w:szCs w:val="22"/>
                <w:u w:color="000000"/>
                <w14:textOutline w14:w="0" w14:cap="flat" w14:cmpd="sng" w14:algn="ctr">
                  <w14:noFill/>
                  <w14:prstDash w14:val="solid"/>
                  <w14:bevel/>
                </w14:textOutline>
              </w:rPr>
              <w:t xml:space="preserve"> and especiall</w:t>
            </w:r>
            <w:r w:rsidR="00041563" w:rsidRPr="00073666">
              <w:rPr>
                <w:rFonts w:ascii="Calibri" w:eastAsia="Calibri" w:hAnsi="Calibri" w:cs="Calibri"/>
                <w:color w:val="000000"/>
                <w:sz w:val="22"/>
                <w:szCs w:val="22"/>
                <w:u w:color="000000"/>
                <w14:textOutline w14:w="0" w14:cap="flat" w14:cmpd="sng" w14:algn="ctr">
                  <w14:noFill/>
                  <w14:prstDash w14:val="solid"/>
                  <w14:bevel/>
                </w14:textOutline>
              </w:rPr>
              <w:t>y with what I’ve been through I’d</w:t>
            </w:r>
            <w:r w:rsidR="00830AF2" w:rsidRPr="00073666">
              <w:rPr>
                <w:rFonts w:ascii="Calibri" w:eastAsia="Calibri" w:hAnsi="Calibri" w:cs="Calibri"/>
                <w:color w:val="000000"/>
                <w:sz w:val="22"/>
                <w:szCs w:val="22"/>
                <w:u w:color="000000"/>
                <w14:textOutline w14:w="0" w14:cap="flat" w14:cmpd="sng" w14:algn="ctr">
                  <w14:noFill/>
                  <w14:prstDash w14:val="solid"/>
                  <w14:bevel/>
                </w14:textOutline>
              </w:rPr>
              <w:t xml:space="preserve"> definitely be more inclined to take part</w:t>
            </w:r>
            <w:r w:rsidRPr="00073666">
              <w:rPr>
                <w:rFonts w:ascii="Calibri" w:eastAsia="Calibri" w:hAnsi="Calibri" w:cs="Calibri"/>
                <w:color w:val="000000"/>
                <w:sz w:val="22"/>
                <w:szCs w:val="22"/>
                <w:u w:color="000000"/>
                <w14:textOutline w14:w="0" w14:cap="flat" w14:cmpd="sng" w14:algn="ctr">
                  <w14:noFill/>
                  <w14:prstDash w14:val="solid"/>
                  <w14:bevel/>
                </w14:textOutline>
              </w:rPr>
              <w:t>”</w:t>
            </w:r>
          </w:p>
        </w:tc>
      </w:tr>
      <w:tr w:rsidR="003A4877" w:rsidRPr="00073666" w14:paraId="5C19EBCB" w14:textId="77777777" w:rsidTr="00460E41">
        <w:trPr>
          <w:trHeight w:val="612"/>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AFCCF" w14:textId="04602379" w:rsidR="003A4877" w:rsidRPr="00073666" w:rsidRDefault="003A4877" w:rsidP="00830AF2">
            <w:pPr>
              <w:pStyle w:val="Body"/>
              <w:spacing w:before="60" w:after="60"/>
              <w:jc w:val="both"/>
              <w:rPr>
                <w:lang w:val="en-US"/>
              </w:rPr>
            </w:pPr>
            <w:r w:rsidRPr="00073666">
              <w:rPr>
                <w:lang w:val="en-US"/>
              </w:rPr>
              <w:t>Any other comments or feedback in terms of feedback of the PIS?</w:t>
            </w:r>
          </w:p>
        </w:tc>
        <w:tc>
          <w:tcPr>
            <w:tcW w:w="6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14893" w14:textId="5354A4ED" w:rsidR="003A4877" w:rsidRPr="00073666" w:rsidRDefault="003A4877" w:rsidP="00830AF2">
            <w:pPr>
              <w:spacing w:before="60" w:after="60" w:line="276" w:lineRule="auto"/>
              <w:rPr>
                <w:rFonts w:ascii="Calibri" w:eastAsia="Calibri" w:hAnsi="Calibri" w:cs="Calibri"/>
                <w:color w:val="000000"/>
                <w:sz w:val="22"/>
                <w:szCs w:val="22"/>
                <w:u w:color="000000"/>
                <w14:textOutline w14:w="0" w14:cap="flat" w14:cmpd="sng" w14:algn="ctr">
                  <w14:noFill/>
                  <w14:prstDash w14:val="solid"/>
                  <w14:bevel/>
                </w14:textOutline>
              </w:rPr>
            </w:pPr>
            <w:r w:rsidRPr="00073666">
              <w:rPr>
                <w:rFonts w:ascii="Calibri" w:eastAsia="Calibri" w:hAnsi="Calibri" w:cs="Calibri"/>
                <w:color w:val="000000"/>
                <w:sz w:val="22"/>
                <w:szCs w:val="22"/>
                <w:u w:color="000000"/>
                <w14:textOutline w14:w="0" w14:cap="flat" w14:cmpd="sng" w14:algn="ctr">
                  <w14:noFill/>
                  <w14:prstDash w14:val="solid"/>
                  <w14:bevel/>
                </w14:textOutline>
              </w:rPr>
              <w:t>“I was glad to see that those that consent have the PIS to take home, as I would’ve read it again with a clear head and be very pleased that I was participating.”</w:t>
            </w:r>
          </w:p>
        </w:tc>
      </w:tr>
    </w:tbl>
    <w:p w14:paraId="56FB8A4D" w14:textId="77777777" w:rsidR="00406EC6" w:rsidRPr="00073666" w:rsidRDefault="00406EC6" w:rsidP="00830AF2">
      <w:pPr>
        <w:autoSpaceDE w:val="0"/>
        <w:autoSpaceDN w:val="0"/>
        <w:adjustRightInd w:val="0"/>
        <w:rPr>
          <w:rFonts w:ascii="Calibri" w:hAnsi="Calibri" w:cs="Calibri"/>
          <w:color w:val="0000FF"/>
          <w:szCs w:val="22"/>
        </w:rPr>
      </w:pPr>
    </w:p>
    <w:p w14:paraId="1C174EC4" w14:textId="77777777" w:rsidR="00475FDA" w:rsidRPr="00073666" w:rsidRDefault="00997241" w:rsidP="003802A1">
      <w:pPr>
        <w:autoSpaceDE w:val="0"/>
        <w:autoSpaceDN w:val="0"/>
        <w:adjustRightInd w:val="0"/>
        <w:rPr>
          <w:rFonts w:ascii="Calibri" w:hAnsi="Calibri" w:cs="Calibri"/>
          <w:b/>
          <w:bCs/>
          <w:szCs w:val="22"/>
          <w:lang w:eastAsia="en-GB"/>
        </w:rPr>
      </w:pPr>
      <w:r w:rsidRPr="00073666">
        <w:rPr>
          <w:rFonts w:ascii="Calibri" w:hAnsi="Calibri" w:cs="Calibri"/>
          <w:b/>
          <w:bCs/>
          <w:szCs w:val="22"/>
          <w:lang w:eastAsia="en-GB"/>
        </w:rPr>
        <w:t>8</w:t>
      </w:r>
      <w:r w:rsidR="006B6502" w:rsidRPr="00073666">
        <w:rPr>
          <w:rFonts w:ascii="Calibri" w:hAnsi="Calibri" w:cs="Calibri"/>
          <w:b/>
          <w:bCs/>
          <w:szCs w:val="22"/>
          <w:lang w:eastAsia="en-GB"/>
        </w:rPr>
        <w:t>.</w:t>
      </w:r>
      <w:r w:rsidR="0074226F" w:rsidRPr="00073666">
        <w:rPr>
          <w:rFonts w:ascii="Calibri" w:hAnsi="Calibri" w:cs="Calibri"/>
          <w:b/>
          <w:bCs/>
          <w:szCs w:val="22"/>
          <w:lang w:eastAsia="en-GB"/>
        </w:rPr>
        <w:t>5</w:t>
      </w:r>
      <w:r w:rsidR="00D027C8" w:rsidRPr="00073666">
        <w:rPr>
          <w:rFonts w:ascii="Calibri" w:hAnsi="Calibri" w:cs="Calibri"/>
          <w:b/>
          <w:bCs/>
          <w:szCs w:val="22"/>
          <w:lang w:eastAsia="en-GB"/>
        </w:rPr>
        <w:tab/>
      </w:r>
      <w:r w:rsidR="006B6502" w:rsidRPr="00073666">
        <w:rPr>
          <w:rFonts w:ascii="Calibri" w:hAnsi="Calibri" w:cs="Calibri"/>
          <w:b/>
          <w:bCs/>
          <w:szCs w:val="22"/>
          <w:lang w:eastAsia="en-GB"/>
        </w:rPr>
        <w:t>Protocol c</w:t>
      </w:r>
      <w:r w:rsidR="00475FDA" w:rsidRPr="00073666">
        <w:rPr>
          <w:rFonts w:ascii="Calibri" w:hAnsi="Calibri" w:cs="Calibri"/>
          <w:b/>
          <w:bCs/>
          <w:szCs w:val="22"/>
          <w:lang w:eastAsia="en-GB"/>
        </w:rPr>
        <w:t xml:space="preserve">ompliance </w:t>
      </w:r>
    </w:p>
    <w:p w14:paraId="45356DD9" w14:textId="77777777" w:rsidR="00475FDA" w:rsidRPr="00073666" w:rsidRDefault="00475FDA" w:rsidP="003802A1">
      <w:pPr>
        <w:autoSpaceDE w:val="0"/>
        <w:autoSpaceDN w:val="0"/>
        <w:adjustRightInd w:val="0"/>
        <w:rPr>
          <w:rFonts w:ascii="Calibri" w:hAnsi="Calibri" w:cs="Calibri"/>
          <w:color w:val="000000" w:themeColor="text1"/>
          <w:szCs w:val="22"/>
          <w:lang w:eastAsia="en-GB"/>
        </w:rPr>
      </w:pPr>
      <w:r w:rsidRPr="00073666">
        <w:rPr>
          <w:rFonts w:ascii="Calibri" w:hAnsi="Calibri" w:cs="Calibri"/>
          <w:color w:val="000000" w:themeColor="text1"/>
          <w:szCs w:val="22"/>
          <w:lang w:eastAsia="en-GB"/>
        </w:rPr>
        <w:t>Protocol deviations, non-compliances, or breaches are departures from the approved protocol.</w:t>
      </w:r>
    </w:p>
    <w:p w14:paraId="2DC403F6" w14:textId="77777777" w:rsidR="00475FDA" w:rsidRPr="00073666" w:rsidRDefault="00443825" w:rsidP="00443825">
      <w:pPr>
        <w:autoSpaceDE w:val="0"/>
        <w:autoSpaceDN w:val="0"/>
        <w:adjustRightInd w:val="0"/>
        <w:rPr>
          <w:rFonts w:ascii="Calibri" w:hAnsi="Calibri" w:cs="Calibri"/>
          <w:color w:val="000000" w:themeColor="text1"/>
          <w:lang w:eastAsia="en-GB"/>
        </w:rPr>
      </w:pPr>
      <w:r w:rsidRPr="00073666">
        <w:rPr>
          <w:rFonts w:ascii="Calibri" w:hAnsi="Calibri" w:cs="Calibri"/>
          <w:color w:val="000000" w:themeColor="text1"/>
          <w:lang w:eastAsia="en-GB"/>
        </w:rPr>
        <w:t xml:space="preserve">All </w:t>
      </w:r>
      <w:r w:rsidR="00475FDA" w:rsidRPr="00073666">
        <w:rPr>
          <w:rFonts w:ascii="Calibri" w:hAnsi="Calibri" w:cs="Calibri"/>
          <w:color w:val="000000" w:themeColor="text1"/>
          <w:lang w:eastAsia="en-GB"/>
        </w:rPr>
        <w:t xml:space="preserve">protocol deviations must be adequately documented on the relevant forms and reported to the Chief Investigator and Sponsor immediately. </w:t>
      </w:r>
    </w:p>
    <w:p w14:paraId="53D8BDF2" w14:textId="0096771D" w:rsidR="00475FDA" w:rsidRPr="00073666" w:rsidRDefault="00C779BB" w:rsidP="00443825">
      <w:pPr>
        <w:autoSpaceDE w:val="0"/>
        <w:autoSpaceDN w:val="0"/>
        <w:adjustRightInd w:val="0"/>
        <w:rPr>
          <w:rFonts w:ascii="Calibri" w:hAnsi="Calibri" w:cs="Calibri"/>
          <w:color w:val="FF0000"/>
          <w:szCs w:val="22"/>
          <w:lang w:eastAsia="en-GB"/>
        </w:rPr>
      </w:pPr>
      <w:r w:rsidRPr="00073666">
        <w:rPr>
          <w:rFonts w:ascii="Calibri" w:hAnsi="Calibri" w:cs="Calibri"/>
          <w:color w:val="000000" w:themeColor="text1"/>
          <w:szCs w:val="22"/>
          <w:lang w:eastAsia="en-GB"/>
        </w:rPr>
        <w:t>D</w:t>
      </w:r>
      <w:r w:rsidR="00475FDA" w:rsidRPr="00073666">
        <w:rPr>
          <w:rFonts w:ascii="Calibri" w:hAnsi="Calibri" w:cs="Calibri"/>
          <w:color w:val="000000" w:themeColor="text1"/>
          <w:szCs w:val="22"/>
          <w:lang w:eastAsia="en-GB"/>
        </w:rPr>
        <w:t>eviations from the protocol which are found to frequently recur are not acceptable, will require immediate action and could potentially be classified as a serious breach</w:t>
      </w:r>
      <w:r w:rsidR="00475FDA" w:rsidRPr="00073666">
        <w:rPr>
          <w:rFonts w:ascii="Calibri" w:hAnsi="Calibri" w:cs="Calibri"/>
          <w:color w:val="0000FF"/>
          <w:szCs w:val="22"/>
          <w:lang w:eastAsia="en-GB"/>
        </w:rPr>
        <w:t>.</w:t>
      </w:r>
      <w:r w:rsidR="00041563" w:rsidRPr="00073666">
        <w:rPr>
          <w:rFonts w:ascii="Calibri" w:hAnsi="Calibri" w:cs="Calibri"/>
          <w:color w:val="0000FF"/>
          <w:szCs w:val="22"/>
          <w:lang w:eastAsia="en-GB"/>
        </w:rPr>
        <w:t xml:space="preserve"> </w:t>
      </w:r>
    </w:p>
    <w:p w14:paraId="3CFBD4FD" w14:textId="77777777" w:rsidR="00475FDA" w:rsidRPr="00073666" w:rsidRDefault="00475FDA" w:rsidP="003802A1">
      <w:pPr>
        <w:pStyle w:val="Heading3"/>
        <w:spacing w:before="0" w:after="120" w:line="240" w:lineRule="auto"/>
        <w:rPr>
          <w:rFonts w:ascii="Calibri" w:hAnsi="Calibri" w:cs="Calibri"/>
          <w:color w:val="FF0000"/>
          <w:szCs w:val="22"/>
        </w:rPr>
      </w:pPr>
      <w:bookmarkStart w:id="13" w:name="_Toc303179291"/>
    </w:p>
    <w:bookmarkEnd w:id="13"/>
    <w:p w14:paraId="2426D337" w14:textId="77777777" w:rsidR="00475FDA" w:rsidRPr="00073666" w:rsidRDefault="00997241" w:rsidP="003802A1">
      <w:pPr>
        <w:autoSpaceDE w:val="0"/>
        <w:autoSpaceDN w:val="0"/>
        <w:adjustRightInd w:val="0"/>
        <w:rPr>
          <w:rFonts w:ascii="Calibri" w:hAnsi="Calibri" w:cs="Calibri"/>
          <w:b/>
          <w:bCs/>
          <w:szCs w:val="22"/>
          <w:lang w:eastAsia="en-GB"/>
        </w:rPr>
      </w:pPr>
      <w:r w:rsidRPr="00073666">
        <w:rPr>
          <w:rFonts w:ascii="Calibri" w:hAnsi="Calibri" w:cs="Calibri"/>
          <w:b/>
          <w:bCs/>
          <w:szCs w:val="22"/>
          <w:lang w:eastAsia="en-GB"/>
        </w:rPr>
        <w:t>8</w:t>
      </w:r>
      <w:r w:rsidR="00485F3F" w:rsidRPr="00073666">
        <w:rPr>
          <w:rFonts w:ascii="Calibri" w:hAnsi="Calibri" w:cs="Calibri"/>
          <w:b/>
          <w:bCs/>
          <w:szCs w:val="22"/>
          <w:lang w:eastAsia="en-GB"/>
        </w:rPr>
        <w:t>.</w:t>
      </w:r>
      <w:r w:rsidR="0074226F" w:rsidRPr="00073666">
        <w:rPr>
          <w:rFonts w:ascii="Calibri" w:hAnsi="Calibri" w:cs="Calibri"/>
          <w:b/>
          <w:bCs/>
          <w:szCs w:val="22"/>
          <w:lang w:eastAsia="en-GB"/>
        </w:rPr>
        <w:t>6</w:t>
      </w:r>
      <w:r w:rsidR="00864F75" w:rsidRPr="00073666">
        <w:rPr>
          <w:rFonts w:ascii="Calibri" w:hAnsi="Calibri" w:cs="Calibri"/>
          <w:b/>
          <w:bCs/>
          <w:szCs w:val="22"/>
          <w:lang w:eastAsia="en-GB"/>
        </w:rPr>
        <w:tab/>
        <w:t>Data protection and patient c</w:t>
      </w:r>
      <w:r w:rsidR="00475FDA" w:rsidRPr="00073666">
        <w:rPr>
          <w:rFonts w:ascii="Calibri" w:hAnsi="Calibri" w:cs="Calibri"/>
          <w:b/>
          <w:bCs/>
          <w:szCs w:val="22"/>
          <w:lang w:eastAsia="en-GB"/>
        </w:rPr>
        <w:t xml:space="preserve">onfidentiality </w:t>
      </w:r>
    </w:p>
    <w:p w14:paraId="42ED65A6" w14:textId="3DF4DDCE" w:rsidR="0023267D" w:rsidRPr="00073666" w:rsidRDefault="00443825" w:rsidP="00443825">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 xml:space="preserve">All data </w:t>
      </w:r>
      <w:r w:rsidR="00041563" w:rsidRPr="00073666">
        <w:rPr>
          <w:rFonts w:ascii="Calibri" w:hAnsi="Calibri" w:cs="Calibri"/>
          <w:color w:val="000000" w:themeColor="text1"/>
          <w:szCs w:val="22"/>
        </w:rPr>
        <w:t>will</w:t>
      </w:r>
      <w:r w:rsidRPr="00073666">
        <w:rPr>
          <w:rFonts w:ascii="Calibri" w:hAnsi="Calibri" w:cs="Calibri"/>
          <w:color w:val="000000" w:themeColor="text1"/>
          <w:szCs w:val="22"/>
        </w:rPr>
        <w:t xml:space="preserve"> be handled in accordance with the Data Protection Act 2018 (UK implementation of the EU General Data Protection Regulation (GDPR)).</w:t>
      </w:r>
    </w:p>
    <w:p w14:paraId="1A5C484D" w14:textId="77777777" w:rsidR="0023267D" w:rsidRPr="00073666" w:rsidRDefault="0023267D" w:rsidP="00443825">
      <w:pPr>
        <w:autoSpaceDE w:val="0"/>
        <w:autoSpaceDN w:val="0"/>
        <w:adjustRightInd w:val="0"/>
        <w:rPr>
          <w:rFonts w:ascii="Calibri" w:hAnsi="Calibri" w:cs="Calibri"/>
          <w:color w:val="000000" w:themeColor="text1"/>
          <w:szCs w:val="22"/>
        </w:rPr>
      </w:pPr>
    </w:p>
    <w:p w14:paraId="169D6167" w14:textId="467D435A" w:rsidR="00406EC6" w:rsidRPr="00073666" w:rsidRDefault="00406EC6" w:rsidP="00406EC6">
      <w:pPr>
        <w:autoSpaceDE w:val="0"/>
        <w:autoSpaceDN w:val="0"/>
        <w:adjustRightInd w:val="0"/>
        <w:rPr>
          <w:rFonts w:ascii="Calibri" w:hAnsi="Calibri" w:cs="Calibri"/>
          <w:color w:val="000000"/>
          <w:szCs w:val="22"/>
          <w:lang w:val="en-US"/>
        </w:rPr>
      </w:pPr>
      <w:r w:rsidRPr="00073666">
        <w:rPr>
          <w:rFonts w:ascii="Calibri" w:hAnsi="Calibri" w:cs="Calibri"/>
          <w:color w:val="000000"/>
          <w:szCs w:val="22"/>
          <w:lang w:val="en-US"/>
        </w:rPr>
        <w:t xml:space="preserve">Participants will be allocated a personal study number (PSN) which will be used to protect their identity. The secure (password protected) </w:t>
      </w:r>
      <w:proofErr w:type="spellStart"/>
      <w:r w:rsidRPr="00073666">
        <w:rPr>
          <w:rFonts w:ascii="Calibri" w:hAnsi="Calibri" w:cs="Calibri"/>
          <w:color w:val="000000" w:themeColor="text1"/>
          <w:szCs w:val="22"/>
          <w:lang w:eastAsia="en-GB"/>
        </w:rPr>
        <w:t>REDCap</w:t>
      </w:r>
      <w:proofErr w:type="spellEnd"/>
      <w:r w:rsidRPr="00073666">
        <w:rPr>
          <w:rFonts w:ascii="Calibri" w:hAnsi="Calibri" w:cs="Calibri"/>
          <w:szCs w:val="22"/>
        </w:rPr>
        <w:t>™</w:t>
      </w:r>
      <w:r w:rsidRPr="00073666">
        <w:rPr>
          <w:rFonts w:ascii="Calibri" w:hAnsi="Calibri" w:cs="Calibri"/>
          <w:color w:val="000000" w:themeColor="text1"/>
          <w:szCs w:val="22"/>
          <w:lang w:eastAsia="en-GB"/>
        </w:rPr>
        <w:t xml:space="preserve"> database</w:t>
      </w:r>
      <w:r w:rsidRPr="00073666">
        <w:rPr>
          <w:rFonts w:ascii="Calibri" w:hAnsi="Calibri" w:cs="Calibri"/>
          <w:color w:val="000000"/>
          <w:szCs w:val="22"/>
          <w:lang w:val="en-US"/>
        </w:rPr>
        <w:t xml:space="preserve"> will only be accessed by members of the research team. The </w:t>
      </w:r>
      <w:proofErr w:type="spellStart"/>
      <w:r w:rsidRPr="00073666">
        <w:rPr>
          <w:rFonts w:ascii="Calibri" w:hAnsi="Calibri" w:cs="Calibri"/>
          <w:color w:val="000000"/>
          <w:szCs w:val="22"/>
          <w:lang w:val="en-US"/>
        </w:rPr>
        <w:t>REDCap</w:t>
      </w:r>
      <w:proofErr w:type="spellEnd"/>
      <w:r w:rsidRPr="00073666">
        <w:rPr>
          <w:rFonts w:ascii="Calibri" w:hAnsi="Calibri" w:cs="Calibri"/>
          <w:szCs w:val="22"/>
        </w:rPr>
        <w:t>™</w:t>
      </w:r>
      <w:r w:rsidRPr="00073666">
        <w:rPr>
          <w:rFonts w:ascii="Calibri" w:hAnsi="Calibri" w:cs="Calibri"/>
          <w:color w:val="000000"/>
          <w:szCs w:val="22"/>
          <w:lang w:val="en-US"/>
        </w:rPr>
        <w:t xml:space="preserve"> database will be coded with the PSN only. </w:t>
      </w:r>
      <w:r w:rsidR="0054713A" w:rsidRPr="00073666">
        <w:rPr>
          <w:rFonts w:ascii="Calibri" w:hAnsi="Calibri" w:cs="Calibri"/>
          <w:color w:val="000000"/>
          <w:szCs w:val="22"/>
          <w:lang w:val="en-US"/>
        </w:rPr>
        <w:t xml:space="preserve">A separate log will be kept securely at each site linking the PSN to patient identifiable information (name, date of birth, NHS number); this will take the form of a password-protected, Microsoft Excel spreadsheet saved on a secure server at each site. </w:t>
      </w:r>
      <w:r w:rsidRPr="00073666">
        <w:rPr>
          <w:rFonts w:ascii="Calibri" w:hAnsi="Calibri" w:cs="Calibri"/>
          <w:color w:val="000000"/>
          <w:szCs w:val="22"/>
          <w:lang w:val="en-US"/>
        </w:rPr>
        <w:t>This system</w:t>
      </w:r>
      <w:r w:rsidRPr="00073666">
        <w:rPr>
          <w:rFonts w:ascii="Calibri" w:eastAsia="TUOS Blake" w:hAnsi="Calibri" w:cs="Calibri"/>
          <w:szCs w:val="22"/>
        </w:rPr>
        <w:t xml:space="preserve"> (sometimes called ‘pseudonymised’ data)</w:t>
      </w:r>
      <w:r w:rsidRPr="00073666">
        <w:rPr>
          <w:rFonts w:ascii="Calibri" w:hAnsi="Calibri" w:cs="Calibri"/>
          <w:color w:val="000000"/>
          <w:szCs w:val="22"/>
          <w:lang w:val="en-US"/>
        </w:rPr>
        <w:t xml:space="preserve"> ensures that confidentiality is protected during routine collection of data. Only the p</w:t>
      </w:r>
      <w:proofErr w:type="spellStart"/>
      <w:r w:rsidRPr="00073666">
        <w:rPr>
          <w:rFonts w:ascii="Calibri" w:eastAsia="TUOS Blake" w:hAnsi="Calibri" w:cs="Calibri"/>
          <w:szCs w:val="22"/>
        </w:rPr>
        <w:t>seudonymised</w:t>
      </w:r>
      <w:proofErr w:type="spellEnd"/>
      <w:r w:rsidRPr="00073666">
        <w:rPr>
          <w:rFonts w:ascii="Calibri" w:eastAsia="TUOS Blake" w:hAnsi="Calibri" w:cs="Calibri"/>
          <w:szCs w:val="22"/>
        </w:rPr>
        <w:t xml:space="preserve"> database will be used during analysis.</w:t>
      </w:r>
    </w:p>
    <w:p w14:paraId="2EAE62D1" w14:textId="77777777" w:rsidR="00406EC6" w:rsidRPr="00073666" w:rsidRDefault="00406EC6" w:rsidP="00406EC6">
      <w:pPr>
        <w:rPr>
          <w:rFonts w:ascii="Calibri" w:hAnsi="Calibri" w:cs="Calibri"/>
          <w:color w:val="000000"/>
          <w:szCs w:val="22"/>
          <w:lang w:val="en-US"/>
        </w:rPr>
      </w:pPr>
    </w:p>
    <w:p w14:paraId="17518B99" w14:textId="290883D2" w:rsidR="0023267D" w:rsidRPr="00073666" w:rsidRDefault="00406EC6" w:rsidP="00406EC6">
      <w:pPr>
        <w:rPr>
          <w:rFonts w:ascii="Calibri" w:hAnsi="Calibri" w:cs="Calibri"/>
          <w:szCs w:val="22"/>
        </w:rPr>
      </w:pPr>
      <w:r w:rsidRPr="00073666">
        <w:rPr>
          <w:rFonts w:ascii="Calibri" w:hAnsi="Calibri" w:cs="Calibri"/>
          <w:color w:val="000000"/>
          <w:szCs w:val="22"/>
          <w:lang w:val="en-US"/>
        </w:rPr>
        <w:t xml:space="preserve">All data will be stored in line with the EU General Data Protection Regulation (GDPR) </w:t>
      </w:r>
      <w:r w:rsidRPr="00073666">
        <w:rPr>
          <w:rFonts w:ascii="Calibri" w:hAnsi="Calibri" w:cs="Calibri"/>
          <w:color w:val="222222"/>
          <w:szCs w:val="22"/>
          <w:shd w:val="clear" w:color="auto" w:fill="FFFFFF"/>
        </w:rPr>
        <w:t>2016/679</w:t>
      </w:r>
      <w:r w:rsidRPr="00073666">
        <w:rPr>
          <w:rFonts w:ascii="Calibri" w:hAnsi="Calibri" w:cs="Calibri"/>
          <w:color w:val="000000"/>
          <w:szCs w:val="22"/>
          <w:lang w:val="en-US"/>
        </w:rPr>
        <w:t>, Data Protection Act (1998) and Caldicott principles.</w:t>
      </w:r>
      <w:r w:rsidRPr="00073666">
        <w:rPr>
          <w:rFonts w:ascii="Calibri" w:hAnsi="Calibri" w:cs="Calibri"/>
          <w:szCs w:val="22"/>
        </w:rPr>
        <w:t xml:space="preserve"> </w:t>
      </w:r>
      <w:r w:rsidRPr="00073666">
        <w:rPr>
          <w:rFonts w:ascii="Calibri" w:hAnsi="Calibri" w:cs="Calibri"/>
          <w:color w:val="000000"/>
          <w:szCs w:val="22"/>
          <w:lang w:val="en-US"/>
        </w:rPr>
        <w:t xml:space="preserve">St. Georges University of London (SGUL) is the data controller for this study. </w:t>
      </w:r>
      <w:r w:rsidRPr="00073666">
        <w:rPr>
          <w:rFonts w:ascii="Calibri" w:hAnsi="Calibri" w:cs="Calibri"/>
          <w:szCs w:val="22"/>
        </w:rPr>
        <w:t xml:space="preserve">St. George’s University of London (SGUL) is a </w:t>
      </w:r>
      <w:proofErr w:type="spellStart"/>
      <w:r w:rsidRPr="00073666">
        <w:rPr>
          <w:rFonts w:ascii="Calibri" w:hAnsi="Calibri" w:cs="Calibri"/>
          <w:szCs w:val="22"/>
        </w:rPr>
        <w:t>REDCap</w:t>
      </w:r>
      <w:proofErr w:type="spellEnd"/>
      <w:r w:rsidRPr="00073666">
        <w:rPr>
          <w:rFonts w:ascii="Calibri" w:hAnsi="Calibri" w:cs="Calibri"/>
          <w:szCs w:val="22"/>
        </w:rPr>
        <w:t>™ consortium partner with a dedicated secure server hosting the database</w:t>
      </w:r>
      <w:r w:rsidRPr="00073666">
        <w:rPr>
          <w:rFonts w:ascii="Calibri" w:eastAsia="Arial" w:hAnsi="Calibri" w:cs="Calibri"/>
          <w:iCs/>
          <w:szCs w:val="22"/>
        </w:rPr>
        <w:t xml:space="preserve">. The legal basis </w:t>
      </w:r>
      <w:r w:rsidRPr="00073666">
        <w:rPr>
          <w:rFonts w:ascii="Calibri" w:eastAsia="TUOS Blake" w:hAnsi="Calibri" w:cs="Calibri"/>
          <w:szCs w:val="22"/>
        </w:rPr>
        <w:t xml:space="preserve">we are applying in order to process personal data under </w:t>
      </w:r>
      <w:r w:rsidRPr="00073666">
        <w:rPr>
          <w:rFonts w:ascii="Calibri" w:hAnsi="Calibri" w:cs="Calibri"/>
          <w:color w:val="000000"/>
          <w:szCs w:val="22"/>
          <w:lang w:val="en-US"/>
        </w:rPr>
        <w:t>GDPR</w:t>
      </w:r>
      <w:r w:rsidRPr="00073666">
        <w:rPr>
          <w:rFonts w:ascii="Calibri" w:eastAsia="TUOS Blake" w:hAnsi="Calibri" w:cs="Calibri"/>
          <w:szCs w:val="22"/>
        </w:rPr>
        <w:t xml:space="preserve"> regulations is that ‘processing is necessary for the performance of a task carried out in the public interest’ (Article 6(1)(e)). The following web address will be provided on the PIS:</w:t>
      </w:r>
      <w:r w:rsidRPr="00073666">
        <w:rPr>
          <w:rFonts w:ascii="Calibri" w:eastAsia="Arial" w:hAnsi="Calibri" w:cs="Calibri"/>
          <w:iCs/>
          <w:szCs w:val="22"/>
        </w:rPr>
        <w:t xml:space="preserve"> </w:t>
      </w:r>
      <w:hyperlink r:id="rId29" w:history="1">
        <w:r w:rsidR="0023267D" w:rsidRPr="00073666">
          <w:rPr>
            <w:rStyle w:val="Hyperlink"/>
            <w:rFonts w:ascii="Calibri" w:eastAsiaTheme="majorEastAsia" w:hAnsi="Calibri" w:cs="Calibri"/>
            <w:szCs w:val="22"/>
            <w:lang w:val="en-US"/>
          </w:rPr>
          <w:t>www.hra.nhs.uk/information-about-patients/</w:t>
        </w:r>
      </w:hyperlink>
    </w:p>
    <w:p w14:paraId="08E75908" w14:textId="77777777" w:rsidR="0023267D" w:rsidRPr="00073666" w:rsidRDefault="0023267D" w:rsidP="00406EC6">
      <w:pPr>
        <w:rPr>
          <w:rFonts w:ascii="Calibri" w:hAnsi="Calibri" w:cs="Calibri"/>
          <w:szCs w:val="22"/>
        </w:rPr>
      </w:pPr>
    </w:p>
    <w:p w14:paraId="40DF3AFB" w14:textId="56AE1B00" w:rsidR="00406EC6" w:rsidRPr="00073666" w:rsidRDefault="00406EC6" w:rsidP="00406EC6">
      <w:pPr>
        <w:rPr>
          <w:rFonts w:ascii="Calibri" w:hAnsi="Calibri" w:cs="Calibri"/>
          <w:color w:val="000000" w:themeColor="text1"/>
          <w:szCs w:val="22"/>
          <w:lang w:val="en-US"/>
        </w:rPr>
      </w:pPr>
      <w:r w:rsidRPr="00073666">
        <w:rPr>
          <w:rFonts w:ascii="Calibri" w:hAnsi="Calibri" w:cs="Calibri"/>
          <w:color w:val="000000"/>
          <w:szCs w:val="22"/>
          <w:lang w:val="en-US"/>
        </w:rPr>
        <w:t>The</w:t>
      </w:r>
      <w:r w:rsidR="0023267D" w:rsidRPr="00073666">
        <w:rPr>
          <w:rFonts w:ascii="Calibri" w:hAnsi="Calibri" w:cs="Calibri"/>
          <w:color w:val="000000"/>
          <w:szCs w:val="22"/>
          <w:lang w:val="en-US"/>
        </w:rPr>
        <w:t xml:space="preserve"> electronic</w:t>
      </w:r>
      <w:r w:rsidRPr="00073666">
        <w:rPr>
          <w:rFonts w:ascii="Calibri" w:hAnsi="Calibri" w:cs="Calibri"/>
          <w:color w:val="000000"/>
          <w:szCs w:val="22"/>
          <w:lang w:val="en-US"/>
        </w:rPr>
        <w:t xml:space="preserve"> data</w:t>
      </w:r>
      <w:r w:rsidR="0023267D" w:rsidRPr="00073666">
        <w:rPr>
          <w:rFonts w:ascii="Calibri" w:hAnsi="Calibri" w:cs="Calibri"/>
          <w:color w:val="000000"/>
          <w:szCs w:val="22"/>
          <w:lang w:val="en-US"/>
        </w:rPr>
        <w:t>base</w:t>
      </w:r>
      <w:r w:rsidRPr="00073666">
        <w:rPr>
          <w:rFonts w:ascii="Calibri" w:hAnsi="Calibri" w:cs="Calibri"/>
          <w:color w:val="000000"/>
          <w:szCs w:val="22"/>
          <w:lang w:val="en-US"/>
        </w:rPr>
        <w:t xml:space="preserve"> will be kept securely in </w:t>
      </w:r>
      <w:r w:rsidRPr="00073666">
        <w:rPr>
          <w:rFonts w:ascii="Calibri" w:eastAsia="TUOS Blake" w:hAnsi="Calibri" w:cs="Calibri"/>
          <w:szCs w:val="22"/>
        </w:rPr>
        <w:t>pseudonymised form</w:t>
      </w:r>
      <w:r w:rsidRPr="00073666">
        <w:rPr>
          <w:rFonts w:ascii="Calibri" w:hAnsi="Calibri" w:cs="Calibri"/>
          <w:color w:val="000000"/>
          <w:szCs w:val="22"/>
          <w:lang w:val="en-US"/>
        </w:rPr>
        <w:t xml:space="preserve"> for </w:t>
      </w:r>
      <w:r w:rsidRPr="00073666">
        <w:rPr>
          <w:rFonts w:ascii="Calibri" w:hAnsi="Calibri" w:cs="Calibri"/>
          <w:color w:val="000000" w:themeColor="text1"/>
          <w:szCs w:val="22"/>
          <w:lang w:val="en-US"/>
        </w:rPr>
        <w:t>5 years following the end of the study in accordance with relevant legislation and the</w:t>
      </w:r>
      <w:r w:rsidRPr="00073666">
        <w:rPr>
          <w:rFonts w:ascii="Calibri" w:eastAsia="Arial Unicode MS" w:hAnsi="Calibri" w:cs="Calibri"/>
          <w:color w:val="000000" w:themeColor="text1"/>
          <w:szCs w:val="22"/>
          <w:shd w:val="clear" w:color="auto" w:fill="FFFFFF"/>
        </w:rPr>
        <w:t xml:space="preserve"> SGUL Research Data Management Policy</w:t>
      </w:r>
      <w:r w:rsidRPr="00073666">
        <w:rPr>
          <w:rFonts w:ascii="Calibri" w:hAnsi="Calibri" w:cs="Calibri"/>
          <w:color w:val="000000" w:themeColor="text1"/>
          <w:szCs w:val="22"/>
          <w:lang w:val="en-US"/>
        </w:rPr>
        <w:t>.</w:t>
      </w:r>
      <w:r w:rsidR="0023267D" w:rsidRPr="00073666">
        <w:rPr>
          <w:rFonts w:ascii="Calibri" w:hAnsi="Calibri" w:cs="Calibri"/>
          <w:color w:val="000000" w:themeColor="text1"/>
          <w:szCs w:val="22"/>
          <w:lang w:val="en-US"/>
        </w:rPr>
        <w:t xml:space="preserve"> </w:t>
      </w:r>
      <w:r w:rsidRPr="00073666">
        <w:rPr>
          <w:rFonts w:ascii="Calibri" w:hAnsi="Calibri" w:cs="Calibri"/>
          <w:color w:val="000000" w:themeColor="text1"/>
          <w:szCs w:val="22"/>
          <w:lang w:val="en-US"/>
        </w:rPr>
        <w:t>All information will be held in compliance with NHS Digital data confidentiality and security arrangements, the Data Protection Act (1998) and the GDPR.</w:t>
      </w:r>
    </w:p>
    <w:p w14:paraId="704EC2B0" w14:textId="77777777" w:rsidR="0023267D" w:rsidRPr="00073666" w:rsidRDefault="0023267D" w:rsidP="00406EC6">
      <w:pPr>
        <w:rPr>
          <w:rFonts w:ascii="Calibri" w:hAnsi="Calibri" w:cs="Calibri"/>
          <w:color w:val="000000"/>
          <w:szCs w:val="22"/>
          <w:lang w:val="en-US"/>
        </w:rPr>
      </w:pPr>
    </w:p>
    <w:p w14:paraId="4C987BE0" w14:textId="5F4FA0D2" w:rsidR="0023267D" w:rsidRPr="00073666" w:rsidRDefault="0023267D" w:rsidP="0023267D">
      <w:pPr>
        <w:autoSpaceDE w:val="0"/>
        <w:autoSpaceDN w:val="0"/>
        <w:adjustRightInd w:val="0"/>
        <w:rPr>
          <w:rFonts w:ascii="Calibri" w:hAnsi="Calibri" w:cs="Calibri"/>
          <w:color w:val="000000" w:themeColor="text1"/>
          <w:szCs w:val="22"/>
        </w:rPr>
      </w:pPr>
      <w:r w:rsidRPr="00073666">
        <w:rPr>
          <w:rFonts w:ascii="Calibri" w:hAnsi="Calibri" w:cs="Calibri"/>
          <w:color w:val="000000" w:themeColor="text1"/>
          <w:szCs w:val="22"/>
        </w:rPr>
        <w:t xml:space="preserve">Physical patient identifiable information will be </w:t>
      </w:r>
      <w:r w:rsidRPr="00073666">
        <w:rPr>
          <w:rFonts w:ascii="Calibri" w:hAnsi="Calibri" w:cs="ønÜTˇ"/>
          <w:szCs w:val="22"/>
          <w:lang w:val="en-US"/>
        </w:rPr>
        <w:t>stored in areas where there is</w:t>
      </w:r>
      <w:r w:rsidRPr="00073666">
        <w:rPr>
          <w:rFonts w:ascii="Calibri" w:hAnsi="Calibri" w:cs="Calibri"/>
          <w:color w:val="000000" w:themeColor="text1"/>
          <w:szCs w:val="22"/>
        </w:rPr>
        <w:t xml:space="preserve"> </w:t>
      </w:r>
      <w:r w:rsidRPr="00073666">
        <w:rPr>
          <w:rFonts w:ascii="Calibri" w:hAnsi="Calibri" w:cs="ønÜTˇ"/>
          <w:szCs w:val="22"/>
          <w:lang w:val="en-US"/>
        </w:rPr>
        <w:t xml:space="preserve">restricted access including only people involved in research. For example, the paper patient consent and </w:t>
      </w:r>
      <w:r w:rsidR="00BF7306" w:rsidRPr="00073666">
        <w:rPr>
          <w:rFonts w:ascii="Calibri" w:hAnsi="Calibri" w:cs="ønÜTˇ"/>
          <w:szCs w:val="22"/>
          <w:lang w:val="en-US"/>
        </w:rPr>
        <w:t>C</w:t>
      </w:r>
      <w:r w:rsidRPr="00073666">
        <w:rPr>
          <w:rFonts w:ascii="Calibri" w:hAnsi="Calibri" w:cs="ønÜTˇ"/>
          <w:szCs w:val="22"/>
          <w:lang w:val="en-US"/>
        </w:rPr>
        <w:t>onsulte</w:t>
      </w:r>
      <w:r w:rsidR="00BF7306" w:rsidRPr="00073666">
        <w:rPr>
          <w:rFonts w:ascii="Calibri" w:hAnsi="Calibri" w:cs="ønÜTˇ"/>
          <w:szCs w:val="22"/>
          <w:lang w:val="en-US"/>
        </w:rPr>
        <w:t>e</w:t>
      </w:r>
      <w:r w:rsidRPr="00073666">
        <w:rPr>
          <w:rFonts w:ascii="Calibri" w:hAnsi="Calibri" w:cs="Calibri"/>
          <w:color w:val="000000" w:themeColor="text1"/>
          <w:szCs w:val="22"/>
        </w:rPr>
        <w:t xml:space="preserve"> </w:t>
      </w:r>
      <w:r w:rsidRPr="00073666">
        <w:rPr>
          <w:rFonts w:ascii="Calibri" w:hAnsi="Calibri" w:cs="ønÜTˇ"/>
          <w:szCs w:val="22"/>
          <w:lang w:val="en-US"/>
        </w:rPr>
        <w:t xml:space="preserve">declaration forms will be stored securely in the research </w:t>
      </w:r>
      <w:proofErr w:type="gramStart"/>
      <w:r w:rsidRPr="00073666">
        <w:rPr>
          <w:rFonts w:ascii="Calibri" w:hAnsi="Calibri" w:cs="ønÜTˇ"/>
          <w:szCs w:val="22"/>
          <w:lang w:val="en-US"/>
        </w:rPr>
        <w:t>nurses</w:t>
      </w:r>
      <w:proofErr w:type="gramEnd"/>
      <w:r w:rsidRPr="00073666">
        <w:rPr>
          <w:rFonts w:ascii="Calibri" w:hAnsi="Calibri" w:cs="ønÜTˇ"/>
          <w:szCs w:val="22"/>
          <w:lang w:val="en-US"/>
        </w:rPr>
        <w:t xml:space="preserve"> office at each site. This information will be kept securely at each site for </w:t>
      </w:r>
      <w:r w:rsidRPr="00073666">
        <w:rPr>
          <w:rFonts w:ascii="Calibri" w:hAnsi="Calibri" w:cs="Calibri"/>
          <w:color w:val="000000" w:themeColor="text1"/>
          <w:szCs w:val="22"/>
          <w:lang w:val="en-US"/>
        </w:rPr>
        <w:t>5 years following the end of the study.</w:t>
      </w:r>
    </w:p>
    <w:p w14:paraId="5F55067C" w14:textId="77777777" w:rsidR="00475FDA" w:rsidRPr="00073666" w:rsidRDefault="00475FDA" w:rsidP="003802A1">
      <w:pPr>
        <w:pStyle w:val="BodyText"/>
        <w:tabs>
          <w:tab w:val="left" w:pos="0"/>
        </w:tabs>
        <w:spacing w:after="120"/>
        <w:rPr>
          <w:rFonts w:ascii="Calibri" w:hAnsi="Calibri" w:cs="Calibri"/>
          <w:b/>
          <w:i w:val="0"/>
          <w:sz w:val="22"/>
          <w:szCs w:val="22"/>
        </w:rPr>
      </w:pPr>
    </w:p>
    <w:p w14:paraId="5BE69BFC" w14:textId="34DA42CE" w:rsidR="00475FDA" w:rsidRPr="00073666" w:rsidRDefault="00997241" w:rsidP="00864F75">
      <w:pPr>
        <w:pStyle w:val="Heading31"/>
        <w:suppressAutoHyphens w:val="0"/>
        <w:spacing w:after="120"/>
        <w:rPr>
          <w:rFonts w:ascii="Calibri" w:hAnsi="Calibri" w:cs="Calibri"/>
          <w:bCs/>
          <w:color w:val="FF0000"/>
          <w:sz w:val="22"/>
          <w:szCs w:val="22"/>
          <w:lang w:val="en-GB"/>
        </w:rPr>
      </w:pPr>
      <w:r w:rsidRPr="00073666">
        <w:rPr>
          <w:rFonts w:ascii="Calibri" w:hAnsi="Calibri" w:cs="Calibri"/>
          <w:bCs/>
          <w:sz w:val="22"/>
          <w:szCs w:val="22"/>
          <w:lang w:val="en-GB"/>
        </w:rPr>
        <w:t>8</w:t>
      </w:r>
      <w:r w:rsidR="00441AFA" w:rsidRPr="00073666">
        <w:rPr>
          <w:rFonts w:ascii="Calibri" w:hAnsi="Calibri" w:cs="Calibri"/>
          <w:bCs/>
          <w:sz w:val="22"/>
          <w:szCs w:val="22"/>
          <w:lang w:val="en-GB"/>
        </w:rPr>
        <w:t>.</w:t>
      </w:r>
      <w:r w:rsidR="0074226F" w:rsidRPr="00073666">
        <w:rPr>
          <w:rFonts w:ascii="Calibri" w:hAnsi="Calibri" w:cs="Calibri"/>
          <w:bCs/>
          <w:sz w:val="22"/>
          <w:szCs w:val="22"/>
          <w:lang w:val="en-GB"/>
        </w:rPr>
        <w:t>7</w:t>
      </w:r>
      <w:r w:rsidR="00864F75" w:rsidRPr="00073666">
        <w:rPr>
          <w:rFonts w:ascii="Calibri" w:hAnsi="Calibri" w:cs="Calibri"/>
          <w:bCs/>
          <w:sz w:val="22"/>
          <w:szCs w:val="22"/>
          <w:lang w:val="en-GB"/>
        </w:rPr>
        <w:tab/>
      </w:r>
      <w:r w:rsidR="00475FDA" w:rsidRPr="00073666">
        <w:rPr>
          <w:rFonts w:ascii="Calibri" w:hAnsi="Calibri" w:cs="Calibri"/>
          <w:bCs/>
          <w:sz w:val="22"/>
          <w:szCs w:val="22"/>
          <w:lang w:val="en-GB"/>
        </w:rPr>
        <w:t>Indemnity</w:t>
      </w:r>
      <w:r w:rsidR="002A2512" w:rsidRPr="00073666">
        <w:rPr>
          <w:rFonts w:ascii="Calibri" w:hAnsi="Calibri" w:cs="Calibri"/>
          <w:bCs/>
          <w:sz w:val="22"/>
          <w:szCs w:val="22"/>
          <w:lang w:val="en-GB"/>
        </w:rPr>
        <w:t xml:space="preserve"> </w:t>
      </w:r>
    </w:p>
    <w:p w14:paraId="38FB03B0" w14:textId="77777777" w:rsidR="00443825" w:rsidRPr="00073666" w:rsidRDefault="00443825" w:rsidP="00443825">
      <w:pPr>
        <w:pStyle w:val="BodyText"/>
        <w:tabs>
          <w:tab w:val="left" w:pos="0"/>
        </w:tabs>
        <w:rPr>
          <w:rFonts w:ascii="Calibri" w:hAnsi="Calibri" w:cs="Calibri"/>
          <w:b/>
          <w:color w:val="000000" w:themeColor="text1"/>
          <w:sz w:val="22"/>
          <w:szCs w:val="22"/>
        </w:rPr>
      </w:pPr>
    </w:p>
    <w:p w14:paraId="10C95B6B" w14:textId="77777777" w:rsidR="00443825" w:rsidRPr="00073666" w:rsidRDefault="00443825" w:rsidP="00443825">
      <w:pPr>
        <w:pStyle w:val="BodyText"/>
        <w:tabs>
          <w:tab w:val="left" w:pos="0"/>
        </w:tabs>
        <w:rPr>
          <w:rFonts w:ascii="Calibri" w:hAnsi="Calibri" w:cs="Calibri"/>
          <w:b/>
          <w:i w:val="0"/>
          <w:color w:val="000000" w:themeColor="text1"/>
          <w:sz w:val="22"/>
          <w:szCs w:val="22"/>
        </w:rPr>
      </w:pPr>
      <w:r w:rsidRPr="00073666">
        <w:rPr>
          <w:rFonts w:ascii="Calibri" w:hAnsi="Calibri" w:cs="Calibri"/>
          <w:b/>
          <w:i w:val="0"/>
          <w:color w:val="000000" w:themeColor="text1"/>
          <w:sz w:val="22"/>
          <w:szCs w:val="22"/>
        </w:rPr>
        <w:t>St George’s University of London sponsored research:</w:t>
      </w:r>
    </w:p>
    <w:p w14:paraId="17C4E19A" w14:textId="77777777" w:rsidR="00443825" w:rsidRPr="00073666" w:rsidRDefault="00443825" w:rsidP="00443825">
      <w:pPr>
        <w:pStyle w:val="BodyText"/>
        <w:tabs>
          <w:tab w:val="left" w:pos="0"/>
        </w:tabs>
        <w:spacing w:after="120"/>
        <w:rPr>
          <w:rFonts w:ascii="Calibri" w:hAnsi="Calibri" w:cs="Calibri"/>
          <w:i w:val="0"/>
          <w:color w:val="000000" w:themeColor="text1"/>
          <w:sz w:val="22"/>
          <w:szCs w:val="22"/>
        </w:rPr>
      </w:pPr>
      <w:r w:rsidRPr="00073666">
        <w:rPr>
          <w:rFonts w:ascii="Calibri" w:hAnsi="Calibri" w:cs="Calibri"/>
          <w:i w:val="0"/>
          <w:color w:val="000000" w:themeColor="text1"/>
          <w:sz w:val="22"/>
          <w:szCs w:val="22"/>
        </w:rPr>
        <w:t xml:space="preserve">St George’s University of London holds insurance to cover participants for injury caused by their participation in the clinical trial. Participants may be able to claim compensation if they can prove that St George’s has been negligent. This includes negligence in the writing of the protocol, or selection of trial resources. </w:t>
      </w:r>
    </w:p>
    <w:p w14:paraId="770FA097" w14:textId="77777777" w:rsidR="00443825" w:rsidRPr="00073666" w:rsidRDefault="00443825" w:rsidP="00443825">
      <w:pPr>
        <w:pStyle w:val="BodyText"/>
        <w:tabs>
          <w:tab w:val="left" w:pos="0"/>
        </w:tabs>
        <w:spacing w:after="120"/>
        <w:rPr>
          <w:rFonts w:ascii="Calibri" w:hAnsi="Calibri" w:cs="Calibri"/>
          <w:i w:val="0"/>
          <w:color w:val="000000" w:themeColor="text1"/>
          <w:sz w:val="22"/>
          <w:szCs w:val="22"/>
        </w:rPr>
      </w:pPr>
      <w:r w:rsidRPr="00073666">
        <w:rPr>
          <w:rFonts w:ascii="Calibri" w:hAnsi="Calibri" w:cs="Calibri"/>
          <w:i w:val="0"/>
          <w:color w:val="000000" w:themeColor="text1"/>
          <w:sz w:val="22"/>
          <w:szCs w:val="22"/>
        </w:rPr>
        <w:t xml:space="preserve">Where the Trial is conducted in a hospital, the hospital has a duty of care to participants. St George’s University of London will not accept liability for any breach in the hospital’s duty of care, or any negligence on the part of hospital </w:t>
      </w:r>
      <w:proofErr w:type="gramStart"/>
      <w:r w:rsidRPr="00073666">
        <w:rPr>
          <w:rFonts w:ascii="Calibri" w:hAnsi="Calibri" w:cs="Calibri"/>
          <w:i w:val="0"/>
          <w:color w:val="000000" w:themeColor="text1"/>
          <w:sz w:val="22"/>
          <w:szCs w:val="22"/>
        </w:rPr>
        <w:t>employees.  .</w:t>
      </w:r>
      <w:proofErr w:type="gramEnd"/>
    </w:p>
    <w:p w14:paraId="2D90C448" w14:textId="77777777" w:rsidR="00443825" w:rsidRPr="00073666" w:rsidRDefault="00443825" w:rsidP="00443825">
      <w:pPr>
        <w:pStyle w:val="BodyText"/>
        <w:tabs>
          <w:tab w:val="left" w:pos="0"/>
        </w:tabs>
        <w:spacing w:after="120"/>
        <w:rPr>
          <w:rFonts w:ascii="Calibri" w:hAnsi="Calibri" w:cs="Calibri"/>
          <w:i w:val="0"/>
          <w:color w:val="000000" w:themeColor="text1"/>
          <w:sz w:val="22"/>
          <w:szCs w:val="22"/>
        </w:rPr>
      </w:pPr>
      <w:r w:rsidRPr="00073666">
        <w:rPr>
          <w:rFonts w:ascii="Calibri" w:hAnsi="Calibri" w:cs="Calibri"/>
          <w:i w:val="0"/>
          <w:color w:val="000000" w:themeColor="text1"/>
          <w:sz w:val="22"/>
          <w:szCs w:val="22"/>
        </w:rPr>
        <w:t xml:space="preserve">If a participant indicates that they wish to make a claim for compensation, this needs to be brought to the attention of St George’s University of London immediately.  </w:t>
      </w:r>
    </w:p>
    <w:p w14:paraId="5E8B8D09" w14:textId="77777777" w:rsidR="0023267D" w:rsidRPr="00073666" w:rsidRDefault="00443825" w:rsidP="00443825">
      <w:pPr>
        <w:pStyle w:val="BodyText"/>
        <w:tabs>
          <w:tab w:val="left" w:pos="0"/>
        </w:tabs>
        <w:spacing w:after="120"/>
        <w:rPr>
          <w:rFonts w:ascii="Calibri" w:hAnsi="Calibri" w:cs="Calibri"/>
          <w:i w:val="0"/>
          <w:color w:val="000000" w:themeColor="text1"/>
          <w:sz w:val="22"/>
          <w:szCs w:val="22"/>
        </w:rPr>
      </w:pPr>
      <w:r w:rsidRPr="00073666">
        <w:rPr>
          <w:rFonts w:ascii="Calibri" w:hAnsi="Calibri" w:cs="Calibri"/>
          <w:i w:val="0"/>
          <w:color w:val="000000" w:themeColor="text1"/>
          <w:sz w:val="22"/>
          <w:szCs w:val="22"/>
        </w:rPr>
        <w:t xml:space="preserve">Failure to alert St George’s University of London without delay and to comply with requests for information by the sponsor or any designated Agents may lead to a lack of insurance cover for the incident. </w:t>
      </w:r>
    </w:p>
    <w:p w14:paraId="462BC237" w14:textId="77777777" w:rsidR="00485F3F" w:rsidRPr="00073666" w:rsidRDefault="00485F3F" w:rsidP="003802A1">
      <w:pPr>
        <w:rPr>
          <w:rFonts w:ascii="Calibri" w:hAnsi="Calibri" w:cs="Calibri"/>
          <w:b/>
          <w:szCs w:val="22"/>
        </w:rPr>
      </w:pPr>
    </w:p>
    <w:p w14:paraId="42AF30A4" w14:textId="58C824E2" w:rsidR="00475FDA" w:rsidRPr="00073666" w:rsidRDefault="00997241" w:rsidP="0023267D">
      <w:pPr>
        <w:rPr>
          <w:rFonts w:ascii="Calibri" w:hAnsi="Calibri" w:cs="Calibri"/>
          <w:b/>
          <w:szCs w:val="22"/>
        </w:rPr>
      </w:pPr>
      <w:r w:rsidRPr="00073666">
        <w:rPr>
          <w:rFonts w:ascii="Calibri" w:hAnsi="Calibri" w:cs="Calibri"/>
          <w:b/>
          <w:szCs w:val="22"/>
        </w:rPr>
        <w:t>8</w:t>
      </w:r>
      <w:r w:rsidR="00485F3F" w:rsidRPr="00073666">
        <w:rPr>
          <w:rFonts w:ascii="Calibri" w:hAnsi="Calibri" w:cs="Calibri"/>
          <w:b/>
          <w:szCs w:val="22"/>
        </w:rPr>
        <w:t>.</w:t>
      </w:r>
      <w:r w:rsidR="0074226F" w:rsidRPr="00073666">
        <w:rPr>
          <w:rFonts w:ascii="Calibri" w:hAnsi="Calibri" w:cs="Calibri"/>
          <w:b/>
          <w:szCs w:val="22"/>
        </w:rPr>
        <w:t>8</w:t>
      </w:r>
      <w:r w:rsidR="00864F75" w:rsidRPr="00073666">
        <w:rPr>
          <w:rFonts w:ascii="Calibri" w:hAnsi="Calibri" w:cs="Calibri"/>
          <w:b/>
          <w:szCs w:val="22"/>
        </w:rPr>
        <w:tab/>
      </w:r>
      <w:r w:rsidR="00475FDA" w:rsidRPr="00073666">
        <w:rPr>
          <w:rFonts w:ascii="Calibri" w:hAnsi="Calibri" w:cs="Calibri"/>
          <w:b/>
          <w:szCs w:val="22"/>
        </w:rPr>
        <w:t xml:space="preserve">Access to the final </w:t>
      </w:r>
      <w:r w:rsidR="005A6EAB" w:rsidRPr="00073666">
        <w:rPr>
          <w:rFonts w:ascii="Calibri" w:hAnsi="Calibri" w:cs="Calibri"/>
          <w:b/>
          <w:szCs w:val="22"/>
        </w:rPr>
        <w:t>study</w:t>
      </w:r>
      <w:r w:rsidR="00475FDA" w:rsidRPr="00073666">
        <w:rPr>
          <w:rFonts w:ascii="Calibri" w:hAnsi="Calibri" w:cs="Calibri"/>
          <w:b/>
          <w:szCs w:val="22"/>
        </w:rPr>
        <w:t xml:space="preserve"> dataset</w:t>
      </w:r>
    </w:p>
    <w:p w14:paraId="127E3B7D" w14:textId="1E4E5758" w:rsidR="00864F75" w:rsidRPr="00073666" w:rsidRDefault="0023267D" w:rsidP="00204DB2">
      <w:pPr>
        <w:rPr>
          <w:rFonts w:ascii="Calibri" w:hAnsi="Calibri" w:cs="Calibri"/>
          <w:iCs/>
          <w:szCs w:val="22"/>
        </w:rPr>
      </w:pPr>
      <w:r w:rsidRPr="00073666">
        <w:rPr>
          <w:rFonts w:ascii="Calibri" w:hAnsi="Calibri" w:cs="Calibri"/>
          <w:iCs/>
          <w:szCs w:val="22"/>
        </w:rPr>
        <w:t xml:space="preserve">Only the Chief Investigator, full time clinical research fellow responsible for data entry, and the statistician will have access to the full dataset. </w:t>
      </w:r>
      <w:r w:rsidR="00204DB2" w:rsidRPr="00073666">
        <w:rPr>
          <w:rFonts w:ascii="Calibri" w:hAnsi="Calibri" w:cs="Calibri"/>
          <w:iCs/>
          <w:szCs w:val="22"/>
        </w:rPr>
        <w:t>Only the chief Investigator and clinical research fellow will have access to the separate electronic database linking the PSN to patient identifiable information.</w:t>
      </w:r>
    </w:p>
    <w:p w14:paraId="7E849DD0" w14:textId="66EB5431" w:rsidR="00204DB2" w:rsidRPr="00073666" w:rsidRDefault="00204DB2" w:rsidP="00204DB2">
      <w:pPr>
        <w:rPr>
          <w:rFonts w:ascii="Calibri" w:hAnsi="Calibri" w:cs="Calibri"/>
          <w:iCs/>
          <w:szCs w:val="22"/>
        </w:rPr>
      </w:pPr>
      <w:r w:rsidRPr="00073666">
        <w:rPr>
          <w:rFonts w:ascii="Calibri" w:hAnsi="Calibri" w:cs="Calibri"/>
          <w:iCs/>
          <w:szCs w:val="22"/>
        </w:rPr>
        <w:br w:type="page"/>
      </w:r>
    </w:p>
    <w:p w14:paraId="5047BE2F" w14:textId="5955E628" w:rsidR="00693DFA" w:rsidRPr="00073666" w:rsidRDefault="00997241" w:rsidP="00693DFA">
      <w:pPr>
        <w:pStyle w:val="Heading3"/>
        <w:tabs>
          <w:tab w:val="left" w:pos="720"/>
        </w:tabs>
        <w:spacing w:before="0" w:after="120" w:line="240" w:lineRule="auto"/>
        <w:rPr>
          <w:rFonts w:ascii="Calibri" w:hAnsi="Calibri" w:cs="Calibri"/>
          <w:color w:val="auto"/>
          <w:spacing w:val="-3"/>
          <w:szCs w:val="22"/>
        </w:rPr>
      </w:pPr>
      <w:r w:rsidRPr="00073666">
        <w:rPr>
          <w:rFonts w:ascii="Calibri" w:hAnsi="Calibri" w:cs="Calibri"/>
          <w:color w:val="auto"/>
          <w:spacing w:val="-3"/>
          <w:szCs w:val="22"/>
        </w:rPr>
        <w:lastRenderedPageBreak/>
        <w:t>9</w:t>
      </w:r>
      <w:r w:rsidR="00864F75" w:rsidRPr="00073666">
        <w:rPr>
          <w:rFonts w:ascii="Calibri" w:hAnsi="Calibri" w:cs="Calibri"/>
          <w:color w:val="auto"/>
          <w:spacing w:val="-3"/>
          <w:szCs w:val="22"/>
        </w:rPr>
        <w:tab/>
      </w:r>
      <w:r w:rsidR="002A2512" w:rsidRPr="00073666">
        <w:rPr>
          <w:rFonts w:ascii="Calibri" w:hAnsi="Calibri" w:cs="Calibri"/>
          <w:color w:val="auto"/>
          <w:spacing w:val="-3"/>
          <w:szCs w:val="22"/>
        </w:rPr>
        <w:t>DISSEMIN</w:t>
      </w:r>
      <w:r w:rsidR="00475FDA" w:rsidRPr="00073666">
        <w:rPr>
          <w:rFonts w:ascii="Calibri" w:hAnsi="Calibri" w:cs="Calibri"/>
          <w:color w:val="auto"/>
          <w:spacing w:val="-3"/>
          <w:szCs w:val="22"/>
        </w:rPr>
        <w:t>ATION POLICY</w:t>
      </w:r>
    </w:p>
    <w:p w14:paraId="68DEA830" w14:textId="77777777" w:rsidR="00204DB2" w:rsidRPr="00073666" w:rsidRDefault="00204DB2" w:rsidP="00204DB2"/>
    <w:p w14:paraId="66825219" w14:textId="77777777"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All co-investigators will be involved as co-authors of the main study manuscript. Any other publications arising from the scientific sub-studies will include the CI, site PIs, collaborating scientists as well as any co-investigators meeting authorship criteria.   Authorship will be determined in accordance with the ICMJE guidelines and other contributors will be acknowledged. Authors will acknowledge that the study was funded by Gilead Fellowship Programme, but the funder will have no role in study design analysis, presentation or publication of findings</w:t>
      </w:r>
    </w:p>
    <w:p w14:paraId="3094895C" w14:textId="77777777" w:rsidR="00693DFA" w:rsidRPr="00073666" w:rsidRDefault="00693DFA" w:rsidP="00693DFA">
      <w:pPr>
        <w:rPr>
          <w:rFonts w:ascii="Calibri" w:hAnsi="Calibri" w:cs="Calibri"/>
          <w:color w:val="000000" w:themeColor="text1"/>
          <w:szCs w:val="22"/>
        </w:rPr>
      </w:pPr>
    </w:p>
    <w:p w14:paraId="282675CF" w14:textId="28EEB313"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The study findings will be presented at national and relevant international meetings with abstract publication, and published in high impact peer-reviewed journals, with media coverage where applicable, so that findings and their implications quickly reach all of relevant UK clinical communities and can be translated into policy. This will be facilitated by our investigator group which includes key individuals linked to Infection and Intensive Care societies, professional bodies, the Department of Health and patient/relative groups across a wide range of responsibilities relevant to the planning of the management of influenza, fungal infection and intensive care in the NHS.</w:t>
      </w:r>
    </w:p>
    <w:p w14:paraId="6858B924" w14:textId="77777777" w:rsidR="00693DFA" w:rsidRPr="00073666" w:rsidRDefault="00693DFA" w:rsidP="00693DFA">
      <w:pPr>
        <w:rPr>
          <w:rFonts w:ascii="Calibri" w:hAnsi="Calibri" w:cs="Calibri"/>
          <w:color w:val="000000" w:themeColor="text1"/>
          <w:szCs w:val="22"/>
        </w:rPr>
      </w:pPr>
    </w:p>
    <w:p w14:paraId="5A292FB0" w14:textId="77777777" w:rsidR="00475FDA" w:rsidRPr="00073666" w:rsidRDefault="00997241" w:rsidP="00864F75">
      <w:pPr>
        <w:pStyle w:val="Heading3"/>
        <w:tabs>
          <w:tab w:val="left" w:pos="720"/>
        </w:tabs>
        <w:spacing w:before="0" w:after="120" w:line="240" w:lineRule="auto"/>
        <w:rPr>
          <w:rFonts w:ascii="Calibri" w:hAnsi="Calibri" w:cs="Calibri"/>
          <w:color w:val="auto"/>
          <w:spacing w:val="-3"/>
          <w:szCs w:val="22"/>
        </w:rPr>
      </w:pPr>
      <w:r w:rsidRPr="00073666">
        <w:rPr>
          <w:rFonts w:ascii="Calibri" w:hAnsi="Calibri" w:cs="Calibri"/>
          <w:color w:val="auto"/>
          <w:spacing w:val="-3"/>
          <w:szCs w:val="22"/>
        </w:rPr>
        <w:t>9</w:t>
      </w:r>
      <w:r w:rsidR="00475FDA" w:rsidRPr="00073666">
        <w:rPr>
          <w:rFonts w:ascii="Calibri" w:hAnsi="Calibri" w:cs="Calibri"/>
          <w:color w:val="auto"/>
          <w:spacing w:val="-3"/>
          <w:szCs w:val="22"/>
        </w:rPr>
        <w:t xml:space="preserve">.1 </w:t>
      </w:r>
      <w:r w:rsidR="00864F75" w:rsidRPr="00073666">
        <w:rPr>
          <w:rFonts w:ascii="Calibri" w:hAnsi="Calibri" w:cs="Calibri"/>
          <w:color w:val="auto"/>
          <w:spacing w:val="-3"/>
          <w:szCs w:val="22"/>
        </w:rPr>
        <w:tab/>
      </w:r>
      <w:r w:rsidR="00475FDA" w:rsidRPr="00073666">
        <w:rPr>
          <w:rFonts w:ascii="Calibri" w:hAnsi="Calibri" w:cs="Calibri"/>
          <w:color w:val="auto"/>
          <w:spacing w:val="-3"/>
          <w:szCs w:val="22"/>
        </w:rPr>
        <w:t>Dissemination policy</w:t>
      </w:r>
    </w:p>
    <w:p w14:paraId="79176919" w14:textId="77777777" w:rsidR="00511E18" w:rsidRPr="00073666" w:rsidRDefault="00511E18" w:rsidP="00511E18">
      <w:pPr>
        <w:autoSpaceDE w:val="0"/>
        <w:autoSpaceDN w:val="0"/>
        <w:adjustRightInd w:val="0"/>
        <w:rPr>
          <w:rFonts w:ascii="Calibri" w:hAnsi="Calibri" w:cs="Calibri"/>
          <w:color w:val="000000" w:themeColor="text1"/>
          <w:spacing w:val="-3"/>
          <w:szCs w:val="22"/>
        </w:rPr>
      </w:pPr>
      <w:r w:rsidRPr="00073666">
        <w:rPr>
          <w:rFonts w:ascii="Calibri" w:hAnsi="Calibri" w:cs="Calibri"/>
          <w:color w:val="000000" w:themeColor="text1"/>
          <w:spacing w:val="-3"/>
          <w:szCs w:val="22"/>
        </w:rPr>
        <w:t>Publication: “Any activity that discloses, outside of the circle of trial investigators, any final or interim data or results of the Trial, or any details of the Trial methodology that have not been made public by the Sponsor including, for example, presentations at symposia, national or regional professional meetings, publications in journals, theses or dissertations.”</w:t>
      </w:r>
    </w:p>
    <w:p w14:paraId="1227CF15" w14:textId="77777777" w:rsidR="00511E18" w:rsidRPr="00073666" w:rsidRDefault="00511E18" w:rsidP="00511E18">
      <w:pPr>
        <w:autoSpaceDE w:val="0"/>
        <w:autoSpaceDN w:val="0"/>
        <w:adjustRightInd w:val="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All scientific contributors to the Trial have a responsibility to ensure that results of scientific interest arising from Trial are appropriately published and disseminated. The Sponsor has a firm commitment to publish the results of the Trial in a transparent and unbiased manner without consideration for commercial objectives. </w:t>
      </w:r>
    </w:p>
    <w:p w14:paraId="1C401ACB" w14:textId="77777777" w:rsidR="00511E18" w:rsidRPr="00073666" w:rsidRDefault="00511E18" w:rsidP="00511E18">
      <w:pPr>
        <w:autoSpaceDE w:val="0"/>
        <w:autoSpaceDN w:val="0"/>
        <w:adjustRightInd w:val="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To maximise the impact and scientific validity of the Trial, data shall be consolidated over the duration of the trial, reviewed internally among all investigators and not be submitted for publication prematurely. Lead in any publications arising from the Trial shall lie with the Sponsor in the first instance. </w:t>
      </w:r>
    </w:p>
    <w:p w14:paraId="6250A021" w14:textId="250F239A" w:rsidR="00511E18" w:rsidRPr="00073666" w:rsidRDefault="00511E18" w:rsidP="00511E18">
      <w:pPr>
        <w:autoSpaceDE w:val="0"/>
        <w:autoSpaceDN w:val="0"/>
        <w:adjustRightInd w:val="0"/>
        <w:rPr>
          <w:rFonts w:ascii="Calibri" w:hAnsi="Calibri" w:cs="Calibri"/>
          <w:b/>
          <w:color w:val="000000" w:themeColor="text1"/>
          <w:spacing w:val="-3"/>
          <w:szCs w:val="22"/>
        </w:rPr>
      </w:pPr>
      <w:bookmarkStart w:id="14" w:name="_Toc392780499"/>
      <w:bookmarkStart w:id="15" w:name="_Toc395002684"/>
      <w:r w:rsidRPr="00073666">
        <w:rPr>
          <w:rFonts w:ascii="Calibri" w:hAnsi="Calibri" w:cs="Calibri"/>
          <w:b/>
          <w:color w:val="000000" w:themeColor="text1"/>
          <w:spacing w:val="-3"/>
          <w:szCs w:val="22"/>
        </w:rPr>
        <w:t>Before the official completion of the Trial</w:t>
      </w:r>
      <w:bookmarkEnd w:id="14"/>
      <w:bookmarkEnd w:id="15"/>
      <w:r w:rsidR="008532E7" w:rsidRPr="00073666">
        <w:rPr>
          <w:rFonts w:ascii="Calibri" w:hAnsi="Calibri" w:cs="Calibri"/>
          <w:b/>
          <w:color w:val="000000" w:themeColor="text1"/>
          <w:spacing w:val="-3"/>
          <w:szCs w:val="22"/>
        </w:rPr>
        <w:t xml:space="preserve"> </w:t>
      </w:r>
    </w:p>
    <w:p w14:paraId="4A1C0FA5" w14:textId="77777777" w:rsidR="00511E18" w:rsidRPr="00073666" w:rsidRDefault="00511E18" w:rsidP="00511E18">
      <w:pPr>
        <w:autoSpaceDE w:val="0"/>
        <w:autoSpaceDN w:val="0"/>
        <w:adjustRightInd w:val="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All publications during this period are subject to permission by the Sponsor. If an investigator wishes to publish a sub-set of data without permission by the Sponsor during this period, the </w:t>
      </w:r>
      <w:r w:rsidRPr="00073666">
        <w:rPr>
          <w:rFonts w:ascii="Calibri" w:hAnsi="Calibri" w:cs="Calibri"/>
          <w:b/>
          <w:color w:val="000000" w:themeColor="text1"/>
          <w:spacing w:val="-3"/>
          <w:szCs w:val="22"/>
          <w:u w:val="single"/>
        </w:rPr>
        <w:t>Steering Committee/the Funder</w:t>
      </w:r>
      <w:r w:rsidRPr="00073666">
        <w:rPr>
          <w:rFonts w:ascii="Calibri" w:hAnsi="Calibri" w:cs="Calibri"/>
          <w:color w:val="000000" w:themeColor="text1"/>
          <w:spacing w:val="-3"/>
          <w:szCs w:val="22"/>
        </w:rPr>
        <w:t xml:space="preserve"> shall have the final say. </w:t>
      </w:r>
    </w:p>
    <w:p w14:paraId="3190F7DF" w14:textId="77777777" w:rsidR="00511E18" w:rsidRPr="00073666" w:rsidRDefault="00511E18" w:rsidP="00511E18">
      <w:pPr>
        <w:autoSpaceDE w:val="0"/>
        <w:autoSpaceDN w:val="0"/>
        <w:adjustRightInd w:val="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Exempt from this requirement are student theses that can be submitted for confidential evaluation but are subject to embargo for a period not shorter than the anticipated remaining duration of the trial.     </w:t>
      </w:r>
    </w:p>
    <w:p w14:paraId="2181F211" w14:textId="77777777" w:rsidR="00511E18" w:rsidRPr="00073666" w:rsidRDefault="00511E18" w:rsidP="00511E18">
      <w:pPr>
        <w:autoSpaceDE w:val="0"/>
        <w:autoSpaceDN w:val="0"/>
        <w:adjustRightInd w:val="0"/>
        <w:rPr>
          <w:rFonts w:ascii="Calibri" w:hAnsi="Calibri" w:cs="Calibri"/>
          <w:b/>
          <w:color w:val="000000" w:themeColor="text1"/>
          <w:spacing w:val="-3"/>
          <w:szCs w:val="22"/>
        </w:rPr>
      </w:pPr>
      <w:bookmarkStart w:id="16" w:name="_Toc392780500"/>
      <w:bookmarkStart w:id="17" w:name="_Toc395002685"/>
      <w:r w:rsidRPr="00073666">
        <w:rPr>
          <w:rFonts w:ascii="Calibri" w:hAnsi="Calibri" w:cs="Calibri"/>
          <w:b/>
          <w:color w:val="000000" w:themeColor="text1"/>
          <w:spacing w:val="-3"/>
          <w:szCs w:val="22"/>
        </w:rPr>
        <w:t>Up to 180 days after the official completion of the Trial</w:t>
      </w:r>
      <w:bookmarkEnd w:id="16"/>
      <w:bookmarkEnd w:id="17"/>
      <w:r w:rsidRPr="00073666">
        <w:rPr>
          <w:rFonts w:ascii="Calibri" w:hAnsi="Calibri" w:cs="Calibri"/>
          <w:b/>
          <w:color w:val="000000" w:themeColor="text1"/>
          <w:spacing w:val="-3"/>
          <w:szCs w:val="22"/>
        </w:rPr>
        <w:t xml:space="preserve"> </w:t>
      </w:r>
    </w:p>
    <w:p w14:paraId="113037AB" w14:textId="77777777" w:rsidR="00511E18" w:rsidRPr="00073666" w:rsidRDefault="00511E18" w:rsidP="00511E18">
      <w:pPr>
        <w:autoSpaceDE w:val="0"/>
        <w:autoSpaceDN w:val="0"/>
        <w:adjustRightInd w:val="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During this period the Chief Investigator shall liaise with all investigators and strive to consolidate data and results and submit a manuscript for peer-review with a view to publication in a reputable academic journal or similar outlet as the Main Publication. </w:t>
      </w:r>
    </w:p>
    <w:p w14:paraId="01D44529" w14:textId="77777777" w:rsidR="00511E18" w:rsidRPr="00073666" w:rsidRDefault="00511E18" w:rsidP="004A650C">
      <w:pPr>
        <w:numPr>
          <w:ilvl w:val="0"/>
          <w:numId w:val="18"/>
        </w:numPr>
        <w:autoSpaceDE w:val="0"/>
        <w:autoSpaceDN w:val="0"/>
        <w:adjustRightInd w:val="0"/>
        <w:ind w:left="108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The Chief Investigator shall be senior and corresponding author of the Main Publication. </w:t>
      </w:r>
    </w:p>
    <w:p w14:paraId="476DE58C" w14:textId="77777777" w:rsidR="00511E18" w:rsidRPr="00073666" w:rsidRDefault="00511E18" w:rsidP="004A650C">
      <w:pPr>
        <w:numPr>
          <w:ilvl w:val="0"/>
          <w:numId w:val="18"/>
        </w:numPr>
        <w:autoSpaceDE w:val="0"/>
        <w:autoSpaceDN w:val="0"/>
        <w:adjustRightInd w:val="0"/>
        <w:ind w:left="108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Insofar as compatible with the policies of the publication outlet and good academic practice, the other Investigators shall be listed in alphabetic order. </w:t>
      </w:r>
    </w:p>
    <w:p w14:paraId="5E0C19C8" w14:textId="77777777" w:rsidR="00511E18" w:rsidRPr="00073666" w:rsidRDefault="00511E18" w:rsidP="004A650C">
      <w:pPr>
        <w:numPr>
          <w:ilvl w:val="0"/>
          <w:numId w:val="18"/>
        </w:numPr>
        <w:autoSpaceDE w:val="0"/>
        <w:autoSpaceDN w:val="0"/>
        <w:adjustRightInd w:val="0"/>
        <w:ind w:left="108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Providers of analytical or technical services shall be acknowledged, but will only be listed as co-authors if their services were provided in a non-routine manner as part of a scientific collaboration. </w:t>
      </w:r>
    </w:p>
    <w:p w14:paraId="1145EA0C" w14:textId="77777777" w:rsidR="00511E18" w:rsidRPr="00073666" w:rsidRDefault="00511E18" w:rsidP="004A650C">
      <w:pPr>
        <w:numPr>
          <w:ilvl w:val="0"/>
          <w:numId w:val="18"/>
        </w:numPr>
        <w:autoSpaceDE w:val="0"/>
        <w:autoSpaceDN w:val="0"/>
        <w:adjustRightInd w:val="0"/>
        <w:ind w:left="1080"/>
        <w:rPr>
          <w:rFonts w:ascii="Calibri" w:hAnsi="Calibri" w:cs="Calibri"/>
          <w:color w:val="000000" w:themeColor="text1"/>
          <w:spacing w:val="-3"/>
          <w:szCs w:val="22"/>
        </w:rPr>
      </w:pPr>
      <w:r w:rsidRPr="00073666">
        <w:rPr>
          <w:rFonts w:ascii="Calibri" w:hAnsi="Calibri" w:cs="Calibri"/>
          <w:color w:val="000000" w:themeColor="text1"/>
          <w:spacing w:val="-3"/>
          <w:szCs w:val="22"/>
        </w:rPr>
        <w:lastRenderedPageBreak/>
        <w:t xml:space="preserve">Members of the Steering Group shall only be acknowledged as co-authors if they contributed in other capacities as well.  </w:t>
      </w:r>
    </w:p>
    <w:p w14:paraId="42308069" w14:textId="77777777" w:rsidR="00511E18" w:rsidRPr="00073666" w:rsidRDefault="00511E18" w:rsidP="004A650C">
      <w:pPr>
        <w:numPr>
          <w:ilvl w:val="0"/>
          <w:numId w:val="18"/>
        </w:numPr>
        <w:autoSpaceDE w:val="0"/>
        <w:autoSpaceDN w:val="0"/>
        <w:adjustRightInd w:val="0"/>
        <w:ind w:left="108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If there are disagreements about the substance, content, style, conclusions, or author list of the Main Publication, the Chief Investigator shall ask the Steering Group to arbitrate.    </w:t>
      </w:r>
    </w:p>
    <w:p w14:paraId="59BB22DF" w14:textId="77777777" w:rsidR="00511E18" w:rsidRPr="00073666" w:rsidRDefault="00511E18" w:rsidP="00511E18">
      <w:pPr>
        <w:autoSpaceDE w:val="0"/>
        <w:autoSpaceDN w:val="0"/>
        <w:adjustRightInd w:val="0"/>
        <w:rPr>
          <w:rFonts w:ascii="Calibri" w:hAnsi="Calibri" w:cs="Calibri"/>
          <w:b/>
          <w:color w:val="000000" w:themeColor="text1"/>
          <w:spacing w:val="-3"/>
          <w:szCs w:val="22"/>
        </w:rPr>
      </w:pPr>
      <w:bookmarkStart w:id="18" w:name="_Toc392780501"/>
      <w:bookmarkStart w:id="19" w:name="_Toc395002686"/>
      <w:r w:rsidRPr="00073666">
        <w:rPr>
          <w:rFonts w:ascii="Calibri" w:hAnsi="Calibri" w:cs="Calibri"/>
          <w:b/>
          <w:color w:val="000000" w:themeColor="text1"/>
          <w:spacing w:val="-3"/>
          <w:szCs w:val="22"/>
        </w:rPr>
        <w:t>Beyond 180 days after the official completion of the Trial</w:t>
      </w:r>
      <w:bookmarkEnd w:id="18"/>
      <w:bookmarkEnd w:id="19"/>
      <w:r w:rsidRPr="00073666">
        <w:rPr>
          <w:rFonts w:ascii="Calibri" w:hAnsi="Calibri" w:cs="Calibri"/>
          <w:b/>
          <w:color w:val="000000" w:themeColor="text1"/>
          <w:spacing w:val="-3"/>
          <w:szCs w:val="22"/>
        </w:rPr>
        <w:t xml:space="preserve"> </w:t>
      </w:r>
    </w:p>
    <w:p w14:paraId="7B359FF9" w14:textId="77777777" w:rsidR="00511E18" w:rsidRPr="00073666" w:rsidRDefault="00511E18" w:rsidP="00511E18">
      <w:pPr>
        <w:autoSpaceDE w:val="0"/>
        <w:autoSpaceDN w:val="0"/>
        <w:adjustRightInd w:val="0"/>
        <w:rPr>
          <w:rFonts w:ascii="Calibri" w:hAnsi="Calibri" w:cs="Calibri"/>
          <w:color w:val="000000" w:themeColor="text1"/>
          <w:spacing w:val="-3"/>
          <w:szCs w:val="22"/>
        </w:rPr>
      </w:pPr>
      <w:r w:rsidRPr="00073666">
        <w:rPr>
          <w:rFonts w:ascii="Calibri" w:hAnsi="Calibri" w:cs="Calibri"/>
          <w:color w:val="000000" w:themeColor="text1"/>
          <w:spacing w:val="-3"/>
          <w:szCs w:val="22"/>
        </w:rPr>
        <w:t xml:space="preserve">After the Main Publication or after 180 days from Trial end date any Investigator or group of investigators may prepare further publications.  In order to ensure that the Sponsor will be able to make comments and suggestions where pertinent, material for public dissemination will be submitted to the Sponsor for review at least sixty (60) days prior to submission for publication, public dissemination, or review by a publication committee. Sponsor’s reasonable comments shall be reflected. All publications related to the Trial shall credit the Chief and Co-Investigators as co-authors where this would be in accordance with normal academic practice and shall acknowledge the Sponsor and the Funders.   </w:t>
      </w:r>
    </w:p>
    <w:p w14:paraId="534700ED" w14:textId="77777777" w:rsidR="003B4870" w:rsidRPr="00073666" w:rsidRDefault="003B4870" w:rsidP="003B4870">
      <w:pPr>
        <w:autoSpaceDE w:val="0"/>
        <w:autoSpaceDN w:val="0"/>
        <w:adjustRightInd w:val="0"/>
        <w:ind w:left="895"/>
        <w:rPr>
          <w:rFonts w:ascii="Calibri" w:hAnsi="Calibri" w:cs="Calibri"/>
          <w:color w:val="0000FF"/>
          <w:szCs w:val="22"/>
          <w:lang w:eastAsia="en-GB"/>
        </w:rPr>
      </w:pPr>
    </w:p>
    <w:p w14:paraId="65FB6C79" w14:textId="77777777" w:rsidR="00511E18" w:rsidRPr="00073666" w:rsidRDefault="00511E18" w:rsidP="00511E18">
      <w:pPr>
        <w:pStyle w:val="BodyText"/>
        <w:tabs>
          <w:tab w:val="left" w:pos="0"/>
        </w:tabs>
        <w:spacing w:after="120"/>
        <w:rPr>
          <w:rFonts w:ascii="Calibri" w:hAnsi="Calibri" w:cs="Calibri"/>
          <w:b/>
          <w:i w:val="0"/>
          <w:color w:val="000000" w:themeColor="text1"/>
          <w:sz w:val="22"/>
          <w:szCs w:val="22"/>
        </w:rPr>
      </w:pPr>
      <w:r w:rsidRPr="00073666">
        <w:rPr>
          <w:rFonts w:ascii="Calibri" w:hAnsi="Calibri" w:cs="Calibri"/>
          <w:b/>
          <w:i w:val="0"/>
          <w:color w:val="000000" w:themeColor="text1"/>
          <w:sz w:val="22"/>
          <w:szCs w:val="22"/>
        </w:rPr>
        <w:t>9.2          Archiving Arrangements</w:t>
      </w:r>
      <w:r w:rsidRPr="00073666">
        <w:rPr>
          <w:rFonts w:ascii="Calibri" w:hAnsi="Calibri" w:cs="Calibri"/>
          <w:b/>
          <w:color w:val="000000" w:themeColor="text1"/>
        </w:rPr>
        <w:t xml:space="preserve"> </w:t>
      </w:r>
    </w:p>
    <w:p w14:paraId="797D38C4" w14:textId="77777777" w:rsidR="00511E18" w:rsidRPr="00073666" w:rsidRDefault="00511E18" w:rsidP="00511E18">
      <w:pPr>
        <w:pStyle w:val="BodyText"/>
        <w:tabs>
          <w:tab w:val="left" w:pos="0"/>
        </w:tabs>
        <w:spacing w:after="120"/>
        <w:rPr>
          <w:rFonts w:ascii="Calibri" w:hAnsi="Calibri" w:cs="Calibri"/>
          <w:i w:val="0"/>
          <w:color w:val="000000" w:themeColor="text1"/>
          <w:sz w:val="22"/>
          <w:szCs w:val="22"/>
        </w:rPr>
      </w:pPr>
      <w:r w:rsidRPr="00073666">
        <w:rPr>
          <w:rFonts w:ascii="Calibri" w:hAnsi="Calibri" w:cs="Calibri"/>
          <w:i w:val="0"/>
          <w:color w:val="000000" w:themeColor="text1"/>
          <w:sz w:val="22"/>
          <w:szCs w:val="22"/>
        </w:rPr>
        <w:t xml:space="preserve">Each site will be responsible for their onsite level study archiving. The trial essential TMF along with any central trial database will be archived in accordance with the sponsor SOP. </w:t>
      </w:r>
    </w:p>
    <w:p w14:paraId="53F7BD19" w14:textId="77777777" w:rsidR="006B6502" w:rsidRPr="00073666" w:rsidRDefault="006B6502" w:rsidP="006B6502">
      <w:pPr>
        <w:pStyle w:val="Heading3"/>
        <w:tabs>
          <w:tab w:val="left" w:pos="720"/>
        </w:tabs>
        <w:spacing w:before="0" w:after="120" w:line="240" w:lineRule="auto"/>
        <w:rPr>
          <w:rFonts w:ascii="Calibri" w:hAnsi="Calibri" w:cs="Calibri"/>
          <w:color w:val="auto"/>
          <w:spacing w:val="-3"/>
          <w:szCs w:val="22"/>
        </w:rPr>
      </w:pPr>
    </w:p>
    <w:p w14:paraId="3D0CEFDF" w14:textId="77777777" w:rsidR="002A2512" w:rsidRPr="00073666" w:rsidRDefault="002A2512">
      <w:pPr>
        <w:rPr>
          <w:rFonts w:ascii="Calibri" w:eastAsiaTheme="majorEastAsia" w:hAnsi="Calibri" w:cs="Calibri"/>
          <w:b/>
          <w:bCs/>
          <w:spacing w:val="-3"/>
          <w:sz w:val="22"/>
          <w:szCs w:val="22"/>
        </w:rPr>
      </w:pPr>
      <w:r w:rsidRPr="00073666">
        <w:rPr>
          <w:rFonts w:ascii="Calibri" w:hAnsi="Calibri" w:cs="Calibri"/>
          <w:spacing w:val="-3"/>
          <w:szCs w:val="22"/>
        </w:rPr>
        <w:br w:type="page"/>
      </w:r>
    </w:p>
    <w:p w14:paraId="621E58B3" w14:textId="706A6761" w:rsidR="00475FDA" w:rsidRPr="00073666" w:rsidRDefault="00997241" w:rsidP="006B6502">
      <w:pPr>
        <w:pStyle w:val="Heading3"/>
        <w:tabs>
          <w:tab w:val="left" w:pos="720"/>
        </w:tabs>
        <w:spacing w:before="0" w:after="120" w:line="240" w:lineRule="auto"/>
        <w:rPr>
          <w:rFonts w:ascii="Calibri" w:hAnsi="Calibri" w:cs="Calibri"/>
          <w:color w:val="auto"/>
          <w:spacing w:val="-3"/>
          <w:szCs w:val="22"/>
        </w:rPr>
      </w:pPr>
      <w:r w:rsidRPr="00073666">
        <w:rPr>
          <w:rFonts w:ascii="Calibri" w:hAnsi="Calibri" w:cs="Calibri"/>
          <w:color w:val="auto"/>
          <w:spacing w:val="-3"/>
          <w:szCs w:val="22"/>
        </w:rPr>
        <w:lastRenderedPageBreak/>
        <w:t>10</w:t>
      </w:r>
      <w:r w:rsidR="00475FDA" w:rsidRPr="00073666">
        <w:rPr>
          <w:rFonts w:ascii="Calibri" w:hAnsi="Calibri" w:cs="Calibri"/>
          <w:color w:val="auto"/>
          <w:spacing w:val="-3"/>
          <w:szCs w:val="22"/>
        </w:rPr>
        <w:tab/>
        <w:t>REFERENCES</w:t>
      </w:r>
    </w:p>
    <w:p w14:paraId="3BF20E29" w14:textId="77777777" w:rsidR="007E648C" w:rsidRPr="00073666" w:rsidRDefault="007E648C" w:rsidP="007E648C">
      <w:pPr>
        <w:rPr>
          <w:rFonts w:ascii="Calibri" w:hAnsi="Calibri" w:cs="Calibri"/>
        </w:rPr>
      </w:pPr>
    </w:p>
    <w:p w14:paraId="74F9D593" w14:textId="1B523DFF"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szCs w:val="22"/>
        </w:rPr>
        <w:fldChar w:fldCharType="begin" w:fldLock="1"/>
      </w:r>
      <w:r w:rsidRPr="00073666">
        <w:rPr>
          <w:rFonts w:ascii="Calibri" w:hAnsi="Calibri" w:cs="Calibri"/>
          <w:szCs w:val="22"/>
        </w:rPr>
        <w:instrText xml:space="preserve">ADDIN Mendeley Bibliography CSL_BIBLIOGRAPHY </w:instrText>
      </w:r>
      <w:r w:rsidRPr="00073666">
        <w:rPr>
          <w:rFonts w:ascii="Calibri" w:hAnsi="Calibri" w:cs="Calibri"/>
          <w:szCs w:val="22"/>
        </w:rPr>
        <w:fldChar w:fldCharType="separate"/>
      </w:r>
      <w:r w:rsidRPr="00073666">
        <w:rPr>
          <w:rFonts w:ascii="Calibri" w:hAnsi="Calibri" w:cs="Calibri"/>
          <w:noProof/>
          <w:lang w:val="en-US"/>
        </w:rPr>
        <w:t>[1]</w:t>
      </w:r>
      <w:r w:rsidRPr="00073666">
        <w:rPr>
          <w:rFonts w:ascii="Calibri" w:hAnsi="Calibri" w:cs="Calibri"/>
          <w:noProof/>
          <w:lang w:val="en-US"/>
        </w:rPr>
        <w:tab/>
        <w:t>Vanderbeke L, Spriet I, Breynaert C, Rijnders BJA, Verweij PE, Wauters J. Invasive pulmonary aspergillosis complicating severe influenza: epidemiology, diagnosis and treatment. Curr Opin Infect Dis 2018;31:471–80. doi:10.1097/QCO.0000000000000504.</w:t>
      </w:r>
    </w:p>
    <w:p w14:paraId="2F835E91"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w:t>
      </w:r>
      <w:r w:rsidRPr="00073666">
        <w:rPr>
          <w:rFonts w:ascii="Calibri" w:hAnsi="Calibri" w:cs="Calibri"/>
          <w:noProof/>
          <w:lang w:val="en-US"/>
        </w:rPr>
        <w:tab/>
        <w:t>Public Health England (PHE). Surveillance of influenza and other respiratory viruses in the United Kingdom: Winter 2018 to 2019. 2019.</w:t>
      </w:r>
    </w:p>
    <w:p w14:paraId="5DCFA562"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w:t>
      </w:r>
      <w:r w:rsidRPr="00073666">
        <w:rPr>
          <w:rFonts w:ascii="Calibri" w:hAnsi="Calibri" w:cs="Calibri"/>
          <w:noProof/>
          <w:lang w:val="en-US"/>
        </w:rPr>
        <w:tab/>
        <w:t>Sukhal S, Sethi J, Ganesh M, Villablanca P, Malhotra A, Ramakrishna H. Extracorporeal membrane oxygenation in severe influenza infection with respiratory failure: A systematic review and meta-analysis. Ann Card Anaesth 2017;20:14. doi:10.4103/0971-9784.197820.</w:t>
      </w:r>
    </w:p>
    <w:p w14:paraId="02089019"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[4]</w:t>
      </w:r>
      <w:r w:rsidRPr="00073666">
        <w:rPr>
          <w:rFonts w:ascii="Calibri" w:hAnsi="Calibri" w:cs="Calibri"/>
          <w:noProof/>
          <w:lang w:val="en-US"/>
        </w:rPr>
        <w:tab/>
        <w:t>Pauw B De, Walsh TJ, Donnelly P, Stevens DA, Edwards JE, Calandra T, et al. Revised definitions of invasive fungal disease from the European Organization for Research and Treatment of Cancer/Invasive Fungal Infections Cooperative Group and the National Institute of Allergy and Infectious Diseases Mycoses Study Group (EORTC/MSG) C. Clin Infect Dis 2008;46:1813–21. doi:10.1086/588660.</w:t>
      </w:r>
    </w:p>
    <w:p w14:paraId="1D8CCD5A"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[5]</w:t>
      </w:r>
      <w:r w:rsidRPr="00073666">
        <w:rPr>
          <w:rFonts w:ascii="Calibri" w:hAnsi="Calibri" w:cs="Calibri"/>
          <w:noProof/>
          <w:lang w:val="en-US"/>
        </w:rPr>
        <w:tab/>
        <w:t>Meersseman W, Lagrou K, Maertens J, Wilmer A, Hermans G, Vanderschueren S, et al. Galactomannan in Bronchoalveolar Lavage Fluid. Am J Respir Crit Care Med 2007;177:27–34. doi:10.1164/rccm.200704-606oc.</w:t>
      </w:r>
    </w:p>
    <w:p w14:paraId="3DAEA700"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[6]</w:t>
      </w:r>
      <w:r w:rsidRPr="00073666">
        <w:rPr>
          <w:rFonts w:ascii="Calibri" w:hAnsi="Calibri" w:cs="Calibri"/>
          <w:noProof/>
          <w:lang w:val="en-US"/>
        </w:rPr>
        <w:tab/>
        <w:t>Crum-cianflone NF. Invasive Aspergillosis Associated With Severe Influenza Infections. Open Forum Infect Dis 2016;3:1–8. doi:10.1093/ofid/ofw171.</w:t>
      </w:r>
    </w:p>
    <w:p w14:paraId="70498968"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[7]</w:t>
      </w:r>
      <w:r w:rsidRPr="00073666">
        <w:rPr>
          <w:rFonts w:ascii="Calibri" w:hAnsi="Calibri" w:cs="Calibri"/>
          <w:noProof/>
          <w:lang w:val="en-US"/>
        </w:rPr>
        <w:tab/>
        <w:t>Schauwvlieghe AFAD, Rijnders BJA, Philips N, Verwijs R, Vanderbeke L, Van Tienen C, et al. Invasive aspergillosis in patients admitted to the intensive care unit with severe influenza: a retrospective cohort study. Lancet Respir Med 2018;6:782–92. doi:10.1016/S2213-2600(18)30274-1.</w:t>
      </w:r>
    </w:p>
    <w:p w14:paraId="502955E3"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[8]</w:t>
      </w:r>
      <w:r w:rsidRPr="00073666">
        <w:rPr>
          <w:rFonts w:ascii="Calibri" w:hAnsi="Calibri" w:cs="Calibri"/>
          <w:noProof/>
          <w:lang w:val="en-US"/>
        </w:rPr>
        <w:tab/>
        <w:t>Jenks JD, Mehta SR, Taplitz R, Aslam S, Reed SL, Hoenigl M, et al. Point-of care Diagnosis of Invasive Aspergillosis in in Non-Neutropenic Patients: Aspergillus Galactomannan Lateral Flow Assay versus Aspergillus-specific Lateral Flow device test in Bronchoalveolar Lavage. Mycoses 2019;62:230–6. doi:10.1111/myc.12881.</w:t>
      </w:r>
    </w:p>
    <w:p w14:paraId="5CD0D016"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[9]</w:t>
      </w:r>
      <w:r w:rsidRPr="00073666">
        <w:rPr>
          <w:rFonts w:ascii="Calibri" w:hAnsi="Calibri" w:cs="Calibri"/>
          <w:noProof/>
          <w:lang w:val="en-US"/>
        </w:rPr>
        <w:tab/>
        <w:t>Vandewoude K, Paiva JA, Vogelaers D, Meersseman W, Taccone FS, Van den Abeele A-M, et al. A Clinical Algorithm to Diagnose Invasive Pulmonary Aspergillosis in Critically Ill Patients. Am J Respir Crit Care Med 2012;186:56–64. doi:10.1164/rccm.201111-1978oc.</w:t>
      </w:r>
    </w:p>
    <w:p w14:paraId="51CBC80A"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[10]</w:t>
      </w:r>
      <w:r w:rsidRPr="00073666">
        <w:rPr>
          <w:rFonts w:ascii="Calibri" w:hAnsi="Calibri" w:cs="Calibri"/>
          <w:noProof/>
          <w:lang w:val="en-US"/>
        </w:rPr>
        <w:tab/>
        <w:t>Guervilly C, Roch A, Ranque S, Forel J-M, Hraiech S, Xeridat F, et al. A strategy based on galactomannan antigen detection and PCR for invasive pulmonary aspergillosis following influenza A (H1N1) pneumonia. J Infect 2012;65:470–3. doi:10.1016/j.jinf.2012.07.007.</w:t>
      </w:r>
    </w:p>
    <w:p w14:paraId="11C5FEA1"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[11]</w:t>
      </w:r>
      <w:r w:rsidRPr="00073666">
        <w:rPr>
          <w:rFonts w:ascii="Calibri" w:hAnsi="Calibri" w:cs="Calibri"/>
          <w:noProof/>
          <w:lang w:val="en-US"/>
        </w:rPr>
        <w:tab/>
        <w:t>Wauters J, Baar I, Meersseman P, Meersseman W, Dams K, De Paep R, et al. Invasive pulmonary aspergillosis is a frequent complication of critically ill H1N1 patients: A retrospective study. Intensive Care Med 2012;38:1761–8. doi:10.1007/s00134-012-2673-2.</w:t>
      </w:r>
    </w:p>
    <w:p w14:paraId="73C6158A"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[12]</w:t>
      </w:r>
      <w:r w:rsidRPr="00073666">
        <w:rPr>
          <w:rFonts w:ascii="Calibri" w:hAnsi="Calibri" w:cs="Calibri"/>
          <w:noProof/>
          <w:lang w:val="en-US"/>
        </w:rPr>
        <w:tab/>
        <w:t>Rodriguez-Goncer I, Thomas S, Foden P, Richardson M, Ashworth A, Barker J, et al. Invasive pulmonary aspergillosis is associated with adverse clinical outcomes in critically ill patients receiving veno-venous extracorporeal membrane oxygenation. Eur J Clin Microbiol Infect Dis 2018;37:1251–7.</w:t>
      </w:r>
    </w:p>
    <w:p w14:paraId="11355209"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[13]</w:t>
      </w:r>
      <w:r w:rsidRPr="00073666">
        <w:rPr>
          <w:rFonts w:ascii="Calibri" w:hAnsi="Calibri" w:cs="Calibri"/>
          <w:noProof/>
          <w:lang w:val="en-US"/>
        </w:rPr>
        <w:tab/>
        <w:t>Martin-Loeches I, J Schultz M, Vincent JL, Alvarez-Lerma F, Bos LD, Solé-Violán J, et al. Increased incidence of co-infection in critically ill patients with influenza. Intensive Care Med 2017;43:48–58. doi:10.1007/s00134-016-4578-y.</w:t>
      </w:r>
    </w:p>
    <w:p w14:paraId="4598E355"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[14]</w:t>
      </w:r>
      <w:r w:rsidRPr="00073666">
        <w:rPr>
          <w:rFonts w:ascii="Calibri" w:hAnsi="Calibri" w:cs="Calibri"/>
          <w:noProof/>
          <w:lang w:val="en-US"/>
        </w:rPr>
        <w:tab/>
        <w:t>Cavayas Y, Yusuff H, Porter R. Fungal infections in adult patients on extracorporeal life support. Crit Care 2018;22:1–7.</w:t>
      </w:r>
    </w:p>
    <w:p w14:paraId="15561956"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lastRenderedPageBreak/>
        <w:t>[15]</w:t>
      </w:r>
      <w:r w:rsidRPr="00073666">
        <w:rPr>
          <w:rFonts w:ascii="Calibri" w:hAnsi="Calibri" w:cs="Calibri"/>
          <w:noProof/>
          <w:lang w:val="en-US"/>
        </w:rPr>
        <w:tab/>
        <w:t>European Centre for Disease Prevention and Control. RAPID RISK ASSESSMENT: Influenza-associated invasive pulmonary aspergillosis. Stockholm: 2018.</w:t>
      </w:r>
    </w:p>
    <w:p w14:paraId="2316A979"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[16]</w:t>
      </w:r>
      <w:r w:rsidRPr="00073666">
        <w:rPr>
          <w:rFonts w:ascii="Calibri" w:hAnsi="Calibri" w:cs="Calibri"/>
          <w:noProof/>
          <w:lang w:val="en-US"/>
        </w:rPr>
        <w:tab/>
        <w:t>Lee N, Ison MG. Diagnosis, management and outcomes of adults hospitalized with influenza. Antivir Ther 2012;17:143–57. doi:10.3851/IMP2059.</w:t>
      </w:r>
    </w:p>
    <w:p w14:paraId="37704765"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[17]</w:t>
      </w:r>
      <w:r w:rsidRPr="00073666">
        <w:rPr>
          <w:rFonts w:ascii="Calibri" w:hAnsi="Calibri" w:cs="Calibri"/>
          <w:noProof/>
          <w:lang w:val="en-US"/>
        </w:rPr>
        <w:tab/>
        <w:t>Youngs J, Marshall B, Farragher M, Whitney L, Glass S, Pope C, et al. Implementation of influenza point-of-care-testing and patient-cohorting during a high-incidence season: a retrospective analysis of impact on infection prevention and control and clinical outcomes. J Hosp Infect 2018;[In press]. doi:10.1016/j.jhin.2018.11.010.</w:t>
      </w:r>
    </w:p>
    <w:p w14:paraId="696FCF9F"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[18]</w:t>
      </w:r>
      <w:r w:rsidRPr="00073666">
        <w:rPr>
          <w:rFonts w:ascii="Calibri" w:hAnsi="Calibri" w:cs="Calibri"/>
          <w:noProof/>
          <w:lang w:val="en-US"/>
        </w:rPr>
        <w:tab/>
        <w:t>Ling L, Kaplan SE, Lopez JC, Stiles J, Lu X, Tang YW. Parallel validation of three molecular devices for simultaneous detection and identification of influenza A and B and respiratory syncytial viruses. J Clin Microbiol 2018;56:1–22. doi:10.1128/JCM.01691-17.</w:t>
      </w:r>
    </w:p>
    <w:p w14:paraId="017CF01D"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[19]</w:t>
      </w:r>
      <w:r w:rsidRPr="00073666">
        <w:rPr>
          <w:rFonts w:ascii="Calibri" w:hAnsi="Calibri" w:cs="Calibri"/>
          <w:noProof/>
          <w:lang w:val="en-US"/>
        </w:rPr>
        <w:tab/>
        <w:t>Bio-Rad Laboratories. PLATELIA</w:t>
      </w:r>
      <w:r w:rsidRPr="00073666">
        <w:rPr>
          <w:rFonts w:ascii="Calibri" w:hAnsi="Calibri" w:cs="Calibri"/>
          <w:noProof/>
          <w:vertAlign w:val="superscript"/>
          <w:lang w:val="en-US"/>
        </w:rPr>
        <w:t>TM</w:t>
      </w:r>
      <w:r w:rsidRPr="00073666">
        <w:rPr>
          <w:rFonts w:ascii="Calibri" w:hAnsi="Calibri" w:cs="Calibri"/>
          <w:noProof/>
          <w:lang w:val="en-US"/>
        </w:rPr>
        <w:t xml:space="preserve"> ASPERGILLUS Ag Product Insert 62794 2013:1–60.</w:t>
      </w:r>
    </w:p>
    <w:p w14:paraId="31144AD9"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[20]</w:t>
      </w:r>
      <w:r w:rsidRPr="00073666">
        <w:rPr>
          <w:rFonts w:ascii="Calibri" w:hAnsi="Calibri" w:cs="Calibri"/>
          <w:noProof/>
          <w:lang w:val="en-US"/>
        </w:rPr>
        <w:tab/>
        <w:t>Schroeder M, Simon M, Katchanov J, Wijaya C, Rohde H, Christner M, et al. Does galactomannan testing increase diagnostic accuracy for IPA in the ICU? A prospective observational study. Crit Care 2016;20:1–10. doi:10.1186/s13054-016-1326-1.</w:t>
      </w:r>
    </w:p>
    <w:p w14:paraId="72883727"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[21]</w:t>
      </w:r>
      <w:r w:rsidRPr="00073666">
        <w:rPr>
          <w:rFonts w:ascii="Calibri" w:hAnsi="Calibri" w:cs="Calibri"/>
          <w:noProof/>
          <w:lang w:val="en-US"/>
        </w:rPr>
        <w:tab/>
        <w:t>Whitney L, Al-Ghusein H, Glass S, Koh M, Klammer M, Ball J, et al. Effectiveness of an antifungal stewardship programme at a London teaching hospital 2010-16. J Antimicrob Chemother 2019;74:234–41. doi:10.1093/jac/dky389.</w:t>
      </w:r>
    </w:p>
    <w:p w14:paraId="6EB8D414"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[22]</w:t>
      </w:r>
      <w:r w:rsidRPr="00073666">
        <w:rPr>
          <w:rFonts w:ascii="Calibri" w:hAnsi="Calibri" w:cs="Calibri"/>
          <w:noProof/>
          <w:lang w:val="en-US"/>
        </w:rPr>
        <w:tab/>
        <w:t>Hoenigl M, Eigl S, Heldt S, Duettmann W, Thornton C, Prattes J. Clinical Evaluation of the Newly Formatted Lateral-Flow Device for Invasive Pulmonary Aspergillosis. Mycoses 2018;61:40–3.</w:t>
      </w:r>
    </w:p>
    <w:p w14:paraId="43AD0411"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[23]</w:t>
      </w:r>
      <w:r w:rsidRPr="00073666">
        <w:rPr>
          <w:rFonts w:ascii="Calibri" w:hAnsi="Calibri" w:cs="Calibri"/>
          <w:noProof/>
          <w:lang w:val="en-US"/>
        </w:rPr>
        <w:tab/>
        <w:t>OLM Diagnostics Ltd. Aspergillus Lateral-Flow Device Kit Handbook HB002 2019:1–12.</w:t>
      </w:r>
    </w:p>
    <w:p w14:paraId="5F81E34E"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[24]</w:t>
      </w:r>
      <w:r w:rsidRPr="00073666">
        <w:rPr>
          <w:rFonts w:ascii="Calibri" w:hAnsi="Calibri" w:cs="Calibri"/>
          <w:noProof/>
          <w:lang w:val="en-US"/>
        </w:rPr>
        <w:tab/>
        <w:t>Heldt S, Prattes J, Eigl S, Spiess B, Flick H, Rabensteiner J, et al. Diagnosis of invasive aspergillosis in hematological malignancy patients: Performance of cytokines, Asp LFD, and Aspergillus PCR in same day blood and bronchoalveolar lavage samples. J Infect 2018;77:235–41. doi:10.1016/j.jinf.2018.05.001.</w:t>
      </w:r>
    </w:p>
    <w:p w14:paraId="14FA0D17"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[25]</w:t>
      </w:r>
      <w:r w:rsidRPr="00073666">
        <w:rPr>
          <w:rFonts w:ascii="Calibri" w:hAnsi="Calibri" w:cs="Calibri"/>
          <w:noProof/>
          <w:lang w:val="en-US"/>
        </w:rPr>
        <w:tab/>
        <w:t>Ullmann AJ, Aguado JM, Arikan-Akdagli S, Denning DW, Groll AH, Lagrou K, et al. Diagnosis and management of Aspergillus diseases: executive summary of the 2017 ESCMID-ECMM-ERS guideline. Clin Microbiol Infect 2018;24:e1–38. doi:10.1016/j.cmi.2018.01.002.</w:t>
      </w:r>
    </w:p>
    <w:p w14:paraId="57D4F875"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[26]</w:t>
      </w:r>
      <w:r w:rsidRPr="00073666">
        <w:rPr>
          <w:rFonts w:ascii="Calibri" w:hAnsi="Calibri" w:cs="Calibri"/>
          <w:noProof/>
          <w:lang w:val="en-US"/>
        </w:rPr>
        <w:tab/>
        <w:t>Muthuri SG, Venkatesan S, Myles PR, Leonardi-Bee J, Al Khuwaitir TSA, Al Mamun A, et al. Effectiveness of neuraminidase inhibitors in reducing mortality in patients admitted to hospital with influenza A H1N1pdm09 virus infection: A meta-analysis of individual participant data. Lancet Respir Med 2014;2:395–404. doi:10.1016/S2213-2600(14)70041-4.</w:t>
      </w:r>
    </w:p>
    <w:p w14:paraId="204C76D3"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[27]</w:t>
      </w:r>
      <w:r w:rsidRPr="00073666">
        <w:rPr>
          <w:rFonts w:ascii="Calibri" w:hAnsi="Calibri" w:cs="Calibri"/>
          <w:noProof/>
          <w:lang w:val="en-US"/>
        </w:rPr>
        <w:tab/>
        <w:t>Domínguez A, Romero-Tamarit N, Soldevila P, Godoy M, Jané A, Martínez N, et al. Effectiveness of antiviral treatment in preventing death in hospitalized cases of severe influenza over six influenza seasons. Epidemiol Infect 2018;146:799–808.</w:t>
      </w:r>
    </w:p>
    <w:p w14:paraId="307739B8"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[28]</w:t>
      </w:r>
      <w:r w:rsidRPr="00073666">
        <w:rPr>
          <w:rFonts w:ascii="Calibri" w:hAnsi="Calibri" w:cs="Calibri"/>
          <w:noProof/>
          <w:lang w:val="en-US"/>
        </w:rPr>
        <w:tab/>
        <w:t>Public Health England. PHE guidance on use of antiviral agents for the treatment and prophylaxis of seasonal influenza About Public Health England 2019:1–42. PHE guidance on use of antiviral agents for the treatment and pr….</w:t>
      </w:r>
    </w:p>
    <w:p w14:paraId="68EE231B"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[29]</w:t>
      </w:r>
      <w:r w:rsidRPr="00073666">
        <w:rPr>
          <w:rFonts w:ascii="Calibri" w:hAnsi="Calibri" w:cs="Calibri"/>
          <w:noProof/>
          <w:lang w:val="en-US"/>
        </w:rPr>
        <w:tab/>
        <w:t>Uyeki TM, Bernstein HH, Bradley JS. Clinical practice guidelines by the infectious diseases Society of America: 2018 update on diagnosis, treatment, chemoprophylaxis, and institutional outbreak management of seasonal influenza (Clinical Infectious Diseases DOI: 10.1093/cid/ciy866). Clin Infect Dis 2019;68:1790. doi:10.1093/cid/ciz044.</w:t>
      </w:r>
    </w:p>
    <w:p w14:paraId="12C5A5CB"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[30]</w:t>
      </w:r>
      <w:r w:rsidRPr="00073666">
        <w:rPr>
          <w:rFonts w:ascii="Calibri" w:hAnsi="Calibri" w:cs="Calibri"/>
          <w:noProof/>
          <w:lang w:val="en-US"/>
        </w:rPr>
        <w:tab/>
        <w:t>Herbrecht R, Denning D, Patterson T, Bennett J, Greene R, Oestmann J. Voriconazole versus amphotericin B for primary therapy of invasive aspergillosis. N Engl J Med 2002;347:408–15.</w:t>
      </w:r>
    </w:p>
    <w:p w14:paraId="43760E33"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[31]</w:t>
      </w:r>
      <w:r w:rsidRPr="00073666">
        <w:rPr>
          <w:rFonts w:ascii="Calibri" w:hAnsi="Calibri" w:cs="Calibri"/>
          <w:noProof/>
          <w:lang w:val="en-US"/>
        </w:rPr>
        <w:tab/>
        <w:t xml:space="preserve">Patterson TF, Thompson GR, Denning DW, Fishman JA, Hadley S, Herbrecht R, et al. Executive summary: Practice guidelines for the diagnosis and management of aspergillosis: 2016 update </w:t>
      </w:r>
      <w:r w:rsidRPr="00073666">
        <w:rPr>
          <w:rFonts w:ascii="Calibri" w:hAnsi="Calibri" w:cs="Calibri"/>
          <w:noProof/>
          <w:lang w:val="en-US"/>
        </w:rPr>
        <w:lastRenderedPageBreak/>
        <w:t>by the infectious diseases society of America. Clin Infect Dis 2016;63:433–42. doi:10.1093/cid/ciw444.</w:t>
      </w:r>
    </w:p>
    <w:p w14:paraId="230B8FDF"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[32]</w:t>
      </w:r>
      <w:r w:rsidRPr="00073666">
        <w:rPr>
          <w:rFonts w:ascii="Calibri" w:hAnsi="Calibri" w:cs="Calibri"/>
          <w:noProof/>
          <w:lang w:val="en-US"/>
        </w:rPr>
        <w:tab/>
        <w:t>van de Veerdonk FL, Kolwijck E, Lestrade PPA, Hodiamont CJ, Rijnders BJA, van Paassen J, et al. Influenza-associated Aspergillosis in Critically Ill Patients. Am J Respir Crit Care Med 2017;196:524–7. doi:10.1164/rccm.201612-2540le.</w:t>
      </w:r>
    </w:p>
    <w:p w14:paraId="0D9B3395"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[33]</w:t>
      </w:r>
      <w:r w:rsidRPr="00073666">
        <w:rPr>
          <w:rFonts w:ascii="Calibri" w:hAnsi="Calibri" w:cs="Calibri"/>
          <w:noProof/>
          <w:lang w:val="en-US"/>
        </w:rPr>
        <w:tab/>
        <w:t>Rodrigo C, Leonardi-Bee J, Nguyen-Van-Tam J, Lim WS. Corticosteroids as adjunctive therapy in the treatment of influenza. Cochrane Database Syst Rev 2016;3:CD010406. doi:10.1002/14651858.CD010406.pub2.</w:t>
      </w:r>
    </w:p>
    <w:p w14:paraId="16169F3E"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[34]</w:t>
      </w:r>
      <w:r w:rsidRPr="00073666">
        <w:rPr>
          <w:rFonts w:ascii="Calibri" w:hAnsi="Calibri" w:cs="Calibri"/>
          <w:noProof/>
          <w:lang w:val="en-US"/>
        </w:rPr>
        <w:tab/>
        <w:t>Tang BM, Feng CG, McLean AS. Understanding the role of host response in influenza pneumonitis. Intensive Care Med 2019;45:1012–4. doi:10.1007/s00134-019-05582-5.</w:t>
      </w:r>
    </w:p>
    <w:p w14:paraId="7CE7C544"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[35]</w:t>
      </w:r>
      <w:r w:rsidRPr="00073666">
        <w:rPr>
          <w:rFonts w:ascii="Calibri" w:hAnsi="Calibri" w:cs="Calibri"/>
          <w:noProof/>
          <w:lang w:val="en-US"/>
        </w:rPr>
        <w:tab/>
        <w:t>Bermejo-martin JF, Martin-loeches I, Rello J, Antón A, Almansa R, Xu L, et al. Host adaptive immunity deficiency in severe pandemic influenza. Crit Care 2010;14:1–12.</w:t>
      </w:r>
    </w:p>
    <w:p w14:paraId="6287C74C"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[36]</w:t>
      </w:r>
      <w:r w:rsidRPr="00073666">
        <w:rPr>
          <w:rFonts w:ascii="Calibri" w:hAnsi="Calibri" w:cs="Calibri"/>
          <w:noProof/>
          <w:lang w:val="en-US"/>
        </w:rPr>
        <w:tab/>
        <w:t>Lamoth F, Calandra T. Let’s add invasive aspergillosis to the list of influenza complications. Lancet Respir Med 2018;6:733–5. doi:10.1016/s2213-2600(18)30332-1.</w:t>
      </w:r>
    </w:p>
    <w:p w14:paraId="0DF5A9B8"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[37]</w:t>
      </w:r>
      <w:r w:rsidRPr="00073666">
        <w:rPr>
          <w:rFonts w:ascii="Calibri" w:hAnsi="Calibri" w:cs="Calibri"/>
          <w:noProof/>
          <w:lang w:val="en-US"/>
        </w:rPr>
        <w:tab/>
        <w:t>Cunha C, Goncalves S, Duarte-Oliveira C, Leite L, Lagrou K, Marques A. IL-10 overexpression predisposes to invasive aspergillosis by suppressing antifungal immunity. J Allergy Clin Immunol 2017;140:867–70. doi:10.1016/j.jaci.2017.02.034.</w:t>
      </w:r>
    </w:p>
    <w:p w14:paraId="247CBC08"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[38]</w:t>
      </w:r>
      <w:r w:rsidRPr="00073666">
        <w:rPr>
          <w:rFonts w:ascii="Calibri" w:hAnsi="Calibri" w:cs="Calibri"/>
          <w:noProof/>
          <w:lang w:val="en-US"/>
        </w:rPr>
        <w:tab/>
        <w:t>Cunha C, Velardi A, Romani L, Carvalho A, Bell AS, Aversa F, et al. Genetic PTX3 deficiency and aspergillosis in stem-cell transplantation. N Engl J Med 2014;370:421–32. doi:10.1056/NEJMoa1211161.</w:t>
      </w:r>
    </w:p>
    <w:p w14:paraId="60463D9F"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[39]</w:t>
      </w:r>
      <w:r w:rsidRPr="00073666">
        <w:rPr>
          <w:rFonts w:ascii="Calibri" w:hAnsi="Calibri" w:cs="Calibri"/>
          <w:noProof/>
          <w:lang w:val="en-US"/>
        </w:rPr>
        <w:tab/>
        <w:t>Cunha C, Carvalho A. Genetic defects in fungal recognition and susceptibility to invasive pulmonary aspergillosis. Med Mycol 2019;57:S211–8. doi:10.1093/mmy/myy057.</w:t>
      </w:r>
    </w:p>
    <w:p w14:paraId="01B6D7E1"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[40]</w:t>
      </w:r>
      <w:r w:rsidRPr="00073666">
        <w:rPr>
          <w:rFonts w:ascii="Calibri" w:hAnsi="Calibri" w:cs="Calibri"/>
          <w:noProof/>
          <w:lang w:val="en-US"/>
        </w:rPr>
        <w:tab/>
        <w:t>Gonçalves SM, Lagrou K, Rodrigues CS, Campos CF, Bernal-Martínez L, Rodrigues F, et al. Evaluation of bronchoalveolar lavage fluid cytokines as biomarkers for invasive pulmonary aspergillosis in at-risk patients. Front Microbiol 2017;8:1–10. doi:10.3389/fmicb.2017.02362.</w:t>
      </w:r>
    </w:p>
    <w:p w14:paraId="5E84816B" w14:textId="77777777" w:rsidR="007E648C" w:rsidRPr="00073666" w:rsidRDefault="007E648C" w:rsidP="007E648C">
      <w:pPr>
        <w:widowControl w:val="0"/>
        <w:autoSpaceDE w:val="0"/>
        <w:autoSpaceDN w:val="0"/>
        <w:adjustRightInd w:val="0"/>
        <w:ind w:left="640" w:hanging="640"/>
        <w:rPr>
          <w:rFonts w:ascii="Calibri" w:hAnsi="Calibri" w:cs="Calibri"/>
          <w:noProof/>
          <w:lang w:val="en-US"/>
        </w:rPr>
      </w:pPr>
      <w:r w:rsidRPr="00073666">
        <w:rPr>
          <w:rFonts w:ascii="Calibri" w:hAnsi="Calibri" w:cs="Calibri"/>
          <w:noProof/>
          <w:lang w:val="en-US"/>
        </w:rPr>
        <w:t>[41]</w:t>
      </w:r>
      <w:r w:rsidRPr="00073666">
        <w:rPr>
          <w:rFonts w:ascii="Calibri" w:hAnsi="Calibri" w:cs="Calibri"/>
          <w:noProof/>
          <w:lang w:val="en-US"/>
        </w:rPr>
        <w:tab/>
        <w:t>Chai LYA, De Boer MGJ, Van Der Velden WJFM, Plantinga TS, Van Spriel AB, Jacobs C, et al. The Y238X stop codon polymorphism in the human b-glucan receptor dectin-1 and susceptibility to invasive aspergillosis. J Infect Dis 2011;203:736–43. doi:10.1093/infdis/jiq102.</w:t>
      </w:r>
    </w:p>
    <w:p w14:paraId="1C65C5EF" w14:textId="77777777" w:rsidR="007E648C" w:rsidRPr="00073666" w:rsidRDefault="007E648C" w:rsidP="007E648C">
      <w:pPr>
        <w:widowControl w:val="0"/>
        <w:autoSpaceDE w:val="0"/>
        <w:autoSpaceDN w:val="0"/>
        <w:adjustRightInd w:val="0"/>
        <w:ind w:left="640" w:hanging="640"/>
        <w:rPr>
          <w:rFonts w:ascii="Calibri" w:hAnsi="Calibri" w:cs="Calibri"/>
          <w:noProof/>
        </w:rPr>
      </w:pPr>
      <w:r w:rsidRPr="00073666">
        <w:rPr>
          <w:rFonts w:ascii="Calibri" w:hAnsi="Calibri" w:cs="Calibri"/>
          <w:noProof/>
          <w:lang w:val="en-US"/>
        </w:rPr>
        <w:t>[42]</w:t>
      </w:r>
      <w:r w:rsidRPr="00073666">
        <w:rPr>
          <w:rFonts w:ascii="Calibri" w:hAnsi="Calibri" w:cs="Calibri"/>
          <w:noProof/>
          <w:lang w:val="en-US"/>
        </w:rPr>
        <w:tab/>
        <w:t>Kolwijck E, van de Veerdonk FL. The potential impact of the pulmonary microbiome on immunopathogenesis of Aspergillus-related lung disease. Eur J Immunol 2014;44:3156–65. doi:10.1002/eji.201344404.</w:t>
      </w:r>
    </w:p>
    <w:p w14:paraId="74F349EE" w14:textId="2698D6A8" w:rsidR="00475FDA" w:rsidRPr="00073666" w:rsidRDefault="007E648C" w:rsidP="003802A1">
      <w:pPr>
        <w:rPr>
          <w:rFonts w:ascii="Calibri" w:hAnsi="Calibri" w:cs="Calibri"/>
          <w:szCs w:val="22"/>
        </w:rPr>
      </w:pPr>
      <w:r w:rsidRPr="00073666">
        <w:rPr>
          <w:rFonts w:ascii="Calibri" w:hAnsi="Calibri" w:cs="Calibri"/>
          <w:szCs w:val="22"/>
        </w:rPr>
        <w:fldChar w:fldCharType="end"/>
      </w:r>
    </w:p>
    <w:p w14:paraId="346822DA" w14:textId="77777777" w:rsidR="00093582" w:rsidRPr="00073666" w:rsidRDefault="00093582">
      <w:pPr>
        <w:rPr>
          <w:rFonts w:ascii="Calibri" w:eastAsiaTheme="majorEastAsia" w:hAnsi="Calibri" w:cs="Calibri"/>
          <w:b/>
          <w:bCs/>
          <w:spacing w:val="-3"/>
          <w:szCs w:val="22"/>
        </w:rPr>
      </w:pPr>
      <w:r w:rsidRPr="00073666">
        <w:rPr>
          <w:rFonts w:ascii="Calibri" w:hAnsi="Calibri" w:cs="Calibri"/>
          <w:spacing w:val="-3"/>
          <w:szCs w:val="22"/>
        </w:rPr>
        <w:br w:type="page"/>
      </w:r>
    </w:p>
    <w:p w14:paraId="1A0DD48C" w14:textId="77777777" w:rsidR="00475FDA" w:rsidRPr="00073666" w:rsidRDefault="00401DE9" w:rsidP="006B6502">
      <w:pPr>
        <w:pStyle w:val="Heading3"/>
        <w:tabs>
          <w:tab w:val="left" w:pos="720"/>
        </w:tabs>
        <w:spacing w:before="0" w:after="120" w:line="240" w:lineRule="auto"/>
        <w:rPr>
          <w:rFonts w:ascii="Calibri" w:hAnsi="Calibri" w:cs="Calibri"/>
          <w:color w:val="auto"/>
          <w:spacing w:val="-3"/>
          <w:szCs w:val="22"/>
        </w:rPr>
      </w:pPr>
      <w:r w:rsidRPr="00073666">
        <w:rPr>
          <w:rFonts w:ascii="Calibri" w:hAnsi="Calibri" w:cs="Calibri"/>
          <w:color w:val="auto"/>
          <w:spacing w:val="-3"/>
          <w:szCs w:val="22"/>
        </w:rPr>
        <w:lastRenderedPageBreak/>
        <w:t>1</w:t>
      </w:r>
      <w:r w:rsidR="00997241" w:rsidRPr="00073666">
        <w:rPr>
          <w:rFonts w:ascii="Calibri" w:hAnsi="Calibri" w:cs="Calibri"/>
          <w:color w:val="auto"/>
          <w:spacing w:val="-3"/>
          <w:szCs w:val="22"/>
        </w:rPr>
        <w:t>1</w:t>
      </w:r>
      <w:r w:rsidR="00475FDA" w:rsidRPr="00073666">
        <w:rPr>
          <w:rFonts w:ascii="Calibri" w:hAnsi="Calibri" w:cs="Calibri"/>
          <w:color w:val="auto"/>
          <w:spacing w:val="-3"/>
          <w:szCs w:val="22"/>
        </w:rPr>
        <w:t xml:space="preserve">. </w:t>
      </w:r>
      <w:r w:rsidR="00864F75" w:rsidRPr="00073666">
        <w:rPr>
          <w:rFonts w:ascii="Calibri" w:hAnsi="Calibri" w:cs="Calibri"/>
          <w:color w:val="auto"/>
          <w:spacing w:val="-3"/>
          <w:szCs w:val="22"/>
        </w:rPr>
        <w:tab/>
      </w:r>
      <w:r w:rsidR="00475FDA" w:rsidRPr="00073666">
        <w:rPr>
          <w:rFonts w:ascii="Calibri" w:hAnsi="Calibri" w:cs="Calibri"/>
          <w:color w:val="auto"/>
          <w:spacing w:val="-3"/>
          <w:szCs w:val="22"/>
        </w:rPr>
        <w:t>APPENDICIES</w:t>
      </w:r>
    </w:p>
    <w:p w14:paraId="1F9FC00D" w14:textId="77777777" w:rsidR="00093582" w:rsidRPr="00073666" w:rsidRDefault="00093582">
      <w:pPr>
        <w:rPr>
          <w:rFonts w:ascii="Calibri" w:hAnsi="Calibri" w:cs="Calibri"/>
          <w:b/>
          <w:bCs/>
          <w:szCs w:val="22"/>
          <w:lang w:eastAsia="en-GB"/>
        </w:rPr>
      </w:pPr>
    </w:p>
    <w:p w14:paraId="4E97673F" w14:textId="77777777" w:rsidR="00475FDA" w:rsidRPr="00073666" w:rsidRDefault="00475FDA" w:rsidP="003802A1">
      <w:pPr>
        <w:rPr>
          <w:rFonts w:ascii="Calibri" w:hAnsi="Calibri" w:cs="Calibri"/>
          <w:b/>
          <w:bCs/>
          <w:color w:val="0000FF"/>
          <w:szCs w:val="22"/>
          <w:lang w:eastAsia="en-GB"/>
        </w:rPr>
      </w:pPr>
    </w:p>
    <w:p w14:paraId="2160C264" w14:textId="77777777" w:rsidR="00475FDA" w:rsidRPr="00073666" w:rsidRDefault="00401DE9" w:rsidP="004B3BCA">
      <w:pPr>
        <w:rPr>
          <w:rFonts w:ascii="Calibri" w:hAnsi="Calibri" w:cs="Calibri"/>
          <w:b/>
          <w:bCs/>
          <w:szCs w:val="22"/>
          <w:lang w:eastAsia="en-GB"/>
        </w:rPr>
      </w:pPr>
      <w:r w:rsidRPr="00073666">
        <w:rPr>
          <w:rFonts w:ascii="Calibri" w:hAnsi="Calibri" w:cs="Calibri"/>
          <w:b/>
          <w:szCs w:val="22"/>
          <w:lang w:eastAsia="en-GB"/>
        </w:rPr>
        <w:t>1</w:t>
      </w:r>
      <w:r w:rsidR="00997241" w:rsidRPr="00073666">
        <w:rPr>
          <w:rFonts w:ascii="Calibri" w:hAnsi="Calibri" w:cs="Calibri"/>
          <w:b/>
          <w:szCs w:val="22"/>
          <w:lang w:eastAsia="en-GB"/>
        </w:rPr>
        <w:t>1</w:t>
      </w:r>
      <w:r w:rsidR="003B4870" w:rsidRPr="00073666">
        <w:rPr>
          <w:rFonts w:ascii="Calibri" w:hAnsi="Calibri" w:cs="Calibri"/>
          <w:b/>
          <w:szCs w:val="22"/>
          <w:lang w:eastAsia="en-GB"/>
        </w:rPr>
        <w:t>.</w:t>
      </w:r>
      <w:r w:rsidR="00443825" w:rsidRPr="00073666">
        <w:rPr>
          <w:rFonts w:ascii="Calibri" w:hAnsi="Calibri" w:cs="Calibri"/>
          <w:b/>
          <w:szCs w:val="22"/>
          <w:lang w:eastAsia="en-GB"/>
        </w:rPr>
        <w:t>1</w:t>
      </w:r>
      <w:r w:rsidR="00475FDA" w:rsidRPr="00073666">
        <w:rPr>
          <w:rFonts w:ascii="Calibri" w:hAnsi="Calibri" w:cs="Calibri"/>
          <w:szCs w:val="22"/>
          <w:lang w:eastAsia="en-GB"/>
        </w:rPr>
        <w:t xml:space="preserve"> </w:t>
      </w:r>
      <w:r w:rsidR="00864F75" w:rsidRPr="00073666">
        <w:rPr>
          <w:rFonts w:ascii="Calibri" w:hAnsi="Calibri" w:cs="Calibri"/>
          <w:szCs w:val="22"/>
          <w:lang w:eastAsia="en-GB"/>
        </w:rPr>
        <w:tab/>
      </w:r>
      <w:r w:rsidR="00475FDA" w:rsidRPr="00073666">
        <w:rPr>
          <w:rFonts w:ascii="Calibri" w:hAnsi="Calibri" w:cs="Calibri"/>
          <w:b/>
          <w:bCs/>
          <w:szCs w:val="22"/>
          <w:lang w:eastAsia="en-GB"/>
        </w:rPr>
        <w:t>Appe</w:t>
      </w:r>
      <w:r w:rsidR="003B4870" w:rsidRPr="00073666">
        <w:rPr>
          <w:rFonts w:ascii="Calibri" w:hAnsi="Calibri" w:cs="Calibri"/>
          <w:b/>
          <w:bCs/>
          <w:szCs w:val="22"/>
          <w:lang w:eastAsia="en-GB"/>
        </w:rPr>
        <w:t>ndix 2</w:t>
      </w:r>
    </w:p>
    <w:p w14:paraId="180E3C64" w14:textId="77777777" w:rsidR="004B3BCA" w:rsidRPr="00073666" w:rsidRDefault="004B3BCA" w:rsidP="004B3BCA">
      <w:pPr>
        <w:rPr>
          <w:rFonts w:ascii="Calibri" w:hAnsi="Calibri" w:cs="Calibri"/>
          <w:b/>
          <w:bCs/>
          <w:szCs w:val="22"/>
          <w:lang w:eastAsia="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5"/>
        <w:gridCol w:w="1546"/>
        <w:gridCol w:w="1417"/>
        <w:gridCol w:w="1872"/>
        <w:gridCol w:w="2268"/>
      </w:tblGrid>
      <w:tr w:rsidR="003C7C88" w:rsidRPr="00073666" w14:paraId="38B90A80" w14:textId="77777777" w:rsidTr="00281426">
        <w:trPr>
          <w:trHeight w:val="454"/>
        </w:trPr>
        <w:tc>
          <w:tcPr>
            <w:tcW w:w="9918" w:type="dxa"/>
            <w:gridSpan w:val="5"/>
            <w:shd w:val="clear" w:color="auto" w:fill="C0504D" w:themeFill="accent2"/>
          </w:tcPr>
          <w:p w14:paraId="752F756F" w14:textId="5CB0F792" w:rsidR="003C7C88" w:rsidRPr="00073666" w:rsidRDefault="003C7C88" w:rsidP="003802A1">
            <w:pPr>
              <w:rPr>
                <w:rFonts w:ascii="Calibri" w:hAnsi="Calibri" w:cs="Calibri"/>
                <w:b/>
                <w:iCs/>
                <w:color w:val="FFFFFF" w:themeColor="background1"/>
                <w:szCs w:val="22"/>
              </w:rPr>
            </w:pPr>
            <w:r w:rsidRPr="00073666">
              <w:rPr>
                <w:rFonts w:ascii="Calibri" w:hAnsi="Calibri" w:cs="Calibri"/>
                <w:b/>
                <w:bCs/>
                <w:color w:val="FFFFFF" w:themeColor="background1"/>
                <w:szCs w:val="22"/>
                <w:lang w:eastAsia="en-GB"/>
              </w:rPr>
              <w:t>Schedule of Procedures</w:t>
            </w:r>
            <w:r w:rsidR="00281426" w:rsidRPr="00073666">
              <w:rPr>
                <w:rFonts w:ascii="Calibri" w:hAnsi="Calibri" w:cs="Calibri"/>
                <w:b/>
                <w:bCs/>
                <w:color w:val="FFFFFF" w:themeColor="background1"/>
                <w:szCs w:val="22"/>
                <w:lang w:eastAsia="en-GB"/>
              </w:rPr>
              <w:t xml:space="preserve"> (S</w:t>
            </w:r>
            <w:r w:rsidR="00427FF2" w:rsidRPr="00073666">
              <w:rPr>
                <w:rFonts w:ascii="Calibri" w:hAnsi="Calibri" w:cs="Calibri"/>
                <w:b/>
                <w:bCs/>
                <w:color w:val="FFFFFF" w:themeColor="background1"/>
                <w:szCs w:val="22"/>
                <w:lang w:eastAsia="en-GB"/>
              </w:rPr>
              <w:t>ee Table 3</w:t>
            </w:r>
            <w:r w:rsidR="00281426" w:rsidRPr="00073666">
              <w:rPr>
                <w:rFonts w:ascii="Calibri" w:hAnsi="Calibri" w:cs="Calibri"/>
                <w:b/>
                <w:bCs/>
                <w:color w:val="FFFFFF" w:themeColor="background1"/>
                <w:szCs w:val="22"/>
                <w:lang w:eastAsia="en-GB"/>
              </w:rPr>
              <w:t xml:space="preserve"> above for data to be </w:t>
            </w:r>
            <w:proofErr w:type="gramStart"/>
            <w:r w:rsidR="00281426" w:rsidRPr="00073666">
              <w:rPr>
                <w:rFonts w:ascii="Calibri" w:hAnsi="Calibri" w:cs="Calibri"/>
                <w:b/>
                <w:bCs/>
                <w:color w:val="FFFFFF" w:themeColor="background1"/>
                <w:szCs w:val="22"/>
                <w:lang w:eastAsia="en-GB"/>
              </w:rPr>
              <w:t>collected )</w:t>
            </w:r>
            <w:proofErr w:type="gramEnd"/>
          </w:p>
        </w:tc>
      </w:tr>
      <w:tr w:rsidR="00475FDA" w:rsidRPr="00073666" w14:paraId="52872B67" w14:textId="77777777" w:rsidTr="00281426">
        <w:trPr>
          <w:trHeight w:val="454"/>
        </w:trPr>
        <w:tc>
          <w:tcPr>
            <w:tcW w:w="2815" w:type="dxa"/>
            <w:vMerge w:val="restart"/>
          </w:tcPr>
          <w:p w14:paraId="2DD4AEFC" w14:textId="77777777" w:rsidR="00475FDA" w:rsidRPr="00073666" w:rsidRDefault="00475FDA" w:rsidP="003802A1">
            <w:pPr>
              <w:rPr>
                <w:rFonts w:ascii="Calibri" w:hAnsi="Calibri" w:cs="Calibri"/>
                <w:b/>
                <w:iCs/>
                <w:color w:val="000000" w:themeColor="text1"/>
                <w:szCs w:val="22"/>
              </w:rPr>
            </w:pPr>
            <w:r w:rsidRPr="00073666">
              <w:rPr>
                <w:rFonts w:ascii="Calibri" w:hAnsi="Calibri" w:cs="Calibri"/>
                <w:b/>
                <w:iCs/>
                <w:color w:val="000000" w:themeColor="text1"/>
                <w:szCs w:val="22"/>
              </w:rPr>
              <w:t>Procedures</w:t>
            </w:r>
          </w:p>
        </w:tc>
        <w:tc>
          <w:tcPr>
            <w:tcW w:w="7103" w:type="dxa"/>
            <w:gridSpan w:val="4"/>
            <w:vAlign w:val="center"/>
          </w:tcPr>
          <w:p w14:paraId="5349D542" w14:textId="24FACDB4" w:rsidR="00475FDA" w:rsidRPr="00073666" w:rsidRDefault="00475FDA" w:rsidP="00281426">
            <w:pPr>
              <w:jc w:val="center"/>
              <w:rPr>
                <w:rFonts w:ascii="Calibri" w:hAnsi="Calibri" w:cs="Calibri"/>
                <w:b/>
                <w:iCs/>
                <w:color w:val="000000" w:themeColor="text1"/>
                <w:szCs w:val="22"/>
              </w:rPr>
            </w:pPr>
          </w:p>
        </w:tc>
      </w:tr>
      <w:tr w:rsidR="00281426" w:rsidRPr="00073666" w14:paraId="7551AEA1" w14:textId="77777777" w:rsidTr="00281426">
        <w:trPr>
          <w:trHeight w:val="454"/>
        </w:trPr>
        <w:tc>
          <w:tcPr>
            <w:tcW w:w="2815" w:type="dxa"/>
            <w:vMerge/>
          </w:tcPr>
          <w:p w14:paraId="2698F3DF" w14:textId="77777777" w:rsidR="00281426" w:rsidRPr="00073666" w:rsidRDefault="00281426" w:rsidP="003802A1">
            <w:pPr>
              <w:rPr>
                <w:rFonts w:ascii="Calibri" w:hAnsi="Calibri" w:cs="Calibri"/>
                <w:b/>
                <w:iCs/>
                <w:color w:val="000000" w:themeColor="text1"/>
                <w:szCs w:val="22"/>
              </w:rPr>
            </w:pPr>
          </w:p>
        </w:tc>
        <w:tc>
          <w:tcPr>
            <w:tcW w:w="1546" w:type="dxa"/>
            <w:vAlign w:val="center"/>
          </w:tcPr>
          <w:p w14:paraId="54D0899A" w14:textId="77777777" w:rsidR="00281426" w:rsidRPr="00073666" w:rsidRDefault="00281426" w:rsidP="003802A1">
            <w:pPr>
              <w:rPr>
                <w:rFonts w:ascii="Calibri" w:hAnsi="Calibri" w:cs="Calibri"/>
                <w:b/>
                <w:iCs/>
                <w:color w:val="000000" w:themeColor="text1"/>
                <w:szCs w:val="22"/>
              </w:rPr>
            </w:pPr>
            <w:r w:rsidRPr="00073666">
              <w:rPr>
                <w:rFonts w:ascii="Calibri" w:hAnsi="Calibri" w:cs="Calibri"/>
                <w:b/>
                <w:iCs/>
                <w:color w:val="000000" w:themeColor="text1"/>
                <w:szCs w:val="22"/>
              </w:rPr>
              <w:t>Screening</w:t>
            </w:r>
          </w:p>
        </w:tc>
        <w:tc>
          <w:tcPr>
            <w:tcW w:w="1417" w:type="dxa"/>
            <w:vAlign w:val="center"/>
          </w:tcPr>
          <w:p w14:paraId="5F3BBFBF" w14:textId="77777777" w:rsidR="00281426" w:rsidRPr="00073666" w:rsidRDefault="00281426" w:rsidP="003802A1">
            <w:pPr>
              <w:rPr>
                <w:rFonts w:ascii="Calibri" w:hAnsi="Calibri" w:cs="Calibri"/>
                <w:b/>
                <w:iCs/>
                <w:color w:val="000000" w:themeColor="text1"/>
                <w:szCs w:val="22"/>
              </w:rPr>
            </w:pPr>
            <w:r w:rsidRPr="00073666">
              <w:rPr>
                <w:rFonts w:ascii="Calibri" w:hAnsi="Calibri" w:cs="Calibri"/>
                <w:b/>
                <w:iCs/>
                <w:color w:val="000000" w:themeColor="text1"/>
                <w:szCs w:val="22"/>
              </w:rPr>
              <w:t>Baseline</w:t>
            </w:r>
          </w:p>
        </w:tc>
        <w:tc>
          <w:tcPr>
            <w:tcW w:w="1872" w:type="dxa"/>
            <w:vAlign w:val="center"/>
          </w:tcPr>
          <w:p w14:paraId="1237E452" w14:textId="1842E6A5" w:rsidR="00281426" w:rsidRPr="00073666" w:rsidRDefault="00281426" w:rsidP="003802A1">
            <w:pPr>
              <w:rPr>
                <w:rFonts w:ascii="Calibri" w:hAnsi="Calibri" w:cs="Calibri"/>
                <w:b/>
                <w:bCs/>
                <w:color w:val="000000" w:themeColor="text1"/>
                <w:szCs w:val="22"/>
              </w:rPr>
            </w:pPr>
            <w:r w:rsidRPr="00073666">
              <w:rPr>
                <w:rFonts w:ascii="Calibri" w:hAnsi="Calibri" w:cs="Calibri"/>
                <w:b/>
                <w:bCs/>
                <w:color w:val="000000" w:themeColor="text1"/>
                <w:szCs w:val="22"/>
              </w:rPr>
              <w:t>During ICU stay</w:t>
            </w:r>
          </w:p>
        </w:tc>
        <w:tc>
          <w:tcPr>
            <w:tcW w:w="2268" w:type="dxa"/>
            <w:vAlign w:val="center"/>
          </w:tcPr>
          <w:p w14:paraId="053EE0C7" w14:textId="7F26A4D8" w:rsidR="00281426" w:rsidRPr="00073666" w:rsidRDefault="002A2512" w:rsidP="003802A1">
            <w:pPr>
              <w:rPr>
                <w:rFonts w:ascii="Calibri" w:hAnsi="Calibri" w:cs="Calibri"/>
                <w:b/>
                <w:bCs/>
                <w:color w:val="000000" w:themeColor="text1"/>
                <w:szCs w:val="22"/>
              </w:rPr>
            </w:pPr>
            <w:r w:rsidRPr="00073666">
              <w:rPr>
                <w:rFonts w:ascii="Calibri" w:hAnsi="Calibri" w:cs="Calibri"/>
                <w:b/>
                <w:bCs/>
                <w:color w:val="000000" w:themeColor="text1"/>
                <w:szCs w:val="22"/>
              </w:rPr>
              <w:t>Until</w:t>
            </w:r>
            <w:r w:rsidR="00281426" w:rsidRPr="00073666">
              <w:rPr>
                <w:rFonts w:ascii="Calibri" w:hAnsi="Calibri" w:cs="Calibri"/>
                <w:b/>
                <w:bCs/>
                <w:color w:val="000000" w:themeColor="text1"/>
                <w:szCs w:val="22"/>
              </w:rPr>
              <w:t xml:space="preserve"> hospital discharge/90 days</w:t>
            </w:r>
          </w:p>
        </w:tc>
      </w:tr>
      <w:tr w:rsidR="00281426" w:rsidRPr="00073666" w14:paraId="66177C31" w14:textId="77777777" w:rsidTr="00281426">
        <w:trPr>
          <w:trHeight w:val="454"/>
        </w:trPr>
        <w:tc>
          <w:tcPr>
            <w:tcW w:w="2815" w:type="dxa"/>
            <w:vAlign w:val="center"/>
          </w:tcPr>
          <w:p w14:paraId="59A54BE6" w14:textId="5F618236" w:rsidR="00281426" w:rsidRPr="00073666" w:rsidRDefault="00281426" w:rsidP="003802A1">
            <w:pPr>
              <w:rPr>
                <w:rFonts w:ascii="Calibri" w:hAnsi="Calibri" w:cs="Calibri"/>
                <w:color w:val="000000" w:themeColor="text1"/>
                <w:szCs w:val="22"/>
              </w:rPr>
            </w:pPr>
            <w:r w:rsidRPr="00073666">
              <w:rPr>
                <w:rFonts w:ascii="Calibri" w:hAnsi="Calibri" w:cs="Calibri"/>
                <w:color w:val="000000" w:themeColor="text1"/>
                <w:szCs w:val="22"/>
              </w:rPr>
              <w:t>Consent</w:t>
            </w:r>
          </w:p>
        </w:tc>
        <w:tc>
          <w:tcPr>
            <w:tcW w:w="1546" w:type="dxa"/>
            <w:vAlign w:val="center"/>
          </w:tcPr>
          <w:p w14:paraId="355DA8AC" w14:textId="77777777" w:rsidR="00281426" w:rsidRPr="00073666" w:rsidRDefault="00281426" w:rsidP="00973EB9">
            <w:pPr>
              <w:jc w:val="center"/>
              <w:rPr>
                <w:rFonts w:ascii="Calibri" w:hAnsi="Calibri" w:cs="Calibri"/>
                <w:bCs/>
                <w:color w:val="000000" w:themeColor="text1"/>
                <w:szCs w:val="22"/>
              </w:rPr>
            </w:pPr>
            <w:r w:rsidRPr="00073666">
              <w:rPr>
                <w:rFonts w:ascii="Calibri" w:hAnsi="Calibri" w:cs="Calibri"/>
                <w:bCs/>
                <w:color w:val="000000" w:themeColor="text1"/>
                <w:szCs w:val="22"/>
              </w:rPr>
              <w:t>x</w:t>
            </w:r>
          </w:p>
        </w:tc>
        <w:tc>
          <w:tcPr>
            <w:tcW w:w="1417" w:type="dxa"/>
            <w:vAlign w:val="center"/>
          </w:tcPr>
          <w:p w14:paraId="651C9A76" w14:textId="77777777" w:rsidR="00281426" w:rsidRPr="00073666" w:rsidRDefault="00281426" w:rsidP="003802A1">
            <w:pPr>
              <w:rPr>
                <w:rFonts w:ascii="Calibri" w:hAnsi="Calibri" w:cs="Calibri"/>
                <w:bCs/>
                <w:color w:val="000000" w:themeColor="text1"/>
                <w:szCs w:val="22"/>
              </w:rPr>
            </w:pPr>
          </w:p>
        </w:tc>
        <w:tc>
          <w:tcPr>
            <w:tcW w:w="1872" w:type="dxa"/>
            <w:vAlign w:val="center"/>
          </w:tcPr>
          <w:p w14:paraId="155E81C1" w14:textId="77777777" w:rsidR="00281426" w:rsidRPr="00073666" w:rsidRDefault="00281426" w:rsidP="003802A1">
            <w:pPr>
              <w:rPr>
                <w:rFonts w:ascii="Calibri" w:hAnsi="Calibri" w:cs="Calibri"/>
                <w:bCs/>
                <w:color w:val="000000" w:themeColor="text1"/>
                <w:szCs w:val="22"/>
              </w:rPr>
            </w:pPr>
          </w:p>
        </w:tc>
        <w:tc>
          <w:tcPr>
            <w:tcW w:w="2268" w:type="dxa"/>
            <w:vAlign w:val="center"/>
          </w:tcPr>
          <w:p w14:paraId="65A47744" w14:textId="77777777" w:rsidR="00281426" w:rsidRPr="00073666" w:rsidRDefault="00281426" w:rsidP="003802A1">
            <w:pPr>
              <w:rPr>
                <w:rFonts w:ascii="Calibri" w:hAnsi="Calibri" w:cs="Calibri"/>
                <w:bCs/>
                <w:color w:val="000000" w:themeColor="text1"/>
                <w:szCs w:val="22"/>
              </w:rPr>
            </w:pPr>
          </w:p>
        </w:tc>
      </w:tr>
      <w:tr w:rsidR="00281426" w:rsidRPr="00073666" w14:paraId="70B2CC69" w14:textId="77777777" w:rsidTr="00281426">
        <w:trPr>
          <w:trHeight w:val="454"/>
        </w:trPr>
        <w:tc>
          <w:tcPr>
            <w:tcW w:w="2815" w:type="dxa"/>
            <w:vAlign w:val="center"/>
          </w:tcPr>
          <w:p w14:paraId="18B0AE0E" w14:textId="0B3D6328" w:rsidR="00281426" w:rsidRPr="00073666" w:rsidRDefault="00281426" w:rsidP="003802A1">
            <w:pPr>
              <w:rPr>
                <w:rFonts w:ascii="Calibri" w:hAnsi="Calibri" w:cs="Calibri"/>
                <w:color w:val="000000" w:themeColor="text1"/>
                <w:szCs w:val="22"/>
              </w:rPr>
            </w:pPr>
            <w:r w:rsidRPr="00073666">
              <w:rPr>
                <w:rFonts w:ascii="Calibri" w:hAnsi="Calibri" w:cs="Calibri"/>
                <w:color w:val="000000" w:themeColor="text1"/>
                <w:szCs w:val="22"/>
              </w:rPr>
              <w:t>Blood sampling</w:t>
            </w:r>
          </w:p>
        </w:tc>
        <w:tc>
          <w:tcPr>
            <w:tcW w:w="1546" w:type="dxa"/>
            <w:vAlign w:val="center"/>
          </w:tcPr>
          <w:p w14:paraId="4D12087B" w14:textId="77777777" w:rsidR="00281426" w:rsidRPr="00073666" w:rsidRDefault="00281426" w:rsidP="00973EB9">
            <w:pPr>
              <w:jc w:val="center"/>
              <w:rPr>
                <w:rFonts w:ascii="Calibri" w:hAnsi="Calibri" w:cs="Calibri"/>
                <w:bCs/>
                <w:color w:val="000000" w:themeColor="text1"/>
                <w:szCs w:val="22"/>
              </w:rPr>
            </w:pPr>
          </w:p>
        </w:tc>
        <w:tc>
          <w:tcPr>
            <w:tcW w:w="1417" w:type="dxa"/>
            <w:vAlign w:val="center"/>
          </w:tcPr>
          <w:p w14:paraId="47DC35C4" w14:textId="7C753BBC" w:rsidR="00281426" w:rsidRPr="00073666" w:rsidRDefault="00281426" w:rsidP="00281426">
            <w:pPr>
              <w:jc w:val="center"/>
              <w:rPr>
                <w:rFonts w:ascii="Calibri" w:hAnsi="Calibri" w:cs="Calibri"/>
                <w:bCs/>
                <w:color w:val="000000" w:themeColor="text1"/>
                <w:szCs w:val="22"/>
              </w:rPr>
            </w:pPr>
            <w:r w:rsidRPr="00073666">
              <w:rPr>
                <w:rFonts w:ascii="Calibri" w:hAnsi="Calibri" w:cs="Calibri"/>
                <w:bCs/>
                <w:color w:val="000000" w:themeColor="text1"/>
                <w:szCs w:val="22"/>
              </w:rPr>
              <w:t>x</w:t>
            </w:r>
          </w:p>
        </w:tc>
        <w:tc>
          <w:tcPr>
            <w:tcW w:w="1872" w:type="dxa"/>
            <w:vAlign w:val="center"/>
          </w:tcPr>
          <w:p w14:paraId="66078D4C" w14:textId="77777777" w:rsidR="00281426" w:rsidRPr="00073666" w:rsidRDefault="00281426" w:rsidP="003802A1">
            <w:pPr>
              <w:rPr>
                <w:rFonts w:ascii="Calibri" w:hAnsi="Calibri" w:cs="Calibri"/>
                <w:bCs/>
                <w:color w:val="000000" w:themeColor="text1"/>
                <w:szCs w:val="22"/>
              </w:rPr>
            </w:pPr>
          </w:p>
        </w:tc>
        <w:tc>
          <w:tcPr>
            <w:tcW w:w="2268" w:type="dxa"/>
            <w:vAlign w:val="center"/>
          </w:tcPr>
          <w:p w14:paraId="4AC4886E" w14:textId="77777777" w:rsidR="00281426" w:rsidRPr="00073666" w:rsidRDefault="00281426" w:rsidP="003802A1">
            <w:pPr>
              <w:rPr>
                <w:rFonts w:ascii="Calibri" w:hAnsi="Calibri" w:cs="Calibri"/>
                <w:bCs/>
                <w:color w:val="000000" w:themeColor="text1"/>
                <w:szCs w:val="22"/>
              </w:rPr>
            </w:pPr>
          </w:p>
        </w:tc>
      </w:tr>
      <w:tr w:rsidR="00281426" w:rsidRPr="00073666" w14:paraId="6C104C6C" w14:textId="77777777" w:rsidTr="00281426">
        <w:trPr>
          <w:trHeight w:val="454"/>
        </w:trPr>
        <w:tc>
          <w:tcPr>
            <w:tcW w:w="2815" w:type="dxa"/>
            <w:vAlign w:val="center"/>
          </w:tcPr>
          <w:p w14:paraId="4F150FFA" w14:textId="30A9C848" w:rsidR="00281426" w:rsidRPr="00073666" w:rsidRDefault="00281426" w:rsidP="003802A1">
            <w:pPr>
              <w:rPr>
                <w:rFonts w:ascii="Calibri" w:hAnsi="Calibri" w:cs="Calibri"/>
                <w:color w:val="000000" w:themeColor="text1"/>
                <w:szCs w:val="22"/>
              </w:rPr>
            </w:pPr>
            <w:r w:rsidRPr="00073666">
              <w:rPr>
                <w:rFonts w:ascii="Calibri" w:hAnsi="Calibri" w:cs="Calibri"/>
                <w:color w:val="000000" w:themeColor="text1"/>
                <w:szCs w:val="22"/>
              </w:rPr>
              <w:t>Left over BAL sampling</w:t>
            </w:r>
          </w:p>
        </w:tc>
        <w:tc>
          <w:tcPr>
            <w:tcW w:w="1546" w:type="dxa"/>
            <w:vAlign w:val="center"/>
          </w:tcPr>
          <w:p w14:paraId="7612CD2C" w14:textId="77777777" w:rsidR="00281426" w:rsidRPr="00073666" w:rsidRDefault="00281426" w:rsidP="00973EB9">
            <w:pPr>
              <w:jc w:val="center"/>
              <w:rPr>
                <w:rFonts w:ascii="Calibri" w:hAnsi="Calibri" w:cs="Calibri"/>
                <w:bCs/>
                <w:color w:val="000000" w:themeColor="text1"/>
                <w:szCs w:val="22"/>
              </w:rPr>
            </w:pPr>
          </w:p>
        </w:tc>
        <w:tc>
          <w:tcPr>
            <w:tcW w:w="1417" w:type="dxa"/>
            <w:vAlign w:val="center"/>
          </w:tcPr>
          <w:p w14:paraId="4A560BA4" w14:textId="77777777" w:rsidR="00281426" w:rsidRPr="00073666" w:rsidRDefault="00281426" w:rsidP="003802A1">
            <w:pPr>
              <w:rPr>
                <w:rFonts w:ascii="Calibri" w:hAnsi="Calibri" w:cs="Calibri"/>
                <w:bCs/>
                <w:color w:val="000000" w:themeColor="text1"/>
                <w:szCs w:val="22"/>
              </w:rPr>
            </w:pPr>
          </w:p>
        </w:tc>
        <w:tc>
          <w:tcPr>
            <w:tcW w:w="1872" w:type="dxa"/>
            <w:vAlign w:val="center"/>
          </w:tcPr>
          <w:p w14:paraId="620979C1" w14:textId="38818360" w:rsidR="00281426" w:rsidRPr="00073666" w:rsidRDefault="00281426" w:rsidP="00281426">
            <w:pPr>
              <w:jc w:val="center"/>
              <w:rPr>
                <w:rFonts w:ascii="Calibri" w:hAnsi="Calibri" w:cs="Calibri"/>
                <w:bCs/>
                <w:color w:val="000000" w:themeColor="text1"/>
                <w:szCs w:val="22"/>
              </w:rPr>
            </w:pPr>
            <w:r w:rsidRPr="00073666">
              <w:rPr>
                <w:rFonts w:ascii="Calibri" w:hAnsi="Calibri" w:cs="Calibri"/>
                <w:bCs/>
                <w:color w:val="000000" w:themeColor="text1"/>
                <w:szCs w:val="22"/>
              </w:rPr>
              <w:t>x</w:t>
            </w:r>
          </w:p>
        </w:tc>
        <w:tc>
          <w:tcPr>
            <w:tcW w:w="2268" w:type="dxa"/>
            <w:vAlign w:val="center"/>
          </w:tcPr>
          <w:p w14:paraId="2090BF86" w14:textId="77777777" w:rsidR="00281426" w:rsidRPr="00073666" w:rsidRDefault="00281426" w:rsidP="003802A1">
            <w:pPr>
              <w:rPr>
                <w:rFonts w:ascii="Calibri" w:hAnsi="Calibri" w:cs="Calibri"/>
                <w:bCs/>
                <w:color w:val="000000" w:themeColor="text1"/>
                <w:szCs w:val="22"/>
              </w:rPr>
            </w:pPr>
          </w:p>
        </w:tc>
      </w:tr>
      <w:tr w:rsidR="00281426" w:rsidRPr="00073666" w14:paraId="6BA5ED29" w14:textId="77777777" w:rsidTr="00281426">
        <w:trPr>
          <w:trHeight w:val="327"/>
        </w:trPr>
        <w:tc>
          <w:tcPr>
            <w:tcW w:w="2815" w:type="dxa"/>
            <w:vAlign w:val="center"/>
          </w:tcPr>
          <w:p w14:paraId="2E04644E" w14:textId="77777777" w:rsidR="00281426" w:rsidRPr="00073666" w:rsidRDefault="00281426" w:rsidP="003802A1">
            <w:pPr>
              <w:rPr>
                <w:rFonts w:ascii="Calibri" w:hAnsi="Calibri" w:cs="Calibri"/>
                <w:color w:val="000000" w:themeColor="text1"/>
                <w:szCs w:val="22"/>
              </w:rPr>
            </w:pPr>
            <w:r w:rsidRPr="00073666">
              <w:rPr>
                <w:rFonts w:ascii="Calibri" w:hAnsi="Calibri" w:cs="Calibri"/>
                <w:color w:val="000000" w:themeColor="text1"/>
                <w:szCs w:val="22"/>
              </w:rPr>
              <w:t>Demographics</w:t>
            </w:r>
          </w:p>
        </w:tc>
        <w:tc>
          <w:tcPr>
            <w:tcW w:w="1546" w:type="dxa"/>
            <w:vAlign w:val="center"/>
          </w:tcPr>
          <w:p w14:paraId="7988CB84" w14:textId="77777777" w:rsidR="00281426" w:rsidRPr="00073666" w:rsidRDefault="00281426" w:rsidP="003802A1">
            <w:pPr>
              <w:rPr>
                <w:rFonts w:ascii="Calibri" w:hAnsi="Calibri" w:cs="Calibri"/>
                <w:bCs/>
                <w:color w:val="000000" w:themeColor="text1"/>
                <w:szCs w:val="22"/>
              </w:rPr>
            </w:pPr>
          </w:p>
        </w:tc>
        <w:tc>
          <w:tcPr>
            <w:tcW w:w="1417" w:type="dxa"/>
            <w:vAlign w:val="center"/>
          </w:tcPr>
          <w:p w14:paraId="0FF4763A" w14:textId="77777777" w:rsidR="00281426" w:rsidRPr="00073666" w:rsidRDefault="00281426" w:rsidP="00973EB9">
            <w:pPr>
              <w:jc w:val="center"/>
              <w:rPr>
                <w:rFonts w:ascii="Calibri" w:hAnsi="Calibri" w:cs="Calibri"/>
                <w:bCs/>
                <w:color w:val="000000" w:themeColor="text1"/>
                <w:szCs w:val="22"/>
              </w:rPr>
            </w:pPr>
            <w:r w:rsidRPr="00073666">
              <w:rPr>
                <w:rFonts w:ascii="Calibri" w:hAnsi="Calibri" w:cs="Calibri"/>
                <w:bCs/>
                <w:color w:val="000000" w:themeColor="text1"/>
                <w:szCs w:val="22"/>
              </w:rPr>
              <w:t>x</w:t>
            </w:r>
          </w:p>
        </w:tc>
        <w:tc>
          <w:tcPr>
            <w:tcW w:w="1872" w:type="dxa"/>
            <w:vAlign w:val="center"/>
          </w:tcPr>
          <w:p w14:paraId="30683882" w14:textId="77777777" w:rsidR="00281426" w:rsidRPr="00073666" w:rsidRDefault="00281426" w:rsidP="00973EB9">
            <w:pPr>
              <w:jc w:val="center"/>
              <w:rPr>
                <w:rFonts w:ascii="Calibri" w:hAnsi="Calibri" w:cs="Calibri"/>
                <w:bCs/>
                <w:color w:val="000000" w:themeColor="text1"/>
                <w:szCs w:val="22"/>
              </w:rPr>
            </w:pPr>
          </w:p>
        </w:tc>
        <w:tc>
          <w:tcPr>
            <w:tcW w:w="2268" w:type="dxa"/>
            <w:vAlign w:val="center"/>
          </w:tcPr>
          <w:p w14:paraId="294C97DD" w14:textId="77777777" w:rsidR="00281426" w:rsidRPr="00073666" w:rsidRDefault="00281426" w:rsidP="003802A1">
            <w:pPr>
              <w:rPr>
                <w:rFonts w:ascii="Calibri" w:hAnsi="Calibri" w:cs="Calibri"/>
                <w:bCs/>
                <w:color w:val="000000" w:themeColor="text1"/>
                <w:szCs w:val="22"/>
              </w:rPr>
            </w:pPr>
          </w:p>
        </w:tc>
      </w:tr>
      <w:tr w:rsidR="00281426" w:rsidRPr="00073666" w14:paraId="7F60A6A6" w14:textId="77777777" w:rsidTr="00281426">
        <w:trPr>
          <w:trHeight w:val="454"/>
        </w:trPr>
        <w:tc>
          <w:tcPr>
            <w:tcW w:w="2815" w:type="dxa"/>
            <w:vAlign w:val="center"/>
          </w:tcPr>
          <w:p w14:paraId="57883BB3" w14:textId="542B109E" w:rsidR="00281426" w:rsidRPr="00073666" w:rsidRDefault="00427FF2" w:rsidP="003802A1">
            <w:pPr>
              <w:rPr>
                <w:rFonts w:ascii="Calibri" w:hAnsi="Calibri" w:cs="Calibri"/>
                <w:color w:val="000000" w:themeColor="text1"/>
                <w:szCs w:val="22"/>
              </w:rPr>
            </w:pPr>
            <w:r w:rsidRPr="00073666">
              <w:rPr>
                <w:rFonts w:ascii="Calibri" w:hAnsi="Calibri" w:cs="Calibri"/>
                <w:color w:val="000000" w:themeColor="text1"/>
                <w:szCs w:val="22"/>
              </w:rPr>
              <w:t>Clinical data (Table 3</w:t>
            </w:r>
            <w:r w:rsidR="00281426" w:rsidRPr="00073666">
              <w:rPr>
                <w:rFonts w:ascii="Calibri" w:hAnsi="Calibri" w:cs="Calibri"/>
                <w:color w:val="000000" w:themeColor="text1"/>
                <w:szCs w:val="22"/>
              </w:rPr>
              <w:t>)</w:t>
            </w:r>
          </w:p>
        </w:tc>
        <w:tc>
          <w:tcPr>
            <w:tcW w:w="1546" w:type="dxa"/>
            <w:vAlign w:val="center"/>
          </w:tcPr>
          <w:p w14:paraId="20671AF8" w14:textId="77777777" w:rsidR="00281426" w:rsidRPr="00073666" w:rsidRDefault="00281426" w:rsidP="003802A1">
            <w:pPr>
              <w:rPr>
                <w:rFonts w:ascii="Calibri" w:hAnsi="Calibri" w:cs="Calibri"/>
                <w:bCs/>
                <w:color w:val="000000" w:themeColor="text1"/>
                <w:szCs w:val="22"/>
              </w:rPr>
            </w:pPr>
          </w:p>
        </w:tc>
        <w:tc>
          <w:tcPr>
            <w:tcW w:w="1417" w:type="dxa"/>
            <w:vAlign w:val="center"/>
          </w:tcPr>
          <w:p w14:paraId="2E8266E0" w14:textId="77777777" w:rsidR="00281426" w:rsidRPr="00073666" w:rsidRDefault="00281426" w:rsidP="00973EB9">
            <w:pPr>
              <w:jc w:val="center"/>
              <w:rPr>
                <w:rFonts w:ascii="Calibri" w:hAnsi="Calibri" w:cs="Calibri"/>
                <w:bCs/>
                <w:color w:val="000000" w:themeColor="text1"/>
                <w:szCs w:val="22"/>
              </w:rPr>
            </w:pPr>
            <w:r w:rsidRPr="00073666">
              <w:rPr>
                <w:rFonts w:ascii="Calibri" w:hAnsi="Calibri" w:cs="Calibri"/>
                <w:bCs/>
                <w:color w:val="000000" w:themeColor="text1"/>
                <w:szCs w:val="22"/>
              </w:rPr>
              <w:t>x</w:t>
            </w:r>
          </w:p>
        </w:tc>
        <w:tc>
          <w:tcPr>
            <w:tcW w:w="1872" w:type="dxa"/>
            <w:vAlign w:val="center"/>
          </w:tcPr>
          <w:p w14:paraId="5BB15D7D" w14:textId="7A2B6123" w:rsidR="00281426" w:rsidRPr="00073666" w:rsidRDefault="00281426" w:rsidP="00973EB9">
            <w:pPr>
              <w:jc w:val="center"/>
              <w:rPr>
                <w:rFonts w:ascii="Calibri" w:hAnsi="Calibri" w:cs="Calibri"/>
                <w:bCs/>
                <w:color w:val="000000" w:themeColor="text1"/>
                <w:szCs w:val="22"/>
              </w:rPr>
            </w:pPr>
            <w:r w:rsidRPr="00073666">
              <w:rPr>
                <w:rFonts w:ascii="Calibri" w:hAnsi="Calibri" w:cs="Calibri"/>
                <w:bCs/>
                <w:color w:val="000000" w:themeColor="text1"/>
                <w:szCs w:val="22"/>
              </w:rPr>
              <w:t>x</w:t>
            </w:r>
          </w:p>
        </w:tc>
        <w:tc>
          <w:tcPr>
            <w:tcW w:w="2268" w:type="dxa"/>
            <w:vAlign w:val="center"/>
          </w:tcPr>
          <w:p w14:paraId="3E5C7481" w14:textId="5F16AB0D" w:rsidR="00281426" w:rsidRPr="00073666" w:rsidRDefault="00281426" w:rsidP="00281426">
            <w:pPr>
              <w:jc w:val="center"/>
              <w:rPr>
                <w:rFonts w:ascii="Calibri" w:hAnsi="Calibri" w:cs="Calibri"/>
                <w:bCs/>
                <w:color w:val="000000" w:themeColor="text1"/>
                <w:szCs w:val="22"/>
              </w:rPr>
            </w:pPr>
            <w:r w:rsidRPr="00073666">
              <w:rPr>
                <w:rFonts w:ascii="Calibri" w:hAnsi="Calibri" w:cs="Calibri"/>
                <w:bCs/>
                <w:color w:val="000000" w:themeColor="text1"/>
                <w:szCs w:val="22"/>
              </w:rPr>
              <w:t>x</w:t>
            </w:r>
          </w:p>
        </w:tc>
      </w:tr>
    </w:tbl>
    <w:p w14:paraId="0FA520D1" w14:textId="77777777" w:rsidR="00475FDA" w:rsidRPr="00073666" w:rsidRDefault="00475FDA" w:rsidP="003802A1">
      <w:pPr>
        <w:rPr>
          <w:rFonts w:ascii="Calibri" w:hAnsi="Calibri" w:cs="Calibri"/>
          <w:color w:val="0000FF"/>
          <w:szCs w:val="22"/>
        </w:rPr>
      </w:pPr>
    </w:p>
    <w:p w14:paraId="4CE8B61C" w14:textId="77777777" w:rsidR="00475FDA" w:rsidRPr="00073666" w:rsidRDefault="00475FDA" w:rsidP="003802A1">
      <w:pPr>
        <w:rPr>
          <w:rFonts w:ascii="Calibri" w:hAnsi="Calibri" w:cs="Calibri"/>
          <w:color w:val="0000FF"/>
          <w:szCs w:val="22"/>
        </w:rPr>
      </w:pPr>
    </w:p>
    <w:p w14:paraId="169F3541" w14:textId="77777777" w:rsidR="00475FDA" w:rsidRPr="00073666" w:rsidRDefault="003B4870" w:rsidP="003802A1">
      <w:pPr>
        <w:rPr>
          <w:rFonts w:ascii="Calibri" w:hAnsi="Calibri" w:cs="Calibri"/>
          <w:b/>
          <w:bCs/>
          <w:szCs w:val="22"/>
          <w:lang w:eastAsia="en-GB"/>
        </w:rPr>
      </w:pPr>
      <w:r w:rsidRPr="00073666">
        <w:rPr>
          <w:rFonts w:ascii="Calibri" w:hAnsi="Calibri" w:cs="Calibri"/>
          <w:b/>
          <w:szCs w:val="22"/>
          <w:lang w:eastAsia="en-GB"/>
        </w:rPr>
        <w:t>13.3</w:t>
      </w:r>
      <w:r w:rsidR="00864F75" w:rsidRPr="00073666">
        <w:rPr>
          <w:rFonts w:ascii="Calibri" w:hAnsi="Calibri" w:cs="Calibri"/>
          <w:szCs w:val="22"/>
          <w:lang w:eastAsia="en-GB"/>
        </w:rPr>
        <w:tab/>
      </w:r>
      <w:r w:rsidR="00973EB9" w:rsidRPr="00073666">
        <w:rPr>
          <w:rFonts w:ascii="Calibri" w:hAnsi="Calibri" w:cs="Calibri"/>
          <w:b/>
          <w:bCs/>
          <w:szCs w:val="22"/>
          <w:lang w:eastAsia="en-GB"/>
        </w:rPr>
        <w:t xml:space="preserve">Appendix </w:t>
      </w:r>
      <w:r w:rsidRPr="00073666">
        <w:rPr>
          <w:rFonts w:ascii="Calibri" w:hAnsi="Calibri" w:cs="Calibri"/>
          <w:b/>
          <w:bCs/>
          <w:szCs w:val="22"/>
          <w:lang w:eastAsia="en-GB"/>
        </w:rPr>
        <w:t>3</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1511"/>
        <w:gridCol w:w="1512"/>
        <w:gridCol w:w="1546"/>
        <w:gridCol w:w="4090"/>
      </w:tblGrid>
      <w:tr w:rsidR="003C7C88" w:rsidRPr="00073666" w14:paraId="1F4FCBD5" w14:textId="77777777" w:rsidTr="003C7C88">
        <w:trPr>
          <w:trHeight w:val="407"/>
        </w:trPr>
        <w:tc>
          <w:tcPr>
            <w:tcW w:w="10173" w:type="dxa"/>
            <w:gridSpan w:val="5"/>
            <w:shd w:val="clear" w:color="auto" w:fill="C0504D" w:themeFill="accent2"/>
          </w:tcPr>
          <w:p w14:paraId="74CAB35C" w14:textId="77777777" w:rsidR="003C7C88" w:rsidRPr="00073666" w:rsidRDefault="003C7C88" w:rsidP="003C7C88">
            <w:pPr>
              <w:rPr>
                <w:rFonts w:ascii="Calibri" w:hAnsi="Calibri" w:cs="Calibri"/>
                <w:b/>
                <w:color w:val="FFFFFF" w:themeColor="background1"/>
                <w:szCs w:val="22"/>
              </w:rPr>
            </w:pPr>
            <w:r w:rsidRPr="00073666">
              <w:rPr>
                <w:rFonts w:ascii="Calibri" w:hAnsi="Calibri" w:cs="Calibri"/>
                <w:b/>
                <w:bCs/>
                <w:color w:val="FFFFFF" w:themeColor="background1"/>
                <w:szCs w:val="22"/>
                <w:lang w:eastAsia="en-GB"/>
              </w:rPr>
              <w:t>Amendment Log</w:t>
            </w:r>
          </w:p>
        </w:tc>
      </w:tr>
      <w:tr w:rsidR="00475FDA" w:rsidRPr="00073666" w14:paraId="7A76A0E3" w14:textId="77777777" w:rsidTr="009C560F">
        <w:trPr>
          <w:trHeight w:val="821"/>
        </w:trPr>
        <w:tc>
          <w:tcPr>
            <w:tcW w:w="1514" w:type="dxa"/>
          </w:tcPr>
          <w:p w14:paraId="534B6426" w14:textId="77777777" w:rsidR="00475FDA" w:rsidRPr="00073666" w:rsidRDefault="00475FDA" w:rsidP="003802A1">
            <w:pPr>
              <w:rPr>
                <w:rFonts w:ascii="Calibri" w:hAnsi="Calibri" w:cs="Calibri"/>
                <w:b/>
                <w:color w:val="000000" w:themeColor="text1"/>
                <w:szCs w:val="22"/>
              </w:rPr>
            </w:pPr>
            <w:r w:rsidRPr="00073666">
              <w:rPr>
                <w:rFonts w:ascii="Calibri" w:hAnsi="Calibri" w:cs="Calibri"/>
                <w:b/>
                <w:color w:val="000000" w:themeColor="text1"/>
                <w:szCs w:val="22"/>
              </w:rPr>
              <w:t>Amendment No.</w:t>
            </w:r>
          </w:p>
        </w:tc>
        <w:tc>
          <w:tcPr>
            <w:tcW w:w="1511" w:type="dxa"/>
          </w:tcPr>
          <w:p w14:paraId="0E4DE15F" w14:textId="77777777" w:rsidR="00475FDA" w:rsidRPr="00073666" w:rsidRDefault="004B3BCA" w:rsidP="003802A1">
            <w:pPr>
              <w:rPr>
                <w:rFonts w:ascii="Calibri" w:hAnsi="Calibri" w:cs="Calibri"/>
                <w:b/>
                <w:color w:val="000000" w:themeColor="text1"/>
                <w:szCs w:val="22"/>
              </w:rPr>
            </w:pPr>
            <w:r w:rsidRPr="00073666">
              <w:rPr>
                <w:rFonts w:ascii="Calibri" w:hAnsi="Calibri" w:cs="Calibri"/>
                <w:b/>
                <w:color w:val="000000" w:themeColor="text1"/>
                <w:szCs w:val="22"/>
              </w:rPr>
              <w:t>Protocol version n</w:t>
            </w:r>
            <w:r w:rsidR="00475FDA" w:rsidRPr="00073666">
              <w:rPr>
                <w:rFonts w:ascii="Calibri" w:hAnsi="Calibri" w:cs="Calibri"/>
                <w:b/>
                <w:color w:val="000000" w:themeColor="text1"/>
                <w:szCs w:val="22"/>
              </w:rPr>
              <w:t>o.</w:t>
            </w:r>
          </w:p>
        </w:tc>
        <w:tc>
          <w:tcPr>
            <w:tcW w:w="1512" w:type="dxa"/>
          </w:tcPr>
          <w:p w14:paraId="5CCBABA3" w14:textId="77777777" w:rsidR="00475FDA" w:rsidRPr="00073666" w:rsidRDefault="00475FDA" w:rsidP="003802A1">
            <w:pPr>
              <w:rPr>
                <w:rFonts w:ascii="Calibri" w:hAnsi="Calibri" w:cs="Calibri"/>
                <w:b/>
                <w:color w:val="000000" w:themeColor="text1"/>
                <w:szCs w:val="22"/>
              </w:rPr>
            </w:pPr>
            <w:r w:rsidRPr="00073666">
              <w:rPr>
                <w:rFonts w:ascii="Calibri" w:hAnsi="Calibri" w:cs="Calibri"/>
                <w:b/>
                <w:color w:val="000000" w:themeColor="text1"/>
                <w:szCs w:val="22"/>
              </w:rPr>
              <w:t>Date issued</w:t>
            </w:r>
          </w:p>
        </w:tc>
        <w:tc>
          <w:tcPr>
            <w:tcW w:w="1546" w:type="dxa"/>
          </w:tcPr>
          <w:p w14:paraId="0C8479EA" w14:textId="77777777" w:rsidR="00475FDA" w:rsidRPr="00073666" w:rsidRDefault="00475FDA" w:rsidP="003802A1">
            <w:pPr>
              <w:rPr>
                <w:rFonts w:ascii="Calibri" w:hAnsi="Calibri" w:cs="Calibri"/>
                <w:b/>
                <w:color w:val="000000" w:themeColor="text1"/>
                <w:szCs w:val="22"/>
              </w:rPr>
            </w:pPr>
            <w:r w:rsidRPr="00073666">
              <w:rPr>
                <w:rFonts w:ascii="Calibri" w:hAnsi="Calibri" w:cs="Calibri"/>
                <w:b/>
                <w:color w:val="000000" w:themeColor="text1"/>
                <w:szCs w:val="22"/>
              </w:rPr>
              <w:t>Author(s) of changes</w:t>
            </w:r>
          </w:p>
        </w:tc>
        <w:tc>
          <w:tcPr>
            <w:tcW w:w="4090" w:type="dxa"/>
          </w:tcPr>
          <w:p w14:paraId="5145B67C" w14:textId="77777777" w:rsidR="00475FDA" w:rsidRPr="00073666" w:rsidRDefault="004B3BCA" w:rsidP="003802A1">
            <w:pPr>
              <w:rPr>
                <w:rFonts w:ascii="Calibri" w:hAnsi="Calibri" w:cs="Calibri"/>
                <w:b/>
                <w:color w:val="000000" w:themeColor="text1"/>
                <w:szCs w:val="22"/>
              </w:rPr>
            </w:pPr>
            <w:r w:rsidRPr="00073666">
              <w:rPr>
                <w:rFonts w:ascii="Calibri" w:hAnsi="Calibri" w:cs="Calibri"/>
                <w:b/>
                <w:color w:val="000000" w:themeColor="text1"/>
                <w:szCs w:val="22"/>
              </w:rPr>
              <w:t>Details of c</w:t>
            </w:r>
            <w:r w:rsidR="00475FDA" w:rsidRPr="00073666">
              <w:rPr>
                <w:rFonts w:ascii="Calibri" w:hAnsi="Calibri" w:cs="Calibri"/>
                <w:b/>
                <w:color w:val="000000" w:themeColor="text1"/>
                <w:szCs w:val="22"/>
              </w:rPr>
              <w:t>hanges made</w:t>
            </w:r>
          </w:p>
        </w:tc>
      </w:tr>
      <w:tr w:rsidR="00693DFA" w:rsidRPr="00073666" w14:paraId="6F137B2B" w14:textId="77777777" w:rsidTr="009C560F">
        <w:trPr>
          <w:trHeight w:val="290"/>
        </w:trPr>
        <w:tc>
          <w:tcPr>
            <w:tcW w:w="1514" w:type="dxa"/>
          </w:tcPr>
          <w:p w14:paraId="34072F9C" w14:textId="2EC397BC"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1</w:t>
            </w:r>
          </w:p>
        </w:tc>
        <w:tc>
          <w:tcPr>
            <w:tcW w:w="1511" w:type="dxa"/>
          </w:tcPr>
          <w:p w14:paraId="12BA32FD" w14:textId="5519C6D7"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0.2</w:t>
            </w:r>
          </w:p>
        </w:tc>
        <w:tc>
          <w:tcPr>
            <w:tcW w:w="1512" w:type="dxa"/>
          </w:tcPr>
          <w:p w14:paraId="0C42DA0C" w14:textId="408315ED" w:rsidR="00693DFA" w:rsidRPr="00073666" w:rsidRDefault="00693DFA" w:rsidP="00693DFA">
            <w:pPr>
              <w:rPr>
                <w:rFonts w:ascii="Calibri" w:hAnsi="Calibri" w:cs="Calibri"/>
                <w:color w:val="0000FF"/>
                <w:szCs w:val="22"/>
              </w:rPr>
            </w:pPr>
            <w:r w:rsidRPr="00073666">
              <w:rPr>
                <w:rFonts w:ascii="Calibri" w:hAnsi="Calibri" w:cs="Calibri"/>
                <w:color w:val="000000" w:themeColor="text1"/>
                <w:szCs w:val="22"/>
              </w:rPr>
              <w:t>23/08/19</w:t>
            </w:r>
          </w:p>
        </w:tc>
        <w:tc>
          <w:tcPr>
            <w:tcW w:w="1546" w:type="dxa"/>
          </w:tcPr>
          <w:p w14:paraId="7BB3B26E" w14:textId="6578D045" w:rsidR="00693DFA" w:rsidRPr="00073666" w:rsidRDefault="00693DFA" w:rsidP="00693DFA">
            <w:pPr>
              <w:rPr>
                <w:rFonts w:ascii="Calibri" w:hAnsi="Calibri" w:cs="Calibri"/>
                <w:color w:val="0000FF"/>
                <w:szCs w:val="22"/>
              </w:rPr>
            </w:pPr>
            <w:r w:rsidRPr="00073666">
              <w:rPr>
                <w:rFonts w:ascii="Calibri" w:hAnsi="Calibri" w:cs="Calibri"/>
                <w:color w:val="000000" w:themeColor="text1"/>
                <w:szCs w:val="22"/>
              </w:rPr>
              <w:t>Tihana Bicanic, Carolyn Hemsley, Jonathan Edgeworth, Jonathan Ball, Duncan Wyncoll, Jonathan Youngs.</w:t>
            </w:r>
          </w:p>
        </w:tc>
        <w:tc>
          <w:tcPr>
            <w:tcW w:w="4090" w:type="dxa"/>
          </w:tcPr>
          <w:p w14:paraId="37D12F61" w14:textId="69AAAC68" w:rsidR="00693DFA" w:rsidRPr="00073666" w:rsidRDefault="00693DFA" w:rsidP="00693DFA">
            <w:pPr>
              <w:rPr>
                <w:rFonts w:ascii="Calibri" w:hAnsi="Calibri" w:cs="Calibri"/>
                <w:color w:val="0000FF"/>
                <w:szCs w:val="22"/>
              </w:rPr>
            </w:pPr>
            <w:r w:rsidRPr="00073666">
              <w:rPr>
                <w:rFonts w:ascii="Calibri" w:hAnsi="Calibri" w:cs="Calibri"/>
                <w:color w:val="000000" w:themeColor="text1"/>
                <w:szCs w:val="22"/>
              </w:rPr>
              <w:t>Addition of Sile Molloy as named statistician</w:t>
            </w:r>
          </w:p>
        </w:tc>
      </w:tr>
      <w:tr w:rsidR="00693DFA" w:rsidRPr="00073666" w14:paraId="43D99605" w14:textId="77777777" w:rsidTr="009C560F">
        <w:trPr>
          <w:trHeight w:val="290"/>
        </w:trPr>
        <w:tc>
          <w:tcPr>
            <w:tcW w:w="1514" w:type="dxa"/>
          </w:tcPr>
          <w:p w14:paraId="24959AD6" w14:textId="77777777" w:rsidR="00693DFA" w:rsidRPr="00073666" w:rsidRDefault="00693DFA" w:rsidP="00693DFA">
            <w:pPr>
              <w:rPr>
                <w:rFonts w:ascii="Calibri" w:hAnsi="Calibri" w:cs="Calibri"/>
                <w:color w:val="0000FF"/>
                <w:szCs w:val="22"/>
              </w:rPr>
            </w:pPr>
          </w:p>
        </w:tc>
        <w:tc>
          <w:tcPr>
            <w:tcW w:w="1511" w:type="dxa"/>
          </w:tcPr>
          <w:p w14:paraId="1A61DCE9" w14:textId="77777777" w:rsidR="00693DFA" w:rsidRPr="00073666" w:rsidRDefault="00693DFA" w:rsidP="00693DFA">
            <w:pPr>
              <w:rPr>
                <w:rFonts w:ascii="Calibri" w:hAnsi="Calibri" w:cs="Calibri"/>
                <w:color w:val="0000FF"/>
                <w:szCs w:val="22"/>
              </w:rPr>
            </w:pPr>
          </w:p>
        </w:tc>
        <w:tc>
          <w:tcPr>
            <w:tcW w:w="1512" w:type="dxa"/>
          </w:tcPr>
          <w:p w14:paraId="37648FF7" w14:textId="77777777" w:rsidR="00693DFA" w:rsidRPr="00073666" w:rsidRDefault="00693DFA" w:rsidP="00693DFA">
            <w:pPr>
              <w:rPr>
                <w:rFonts w:ascii="Calibri" w:hAnsi="Calibri" w:cs="Calibri"/>
                <w:color w:val="000000" w:themeColor="text1"/>
                <w:szCs w:val="22"/>
              </w:rPr>
            </w:pPr>
          </w:p>
        </w:tc>
        <w:tc>
          <w:tcPr>
            <w:tcW w:w="1546" w:type="dxa"/>
          </w:tcPr>
          <w:p w14:paraId="27F3CED9" w14:textId="77777777" w:rsidR="00693DFA" w:rsidRPr="00073666" w:rsidRDefault="00693DFA" w:rsidP="00693DFA">
            <w:pPr>
              <w:rPr>
                <w:rFonts w:ascii="Calibri" w:hAnsi="Calibri" w:cs="Calibri"/>
                <w:color w:val="000000" w:themeColor="text1"/>
                <w:szCs w:val="22"/>
              </w:rPr>
            </w:pPr>
          </w:p>
        </w:tc>
        <w:tc>
          <w:tcPr>
            <w:tcW w:w="4090" w:type="dxa"/>
          </w:tcPr>
          <w:p w14:paraId="4F5325AF" w14:textId="0D5D29CB"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Inclusion of a control group removed. Inclusion criteria now: patients with influenza only.</w:t>
            </w:r>
          </w:p>
        </w:tc>
      </w:tr>
      <w:tr w:rsidR="00693DFA" w:rsidRPr="00073666" w14:paraId="31799569" w14:textId="77777777" w:rsidTr="009C560F">
        <w:trPr>
          <w:trHeight w:val="290"/>
        </w:trPr>
        <w:tc>
          <w:tcPr>
            <w:tcW w:w="1514" w:type="dxa"/>
          </w:tcPr>
          <w:p w14:paraId="21087D08" w14:textId="77777777" w:rsidR="00693DFA" w:rsidRPr="00073666" w:rsidRDefault="00693DFA" w:rsidP="00693DFA">
            <w:pPr>
              <w:rPr>
                <w:rFonts w:ascii="Calibri" w:hAnsi="Calibri" w:cs="Calibri"/>
                <w:color w:val="0000FF"/>
                <w:szCs w:val="22"/>
              </w:rPr>
            </w:pPr>
          </w:p>
        </w:tc>
        <w:tc>
          <w:tcPr>
            <w:tcW w:w="1511" w:type="dxa"/>
          </w:tcPr>
          <w:p w14:paraId="5DB16D94" w14:textId="77777777" w:rsidR="00693DFA" w:rsidRPr="00073666" w:rsidRDefault="00693DFA" w:rsidP="00693DFA">
            <w:pPr>
              <w:rPr>
                <w:rFonts w:ascii="Calibri" w:hAnsi="Calibri" w:cs="Calibri"/>
                <w:color w:val="0000FF"/>
                <w:szCs w:val="22"/>
              </w:rPr>
            </w:pPr>
          </w:p>
        </w:tc>
        <w:tc>
          <w:tcPr>
            <w:tcW w:w="1512" w:type="dxa"/>
          </w:tcPr>
          <w:p w14:paraId="7AC5A027" w14:textId="77777777" w:rsidR="00693DFA" w:rsidRPr="00073666" w:rsidRDefault="00693DFA" w:rsidP="00693DFA">
            <w:pPr>
              <w:rPr>
                <w:rFonts w:ascii="Calibri" w:hAnsi="Calibri" w:cs="Calibri"/>
                <w:color w:val="000000" w:themeColor="text1"/>
                <w:szCs w:val="22"/>
              </w:rPr>
            </w:pPr>
          </w:p>
        </w:tc>
        <w:tc>
          <w:tcPr>
            <w:tcW w:w="1546" w:type="dxa"/>
          </w:tcPr>
          <w:p w14:paraId="0A9DECC3" w14:textId="77777777" w:rsidR="00693DFA" w:rsidRPr="00073666" w:rsidRDefault="00693DFA" w:rsidP="00693DFA">
            <w:pPr>
              <w:rPr>
                <w:rFonts w:ascii="Calibri" w:hAnsi="Calibri" w:cs="Calibri"/>
                <w:color w:val="000000" w:themeColor="text1"/>
                <w:szCs w:val="22"/>
              </w:rPr>
            </w:pPr>
          </w:p>
        </w:tc>
        <w:tc>
          <w:tcPr>
            <w:tcW w:w="4090" w:type="dxa"/>
          </w:tcPr>
          <w:p w14:paraId="67909A3A" w14:textId="2065BE07"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Inclusion Criteria now: Intubated patients only</w:t>
            </w:r>
          </w:p>
        </w:tc>
      </w:tr>
      <w:tr w:rsidR="00693DFA" w:rsidRPr="00073666" w14:paraId="034D758B" w14:textId="77777777" w:rsidTr="009C560F">
        <w:trPr>
          <w:trHeight w:val="290"/>
        </w:trPr>
        <w:tc>
          <w:tcPr>
            <w:tcW w:w="1514" w:type="dxa"/>
          </w:tcPr>
          <w:p w14:paraId="104585A8" w14:textId="77777777" w:rsidR="00693DFA" w:rsidRPr="00073666" w:rsidRDefault="00693DFA" w:rsidP="00693DFA">
            <w:pPr>
              <w:rPr>
                <w:rFonts w:ascii="Calibri" w:hAnsi="Calibri" w:cs="Calibri"/>
                <w:color w:val="0000FF"/>
                <w:szCs w:val="22"/>
              </w:rPr>
            </w:pPr>
          </w:p>
        </w:tc>
        <w:tc>
          <w:tcPr>
            <w:tcW w:w="1511" w:type="dxa"/>
          </w:tcPr>
          <w:p w14:paraId="56252A2A" w14:textId="77777777" w:rsidR="00693DFA" w:rsidRPr="00073666" w:rsidRDefault="00693DFA" w:rsidP="00693DFA">
            <w:pPr>
              <w:rPr>
                <w:rFonts w:ascii="Calibri" w:hAnsi="Calibri" w:cs="Calibri"/>
                <w:color w:val="0000FF"/>
                <w:szCs w:val="22"/>
              </w:rPr>
            </w:pPr>
          </w:p>
        </w:tc>
        <w:tc>
          <w:tcPr>
            <w:tcW w:w="1512" w:type="dxa"/>
          </w:tcPr>
          <w:p w14:paraId="6ACF6692" w14:textId="77777777" w:rsidR="00693DFA" w:rsidRPr="00073666" w:rsidRDefault="00693DFA" w:rsidP="00693DFA">
            <w:pPr>
              <w:rPr>
                <w:rFonts w:ascii="Calibri" w:hAnsi="Calibri" w:cs="Calibri"/>
                <w:color w:val="000000" w:themeColor="text1"/>
                <w:szCs w:val="22"/>
              </w:rPr>
            </w:pPr>
          </w:p>
        </w:tc>
        <w:tc>
          <w:tcPr>
            <w:tcW w:w="1546" w:type="dxa"/>
          </w:tcPr>
          <w:p w14:paraId="319EDCA9" w14:textId="77777777" w:rsidR="00693DFA" w:rsidRPr="00073666" w:rsidRDefault="00693DFA" w:rsidP="00693DFA">
            <w:pPr>
              <w:rPr>
                <w:rFonts w:ascii="Calibri" w:hAnsi="Calibri" w:cs="Calibri"/>
                <w:color w:val="000000" w:themeColor="text1"/>
                <w:szCs w:val="22"/>
              </w:rPr>
            </w:pPr>
          </w:p>
        </w:tc>
        <w:tc>
          <w:tcPr>
            <w:tcW w:w="4090" w:type="dxa"/>
          </w:tcPr>
          <w:p w14:paraId="36840F58" w14:textId="4DA30F6A"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Specify blood sampling within 72H of ICU admission.</w:t>
            </w:r>
          </w:p>
        </w:tc>
      </w:tr>
      <w:tr w:rsidR="00693DFA" w:rsidRPr="00073666" w14:paraId="6AEEB32A" w14:textId="77777777" w:rsidTr="009C560F">
        <w:trPr>
          <w:trHeight w:val="290"/>
        </w:trPr>
        <w:tc>
          <w:tcPr>
            <w:tcW w:w="1514" w:type="dxa"/>
          </w:tcPr>
          <w:p w14:paraId="238B8F13" w14:textId="77777777" w:rsidR="00693DFA" w:rsidRPr="00073666" w:rsidRDefault="00693DFA" w:rsidP="00693DFA">
            <w:pPr>
              <w:rPr>
                <w:rFonts w:ascii="Calibri" w:hAnsi="Calibri" w:cs="Calibri"/>
                <w:color w:val="0000FF"/>
                <w:szCs w:val="22"/>
              </w:rPr>
            </w:pPr>
          </w:p>
        </w:tc>
        <w:tc>
          <w:tcPr>
            <w:tcW w:w="1511" w:type="dxa"/>
          </w:tcPr>
          <w:p w14:paraId="3BFCA0B9" w14:textId="77777777" w:rsidR="00693DFA" w:rsidRPr="00073666" w:rsidRDefault="00693DFA" w:rsidP="00693DFA">
            <w:pPr>
              <w:rPr>
                <w:rFonts w:ascii="Calibri" w:hAnsi="Calibri" w:cs="Calibri"/>
                <w:color w:val="0000FF"/>
                <w:szCs w:val="22"/>
              </w:rPr>
            </w:pPr>
          </w:p>
        </w:tc>
        <w:tc>
          <w:tcPr>
            <w:tcW w:w="1512" w:type="dxa"/>
          </w:tcPr>
          <w:p w14:paraId="65AEA45C" w14:textId="77777777" w:rsidR="00693DFA" w:rsidRPr="00073666" w:rsidRDefault="00693DFA" w:rsidP="00693DFA">
            <w:pPr>
              <w:rPr>
                <w:rFonts w:ascii="Calibri" w:hAnsi="Calibri" w:cs="Calibri"/>
                <w:color w:val="000000" w:themeColor="text1"/>
                <w:szCs w:val="22"/>
              </w:rPr>
            </w:pPr>
          </w:p>
        </w:tc>
        <w:tc>
          <w:tcPr>
            <w:tcW w:w="1546" w:type="dxa"/>
          </w:tcPr>
          <w:p w14:paraId="77E43E60" w14:textId="77777777" w:rsidR="00693DFA" w:rsidRPr="00073666" w:rsidRDefault="00693DFA" w:rsidP="00693DFA">
            <w:pPr>
              <w:rPr>
                <w:rFonts w:ascii="Calibri" w:hAnsi="Calibri" w:cs="Calibri"/>
                <w:color w:val="000000" w:themeColor="text1"/>
                <w:szCs w:val="22"/>
              </w:rPr>
            </w:pPr>
          </w:p>
        </w:tc>
        <w:tc>
          <w:tcPr>
            <w:tcW w:w="4090" w:type="dxa"/>
          </w:tcPr>
          <w:p w14:paraId="0A39EABB" w14:textId="625C4B0A"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Flu vaccination status added as recorded data.</w:t>
            </w:r>
          </w:p>
        </w:tc>
      </w:tr>
      <w:tr w:rsidR="00693DFA" w:rsidRPr="00073666" w14:paraId="3F99664B" w14:textId="77777777" w:rsidTr="009C560F">
        <w:trPr>
          <w:trHeight w:val="290"/>
        </w:trPr>
        <w:tc>
          <w:tcPr>
            <w:tcW w:w="1514" w:type="dxa"/>
          </w:tcPr>
          <w:p w14:paraId="101EA67B" w14:textId="77777777" w:rsidR="00693DFA" w:rsidRPr="00073666" w:rsidRDefault="00693DFA" w:rsidP="00693DFA">
            <w:pPr>
              <w:rPr>
                <w:rFonts w:ascii="Calibri" w:hAnsi="Calibri" w:cs="Calibri"/>
                <w:color w:val="0000FF"/>
                <w:szCs w:val="22"/>
              </w:rPr>
            </w:pPr>
          </w:p>
        </w:tc>
        <w:tc>
          <w:tcPr>
            <w:tcW w:w="1511" w:type="dxa"/>
          </w:tcPr>
          <w:p w14:paraId="02E57BB4" w14:textId="77777777" w:rsidR="00693DFA" w:rsidRPr="00073666" w:rsidRDefault="00693DFA" w:rsidP="00693DFA">
            <w:pPr>
              <w:rPr>
                <w:rFonts w:ascii="Calibri" w:hAnsi="Calibri" w:cs="Calibri"/>
                <w:color w:val="0000FF"/>
                <w:szCs w:val="22"/>
              </w:rPr>
            </w:pPr>
          </w:p>
        </w:tc>
        <w:tc>
          <w:tcPr>
            <w:tcW w:w="1512" w:type="dxa"/>
          </w:tcPr>
          <w:p w14:paraId="38C752A7" w14:textId="77777777" w:rsidR="00693DFA" w:rsidRPr="00073666" w:rsidRDefault="00693DFA" w:rsidP="00693DFA">
            <w:pPr>
              <w:rPr>
                <w:rFonts w:ascii="Calibri" w:hAnsi="Calibri" w:cs="Calibri"/>
                <w:color w:val="000000" w:themeColor="text1"/>
                <w:szCs w:val="22"/>
              </w:rPr>
            </w:pPr>
          </w:p>
        </w:tc>
        <w:tc>
          <w:tcPr>
            <w:tcW w:w="1546" w:type="dxa"/>
          </w:tcPr>
          <w:p w14:paraId="51BA953B" w14:textId="77777777" w:rsidR="00693DFA" w:rsidRPr="00073666" w:rsidRDefault="00693DFA" w:rsidP="00693DFA">
            <w:pPr>
              <w:rPr>
                <w:rFonts w:ascii="Calibri" w:hAnsi="Calibri" w:cs="Calibri"/>
                <w:color w:val="000000" w:themeColor="text1"/>
                <w:szCs w:val="22"/>
              </w:rPr>
            </w:pPr>
          </w:p>
        </w:tc>
        <w:tc>
          <w:tcPr>
            <w:tcW w:w="4090" w:type="dxa"/>
          </w:tcPr>
          <w:p w14:paraId="7DFBCAA0" w14:textId="7AF622FC"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Potential patient identification and screening for eligibility will be done by clinical team and research nurses if NHIR portfolio adopted</w:t>
            </w:r>
          </w:p>
        </w:tc>
      </w:tr>
      <w:tr w:rsidR="00693DFA" w:rsidRPr="00073666" w14:paraId="54452599" w14:textId="77777777" w:rsidTr="009C560F">
        <w:trPr>
          <w:trHeight w:val="290"/>
        </w:trPr>
        <w:tc>
          <w:tcPr>
            <w:tcW w:w="1514" w:type="dxa"/>
          </w:tcPr>
          <w:p w14:paraId="0F6931CF" w14:textId="77777777" w:rsidR="00693DFA" w:rsidRPr="00073666" w:rsidRDefault="00693DFA" w:rsidP="00693DFA">
            <w:pPr>
              <w:rPr>
                <w:rFonts w:ascii="Calibri" w:hAnsi="Calibri" w:cs="Calibri"/>
                <w:color w:val="0000FF"/>
                <w:szCs w:val="22"/>
              </w:rPr>
            </w:pPr>
          </w:p>
        </w:tc>
        <w:tc>
          <w:tcPr>
            <w:tcW w:w="1511" w:type="dxa"/>
          </w:tcPr>
          <w:p w14:paraId="51A89E2D" w14:textId="77777777" w:rsidR="00693DFA" w:rsidRPr="00073666" w:rsidRDefault="00693DFA" w:rsidP="00693DFA">
            <w:pPr>
              <w:rPr>
                <w:rFonts w:ascii="Calibri" w:hAnsi="Calibri" w:cs="Calibri"/>
                <w:color w:val="0000FF"/>
                <w:szCs w:val="22"/>
              </w:rPr>
            </w:pPr>
          </w:p>
        </w:tc>
        <w:tc>
          <w:tcPr>
            <w:tcW w:w="1512" w:type="dxa"/>
          </w:tcPr>
          <w:p w14:paraId="4CC9053B" w14:textId="77777777" w:rsidR="00693DFA" w:rsidRPr="00073666" w:rsidRDefault="00693DFA" w:rsidP="00693DFA">
            <w:pPr>
              <w:rPr>
                <w:rFonts w:ascii="Calibri" w:hAnsi="Calibri" w:cs="Calibri"/>
                <w:color w:val="000000" w:themeColor="text1"/>
                <w:szCs w:val="22"/>
              </w:rPr>
            </w:pPr>
          </w:p>
        </w:tc>
        <w:tc>
          <w:tcPr>
            <w:tcW w:w="1546" w:type="dxa"/>
          </w:tcPr>
          <w:p w14:paraId="56DA7CF4" w14:textId="77777777" w:rsidR="00693DFA" w:rsidRPr="00073666" w:rsidRDefault="00693DFA" w:rsidP="00693DFA">
            <w:pPr>
              <w:rPr>
                <w:rFonts w:ascii="Calibri" w:hAnsi="Calibri" w:cs="Calibri"/>
                <w:color w:val="000000" w:themeColor="text1"/>
                <w:szCs w:val="22"/>
              </w:rPr>
            </w:pPr>
          </w:p>
        </w:tc>
        <w:tc>
          <w:tcPr>
            <w:tcW w:w="4090" w:type="dxa"/>
          </w:tcPr>
          <w:p w14:paraId="16F87249" w14:textId="7BC03891" w:rsidR="00693DFA" w:rsidRPr="00073666" w:rsidRDefault="00693DFA" w:rsidP="00693DFA">
            <w:pPr>
              <w:rPr>
                <w:rFonts w:ascii="Calibri" w:hAnsi="Calibri" w:cs="Calibri"/>
                <w:color w:val="000000" w:themeColor="text1"/>
                <w:szCs w:val="22"/>
              </w:rPr>
            </w:pPr>
            <w:r w:rsidRPr="00073666">
              <w:rPr>
                <w:rFonts w:ascii="Calibri" w:hAnsi="Calibri" w:cs="Calibri"/>
                <w:color w:val="000000" w:themeColor="text1"/>
                <w:szCs w:val="22"/>
              </w:rPr>
              <w:t>Further clarification of when physician consent will be obtained rather than consultee.</w:t>
            </w:r>
          </w:p>
        </w:tc>
      </w:tr>
      <w:tr w:rsidR="00DF6BEE" w:rsidRPr="004307C1" w14:paraId="5A277E03" w14:textId="77777777" w:rsidTr="009C560F">
        <w:trPr>
          <w:trHeight w:val="290"/>
        </w:trPr>
        <w:tc>
          <w:tcPr>
            <w:tcW w:w="1514" w:type="dxa"/>
          </w:tcPr>
          <w:p w14:paraId="3897F886" w14:textId="6FEBF3CD" w:rsidR="00DF6BEE" w:rsidRPr="00073666" w:rsidRDefault="00F468C1" w:rsidP="00693DFA">
            <w:pPr>
              <w:rPr>
                <w:rFonts w:ascii="Calibri" w:hAnsi="Calibri" w:cs="Calibri"/>
                <w:color w:val="000000" w:themeColor="text1"/>
                <w:szCs w:val="22"/>
              </w:rPr>
            </w:pPr>
            <w:r w:rsidRPr="00073666">
              <w:rPr>
                <w:rFonts w:ascii="Calibri" w:hAnsi="Calibri" w:cs="Calibri"/>
                <w:color w:val="000000" w:themeColor="text1"/>
                <w:szCs w:val="22"/>
              </w:rPr>
              <w:t>2</w:t>
            </w:r>
          </w:p>
        </w:tc>
        <w:tc>
          <w:tcPr>
            <w:tcW w:w="1511" w:type="dxa"/>
          </w:tcPr>
          <w:p w14:paraId="39260CF7" w14:textId="0D50DB60" w:rsidR="00DF6BEE" w:rsidRPr="00073666" w:rsidRDefault="00F468C1" w:rsidP="00693DFA">
            <w:pPr>
              <w:rPr>
                <w:rFonts w:ascii="Calibri" w:hAnsi="Calibri" w:cs="Calibri"/>
                <w:color w:val="000000" w:themeColor="text1"/>
                <w:szCs w:val="22"/>
              </w:rPr>
            </w:pPr>
            <w:r w:rsidRPr="00073666">
              <w:rPr>
                <w:rFonts w:ascii="Calibri" w:hAnsi="Calibri" w:cs="Calibri"/>
                <w:color w:val="000000" w:themeColor="text1"/>
                <w:szCs w:val="22"/>
              </w:rPr>
              <w:t>0.3</w:t>
            </w:r>
          </w:p>
        </w:tc>
        <w:tc>
          <w:tcPr>
            <w:tcW w:w="1512" w:type="dxa"/>
          </w:tcPr>
          <w:p w14:paraId="03CC22DF" w14:textId="3AFFB056" w:rsidR="00DF6BEE" w:rsidRPr="00073666" w:rsidRDefault="002B24CD" w:rsidP="00693DFA">
            <w:pPr>
              <w:rPr>
                <w:rFonts w:ascii="Calibri" w:hAnsi="Calibri" w:cs="Calibri"/>
                <w:color w:val="000000" w:themeColor="text1"/>
                <w:szCs w:val="22"/>
              </w:rPr>
            </w:pPr>
            <w:r w:rsidRPr="00073666">
              <w:rPr>
                <w:rFonts w:ascii="Calibri" w:hAnsi="Calibri" w:cs="Calibri"/>
                <w:color w:val="000000" w:themeColor="text1"/>
                <w:szCs w:val="22"/>
              </w:rPr>
              <w:t>04/10/19</w:t>
            </w:r>
          </w:p>
        </w:tc>
        <w:tc>
          <w:tcPr>
            <w:tcW w:w="1546" w:type="dxa"/>
          </w:tcPr>
          <w:p w14:paraId="64C5D567" w14:textId="77777777" w:rsidR="002B24CD" w:rsidRPr="00073666" w:rsidRDefault="002B24CD" w:rsidP="00693DFA">
            <w:pPr>
              <w:rPr>
                <w:rFonts w:ascii="Calibri" w:hAnsi="Calibri" w:cs="Calibri"/>
                <w:color w:val="000000" w:themeColor="text1"/>
                <w:szCs w:val="22"/>
              </w:rPr>
            </w:pPr>
            <w:r w:rsidRPr="00073666">
              <w:rPr>
                <w:rFonts w:ascii="Calibri" w:hAnsi="Calibri" w:cs="Calibri"/>
                <w:color w:val="000000" w:themeColor="text1"/>
                <w:szCs w:val="22"/>
              </w:rPr>
              <w:t>Tihana Bicanic,</w:t>
            </w:r>
          </w:p>
          <w:p w14:paraId="37A06ADC" w14:textId="77777777" w:rsidR="00DF6BEE" w:rsidRDefault="002B24CD" w:rsidP="00693DFA">
            <w:pPr>
              <w:rPr>
                <w:rFonts w:ascii="Calibri" w:hAnsi="Calibri" w:cs="Calibri"/>
                <w:color w:val="000000" w:themeColor="text1"/>
                <w:szCs w:val="22"/>
              </w:rPr>
            </w:pPr>
            <w:r w:rsidRPr="00073666">
              <w:rPr>
                <w:rFonts w:ascii="Calibri" w:hAnsi="Calibri" w:cs="Calibri"/>
                <w:color w:val="000000" w:themeColor="text1"/>
                <w:szCs w:val="22"/>
              </w:rPr>
              <w:t>Jonathan Youngs</w:t>
            </w:r>
            <w:r w:rsidR="004C49D3">
              <w:rPr>
                <w:rFonts w:ascii="Calibri" w:hAnsi="Calibri" w:cs="Calibri"/>
                <w:color w:val="000000" w:themeColor="text1"/>
                <w:szCs w:val="22"/>
              </w:rPr>
              <w:t>,</w:t>
            </w:r>
          </w:p>
          <w:p w14:paraId="49626EE5" w14:textId="658F8803" w:rsidR="004C49D3" w:rsidRPr="00073666" w:rsidRDefault="004C49D3" w:rsidP="00693DFA">
            <w:pPr>
              <w:rPr>
                <w:rFonts w:ascii="Calibri" w:hAnsi="Calibri" w:cs="Calibri"/>
                <w:color w:val="000000" w:themeColor="text1"/>
                <w:szCs w:val="22"/>
              </w:rPr>
            </w:pPr>
            <w:r>
              <w:rPr>
                <w:rFonts w:ascii="Calibri" w:hAnsi="Calibri" w:cs="Calibri"/>
                <w:color w:val="000000" w:themeColor="text1"/>
                <w:szCs w:val="22"/>
              </w:rPr>
              <w:t>Sam Hollingworth.</w:t>
            </w:r>
          </w:p>
        </w:tc>
        <w:tc>
          <w:tcPr>
            <w:tcW w:w="4090" w:type="dxa"/>
          </w:tcPr>
          <w:p w14:paraId="604535A2" w14:textId="27665EF1" w:rsidR="00DF6BEE" w:rsidRPr="002206DC" w:rsidRDefault="002B24CD" w:rsidP="00693DFA">
            <w:pPr>
              <w:rPr>
                <w:rFonts w:ascii="Calibri" w:hAnsi="Calibri" w:cs="Calibri"/>
                <w:color w:val="000000" w:themeColor="text1"/>
                <w:szCs w:val="22"/>
              </w:rPr>
            </w:pPr>
            <w:r w:rsidRPr="00073666">
              <w:rPr>
                <w:rFonts w:ascii="Calibri" w:hAnsi="Calibri" w:cs="Calibri"/>
                <w:color w:val="000000" w:themeColor="text1"/>
                <w:szCs w:val="22"/>
              </w:rPr>
              <w:t>Post External review and R&amp;D review.</w:t>
            </w:r>
            <w:r w:rsidR="00A10080">
              <w:rPr>
                <w:rFonts w:ascii="Calibri" w:hAnsi="Calibri" w:cs="Calibri"/>
                <w:color w:val="000000" w:themeColor="text1"/>
                <w:szCs w:val="22"/>
              </w:rPr>
              <w:t xml:space="preserve"> Minor adjustments only.</w:t>
            </w:r>
          </w:p>
        </w:tc>
      </w:tr>
      <w:tr w:rsidR="009C560F" w:rsidRPr="004307C1" w14:paraId="53459F75" w14:textId="77777777" w:rsidTr="009C560F">
        <w:trPr>
          <w:trHeight w:val="290"/>
        </w:trPr>
        <w:tc>
          <w:tcPr>
            <w:tcW w:w="1514" w:type="dxa"/>
          </w:tcPr>
          <w:p w14:paraId="05760FFC" w14:textId="310335AE" w:rsidR="009C560F" w:rsidRPr="00073666" w:rsidRDefault="009C560F" w:rsidP="009C560F">
            <w:pPr>
              <w:rPr>
                <w:rFonts w:ascii="Calibri" w:hAnsi="Calibri" w:cs="Calibri"/>
                <w:color w:val="000000" w:themeColor="text1"/>
                <w:szCs w:val="22"/>
              </w:rPr>
            </w:pPr>
            <w:r>
              <w:rPr>
                <w:rFonts w:ascii="Calibri" w:hAnsi="Calibri" w:cs="Calibri"/>
                <w:color w:val="000000" w:themeColor="text1"/>
                <w:szCs w:val="22"/>
              </w:rPr>
              <w:t>3</w:t>
            </w:r>
          </w:p>
        </w:tc>
        <w:tc>
          <w:tcPr>
            <w:tcW w:w="1511" w:type="dxa"/>
          </w:tcPr>
          <w:p w14:paraId="1D4FF38A" w14:textId="603F319D" w:rsidR="009C560F" w:rsidRPr="00073666" w:rsidRDefault="009C560F" w:rsidP="009C560F">
            <w:pPr>
              <w:rPr>
                <w:rFonts w:ascii="Calibri" w:hAnsi="Calibri" w:cs="Calibri"/>
                <w:color w:val="000000" w:themeColor="text1"/>
                <w:szCs w:val="22"/>
              </w:rPr>
            </w:pPr>
            <w:r>
              <w:rPr>
                <w:rFonts w:ascii="Calibri" w:hAnsi="Calibri" w:cs="Calibri"/>
                <w:color w:val="000000" w:themeColor="text1"/>
                <w:szCs w:val="22"/>
              </w:rPr>
              <w:t>1.0</w:t>
            </w:r>
            <w:bookmarkStart w:id="20" w:name="_GoBack"/>
            <w:bookmarkEnd w:id="20"/>
          </w:p>
        </w:tc>
        <w:tc>
          <w:tcPr>
            <w:tcW w:w="1512" w:type="dxa"/>
          </w:tcPr>
          <w:p w14:paraId="1F3EC96E" w14:textId="3F68C7CE" w:rsidR="009C560F" w:rsidRPr="00073666" w:rsidRDefault="009C560F" w:rsidP="009C560F">
            <w:pPr>
              <w:rPr>
                <w:rFonts w:ascii="Calibri" w:hAnsi="Calibri" w:cs="Calibri"/>
                <w:color w:val="000000" w:themeColor="text1"/>
                <w:szCs w:val="22"/>
              </w:rPr>
            </w:pPr>
            <w:r w:rsidRPr="00073666">
              <w:rPr>
                <w:rFonts w:ascii="Calibri" w:hAnsi="Calibri" w:cs="Calibri"/>
                <w:color w:val="000000" w:themeColor="text1"/>
                <w:szCs w:val="22"/>
              </w:rPr>
              <w:t>04/10/19</w:t>
            </w:r>
          </w:p>
        </w:tc>
        <w:tc>
          <w:tcPr>
            <w:tcW w:w="1546" w:type="dxa"/>
          </w:tcPr>
          <w:p w14:paraId="6AD8B604" w14:textId="77777777" w:rsidR="009C560F" w:rsidRPr="00073666" w:rsidRDefault="009C560F" w:rsidP="009C560F">
            <w:pPr>
              <w:rPr>
                <w:rFonts w:ascii="Calibri" w:hAnsi="Calibri" w:cs="Calibri"/>
                <w:color w:val="000000" w:themeColor="text1"/>
                <w:szCs w:val="22"/>
              </w:rPr>
            </w:pPr>
            <w:r w:rsidRPr="00073666">
              <w:rPr>
                <w:rFonts w:ascii="Calibri" w:hAnsi="Calibri" w:cs="Calibri"/>
                <w:color w:val="000000" w:themeColor="text1"/>
                <w:szCs w:val="22"/>
              </w:rPr>
              <w:t>Tihana Bicanic,</w:t>
            </w:r>
          </w:p>
          <w:p w14:paraId="16CBB530" w14:textId="77777777" w:rsidR="009C560F" w:rsidRDefault="009C560F" w:rsidP="009C560F">
            <w:pPr>
              <w:rPr>
                <w:rFonts w:ascii="Calibri" w:hAnsi="Calibri" w:cs="Calibri"/>
                <w:color w:val="000000" w:themeColor="text1"/>
                <w:szCs w:val="22"/>
              </w:rPr>
            </w:pPr>
            <w:r w:rsidRPr="00073666">
              <w:rPr>
                <w:rFonts w:ascii="Calibri" w:hAnsi="Calibri" w:cs="Calibri"/>
                <w:color w:val="000000" w:themeColor="text1"/>
                <w:szCs w:val="22"/>
              </w:rPr>
              <w:t>Jonathan Youngs</w:t>
            </w:r>
            <w:r>
              <w:rPr>
                <w:rFonts w:ascii="Calibri" w:hAnsi="Calibri" w:cs="Calibri"/>
                <w:color w:val="000000" w:themeColor="text1"/>
                <w:szCs w:val="22"/>
              </w:rPr>
              <w:t>,</w:t>
            </w:r>
          </w:p>
          <w:p w14:paraId="46C241B3" w14:textId="1FF29E1F" w:rsidR="009C560F" w:rsidRPr="00073666" w:rsidRDefault="009C560F" w:rsidP="009C560F">
            <w:pPr>
              <w:rPr>
                <w:rFonts w:ascii="Calibri" w:hAnsi="Calibri" w:cs="Calibri"/>
                <w:color w:val="000000" w:themeColor="text1"/>
                <w:szCs w:val="22"/>
              </w:rPr>
            </w:pPr>
            <w:r>
              <w:rPr>
                <w:rFonts w:ascii="Calibri" w:hAnsi="Calibri" w:cs="Calibri"/>
                <w:color w:val="000000" w:themeColor="text1"/>
                <w:szCs w:val="22"/>
              </w:rPr>
              <w:t>Sam Hollingworth.</w:t>
            </w:r>
          </w:p>
        </w:tc>
        <w:tc>
          <w:tcPr>
            <w:tcW w:w="4090" w:type="dxa"/>
          </w:tcPr>
          <w:p w14:paraId="255F4778" w14:textId="1B774C09" w:rsidR="009C560F" w:rsidRPr="00073666" w:rsidRDefault="009C560F" w:rsidP="009C560F">
            <w:pPr>
              <w:rPr>
                <w:rFonts w:ascii="Calibri" w:hAnsi="Calibri" w:cs="Calibri"/>
                <w:color w:val="000000" w:themeColor="text1"/>
                <w:szCs w:val="22"/>
              </w:rPr>
            </w:pPr>
            <w:r>
              <w:rPr>
                <w:rFonts w:ascii="Calibri" w:hAnsi="Calibri" w:cs="Calibri"/>
                <w:color w:val="000000" w:themeColor="text1"/>
                <w:szCs w:val="22"/>
              </w:rPr>
              <w:t>Submitted to IRAS with signatures.</w:t>
            </w:r>
          </w:p>
        </w:tc>
      </w:tr>
      <w:tr w:rsidR="009C560F" w:rsidRPr="004307C1" w14:paraId="0B8992A4" w14:textId="77777777" w:rsidTr="009C560F">
        <w:trPr>
          <w:trHeight w:val="290"/>
        </w:trPr>
        <w:tc>
          <w:tcPr>
            <w:tcW w:w="1514" w:type="dxa"/>
          </w:tcPr>
          <w:p w14:paraId="55A0C891" w14:textId="207D0322" w:rsidR="009C560F" w:rsidRPr="009A18F1" w:rsidRDefault="009C560F" w:rsidP="009C560F">
            <w:pPr>
              <w:rPr>
                <w:rFonts w:ascii="Calibri" w:hAnsi="Calibri" w:cs="Calibri"/>
                <w:color w:val="000000" w:themeColor="text1"/>
                <w:szCs w:val="22"/>
                <w:highlight w:val="yellow"/>
              </w:rPr>
            </w:pPr>
            <w:r>
              <w:rPr>
                <w:rFonts w:ascii="Calibri" w:hAnsi="Calibri" w:cs="Calibri"/>
                <w:color w:val="000000" w:themeColor="text1"/>
                <w:szCs w:val="22"/>
                <w:highlight w:val="yellow"/>
              </w:rPr>
              <w:t>4</w:t>
            </w:r>
          </w:p>
        </w:tc>
        <w:tc>
          <w:tcPr>
            <w:tcW w:w="1511" w:type="dxa"/>
          </w:tcPr>
          <w:p w14:paraId="143B534C" w14:textId="19DC662F" w:rsidR="009C560F" w:rsidRPr="009A18F1" w:rsidRDefault="009C560F" w:rsidP="009C560F">
            <w:pPr>
              <w:rPr>
                <w:rFonts w:ascii="Calibri" w:hAnsi="Calibri" w:cs="Calibri"/>
                <w:color w:val="000000" w:themeColor="text1"/>
                <w:szCs w:val="22"/>
                <w:highlight w:val="yellow"/>
              </w:rPr>
            </w:pPr>
            <w:r w:rsidRPr="009A18F1">
              <w:rPr>
                <w:rFonts w:ascii="Calibri" w:hAnsi="Calibri" w:cs="Calibri"/>
                <w:color w:val="000000" w:themeColor="text1"/>
                <w:szCs w:val="22"/>
                <w:highlight w:val="yellow"/>
              </w:rPr>
              <w:t>2.0</w:t>
            </w:r>
          </w:p>
        </w:tc>
        <w:tc>
          <w:tcPr>
            <w:tcW w:w="1512" w:type="dxa"/>
          </w:tcPr>
          <w:p w14:paraId="42F73E4F" w14:textId="4395E588" w:rsidR="009C560F" w:rsidRPr="009A18F1" w:rsidRDefault="009C560F" w:rsidP="009C560F">
            <w:pPr>
              <w:rPr>
                <w:rFonts w:ascii="Calibri" w:hAnsi="Calibri" w:cs="Calibri"/>
                <w:color w:val="000000" w:themeColor="text1"/>
                <w:szCs w:val="22"/>
                <w:highlight w:val="yellow"/>
              </w:rPr>
            </w:pPr>
            <w:r w:rsidRPr="009A18F1">
              <w:rPr>
                <w:rFonts w:ascii="Calibri" w:hAnsi="Calibri" w:cs="Calibri"/>
                <w:color w:val="000000" w:themeColor="text1"/>
                <w:szCs w:val="22"/>
                <w:highlight w:val="yellow"/>
              </w:rPr>
              <w:t>26/11/19</w:t>
            </w:r>
          </w:p>
        </w:tc>
        <w:tc>
          <w:tcPr>
            <w:tcW w:w="1546" w:type="dxa"/>
          </w:tcPr>
          <w:p w14:paraId="60F51AAC" w14:textId="77777777" w:rsidR="009C560F" w:rsidRPr="009A18F1" w:rsidRDefault="009C560F" w:rsidP="009C560F">
            <w:pPr>
              <w:rPr>
                <w:rFonts w:ascii="Calibri" w:hAnsi="Calibri" w:cs="Calibri"/>
                <w:color w:val="000000" w:themeColor="text1"/>
                <w:szCs w:val="22"/>
                <w:highlight w:val="yellow"/>
              </w:rPr>
            </w:pPr>
            <w:r w:rsidRPr="009A18F1">
              <w:rPr>
                <w:rFonts w:ascii="Calibri" w:hAnsi="Calibri" w:cs="Calibri"/>
                <w:color w:val="000000" w:themeColor="text1"/>
                <w:szCs w:val="22"/>
                <w:highlight w:val="yellow"/>
              </w:rPr>
              <w:t>Tihana Bicanic,</w:t>
            </w:r>
          </w:p>
          <w:p w14:paraId="360D3505" w14:textId="77777777" w:rsidR="009C560F" w:rsidRPr="009A18F1" w:rsidRDefault="009C560F" w:rsidP="009C560F">
            <w:pPr>
              <w:rPr>
                <w:rFonts w:ascii="Calibri" w:hAnsi="Calibri" w:cs="Calibri"/>
                <w:color w:val="000000" w:themeColor="text1"/>
                <w:szCs w:val="22"/>
                <w:highlight w:val="yellow"/>
              </w:rPr>
            </w:pPr>
            <w:r w:rsidRPr="009A18F1">
              <w:rPr>
                <w:rFonts w:ascii="Calibri" w:hAnsi="Calibri" w:cs="Calibri"/>
                <w:color w:val="000000" w:themeColor="text1"/>
                <w:szCs w:val="22"/>
                <w:highlight w:val="yellow"/>
              </w:rPr>
              <w:t>Jonathan Youngs,</w:t>
            </w:r>
          </w:p>
          <w:p w14:paraId="221E4347" w14:textId="33B7C6F3" w:rsidR="009C560F" w:rsidRPr="009A18F1" w:rsidRDefault="009C560F" w:rsidP="009C560F">
            <w:pPr>
              <w:rPr>
                <w:rFonts w:ascii="Calibri" w:hAnsi="Calibri" w:cs="Calibri"/>
                <w:color w:val="000000" w:themeColor="text1"/>
                <w:szCs w:val="22"/>
                <w:highlight w:val="yellow"/>
              </w:rPr>
            </w:pPr>
            <w:r w:rsidRPr="009A18F1">
              <w:rPr>
                <w:rFonts w:ascii="Calibri" w:hAnsi="Calibri" w:cs="Calibri"/>
                <w:color w:val="000000" w:themeColor="text1"/>
                <w:szCs w:val="22"/>
                <w:highlight w:val="yellow"/>
              </w:rPr>
              <w:t>Sam Hollingworth</w:t>
            </w:r>
          </w:p>
        </w:tc>
        <w:tc>
          <w:tcPr>
            <w:tcW w:w="4090" w:type="dxa"/>
          </w:tcPr>
          <w:p w14:paraId="7E07C7D1" w14:textId="29AFD55C" w:rsidR="009C560F" w:rsidRPr="009A18F1" w:rsidRDefault="009C560F" w:rsidP="009C560F">
            <w:pPr>
              <w:rPr>
                <w:rFonts w:ascii="Calibri" w:hAnsi="Calibri" w:cs="Calibri"/>
                <w:color w:val="000000" w:themeColor="text1"/>
                <w:szCs w:val="22"/>
                <w:highlight w:val="yellow"/>
              </w:rPr>
            </w:pPr>
            <w:r w:rsidRPr="009A18F1">
              <w:rPr>
                <w:rFonts w:ascii="Calibri" w:hAnsi="Calibri" w:cs="Calibri"/>
                <w:color w:val="000000" w:themeColor="text1"/>
                <w:szCs w:val="22"/>
                <w:highlight w:val="yellow"/>
              </w:rPr>
              <w:t>Manchester added as a participating site</w:t>
            </w:r>
          </w:p>
        </w:tc>
      </w:tr>
    </w:tbl>
    <w:p w14:paraId="6F7FC9E5" w14:textId="77777777" w:rsidR="00475FDA" w:rsidRPr="004307C1" w:rsidRDefault="00475FDA" w:rsidP="003802A1">
      <w:pPr>
        <w:rPr>
          <w:rFonts w:ascii="Calibri" w:hAnsi="Calibri" w:cs="Calibri"/>
          <w:color w:val="FF0000"/>
          <w:szCs w:val="22"/>
        </w:rPr>
      </w:pPr>
    </w:p>
    <w:p w14:paraId="14715B91" w14:textId="77777777" w:rsidR="00475FDA" w:rsidRPr="004307C1" w:rsidRDefault="00475FDA" w:rsidP="003802A1">
      <w:pPr>
        <w:rPr>
          <w:rFonts w:ascii="Calibri" w:hAnsi="Calibri" w:cs="Calibri"/>
          <w:color w:val="FF0000"/>
          <w:szCs w:val="22"/>
        </w:rPr>
      </w:pPr>
    </w:p>
    <w:p w14:paraId="5BD28970" w14:textId="77777777" w:rsidR="00C84257" w:rsidRPr="004307C1" w:rsidRDefault="00C84257" w:rsidP="003802A1">
      <w:pPr>
        <w:rPr>
          <w:rFonts w:ascii="Calibri" w:hAnsi="Calibri" w:cs="Calibri"/>
          <w:szCs w:val="22"/>
        </w:rPr>
      </w:pPr>
    </w:p>
    <w:sectPr w:rsidR="00C84257" w:rsidRPr="004307C1" w:rsidSect="00C7188C">
      <w:pgSz w:w="11900" w:h="16840"/>
      <w:pgMar w:top="1985" w:right="964" w:bottom="1134" w:left="96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6AB9B" w14:textId="77777777" w:rsidR="000429A5" w:rsidRDefault="000429A5" w:rsidP="00234F6D">
      <w:r>
        <w:separator/>
      </w:r>
    </w:p>
  </w:endnote>
  <w:endnote w:type="continuationSeparator" w:id="0">
    <w:p w14:paraId="48F72764" w14:textId="77777777" w:rsidR="000429A5" w:rsidRDefault="000429A5" w:rsidP="0023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charset w:val="00"/>
    <w:family w:val="auto"/>
    <w:pitch w:val="variable"/>
    <w:sig w:usb0="00000003" w:usb1="00000000" w:usb2="00000000" w:usb3="00000000" w:csb0="00000007"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Ü”€Tˇ">
    <w:altName w:val="Calibri"/>
    <w:panose1 w:val="00000000000000000000"/>
    <w:charset w:val="4D"/>
    <w:family w:val="auto"/>
    <w:notTrueType/>
    <w:pitch w:val="default"/>
    <w:sig w:usb0="00000003" w:usb1="00000000" w:usb2="00000000" w:usb3="00000000" w:csb0="00000001" w:csb1="00000000"/>
  </w:font>
  <w:font w:name="TUOS Blake">
    <w:altName w:val="Calibri"/>
    <w:charset w:val="00"/>
    <w:family w:val="swiss"/>
    <w:pitch w:val="variable"/>
    <w:sig w:usb0="8000002F" w:usb1="4000004A" w:usb2="00000000" w:usb3="00000000" w:csb0="00000011" w:csb1="00000000"/>
  </w:font>
  <w:font w:name="ønÜTˇ">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62393998"/>
      <w:docPartObj>
        <w:docPartGallery w:val="Page Numbers (Bottom of Page)"/>
        <w:docPartUnique/>
      </w:docPartObj>
    </w:sdtPr>
    <w:sdtEndPr>
      <w:rPr>
        <w:noProof/>
      </w:rPr>
    </w:sdtEndPr>
    <w:sdtContent>
      <w:p w14:paraId="10EFF24E" w14:textId="6C8D98F7" w:rsidR="0001111D" w:rsidRPr="0001111D" w:rsidRDefault="0001111D">
        <w:pPr>
          <w:pStyle w:val="Footer"/>
          <w:jc w:val="right"/>
          <w:rPr>
            <w:b/>
            <w:sz w:val="20"/>
            <w:szCs w:val="20"/>
          </w:rPr>
        </w:pPr>
        <w:r w:rsidRPr="0001111D">
          <w:rPr>
            <w:b/>
            <w:sz w:val="20"/>
            <w:szCs w:val="20"/>
            <w:highlight w:val="yellow"/>
          </w:rPr>
          <w:t>Protocol Version 2.0, Date: 26 Nov. 19</w:t>
        </w:r>
      </w:p>
      <w:p w14:paraId="6B5ADFDC" w14:textId="56212AF8" w:rsidR="0001111D" w:rsidRPr="00760261" w:rsidRDefault="0001111D">
        <w:pPr>
          <w:pStyle w:val="Footer"/>
          <w:jc w:val="right"/>
          <w:rPr>
            <w:sz w:val="20"/>
            <w:szCs w:val="20"/>
          </w:rPr>
        </w:pPr>
        <w:r w:rsidRPr="00760261">
          <w:rPr>
            <w:sz w:val="20"/>
            <w:szCs w:val="20"/>
          </w:rPr>
          <w:t xml:space="preserve">Page </w:t>
        </w:r>
        <w:r w:rsidRPr="00760261">
          <w:rPr>
            <w:sz w:val="20"/>
            <w:szCs w:val="20"/>
          </w:rPr>
          <w:fldChar w:fldCharType="begin"/>
        </w:r>
        <w:r w:rsidRPr="00760261">
          <w:rPr>
            <w:sz w:val="20"/>
            <w:szCs w:val="20"/>
          </w:rPr>
          <w:instrText xml:space="preserve"> PAGE   \* MERGEFORMAT </w:instrText>
        </w:r>
        <w:r w:rsidRPr="00760261">
          <w:rPr>
            <w:sz w:val="20"/>
            <w:szCs w:val="20"/>
          </w:rPr>
          <w:fldChar w:fldCharType="separate"/>
        </w:r>
        <w:r w:rsidR="0069444B">
          <w:rPr>
            <w:noProof/>
            <w:sz w:val="20"/>
            <w:szCs w:val="20"/>
          </w:rPr>
          <w:t>29</w:t>
        </w:r>
        <w:r w:rsidRPr="00760261">
          <w:rPr>
            <w:noProof/>
            <w:sz w:val="20"/>
            <w:szCs w:val="20"/>
          </w:rPr>
          <w:fldChar w:fldCharType="end"/>
        </w:r>
        <w:r>
          <w:rPr>
            <w:noProof/>
            <w:sz w:val="20"/>
            <w:szCs w:val="20"/>
          </w:rPr>
          <w:t xml:space="preserve"> of 23</w:t>
        </w:r>
      </w:p>
    </w:sdtContent>
  </w:sdt>
  <w:p w14:paraId="5036CF09" w14:textId="77777777" w:rsidR="0001111D" w:rsidRPr="00760261" w:rsidRDefault="0001111D">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348417163"/>
      <w:docPartObj>
        <w:docPartGallery w:val="Page Numbers (Bottom of Page)"/>
        <w:docPartUnique/>
      </w:docPartObj>
    </w:sdtPr>
    <w:sdtEndPr>
      <w:rPr>
        <w:noProof/>
      </w:rPr>
    </w:sdtEndPr>
    <w:sdtContent>
      <w:p w14:paraId="2FDBE5B4" w14:textId="77777777" w:rsidR="0001111D" w:rsidRPr="00760261" w:rsidRDefault="0001111D">
        <w:pPr>
          <w:pStyle w:val="Footer"/>
          <w:jc w:val="right"/>
          <w:rPr>
            <w:sz w:val="20"/>
            <w:szCs w:val="20"/>
          </w:rPr>
        </w:pPr>
        <w:r w:rsidRPr="00760261">
          <w:rPr>
            <w:sz w:val="20"/>
            <w:szCs w:val="20"/>
          </w:rPr>
          <w:t>Protocol Version 0.2, Date: 17 Sep. 19</w:t>
        </w:r>
      </w:p>
      <w:p w14:paraId="2207F95E" w14:textId="028E4169" w:rsidR="0001111D" w:rsidRPr="00760261" w:rsidRDefault="0001111D">
        <w:pPr>
          <w:pStyle w:val="Footer"/>
          <w:jc w:val="right"/>
          <w:rPr>
            <w:sz w:val="20"/>
            <w:szCs w:val="20"/>
          </w:rPr>
        </w:pPr>
        <w:r w:rsidRPr="00760261">
          <w:rPr>
            <w:sz w:val="20"/>
            <w:szCs w:val="20"/>
          </w:rPr>
          <w:t xml:space="preserve">Page </w:t>
        </w:r>
        <w:r w:rsidRPr="00760261">
          <w:rPr>
            <w:sz w:val="20"/>
            <w:szCs w:val="20"/>
          </w:rPr>
          <w:fldChar w:fldCharType="begin"/>
        </w:r>
        <w:r w:rsidRPr="00760261">
          <w:rPr>
            <w:sz w:val="20"/>
            <w:szCs w:val="20"/>
          </w:rPr>
          <w:instrText xml:space="preserve"> PAGE   \* MERGEFORMAT </w:instrText>
        </w:r>
        <w:r w:rsidRPr="00760261">
          <w:rPr>
            <w:sz w:val="20"/>
            <w:szCs w:val="20"/>
          </w:rPr>
          <w:fldChar w:fldCharType="separate"/>
        </w:r>
        <w:r w:rsidR="0069444B">
          <w:rPr>
            <w:noProof/>
            <w:sz w:val="20"/>
            <w:szCs w:val="20"/>
          </w:rPr>
          <w:t>49</w:t>
        </w:r>
        <w:r w:rsidRPr="00760261">
          <w:rPr>
            <w:noProof/>
            <w:sz w:val="20"/>
            <w:szCs w:val="20"/>
          </w:rPr>
          <w:fldChar w:fldCharType="end"/>
        </w:r>
        <w:r>
          <w:rPr>
            <w:noProof/>
            <w:sz w:val="20"/>
            <w:szCs w:val="20"/>
          </w:rPr>
          <w:t xml:space="preserve"> of 48</w:t>
        </w:r>
      </w:p>
    </w:sdtContent>
  </w:sdt>
  <w:p w14:paraId="26F64FDC" w14:textId="77777777" w:rsidR="0001111D" w:rsidRPr="00760261" w:rsidRDefault="0001111D">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7AC40" w14:textId="77777777" w:rsidR="000429A5" w:rsidRDefault="000429A5" w:rsidP="00234F6D">
      <w:r>
        <w:separator/>
      </w:r>
    </w:p>
  </w:footnote>
  <w:footnote w:type="continuationSeparator" w:id="0">
    <w:p w14:paraId="4B4B9934" w14:textId="77777777" w:rsidR="000429A5" w:rsidRDefault="000429A5" w:rsidP="00234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48D3E" w14:textId="77777777" w:rsidR="0001111D" w:rsidRPr="00234F6D" w:rsidRDefault="0001111D" w:rsidP="00BE008E">
    <w:r>
      <w:rPr>
        <w:noProof/>
        <w:lang w:val="en-US"/>
      </w:rPr>
      <w:drawing>
        <wp:anchor distT="0" distB="0" distL="114300" distR="114300" simplePos="0" relativeHeight="251667456" behindDoc="0" locked="0" layoutInCell="1" allowOverlap="1" wp14:anchorId="078C04FD" wp14:editId="21A8039A">
          <wp:simplePos x="0" y="0"/>
          <wp:positionH relativeFrom="column">
            <wp:posOffset>3304540</wp:posOffset>
          </wp:positionH>
          <wp:positionV relativeFrom="paragraph">
            <wp:posOffset>6350</wp:posOffset>
          </wp:positionV>
          <wp:extent cx="3042920" cy="753745"/>
          <wp:effectExtent l="0" t="0" r="508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_HRA-logo.psd"/>
                  <pic:cNvPicPr/>
                </pic:nvPicPr>
                <pic:blipFill>
                  <a:blip r:embed="rId1">
                    <a:extLst>
                      <a:ext uri="{28A0092B-C50C-407E-A947-70E740481C1C}">
                        <a14:useLocalDpi xmlns:a14="http://schemas.microsoft.com/office/drawing/2010/main" val="0"/>
                      </a:ext>
                    </a:extLst>
                  </a:blip>
                  <a:stretch>
                    <a:fillRect/>
                  </a:stretch>
                </pic:blipFill>
                <pic:spPr>
                  <a:xfrm>
                    <a:off x="0" y="0"/>
                    <a:ext cx="3042920" cy="753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1EF0"/>
    <w:multiLevelType w:val="hybridMultilevel"/>
    <w:tmpl w:val="D0144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2447C"/>
    <w:multiLevelType w:val="multilevel"/>
    <w:tmpl w:val="8C90D5DE"/>
    <w:lvl w:ilvl="0">
      <w:start w:val="1"/>
      <w:numFmt w:val="decimal"/>
      <w:pStyle w:val="StyleHeading1JustifiedLeft0cmFirstline0cmLines"/>
      <w:lvlText w:val="%1."/>
      <w:lvlJc w:val="left"/>
      <w:pPr>
        <w:tabs>
          <w:tab w:val="num" w:pos="720"/>
        </w:tabs>
        <w:ind w:left="360" w:hanging="360"/>
      </w:pPr>
    </w:lvl>
    <w:lvl w:ilvl="1">
      <w:start w:val="1"/>
      <w:numFmt w:val="decimal"/>
      <w:pStyle w:val="StyleHeading2JustifiedLinespacing15lines"/>
      <w:lvlText w:val="%1.%2."/>
      <w:lvlJc w:val="left"/>
      <w:pPr>
        <w:tabs>
          <w:tab w:val="num" w:pos="1080"/>
        </w:tabs>
        <w:ind w:left="43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 w15:restartNumberingAfterBreak="0">
    <w:nsid w:val="0B184986"/>
    <w:multiLevelType w:val="hybridMultilevel"/>
    <w:tmpl w:val="CB10C3F8"/>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41E67"/>
    <w:multiLevelType w:val="hybridMultilevel"/>
    <w:tmpl w:val="11D43896"/>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4" w15:restartNumberingAfterBreak="0">
    <w:nsid w:val="11D66F42"/>
    <w:multiLevelType w:val="hybridMultilevel"/>
    <w:tmpl w:val="273A3E44"/>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83B44"/>
    <w:multiLevelType w:val="hybridMultilevel"/>
    <w:tmpl w:val="DDD6ED70"/>
    <w:lvl w:ilvl="0" w:tplc="04090005">
      <w:start w:val="1"/>
      <w:numFmt w:val="bullet"/>
      <w:lvlText w:val=""/>
      <w:lvlJc w:val="left"/>
      <w:pPr>
        <w:tabs>
          <w:tab w:val="num" w:pos="1570"/>
        </w:tabs>
        <w:ind w:left="1570" w:hanging="360"/>
      </w:pPr>
      <w:rPr>
        <w:rFonts w:ascii="Wingdings" w:hAnsi="Wingdings" w:hint="default"/>
      </w:rPr>
    </w:lvl>
    <w:lvl w:ilvl="1" w:tplc="04090003" w:tentative="1">
      <w:start w:val="1"/>
      <w:numFmt w:val="bullet"/>
      <w:lvlText w:val="o"/>
      <w:lvlJc w:val="left"/>
      <w:pPr>
        <w:tabs>
          <w:tab w:val="num" w:pos="2290"/>
        </w:tabs>
        <w:ind w:left="2290" w:hanging="360"/>
      </w:pPr>
      <w:rPr>
        <w:rFonts w:ascii="Courier New" w:hAnsi="Courier New" w:cs="Courier New" w:hint="default"/>
      </w:rPr>
    </w:lvl>
    <w:lvl w:ilvl="2" w:tplc="04090005" w:tentative="1">
      <w:start w:val="1"/>
      <w:numFmt w:val="bullet"/>
      <w:lvlText w:val=""/>
      <w:lvlJc w:val="left"/>
      <w:pPr>
        <w:tabs>
          <w:tab w:val="num" w:pos="3010"/>
        </w:tabs>
        <w:ind w:left="3010" w:hanging="360"/>
      </w:pPr>
      <w:rPr>
        <w:rFonts w:ascii="Wingdings" w:hAnsi="Wingdings" w:hint="default"/>
      </w:rPr>
    </w:lvl>
    <w:lvl w:ilvl="3" w:tplc="04090001" w:tentative="1">
      <w:start w:val="1"/>
      <w:numFmt w:val="bullet"/>
      <w:lvlText w:val=""/>
      <w:lvlJc w:val="left"/>
      <w:pPr>
        <w:tabs>
          <w:tab w:val="num" w:pos="3730"/>
        </w:tabs>
        <w:ind w:left="3730" w:hanging="360"/>
      </w:pPr>
      <w:rPr>
        <w:rFonts w:ascii="Symbol" w:hAnsi="Symbol" w:hint="default"/>
      </w:rPr>
    </w:lvl>
    <w:lvl w:ilvl="4" w:tplc="04090003" w:tentative="1">
      <w:start w:val="1"/>
      <w:numFmt w:val="bullet"/>
      <w:lvlText w:val="o"/>
      <w:lvlJc w:val="left"/>
      <w:pPr>
        <w:tabs>
          <w:tab w:val="num" w:pos="4450"/>
        </w:tabs>
        <w:ind w:left="4450" w:hanging="360"/>
      </w:pPr>
      <w:rPr>
        <w:rFonts w:ascii="Courier New" w:hAnsi="Courier New" w:cs="Courier New" w:hint="default"/>
      </w:rPr>
    </w:lvl>
    <w:lvl w:ilvl="5" w:tplc="04090005" w:tentative="1">
      <w:start w:val="1"/>
      <w:numFmt w:val="bullet"/>
      <w:lvlText w:val=""/>
      <w:lvlJc w:val="left"/>
      <w:pPr>
        <w:tabs>
          <w:tab w:val="num" w:pos="5170"/>
        </w:tabs>
        <w:ind w:left="5170" w:hanging="360"/>
      </w:pPr>
      <w:rPr>
        <w:rFonts w:ascii="Wingdings" w:hAnsi="Wingdings" w:hint="default"/>
      </w:rPr>
    </w:lvl>
    <w:lvl w:ilvl="6" w:tplc="04090001" w:tentative="1">
      <w:start w:val="1"/>
      <w:numFmt w:val="bullet"/>
      <w:lvlText w:val=""/>
      <w:lvlJc w:val="left"/>
      <w:pPr>
        <w:tabs>
          <w:tab w:val="num" w:pos="5890"/>
        </w:tabs>
        <w:ind w:left="5890" w:hanging="360"/>
      </w:pPr>
      <w:rPr>
        <w:rFonts w:ascii="Symbol" w:hAnsi="Symbol" w:hint="default"/>
      </w:rPr>
    </w:lvl>
    <w:lvl w:ilvl="7" w:tplc="04090003" w:tentative="1">
      <w:start w:val="1"/>
      <w:numFmt w:val="bullet"/>
      <w:lvlText w:val="o"/>
      <w:lvlJc w:val="left"/>
      <w:pPr>
        <w:tabs>
          <w:tab w:val="num" w:pos="6610"/>
        </w:tabs>
        <w:ind w:left="6610" w:hanging="360"/>
      </w:pPr>
      <w:rPr>
        <w:rFonts w:ascii="Courier New" w:hAnsi="Courier New" w:cs="Courier New" w:hint="default"/>
      </w:rPr>
    </w:lvl>
    <w:lvl w:ilvl="8" w:tplc="04090005" w:tentative="1">
      <w:start w:val="1"/>
      <w:numFmt w:val="bullet"/>
      <w:lvlText w:val=""/>
      <w:lvlJc w:val="left"/>
      <w:pPr>
        <w:tabs>
          <w:tab w:val="num" w:pos="7330"/>
        </w:tabs>
        <w:ind w:left="7330" w:hanging="360"/>
      </w:pPr>
      <w:rPr>
        <w:rFonts w:ascii="Wingdings" w:hAnsi="Wingdings" w:hint="default"/>
      </w:rPr>
    </w:lvl>
  </w:abstractNum>
  <w:abstractNum w:abstractNumId="6" w15:restartNumberingAfterBreak="0">
    <w:nsid w:val="14C17222"/>
    <w:multiLevelType w:val="hybridMultilevel"/>
    <w:tmpl w:val="9802FC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331AB"/>
    <w:multiLevelType w:val="hybridMultilevel"/>
    <w:tmpl w:val="59768A0A"/>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8" w15:restartNumberingAfterBreak="0">
    <w:nsid w:val="19F75430"/>
    <w:multiLevelType w:val="hybridMultilevel"/>
    <w:tmpl w:val="1BB0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C5F5A"/>
    <w:multiLevelType w:val="hybridMultilevel"/>
    <w:tmpl w:val="B0B6B7C2"/>
    <w:lvl w:ilvl="0" w:tplc="C238794A">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10" w15:restartNumberingAfterBreak="0">
    <w:nsid w:val="25BE1F04"/>
    <w:multiLevelType w:val="hybridMultilevel"/>
    <w:tmpl w:val="3CEC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C7B13"/>
    <w:multiLevelType w:val="hybridMultilevel"/>
    <w:tmpl w:val="A2B0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16333"/>
    <w:multiLevelType w:val="hybridMultilevel"/>
    <w:tmpl w:val="EC2CE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10313"/>
    <w:multiLevelType w:val="hybridMultilevel"/>
    <w:tmpl w:val="575E393E"/>
    <w:lvl w:ilvl="0" w:tplc="C238794A">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625" w:hanging="360"/>
      </w:pPr>
      <w:rPr>
        <w:rFonts w:ascii="Courier New" w:hAnsi="Courier New" w:cs="Courier New" w:hint="default"/>
      </w:rPr>
    </w:lvl>
    <w:lvl w:ilvl="2" w:tplc="08090005" w:tentative="1">
      <w:start w:val="1"/>
      <w:numFmt w:val="bullet"/>
      <w:lvlText w:val=""/>
      <w:lvlJc w:val="left"/>
      <w:pPr>
        <w:ind w:left="2345" w:hanging="360"/>
      </w:pPr>
      <w:rPr>
        <w:rFonts w:ascii="Wingdings" w:hAnsi="Wingdings" w:hint="default"/>
      </w:rPr>
    </w:lvl>
    <w:lvl w:ilvl="3" w:tplc="08090001" w:tentative="1">
      <w:start w:val="1"/>
      <w:numFmt w:val="bullet"/>
      <w:lvlText w:val=""/>
      <w:lvlJc w:val="left"/>
      <w:pPr>
        <w:ind w:left="3065" w:hanging="360"/>
      </w:pPr>
      <w:rPr>
        <w:rFonts w:ascii="Symbol" w:hAnsi="Symbol" w:hint="default"/>
      </w:rPr>
    </w:lvl>
    <w:lvl w:ilvl="4" w:tplc="08090003" w:tentative="1">
      <w:start w:val="1"/>
      <w:numFmt w:val="bullet"/>
      <w:lvlText w:val="o"/>
      <w:lvlJc w:val="left"/>
      <w:pPr>
        <w:ind w:left="3785" w:hanging="360"/>
      </w:pPr>
      <w:rPr>
        <w:rFonts w:ascii="Courier New" w:hAnsi="Courier New" w:cs="Courier New" w:hint="default"/>
      </w:rPr>
    </w:lvl>
    <w:lvl w:ilvl="5" w:tplc="08090005" w:tentative="1">
      <w:start w:val="1"/>
      <w:numFmt w:val="bullet"/>
      <w:lvlText w:val=""/>
      <w:lvlJc w:val="left"/>
      <w:pPr>
        <w:ind w:left="4505" w:hanging="360"/>
      </w:pPr>
      <w:rPr>
        <w:rFonts w:ascii="Wingdings" w:hAnsi="Wingdings" w:hint="default"/>
      </w:rPr>
    </w:lvl>
    <w:lvl w:ilvl="6" w:tplc="08090001" w:tentative="1">
      <w:start w:val="1"/>
      <w:numFmt w:val="bullet"/>
      <w:lvlText w:val=""/>
      <w:lvlJc w:val="left"/>
      <w:pPr>
        <w:ind w:left="5225" w:hanging="360"/>
      </w:pPr>
      <w:rPr>
        <w:rFonts w:ascii="Symbol" w:hAnsi="Symbol" w:hint="default"/>
      </w:rPr>
    </w:lvl>
    <w:lvl w:ilvl="7" w:tplc="08090003" w:tentative="1">
      <w:start w:val="1"/>
      <w:numFmt w:val="bullet"/>
      <w:lvlText w:val="o"/>
      <w:lvlJc w:val="left"/>
      <w:pPr>
        <w:ind w:left="5945" w:hanging="360"/>
      </w:pPr>
      <w:rPr>
        <w:rFonts w:ascii="Courier New" w:hAnsi="Courier New" w:cs="Courier New" w:hint="default"/>
      </w:rPr>
    </w:lvl>
    <w:lvl w:ilvl="8" w:tplc="08090005" w:tentative="1">
      <w:start w:val="1"/>
      <w:numFmt w:val="bullet"/>
      <w:lvlText w:val=""/>
      <w:lvlJc w:val="left"/>
      <w:pPr>
        <w:ind w:left="6665" w:hanging="360"/>
      </w:pPr>
      <w:rPr>
        <w:rFonts w:ascii="Wingdings" w:hAnsi="Wingdings" w:hint="default"/>
      </w:rPr>
    </w:lvl>
  </w:abstractNum>
  <w:abstractNum w:abstractNumId="14" w15:restartNumberingAfterBreak="0">
    <w:nsid w:val="2C5D2EC9"/>
    <w:multiLevelType w:val="hybridMultilevel"/>
    <w:tmpl w:val="FDF4014C"/>
    <w:lvl w:ilvl="0" w:tplc="08090001">
      <w:start w:val="1"/>
      <w:numFmt w:val="bullet"/>
      <w:lvlText w:val=""/>
      <w:lvlJc w:val="left"/>
      <w:pPr>
        <w:ind w:left="1975" w:hanging="360"/>
      </w:pPr>
      <w:rPr>
        <w:rFonts w:ascii="Symbol" w:hAnsi="Symbol" w:hint="default"/>
      </w:rPr>
    </w:lvl>
    <w:lvl w:ilvl="1" w:tplc="08090003" w:tentative="1">
      <w:start w:val="1"/>
      <w:numFmt w:val="bullet"/>
      <w:lvlText w:val="o"/>
      <w:lvlJc w:val="left"/>
      <w:pPr>
        <w:ind w:left="2695" w:hanging="360"/>
      </w:pPr>
      <w:rPr>
        <w:rFonts w:ascii="Courier New" w:hAnsi="Courier New" w:cs="Courier New" w:hint="default"/>
      </w:rPr>
    </w:lvl>
    <w:lvl w:ilvl="2" w:tplc="08090005" w:tentative="1">
      <w:start w:val="1"/>
      <w:numFmt w:val="bullet"/>
      <w:lvlText w:val=""/>
      <w:lvlJc w:val="left"/>
      <w:pPr>
        <w:ind w:left="3415" w:hanging="360"/>
      </w:pPr>
      <w:rPr>
        <w:rFonts w:ascii="Wingdings" w:hAnsi="Wingdings" w:hint="default"/>
      </w:rPr>
    </w:lvl>
    <w:lvl w:ilvl="3" w:tplc="08090001" w:tentative="1">
      <w:start w:val="1"/>
      <w:numFmt w:val="bullet"/>
      <w:lvlText w:val=""/>
      <w:lvlJc w:val="left"/>
      <w:pPr>
        <w:ind w:left="4135" w:hanging="360"/>
      </w:pPr>
      <w:rPr>
        <w:rFonts w:ascii="Symbol" w:hAnsi="Symbol" w:hint="default"/>
      </w:rPr>
    </w:lvl>
    <w:lvl w:ilvl="4" w:tplc="08090003" w:tentative="1">
      <w:start w:val="1"/>
      <w:numFmt w:val="bullet"/>
      <w:lvlText w:val="o"/>
      <w:lvlJc w:val="left"/>
      <w:pPr>
        <w:ind w:left="4855" w:hanging="360"/>
      </w:pPr>
      <w:rPr>
        <w:rFonts w:ascii="Courier New" w:hAnsi="Courier New" w:cs="Courier New" w:hint="default"/>
      </w:rPr>
    </w:lvl>
    <w:lvl w:ilvl="5" w:tplc="08090005" w:tentative="1">
      <w:start w:val="1"/>
      <w:numFmt w:val="bullet"/>
      <w:lvlText w:val=""/>
      <w:lvlJc w:val="left"/>
      <w:pPr>
        <w:ind w:left="5575" w:hanging="360"/>
      </w:pPr>
      <w:rPr>
        <w:rFonts w:ascii="Wingdings" w:hAnsi="Wingdings" w:hint="default"/>
      </w:rPr>
    </w:lvl>
    <w:lvl w:ilvl="6" w:tplc="08090001" w:tentative="1">
      <w:start w:val="1"/>
      <w:numFmt w:val="bullet"/>
      <w:lvlText w:val=""/>
      <w:lvlJc w:val="left"/>
      <w:pPr>
        <w:ind w:left="6295" w:hanging="360"/>
      </w:pPr>
      <w:rPr>
        <w:rFonts w:ascii="Symbol" w:hAnsi="Symbol" w:hint="default"/>
      </w:rPr>
    </w:lvl>
    <w:lvl w:ilvl="7" w:tplc="08090003" w:tentative="1">
      <w:start w:val="1"/>
      <w:numFmt w:val="bullet"/>
      <w:lvlText w:val="o"/>
      <w:lvlJc w:val="left"/>
      <w:pPr>
        <w:ind w:left="7015" w:hanging="360"/>
      </w:pPr>
      <w:rPr>
        <w:rFonts w:ascii="Courier New" w:hAnsi="Courier New" w:cs="Courier New" w:hint="default"/>
      </w:rPr>
    </w:lvl>
    <w:lvl w:ilvl="8" w:tplc="08090005" w:tentative="1">
      <w:start w:val="1"/>
      <w:numFmt w:val="bullet"/>
      <w:lvlText w:val=""/>
      <w:lvlJc w:val="left"/>
      <w:pPr>
        <w:ind w:left="7735" w:hanging="360"/>
      </w:pPr>
      <w:rPr>
        <w:rFonts w:ascii="Wingdings" w:hAnsi="Wingdings" w:hint="default"/>
      </w:rPr>
    </w:lvl>
  </w:abstractNum>
  <w:abstractNum w:abstractNumId="15" w15:restartNumberingAfterBreak="0">
    <w:nsid w:val="31414A06"/>
    <w:multiLevelType w:val="hybridMultilevel"/>
    <w:tmpl w:val="224645C4"/>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16" w15:restartNumberingAfterBreak="0">
    <w:nsid w:val="32E40411"/>
    <w:multiLevelType w:val="hybridMultilevel"/>
    <w:tmpl w:val="BC268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460CC0"/>
    <w:multiLevelType w:val="hybridMultilevel"/>
    <w:tmpl w:val="A142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4C6C10"/>
    <w:multiLevelType w:val="hybridMultilevel"/>
    <w:tmpl w:val="BB9E31C4"/>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E00C6"/>
    <w:multiLevelType w:val="hybridMultilevel"/>
    <w:tmpl w:val="C4C2E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4F07CF"/>
    <w:multiLevelType w:val="hybridMultilevel"/>
    <w:tmpl w:val="E2C073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1800AA4"/>
    <w:multiLevelType w:val="hybridMultilevel"/>
    <w:tmpl w:val="D616C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E22230"/>
    <w:multiLevelType w:val="hybridMultilevel"/>
    <w:tmpl w:val="1612F146"/>
    <w:lvl w:ilvl="0" w:tplc="C238794A">
      <w:start w:val="1"/>
      <w:numFmt w:val="bullet"/>
      <w:lvlText w:val=""/>
      <w:lvlJc w:val="left"/>
      <w:pPr>
        <w:tabs>
          <w:tab w:val="num" w:pos="895"/>
        </w:tabs>
        <w:ind w:left="89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920104"/>
    <w:multiLevelType w:val="hybridMultilevel"/>
    <w:tmpl w:val="3188BB4A"/>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24" w15:restartNumberingAfterBreak="0">
    <w:nsid w:val="50C85B5D"/>
    <w:multiLevelType w:val="hybridMultilevel"/>
    <w:tmpl w:val="7E782D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567014"/>
    <w:multiLevelType w:val="hybridMultilevel"/>
    <w:tmpl w:val="EC008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D65C7"/>
    <w:multiLevelType w:val="hybridMultilevel"/>
    <w:tmpl w:val="BA54D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3D437A1"/>
    <w:multiLevelType w:val="multilevel"/>
    <w:tmpl w:val="CF1E5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EC3829"/>
    <w:multiLevelType w:val="hybridMultilevel"/>
    <w:tmpl w:val="8620E5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BF271B"/>
    <w:multiLevelType w:val="hybridMultilevel"/>
    <w:tmpl w:val="FE98C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D32688"/>
    <w:multiLevelType w:val="hybridMultilevel"/>
    <w:tmpl w:val="C0609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69754A"/>
    <w:multiLevelType w:val="hybridMultilevel"/>
    <w:tmpl w:val="E1680100"/>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6B28B2"/>
    <w:multiLevelType w:val="hybridMultilevel"/>
    <w:tmpl w:val="ACA6D2DE"/>
    <w:lvl w:ilvl="0" w:tplc="C238794A">
      <w:start w:val="1"/>
      <w:numFmt w:val="bullet"/>
      <w:lvlText w:val=""/>
      <w:lvlJc w:val="left"/>
      <w:pPr>
        <w:tabs>
          <w:tab w:val="num" w:pos="895"/>
        </w:tabs>
        <w:ind w:left="895"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E32B8E"/>
    <w:multiLevelType w:val="hybridMultilevel"/>
    <w:tmpl w:val="B74A1F4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D129D0"/>
    <w:multiLevelType w:val="hybridMultilevel"/>
    <w:tmpl w:val="EB56F85A"/>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EC4DE4"/>
    <w:multiLevelType w:val="hybridMultilevel"/>
    <w:tmpl w:val="CCD8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D368D6"/>
    <w:multiLevelType w:val="hybridMultilevel"/>
    <w:tmpl w:val="4CB8B6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7AED39EE"/>
    <w:multiLevelType w:val="hybridMultilevel"/>
    <w:tmpl w:val="3A64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9E27BB"/>
    <w:multiLevelType w:val="hybridMultilevel"/>
    <w:tmpl w:val="89CA8E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0F501E"/>
    <w:multiLevelType w:val="hybridMultilevel"/>
    <w:tmpl w:val="C9B0E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23"/>
  </w:num>
  <w:num w:numId="4">
    <w:abstractNumId w:val="15"/>
  </w:num>
  <w:num w:numId="5">
    <w:abstractNumId w:val="34"/>
  </w:num>
  <w:num w:numId="6">
    <w:abstractNumId w:val="31"/>
  </w:num>
  <w:num w:numId="7">
    <w:abstractNumId w:val="9"/>
  </w:num>
  <w:num w:numId="8">
    <w:abstractNumId w:val="4"/>
  </w:num>
  <w:num w:numId="9">
    <w:abstractNumId w:val="7"/>
  </w:num>
  <w:num w:numId="10">
    <w:abstractNumId w:val="32"/>
  </w:num>
  <w:num w:numId="11">
    <w:abstractNumId w:val="28"/>
  </w:num>
  <w:num w:numId="12">
    <w:abstractNumId w:val="13"/>
  </w:num>
  <w:num w:numId="13">
    <w:abstractNumId w:val="20"/>
  </w:num>
  <w:num w:numId="14">
    <w:abstractNumId w:val="2"/>
  </w:num>
  <w:num w:numId="15">
    <w:abstractNumId w:val="24"/>
  </w:num>
  <w:num w:numId="16">
    <w:abstractNumId w:val="5"/>
  </w:num>
  <w:num w:numId="17">
    <w:abstractNumId w:val="36"/>
  </w:num>
  <w:num w:numId="18">
    <w:abstractNumId w:val="14"/>
  </w:num>
  <w:num w:numId="19">
    <w:abstractNumId w:val="3"/>
  </w:num>
  <w:num w:numId="20">
    <w:abstractNumId w:val="26"/>
  </w:num>
  <w:num w:numId="21">
    <w:abstractNumId w:val="35"/>
  </w:num>
  <w:num w:numId="22">
    <w:abstractNumId w:val="10"/>
  </w:num>
  <w:num w:numId="23">
    <w:abstractNumId w:val="21"/>
  </w:num>
  <w:num w:numId="24">
    <w:abstractNumId w:val="18"/>
  </w:num>
  <w:num w:numId="25">
    <w:abstractNumId w:val="6"/>
  </w:num>
  <w:num w:numId="26">
    <w:abstractNumId w:val="0"/>
  </w:num>
  <w:num w:numId="27">
    <w:abstractNumId w:val="12"/>
  </w:num>
  <w:num w:numId="28">
    <w:abstractNumId w:val="11"/>
  </w:num>
  <w:num w:numId="29">
    <w:abstractNumId w:val="29"/>
  </w:num>
  <w:num w:numId="30">
    <w:abstractNumId w:val="25"/>
  </w:num>
  <w:num w:numId="31">
    <w:abstractNumId w:val="33"/>
  </w:num>
  <w:num w:numId="32">
    <w:abstractNumId w:val="8"/>
  </w:num>
  <w:num w:numId="33">
    <w:abstractNumId w:val="39"/>
  </w:num>
  <w:num w:numId="34">
    <w:abstractNumId w:val="19"/>
  </w:num>
  <w:num w:numId="35">
    <w:abstractNumId w:val="17"/>
  </w:num>
  <w:num w:numId="36">
    <w:abstractNumId w:val="16"/>
  </w:num>
  <w:num w:numId="37">
    <w:abstractNumId w:val="38"/>
  </w:num>
  <w:num w:numId="38">
    <w:abstractNumId w:val="27"/>
  </w:num>
  <w:num w:numId="39">
    <w:abstractNumId w:val="30"/>
  </w:num>
  <w:num w:numId="40">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6D"/>
    <w:rsid w:val="0001111D"/>
    <w:rsid w:val="00017CBF"/>
    <w:rsid w:val="0002148A"/>
    <w:rsid w:val="0003364E"/>
    <w:rsid w:val="00041563"/>
    <w:rsid w:val="000429A5"/>
    <w:rsid w:val="00042EF4"/>
    <w:rsid w:val="00045476"/>
    <w:rsid w:val="0005297E"/>
    <w:rsid w:val="000642FC"/>
    <w:rsid w:val="00065E52"/>
    <w:rsid w:val="00067B4C"/>
    <w:rsid w:val="00073666"/>
    <w:rsid w:val="00076F16"/>
    <w:rsid w:val="00077C32"/>
    <w:rsid w:val="00090DDB"/>
    <w:rsid w:val="00093582"/>
    <w:rsid w:val="000A414E"/>
    <w:rsid w:val="000A4DA5"/>
    <w:rsid w:val="000B65F6"/>
    <w:rsid w:val="000C1827"/>
    <w:rsid w:val="000C7CF4"/>
    <w:rsid w:val="000D7096"/>
    <w:rsid w:val="000E04E5"/>
    <w:rsid w:val="000F25C6"/>
    <w:rsid w:val="000F6C81"/>
    <w:rsid w:val="000F7B15"/>
    <w:rsid w:val="00100408"/>
    <w:rsid w:val="001068D5"/>
    <w:rsid w:val="00111044"/>
    <w:rsid w:val="001127EE"/>
    <w:rsid w:val="0011662F"/>
    <w:rsid w:val="00121126"/>
    <w:rsid w:val="00125CCC"/>
    <w:rsid w:val="00132689"/>
    <w:rsid w:val="001444A7"/>
    <w:rsid w:val="00154085"/>
    <w:rsid w:val="001560EF"/>
    <w:rsid w:val="001601B4"/>
    <w:rsid w:val="00172503"/>
    <w:rsid w:val="001731E0"/>
    <w:rsid w:val="00182EAE"/>
    <w:rsid w:val="00191996"/>
    <w:rsid w:val="001B04CE"/>
    <w:rsid w:val="001B16DC"/>
    <w:rsid w:val="001B19EB"/>
    <w:rsid w:val="001B41C4"/>
    <w:rsid w:val="001B5720"/>
    <w:rsid w:val="001C016E"/>
    <w:rsid w:val="001C3978"/>
    <w:rsid w:val="001D1CC3"/>
    <w:rsid w:val="001D1F95"/>
    <w:rsid w:val="001E070F"/>
    <w:rsid w:val="001E0744"/>
    <w:rsid w:val="001E7194"/>
    <w:rsid w:val="001E7DCB"/>
    <w:rsid w:val="001F5043"/>
    <w:rsid w:val="001F6876"/>
    <w:rsid w:val="001F7E63"/>
    <w:rsid w:val="00200F36"/>
    <w:rsid w:val="002020FC"/>
    <w:rsid w:val="00204DB2"/>
    <w:rsid w:val="002126E2"/>
    <w:rsid w:val="002129D9"/>
    <w:rsid w:val="002206DC"/>
    <w:rsid w:val="0023267D"/>
    <w:rsid w:val="00234F6D"/>
    <w:rsid w:val="00236B04"/>
    <w:rsid w:val="00236E57"/>
    <w:rsid w:val="002676B7"/>
    <w:rsid w:val="00281426"/>
    <w:rsid w:val="00281931"/>
    <w:rsid w:val="00281D3A"/>
    <w:rsid w:val="00293337"/>
    <w:rsid w:val="002A0F7F"/>
    <w:rsid w:val="002A2512"/>
    <w:rsid w:val="002B24CD"/>
    <w:rsid w:val="002D0BA5"/>
    <w:rsid w:val="002D1722"/>
    <w:rsid w:val="002D1E31"/>
    <w:rsid w:val="002D1F77"/>
    <w:rsid w:val="002D2D7D"/>
    <w:rsid w:val="002D6FB1"/>
    <w:rsid w:val="002E5A6A"/>
    <w:rsid w:val="003045D3"/>
    <w:rsid w:val="0031099A"/>
    <w:rsid w:val="00323822"/>
    <w:rsid w:val="00340F67"/>
    <w:rsid w:val="00342C06"/>
    <w:rsid w:val="003439E7"/>
    <w:rsid w:val="0034735E"/>
    <w:rsid w:val="00350036"/>
    <w:rsid w:val="00373AEE"/>
    <w:rsid w:val="003768F0"/>
    <w:rsid w:val="00376AA4"/>
    <w:rsid w:val="003802A1"/>
    <w:rsid w:val="00393305"/>
    <w:rsid w:val="003A37EA"/>
    <w:rsid w:val="003A4877"/>
    <w:rsid w:val="003A51EC"/>
    <w:rsid w:val="003B4870"/>
    <w:rsid w:val="003C12DB"/>
    <w:rsid w:val="003C7C88"/>
    <w:rsid w:val="003D3924"/>
    <w:rsid w:val="003D473C"/>
    <w:rsid w:val="003E422E"/>
    <w:rsid w:val="003E55B7"/>
    <w:rsid w:val="003E5CA2"/>
    <w:rsid w:val="003F1677"/>
    <w:rsid w:val="003F1F6E"/>
    <w:rsid w:val="003F65B6"/>
    <w:rsid w:val="00401DE9"/>
    <w:rsid w:val="004027F8"/>
    <w:rsid w:val="00403A6A"/>
    <w:rsid w:val="00406EC6"/>
    <w:rsid w:val="004140B8"/>
    <w:rsid w:val="00427FF2"/>
    <w:rsid w:val="004307C1"/>
    <w:rsid w:val="00430C7D"/>
    <w:rsid w:val="00441AFA"/>
    <w:rsid w:val="00443825"/>
    <w:rsid w:val="0044745A"/>
    <w:rsid w:val="00460924"/>
    <w:rsid w:val="00460E41"/>
    <w:rsid w:val="0046376B"/>
    <w:rsid w:val="0047056B"/>
    <w:rsid w:val="004723F1"/>
    <w:rsid w:val="004725ED"/>
    <w:rsid w:val="00472921"/>
    <w:rsid w:val="004755CF"/>
    <w:rsid w:val="00475FDA"/>
    <w:rsid w:val="00480F31"/>
    <w:rsid w:val="00481F48"/>
    <w:rsid w:val="004859A3"/>
    <w:rsid w:val="00485F3F"/>
    <w:rsid w:val="004869F2"/>
    <w:rsid w:val="00490766"/>
    <w:rsid w:val="004966C8"/>
    <w:rsid w:val="004A650C"/>
    <w:rsid w:val="004B3BCA"/>
    <w:rsid w:val="004C00D8"/>
    <w:rsid w:val="004C1A22"/>
    <w:rsid w:val="004C49D3"/>
    <w:rsid w:val="004C6F3C"/>
    <w:rsid w:val="004C72C0"/>
    <w:rsid w:val="004C7FC7"/>
    <w:rsid w:val="004D083E"/>
    <w:rsid w:val="004D676C"/>
    <w:rsid w:val="004E0491"/>
    <w:rsid w:val="004E7F9D"/>
    <w:rsid w:val="004F0916"/>
    <w:rsid w:val="004F0D9E"/>
    <w:rsid w:val="00511E18"/>
    <w:rsid w:val="00513686"/>
    <w:rsid w:val="00521345"/>
    <w:rsid w:val="005242EE"/>
    <w:rsid w:val="00524324"/>
    <w:rsid w:val="00532D37"/>
    <w:rsid w:val="00536760"/>
    <w:rsid w:val="005375F1"/>
    <w:rsid w:val="00544B8C"/>
    <w:rsid w:val="0054713A"/>
    <w:rsid w:val="005512D4"/>
    <w:rsid w:val="00552963"/>
    <w:rsid w:val="00552E09"/>
    <w:rsid w:val="005567CC"/>
    <w:rsid w:val="0056106E"/>
    <w:rsid w:val="00562A77"/>
    <w:rsid w:val="00562DA2"/>
    <w:rsid w:val="0056754C"/>
    <w:rsid w:val="00573120"/>
    <w:rsid w:val="00573C7E"/>
    <w:rsid w:val="00580154"/>
    <w:rsid w:val="00584DCF"/>
    <w:rsid w:val="005A6EAB"/>
    <w:rsid w:val="005A725E"/>
    <w:rsid w:val="005A7459"/>
    <w:rsid w:val="005A7CCC"/>
    <w:rsid w:val="005C2CA7"/>
    <w:rsid w:val="005D12F5"/>
    <w:rsid w:val="005D7193"/>
    <w:rsid w:val="005E530B"/>
    <w:rsid w:val="005F7C56"/>
    <w:rsid w:val="00611945"/>
    <w:rsid w:val="0063168A"/>
    <w:rsid w:val="006361A0"/>
    <w:rsid w:val="006452D8"/>
    <w:rsid w:val="00667A48"/>
    <w:rsid w:val="00675701"/>
    <w:rsid w:val="00680801"/>
    <w:rsid w:val="00683CEC"/>
    <w:rsid w:val="00691C0A"/>
    <w:rsid w:val="00693DFA"/>
    <w:rsid w:val="0069444B"/>
    <w:rsid w:val="006A0F7E"/>
    <w:rsid w:val="006B122B"/>
    <w:rsid w:val="006B13A3"/>
    <w:rsid w:val="006B56CA"/>
    <w:rsid w:val="006B6502"/>
    <w:rsid w:val="006C17C2"/>
    <w:rsid w:val="006D2171"/>
    <w:rsid w:val="006D21AC"/>
    <w:rsid w:val="006D77EB"/>
    <w:rsid w:val="006E37FA"/>
    <w:rsid w:val="006E688D"/>
    <w:rsid w:val="006F15A5"/>
    <w:rsid w:val="006F7B1D"/>
    <w:rsid w:val="00702F02"/>
    <w:rsid w:val="00711B42"/>
    <w:rsid w:val="00711B48"/>
    <w:rsid w:val="0071257C"/>
    <w:rsid w:val="00712F49"/>
    <w:rsid w:val="0071773D"/>
    <w:rsid w:val="00730202"/>
    <w:rsid w:val="00734DEC"/>
    <w:rsid w:val="00737A44"/>
    <w:rsid w:val="00740144"/>
    <w:rsid w:val="0074226F"/>
    <w:rsid w:val="00742A1E"/>
    <w:rsid w:val="00760261"/>
    <w:rsid w:val="00766019"/>
    <w:rsid w:val="0077172F"/>
    <w:rsid w:val="00776D5E"/>
    <w:rsid w:val="00791A6B"/>
    <w:rsid w:val="0079563D"/>
    <w:rsid w:val="007956C0"/>
    <w:rsid w:val="00796D2D"/>
    <w:rsid w:val="00797B69"/>
    <w:rsid w:val="007A18F2"/>
    <w:rsid w:val="007A44D5"/>
    <w:rsid w:val="007B547A"/>
    <w:rsid w:val="007C5037"/>
    <w:rsid w:val="007C7BFC"/>
    <w:rsid w:val="007D5EB8"/>
    <w:rsid w:val="007E59CA"/>
    <w:rsid w:val="007E648C"/>
    <w:rsid w:val="007F0980"/>
    <w:rsid w:val="007F0EA3"/>
    <w:rsid w:val="007F44C9"/>
    <w:rsid w:val="007F6F4E"/>
    <w:rsid w:val="007F7C65"/>
    <w:rsid w:val="007F7E3C"/>
    <w:rsid w:val="00814E86"/>
    <w:rsid w:val="00826F5E"/>
    <w:rsid w:val="00827134"/>
    <w:rsid w:val="00830AF2"/>
    <w:rsid w:val="00840A29"/>
    <w:rsid w:val="00841898"/>
    <w:rsid w:val="008532E7"/>
    <w:rsid w:val="00855611"/>
    <w:rsid w:val="008568A6"/>
    <w:rsid w:val="00861961"/>
    <w:rsid w:val="00863CF2"/>
    <w:rsid w:val="00864F75"/>
    <w:rsid w:val="00870833"/>
    <w:rsid w:val="008755A8"/>
    <w:rsid w:val="00895681"/>
    <w:rsid w:val="008A16C3"/>
    <w:rsid w:val="008A7EBE"/>
    <w:rsid w:val="008A7EFC"/>
    <w:rsid w:val="008B2B3B"/>
    <w:rsid w:val="008B3469"/>
    <w:rsid w:val="008D0806"/>
    <w:rsid w:val="008E3512"/>
    <w:rsid w:val="008E7438"/>
    <w:rsid w:val="008F0C9F"/>
    <w:rsid w:val="008F4CDC"/>
    <w:rsid w:val="008F4EFB"/>
    <w:rsid w:val="008F5369"/>
    <w:rsid w:val="008F7008"/>
    <w:rsid w:val="008F7B4D"/>
    <w:rsid w:val="00901ED0"/>
    <w:rsid w:val="00925E4D"/>
    <w:rsid w:val="009321FA"/>
    <w:rsid w:val="009348BE"/>
    <w:rsid w:val="0093643E"/>
    <w:rsid w:val="00950AEE"/>
    <w:rsid w:val="00950F3F"/>
    <w:rsid w:val="00951A86"/>
    <w:rsid w:val="00952974"/>
    <w:rsid w:val="009655F2"/>
    <w:rsid w:val="00966380"/>
    <w:rsid w:val="00970C8D"/>
    <w:rsid w:val="00970CAF"/>
    <w:rsid w:val="00970DDA"/>
    <w:rsid w:val="00973EB9"/>
    <w:rsid w:val="00983566"/>
    <w:rsid w:val="0098459E"/>
    <w:rsid w:val="00987A19"/>
    <w:rsid w:val="00997241"/>
    <w:rsid w:val="009A0ACD"/>
    <w:rsid w:val="009A18F1"/>
    <w:rsid w:val="009B5EE2"/>
    <w:rsid w:val="009C560F"/>
    <w:rsid w:val="009D6721"/>
    <w:rsid w:val="009F4727"/>
    <w:rsid w:val="009F6268"/>
    <w:rsid w:val="00A00E5A"/>
    <w:rsid w:val="00A0428D"/>
    <w:rsid w:val="00A10080"/>
    <w:rsid w:val="00A13F7C"/>
    <w:rsid w:val="00A15E42"/>
    <w:rsid w:val="00A217E2"/>
    <w:rsid w:val="00A261A2"/>
    <w:rsid w:val="00A272D5"/>
    <w:rsid w:val="00A27E45"/>
    <w:rsid w:val="00A31748"/>
    <w:rsid w:val="00A32132"/>
    <w:rsid w:val="00A40045"/>
    <w:rsid w:val="00A41AED"/>
    <w:rsid w:val="00A53D11"/>
    <w:rsid w:val="00A540B6"/>
    <w:rsid w:val="00A615BF"/>
    <w:rsid w:val="00A837E2"/>
    <w:rsid w:val="00A83EE9"/>
    <w:rsid w:val="00A85FB4"/>
    <w:rsid w:val="00A86F4D"/>
    <w:rsid w:val="00A966D1"/>
    <w:rsid w:val="00AA2AA0"/>
    <w:rsid w:val="00AA5A12"/>
    <w:rsid w:val="00AB2654"/>
    <w:rsid w:val="00AD0CDB"/>
    <w:rsid w:val="00AD1173"/>
    <w:rsid w:val="00AD2550"/>
    <w:rsid w:val="00AD27AA"/>
    <w:rsid w:val="00AD4062"/>
    <w:rsid w:val="00AE0D8A"/>
    <w:rsid w:val="00AF1D40"/>
    <w:rsid w:val="00AF5D66"/>
    <w:rsid w:val="00B04FD9"/>
    <w:rsid w:val="00B15108"/>
    <w:rsid w:val="00B15CE5"/>
    <w:rsid w:val="00B17F61"/>
    <w:rsid w:val="00B24D33"/>
    <w:rsid w:val="00B27BBD"/>
    <w:rsid w:val="00B30BBA"/>
    <w:rsid w:val="00B4169C"/>
    <w:rsid w:val="00B468ED"/>
    <w:rsid w:val="00B50C8F"/>
    <w:rsid w:val="00B52DB1"/>
    <w:rsid w:val="00B53987"/>
    <w:rsid w:val="00B673F2"/>
    <w:rsid w:val="00B678E1"/>
    <w:rsid w:val="00B678F7"/>
    <w:rsid w:val="00B678FD"/>
    <w:rsid w:val="00B70280"/>
    <w:rsid w:val="00B709EF"/>
    <w:rsid w:val="00B75230"/>
    <w:rsid w:val="00B90470"/>
    <w:rsid w:val="00BA1984"/>
    <w:rsid w:val="00BA53C2"/>
    <w:rsid w:val="00BB4C5C"/>
    <w:rsid w:val="00BC703E"/>
    <w:rsid w:val="00BD58D7"/>
    <w:rsid w:val="00BE008E"/>
    <w:rsid w:val="00BE7A56"/>
    <w:rsid w:val="00BF5563"/>
    <w:rsid w:val="00BF580A"/>
    <w:rsid w:val="00BF7306"/>
    <w:rsid w:val="00C00322"/>
    <w:rsid w:val="00C10ACE"/>
    <w:rsid w:val="00C119FE"/>
    <w:rsid w:val="00C231A3"/>
    <w:rsid w:val="00C24E81"/>
    <w:rsid w:val="00C40ED6"/>
    <w:rsid w:val="00C52462"/>
    <w:rsid w:val="00C53525"/>
    <w:rsid w:val="00C56D9D"/>
    <w:rsid w:val="00C5704F"/>
    <w:rsid w:val="00C61B86"/>
    <w:rsid w:val="00C702A6"/>
    <w:rsid w:val="00C7188C"/>
    <w:rsid w:val="00C779BB"/>
    <w:rsid w:val="00C83FDB"/>
    <w:rsid w:val="00C84257"/>
    <w:rsid w:val="00C871DE"/>
    <w:rsid w:val="00C9216D"/>
    <w:rsid w:val="00C93C01"/>
    <w:rsid w:val="00C95901"/>
    <w:rsid w:val="00C975D7"/>
    <w:rsid w:val="00CA7C26"/>
    <w:rsid w:val="00CB2B1E"/>
    <w:rsid w:val="00CD09A9"/>
    <w:rsid w:val="00CE060B"/>
    <w:rsid w:val="00CF2955"/>
    <w:rsid w:val="00CF7B21"/>
    <w:rsid w:val="00D014EE"/>
    <w:rsid w:val="00D027C8"/>
    <w:rsid w:val="00D051D4"/>
    <w:rsid w:val="00D10D33"/>
    <w:rsid w:val="00D118D4"/>
    <w:rsid w:val="00D3782B"/>
    <w:rsid w:val="00D46FBA"/>
    <w:rsid w:val="00D5595B"/>
    <w:rsid w:val="00D56745"/>
    <w:rsid w:val="00D60E98"/>
    <w:rsid w:val="00D63726"/>
    <w:rsid w:val="00D64E4C"/>
    <w:rsid w:val="00D706FE"/>
    <w:rsid w:val="00D72039"/>
    <w:rsid w:val="00D763BB"/>
    <w:rsid w:val="00D915A8"/>
    <w:rsid w:val="00D94355"/>
    <w:rsid w:val="00D95123"/>
    <w:rsid w:val="00DA2CD2"/>
    <w:rsid w:val="00DA66A1"/>
    <w:rsid w:val="00DA6A8F"/>
    <w:rsid w:val="00DB70BA"/>
    <w:rsid w:val="00DB7C49"/>
    <w:rsid w:val="00DC44FF"/>
    <w:rsid w:val="00DC7DDC"/>
    <w:rsid w:val="00DD1C3D"/>
    <w:rsid w:val="00DD2713"/>
    <w:rsid w:val="00DD31D1"/>
    <w:rsid w:val="00DD7B4D"/>
    <w:rsid w:val="00DE6852"/>
    <w:rsid w:val="00DF0702"/>
    <w:rsid w:val="00DF07C0"/>
    <w:rsid w:val="00DF6BEE"/>
    <w:rsid w:val="00E04213"/>
    <w:rsid w:val="00E23BCD"/>
    <w:rsid w:val="00E365A2"/>
    <w:rsid w:val="00E4026C"/>
    <w:rsid w:val="00E466D3"/>
    <w:rsid w:val="00E51ACD"/>
    <w:rsid w:val="00E531E4"/>
    <w:rsid w:val="00E60311"/>
    <w:rsid w:val="00E729A8"/>
    <w:rsid w:val="00E91A42"/>
    <w:rsid w:val="00E94BF8"/>
    <w:rsid w:val="00E94CA1"/>
    <w:rsid w:val="00EB3796"/>
    <w:rsid w:val="00EE2BC6"/>
    <w:rsid w:val="00F14F66"/>
    <w:rsid w:val="00F2333D"/>
    <w:rsid w:val="00F23EC3"/>
    <w:rsid w:val="00F330BB"/>
    <w:rsid w:val="00F36A48"/>
    <w:rsid w:val="00F468C1"/>
    <w:rsid w:val="00F50374"/>
    <w:rsid w:val="00F57720"/>
    <w:rsid w:val="00F73D07"/>
    <w:rsid w:val="00F75BE4"/>
    <w:rsid w:val="00F80AFA"/>
    <w:rsid w:val="00F83D7D"/>
    <w:rsid w:val="00F91FBF"/>
    <w:rsid w:val="00F9322F"/>
    <w:rsid w:val="00F965D0"/>
    <w:rsid w:val="00FA0A14"/>
    <w:rsid w:val="00FA6943"/>
    <w:rsid w:val="00FB306A"/>
    <w:rsid w:val="00FC36FE"/>
    <w:rsid w:val="00FC5FAF"/>
    <w:rsid w:val="00FC7B57"/>
    <w:rsid w:val="00FD0F4D"/>
    <w:rsid w:val="00FD1050"/>
    <w:rsid w:val="00FD1B55"/>
    <w:rsid w:val="00FD25EF"/>
    <w:rsid w:val="00FD2EDB"/>
    <w:rsid w:val="00FE1355"/>
    <w:rsid w:val="00FE712F"/>
    <w:rsid w:val="00FF0C3E"/>
    <w:rsid w:val="00FF5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E12EB8"/>
  <w14:defaultImageDpi w14:val="300"/>
  <w15:docId w15:val="{746F3DC6-45AB-4166-96CF-955629E2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7E2"/>
    <w:rPr>
      <w:rFonts w:ascii="Times New Roman" w:eastAsia="Times New Roman" w:hAnsi="Times New Roman" w:cs="Times New Roman"/>
      <w:lang w:val="en-GB"/>
    </w:rPr>
  </w:style>
  <w:style w:type="paragraph" w:styleId="Heading1">
    <w:name w:val="heading 1"/>
    <w:aliases w:val="Heading A"/>
    <w:basedOn w:val="Normal"/>
    <w:next w:val="Normal"/>
    <w:link w:val="Heading1Char"/>
    <w:uiPriority w:val="9"/>
    <w:qFormat/>
    <w:rsid w:val="00C83FDB"/>
    <w:pPr>
      <w:keepNext/>
      <w:keepLines/>
      <w:spacing w:before="480"/>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uiPriority w:val="9"/>
    <w:qFormat/>
    <w:rsid w:val="00C83FDB"/>
    <w:pPr>
      <w:keepNext/>
      <w:spacing w:before="240" w:line="300" w:lineRule="exact"/>
      <w:outlineLvl w:val="1"/>
    </w:pPr>
    <w:rPr>
      <w:rFonts w:ascii="Arial" w:eastAsia="MS Gothic" w:hAnsi="Arial"/>
      <w:bCs/>
      <w:iCs/>
      <w:color w:val="331188"/>
      <w:szCs w:val="28"/>
    </w:rPr>
  </w:style>
  <w:style w:type="paragraph" w:styleId="Heading3">
    <w:name w:val="heading 3"/>
    <w:aliases w:val="Heading C"/>
    <w:basedOn w:val="Normal"/>
    <w:next w:val="Normal"/>
    <w:link w:val="Heading3Char"/>
    <w:uiPriority w:val="9"/>
    <w:unhideWhenUsed/>
    <w:qFormat/>
    <w:rsid w:val="003E5CA2"/>
    <w:pPr>
      <w:keepNext/>
      <w:keepLines/>
      <w:spacing w:before="200" w:line="300" w:lineRule="exact"/>
      <w:outlineLvl w:val="2"/>
    </w:pPr>
    <w:rPr>
      <w:rFonts w:asciiTheme="majorHAnsi" w:eastAsiaTheme="majorEastAsia" w:hAnsiTheme="majorHAnsi" w:cstheme="majorBidi"/>
      <w:b/>
      <w:bCs/>
      <w:color w:val="332A86"/>
      <w:sz w:val="22"/>
    </w:rPr>
  </w:style>
  <w:style w:type="paragraph" w:styleId="Heading4">
    <w:name w:val="heading 4"/>
    <w:basedOn w:val="Normal"/>
    <w:next w:val="Normal"/>
    <w:link w:val="Heading4Char"/>
    <w:uiPriority w:val="9"/>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1080" w:hanging="1080"/>
      <w:outlineLvl w:val="3"/>
    </w:pPr>
    <w:rPr>
      <w:rFonts w:ascii="Times Roman" w:hAnsi="Times Roman"/>
      <w:spacing w:val="-3"/>
      <w:szCs w:val="20"/>
      <w:u w:val="single"/>
    </w:rPr>
  </w:style>
  <w:style w:type="paragraph" w:styleId="Heading5">
    <w:name w:val="heading 5"/>
    <w:basedOn w:val="Normal"/>
    <w:next w:val="Normal"/>
    <w:link w:val="Heading5Char"/>
    <w:uiPriority w:val="9"/>
    <w:qFormat/>
    <w:rsid w:val="00475FDA"/>
    <w:pPr>
      <w:keepNext/>
      <w:tabs>
        <w:tab w:val="center" w:pos="4692"/>
      </w:tabs>
      <w:suppressAutoHyphens/>
      <w:outlineLvl w:val="4"/>
    </w:pPr>
    <w:rPr>
      <w:rFonts w:ascii="Arial" w:hAnsi="Arial"/>
      <w:b/>
      <w:spacing w:val="-3"/>
      <w:sz w:val="28"/>
      <w:szCs w:val="20"/>
    </w:rPr>
  </w:style>
  <w:style w:type="paragraph" w:styleId="Heading6">
    <w:name w:val="heading 6"/>
    <w:basedOn w:val="Normal"/>
    <w:next w:val="Normal"/>
    <w:link w:val="Heading6Char"/>
    <w:uiPriority w:val="9"/>
    <w:qFormat/>
    <w:rsid w:val="00475FDA"/>
    <w:pPr>
      <w:keepNext/>
      <w:tabs>
        <w:tab w:val="center" w:pos="4692"/>
      </w:tabs>
      <w:suppressAutoHyphens/>
      <w:jc w:val="right"/>
      <w:outlineLvl w:val="5"/>
    </w:pPr>
    <w:rPr>
      <w:rFonts w:ascii="Arial" w:hAnsi="Arial"/>
      <w:b/>
      <w:spacing w:val="-3"/>
      <w:sz w:val="28"/>
      <w:szCs w:val="20"/>
    </w:rPr>
  </w:style>
  <w:style w:type="paragraph" w:styleId="Heading7">
    <w:name w:val="heading 7"/>
    <w:basedOn w:val="Normal"/>
    <w:next w:val="Normal"/>
    <w:link w:val="Heading7Char"/>
    <w:uiPriority w:val="9"/>
    <w:qFormat/>
    <w:rsid w:val="00475FDA"/>
    <w:pPr>
      <w:keepNext/>
      <w:shd w:val="pct10" w:color="000000" w:fill="FFFFFF"/>
      <w:outlineLvl w:val="6"/>
    </w:pPr>
    <w:rPr>
      <w:rFonts w:ascii="Times Roman" w:hAnsi="Times Roman"/>
      <w:b/>
      <w:szCs w:val="20"/>
    </w:rPr>
  </w:style>
  <w:style w:type="paragraph" w:styleId="Heading8">
    <w:name w:val="heading 8"/>
    <w:basedOn w:val="Normal"/>
    <w:next w:val="Normal"/>
    <w:link w:val="Heading8Char"/>
    <w:uiPriority w:val="9"/>
    <w:qFormat/>
    <w:rsid w:val="00475FDA"/>
    <w:pPr>
      <w:keepNext/>
      <w:tabs>
        <w:tab w:val="center" w:pos="4693"/>
      </w:tabs>
      <w:suppressAutoHyphens/>
      <w:jc w:val="center"/>
      <w:outlineLvl w:val="7"/>
    </w:pPr>
    <w:rPr>
      <w:b/>
      <w:sz w:val="40"/>
      <w:szCs w:val="20"/>
    </w:rPr>
  </w:style>
  <w:style w:type="paragraph" w:styleId="Heading9">
    <w:name w:val="heading 9"/>
    <w:basedOn w:val="Normal"/>
    <w:next w:val="Normal"/>
    <w:link w:val="Heading9Char"/>
    <w:uiPriority w:val="9"/>
    <w:unhideWhenUsed/>
    <w:qFormat/>
    <w:rsid w:val="00475FDA"/>
    <w:pPr>
      <w:keepNext/>
      <w:keepLines/>
      <w:spacing w:before="200" w:line="300" w:lineRule="exac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uiPriority w:val="9"/>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uiPriority w:val="9"/>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uiPriority w:val="9"/>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uiPriority w:val="9"/>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uiPriority w:val="9"/>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uiPriority w:val="9"/>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iPriority w:val="99"/>
    <w:unhideWhenUsed/>
    <w:rsid w:val="00234F6D"/>
    <w:pPr>
      <w:tabs>
        <w:tab w:val="center" w:pos="4320"/>
        <w:tab w:val="right" w:pos="8640"/>
      </w:tabs>
      <w:spacing w:after="120" w:line="300" w:lineRule="exact"/>
    </w:pPr>
    <w:rPr>
      <w:rFonts w:asciiTheme="minorHAnsi" w:eastAsiaTheme="minorEastAsia" w:hAnsiTheme="minorHAnsi" w:cstheme="minorBidi"/>
      <w:sz w:val="22"/>
    </w:r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iPriority w:val="99"/>
    <w:unhideWhenUsed/>
    <w:rsid w:val="00234F6D"/>
    <w:pPr>
      <w:tabs>
        <w:tab w:val="center" w:pos="4320"/>
        <w:tab w:val="right" w:pos="8640"/>
      </w:tabs>
      <w:spacing w:after="120" w:line="300" w:lineRule="exact"/>
    </w:pPr>
    <w:rPr>
      <w:rFonts w:asciiTheme="minorHAnsi" w:eastAsiaTheme="minorEastAsia" w:hAnsiTheme="minorHAnsi" w:cstheme="minorBidi"/>
      <w:sz w:val="22"/>
    </w:r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uiPriority w:val="99"/>
    <w:semiHidden/>
    <w:unhideWhenUsed/>
    <w:rsid w:val="00234F6D"/>
    <w:pPr>
      <w:spacing w:after="120" w:line="300" w:lineRule="exact"/>
    </w:pPr>
    <w:rPr>
      <w:rFonts w:ascii="Lucida Grande" w:eastAsiaTheme="minorEastAsia" w:hAnsi="Lucida Grande" w:cstheme="minorBidi"/>
      <w:sz w:val="18"/>
      <w:szCs w:val="18"/>
    </w:rPr>
  </w:style>
  <w:style w:type="character" w:customStyle="1" w:styleId="BalloonTextChar">
    <w:name w:val="Balloon Text Char"/>
    <w:basedOn w:val="DefaultParagraphFont"/>
    <w:link w:val="BalloonText"/>
    <w:uiPriority w:val="99"/>
    <w:rsid w:val="00234F6D"/>
    <w:rPr>
      <w:rFonts w:ascii="Lucida Grande" w:hAnsi="Lucida Grande"/>
      <w:sz w:val="18"/>
      <w:szCs w:val="18"/>
      <w:lang w:val="en-GB"/>
    </w:rPr>
  </w:style>
  <w:style w:type="paragraph" w:customStyle="1" w:styleId="ContactAddress">
    <w:name w:val="ContactAddress"/>
    <w:basedOn w:val="Normal"/>
    <w:qFormat/>
    <w:rsid w:val="0044745A"/>
    <w:pPr>
      <w:spacing w:line="240" w:lineRule="exact"/>
      <w:jc w:val="right"/>
    </w:pPr>
    <w:rPr>
      <w:rFonts w:asciiTheme="minorHAnsi" w:eastAsiaTheme="minorEastAsia" w:hAnsiTheme="minorHAnsi" w:cstheme="minorBidi"/>
      <w:sz w:val="22"/>
      <w:szCs w:val="18"/>
    </w:rPr>
  </w:style>
  <w:style w:type="character" w:styleId="Hyperlink">
    <w:name w:val="Hyperlink"/>
    <w:basedOn w:val="DefaultParagraphFont"/>
    <w:uiPriority w:val="99"/>
    <w:unhideWhenUsed/>
    <w:rsid w:val="002126E2"/>
    <w:rPr>
      <w:color w:val="0000FF" w:themeColor="hyperlink"/>
      <w:u w:val="single"/>
    </w:rPr>
  </w:style>
  <w:style w:type="table" w:styleId="TableGrid">
    <w:name w:val="Table Grid"/>
    <w:basedOn w:val="TableNormal"/>
    <w:uiPriority w:val="39"/>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after="120" w:line="300" w:lineRule="exact"/>
    </w:pPr>
    <w:rPr>
      <w:rFonts w:asciiTheme="minorHAnsi" w:eastAsiaTheme="minorEastAsia" w:hAnsiTheme="minorHAnsi" w:cstheme="minorBidi"/>
      <w:b/>
      <w:sz w:val="22"/>
    </w:rPr>
  </w:style>
  <w:style w:type="paragraph" w:styleId="Signature">
    <w:name w:val="Signature"/>
    <w:basedOn w:val="Normal"/>
    <w:link w:val="SignatureChar"/>
    <w:uiPriority w:val="99"/>
    <w:unhideWhenUsed/>
    <w:rsid w:val="00CE060B"/>
    <w:pPr>
      <w:spacing w:after="120" w:line="300" w:lineRule="exact"/>
    </w:pPr>
    <w:rPr>
      <w:rFonts w:asciiTheme="minorHAnsi" w:eastAsiaTheme="minorEastAsia" w:hAnsiTheme="minorHAnsi" w:cstheme="minorBidi"/>
      <w:sz w:val="22"/>
    </w:rPr>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after="120" w:line="300" w:lineRule="exact"/>
    </w:pPr>
    <w:rPr>
      <w:rFonts w:asciiTheme="minorHAnsi" w:eastAsiaTheme="minorEastAsia" w:hAnsiTheme="minorHAnsi" w:cstheme="minorBidi"/>
      <w:sz w:val="22"/>
    </w:r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after="120" w:line="300" w:lineRule="exact"/>
    </w:pPr>
    <w:rPr>
      <w:rFonts w:asciiTheme="minorHAnsi" w:eastAsiaTheme="minorEastAsia" w:hAnsiTheme="minorHAnsi" w:cstheme="minorBidi"/>
      <w:sz w:val="22"/>
    </w:r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uiPriority w:val="34"/>
    <w:qFormat/>
    <w:rsid w:val="000F25C6"/>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uiPriority w:val="99"/>
    <w:semiHidden/>
    <w:unhideWhenUsed/>
    <w:rsid w:val="000F25C6"/>
    <w:rPr>
      <w:sz w:val="16"/>
      <w:szCs w:val="16"/>
    </w:rPr>
  </w:style>
  <w:style w:type="paragraph" w:styleId="CommentText">
    <w:name w:val="annotation text"/>
    <w:basedOn w:val="Normal"/>
    <w:link w:val="CommentTextChar"/>
    <w:uiPriority w:val="99"/>
    <w:semiHidden/>
    <w:unhideWhenUsed/>
    <w:rsid w:val="000F25C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F25C6"/>
    <w:rPr>
      <w:rFonts w:eastAsiaTheme="minorHAnsi"/>
      <w:sz w:val="20"/>
      <w:szCs w:val="20"/>
      <w:lang w:val="en-GB"/>
    </w:rPr>
  </w:style>
  <w:style w:type="paragraph" w:styleId="EndnoteText">
    <w:name w:val="endnote text"/>
    <w:basedOn w:val="Normal"/>
    <w:link w:val="EndnoteTextChar"/>
    <w:semiHidden/>
    <w:rsid w:val="00475FDA"/>
    <w:rPr>
      <w:rFonts w:ascii="Times Roman" w:hAnsi="Times Roman"/>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rPr>
      <w:rFonts w:ascii="Times Roman" w:hAnsi="Times Roman"/>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uiPriority w:val="39"/>
    <w:rsid w:val="00475FDA"/>
    <w:pPr>
      <w:tabs>
        <w:tab w:val="right" w:leader="dot" w:pos="9360"/>
      </w:tabs>
      <w:suppressAutoHyphens/>
      <w:spacing w:before="480"/>
      <w:ind w:left="720" w:right="720" w:hanging="720"/>
    </w:pPr>
    <w:rPr>
      <w:rFonts w:ascii="Times Roman" w:hAnsi="Times Roman"/>
      <w:szCs w:val="20"/>
      <w:lang w:val="en-US"/>
    </w:rPr>
  </w:style>
  <w:style w:type="paragraph" w:styleId="Index1">
    <w:name w:val="index 1"/>
    <w:basedOn w:val="Normal"/>
    <w:next w:val="Normal"/>
    <w:autoRedefine/>
    <w:semiHidden/>
    <w:rsid w:val="00475FDA"/>
    <w:pPr>
      <w:tabs>
        <w:tab w:val="right" w:leader="dot" w:pos="9360"/>
      </w:tabs>
      <w:suppressAutoHyphens/>
      <w:ind w:left="720" w:hanging="720"/>
    </w:pPr>
    <w:rPr>
      <w:rFonts w:ascii="Times Roman" w:hAnsi="Times Roman"/>
      <w:szCs w:val="20"/>
      <w:lang w:val="en-US"/>
    </w:rPr>
  </w:style>
  <w:style w:type="paragraph" w:styleId="Caption">
    <w:name w:val="caption"/>
    <w:basedOn w:val="Normal"/>
    <w:next w:val="Normal"/>
    <w:qFormat/>
    <w:rsid w:val="00475FDA"/>
    <w:rPr>
      <w:rFonts w:ascii="Times Roman" w:hAnsi="Times Roman"/>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pPr>
    <w:rPr>
      <w:rFonts w:ascii="Times Roman" w:hAnsi="Times Roman"/>
      <w:i/>
      <w:spacing w:val="-3"/>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jc w:val="both"/>
    </w:pPr>
    <w:rPr>
      <w:rFonts w:ascii="Times Roman" w:hAnsi="Times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pPr>
    <w:rPr>
      <w:color w:val="FF0000"/>
      <w:spacing w:val="-3"/>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108"/>
    </w:pPr>
    <w:rPr>
      <w:spacing w:val="-3"/>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90"/>
    </w:pPr>
    <w:rPr>
      <w:spacing w:val="-3"/>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after="120" w:line="480" w:lineRule="auto"/>
      <w:ind w:left="283"/>
    </w:pPr>
    <w:rPr>
      <w:rFonts w:ascii="Times Roman" w:hAnsi="Times Roman"/>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uiPriority w:val="99"/>
    <w:rsid w:val="00475FDA"/>
    <w:rPr>
      <w:color w:val="800080"/>
      <w:u w:val="single"/>
    </w:rPr>
  </w:style>
  <w:style w:type="paragraph" w:styleId="NormalWeb">
    <w:name w:val="Normal (Web)"/>
    <w:basedOn w:val="Normal"/>
    <w:uiPriority w:val="99"/>
    <w:rsid w:val="00475FDA"/>
    <w:rPr>
      <w:rFonts w:ascii="Arial Unicode MS" w:eastAsia="Arial Unicode MS" w:hAnsi="Arial Unicode MS" w:cs="Arial Unicode MS"/>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pPr>
    <w:rPr>
      <w:rFonts w:ascii="Arial Unicode MS" w:eastAsia="Arial Unicode MS" w:hAnsi="Arial Unicode MS" w:cs="Arial Unicode MS"/>
    </w:rPr>
  </w:style>
  <w:style w:type="character" w:styleId="Emphasis">
    <w:name w:val="Emphasis"/>
    <w:uiPriority w:val="20"/>
    <w:qFormat/>
    <w:rsid w:val="00475FDA"/>
    <w:rPr>
      <w:i/>
      <w:iCs/>
    </w:rPr>
  </w:style>
  <w:style w:type="paragraph" w:customStyle="1" w:styleId="top">
    <w:name w:val="top"/>
    <w:basedOn w:val="Normal"/>
    <w:rsid w:val="00475FDA"/>
    <w:pPr>
      <w:spacing w:before="60" w:after="240"/>
      <w:jc w:val="right"/>
    </w:pPr>
    <w:rPr>
      <w:rFonts w:ascii="Arial Unicode MS" w:eastAsia="Arial Unicode MS" w:hAnsi="Arial Unicode MS" w:cs="Arial Unicode MS"/>
      <w:b/>
      <w:bCs/>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b/>
      <w:bCs/>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textAlignment w:val="top"/>
    </w:pPr>
    <w:rPr>
      <w:rFonts w:ascii="Arial" w:eastAsia="Arial Unicode MS" w:hAnsi="Arial" w:cs="Arial"/>
      <w:b/>
      <w:bCs/>
    </w:rPr>
  </w:style>
  <w:style w:type="paragraph" w:customStyle="1" w:styleId="xl27">
    <w:name w:val="xl27"/>
    <w:basedOn w:val="Normal"/>
    <w:rsid w:val="00475FDA"/>
    <w:pPr>
      <w:spacing w:before="100" w:beforeAutospacing="1" w:after="100" w:afterAutospacing="1"/>
      <w:textAlignment w:val="top"/>
    </w:pPr>
    <w:rPr>
      <w:rFonts w:ascii="Arial Unicode MS" w:eastAsia="Arial Unicode MS" w:hAnsi="Arial Unicode MS" w:cs="Arial Unicode MS"/>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textAlignment w:val="top"/>
    </w:pPr>
    <w:rPr>
      <w:rFonts w:ascii="Arial" w:eastAsia="Arial Unicode MS" w:hAnsi="Arial" w:cs="Arial"/>
      <w:b/>
      <w:bCs/>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textAlignment w:val="top"/>
    </w:pPr>
    <w:rPr>
      <w:rFonts w:ascii="Arial" w:eastAsia="Arial Unicode MS" w:hAnsi="Arial" w:cs="Arial"/>
      <w:b/>
      <w:bCs/>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textAlignment w:val="top"/>
    </w:pPr>
    <w:rPr>
      <w:rFonts w:ascii="Arial" w:eastAsia="Arial Unicode MS" w:hAnsi="Arial" w:cs="Arial"/>
      <w:b/>
      <w:bCs/>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italic10">
    <w:name w:val="italic+10"/>
    <w:basedOn w:val="Normal"/>
    <w:rsid w:val="00475FDA"/>
    <w:pPr>
      <w:spacing w:before="200"/>
    </w:pPr>
    <w:rPr>
      <w:rFonts w:ascii="Arial" w:hAnsi="Arial"/>
      <w:i/>
      <w:sz w:val="20"/>
      <w:szCs w:val="20"/>
    </w:rPr>
  </w:style>
  <w:style w:type="paragraph" w:customStyle="1" w:styleId="normal10">
    <w:name w:val="normal+10"/>
    <w:basedOn w:val="Normal"/>
    <w:rsid w:val="00475FDA"/>
    <w:pPr>
      <w:spacing w:before="200"/>
    </w:pPr>
    <w:rPr>
      <w:rFonts w:ascii="Arial" w:hAnsi="Arial"/>
      <w:sz w:val="20"/>
      <w:szCs w:val="20"/>
    </w:rPr>
  </w:style>
  <w:style w:type="paragraph" w:customStyle="1" w:styleId="indent">
    <w:name w:val="indent"/>
    <w:basedOn w:val="Normal"/>
    <w:rsid w:val="00475FDA"/>
    <w:pPr>
      <w:ind w:left="851"/>
    </w:pPr>
    <w:rPr>
      <w:rFonts w:ascii="Arial" w:hAnsi="Arial"/>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ind w:left="425" w:hanging="425"/>
    </w:pPr>
    <w:rPr>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jc w:val="both"/>
    </w:pPr>
    <w:rPr>
      <w:rFonts w:eastAsia="MS Mincho"/>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uiPriority w:val="99"/>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uiPriority w:val="99"/>
    <w:semiHidden/>
    <w:rsid w:val="00475FDA"/>
    <w:pPr>
      <w:spacing w:after="0"/>
    </w:pPr>
    <w:rPr>
      <w:rFonts w:ascii="Times Roman" w:eastAsia="Times New Roman" w:hAnsi="Times Roman" w:cs="Times New Roman"/>
      <w:b/>
      <w:bCs/>
    </w:rPr>
  </w:style>
  <w:style w:type="paragraph" w:styleId="NoSpacing">
    <w:name w:val="No Spacing"/>
    <w:link w:val="NoSpacingChar"/>
    <w:uiPriority w:val="1"/>
    <w:qFormat/>
    <w:rsid w:val="00475FDA"/>
    <w:rPr>
      <w:rFonts w:ascii="Calibri" w:eastAsia="Times New Roman" w:hAnsi="Calibri" w:cs="Calibri"/>
      <w:sz w:val="22"/>
      <w:szCs w:val="22"/>
      <w:lang w:val="en-GB"/>
    </w:rPr>
  </w:style>
  <w:style w:type="character" w:customStyle="1" w:styleId="NoSpacingChar">
    <w:name w:val="No Spacing Char"/>
    <w:link w:val="NoSpacing"/>
    <w:uiPriority w:val="99"/>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paragraph" w:styleId="Revision">
    <w:name w:val="Revision"/>
    <w:hidden/>
    <w:uiPriority w:val="99"/>
    <w:semiHidden/>
    <w:rsid w:val="00BB4C5C"/>
    <w:rPr>
      <w:sz w:val="22"/>
      <w:lang w:val="en-GB"/>
    </w:rPr>
  </w:style>
  <w:style w:type="paragraph" w:styleId="PlainText">
    <w:name w:val="Plain Text"/>
    <w:basedOn w:val="Normal"/>
    <w:link w:val="PlainTextChar"/>
    <w:uiPriority w:val="99"/>
    <w:unhideWhenUsed/>
    <w:rsid w:val="00FC7B57"/>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FC7B57"/>
    <w:rPr>
      <w:rFonts w:ascii="Calibri" w:eastAsiaTheme="minorHAnsi" w:hAnsi="Calibri"/>
      <w:sz w:val="22"/>
      <w:szCs w:val="21"/>
    </w:rPr>
  </w:style>
  <w:style w:type="character" w:customStyle="1" w:styleId="apple-converted-space">
    <w:name w:val="apple-converted-space"/>
    <w:basedOn w:val="DefaultParagraphFont"/>
    <w:rsid w:val="000F6C81"/>
  </w:style>
  <w:style w:type="paragraph" w:styleId="Title">
    <w:name w:val="Title"/>
    <w:basedOn w:val="Normal"/>
    <w:next w:val="Normal"/>
    <w:link w:val="TitleChar"/>
    <w:uiPriority w:val="10"/>
    <w:qFormat/>
    <w:rsid w:val="00065E52"/>
    <w:pPr>
      <w:pBdr>
        <w:bottom w:val="single" w:sz="4" w:space="1" w:color="auto"/>
      </w:pBdr>
      <w:contextualSpacing/>
    </w:pPr>
    <w:rPr>
      <w:rFonts w:eastAsiaTheme="majorEastAsia" w:cstheme="majorBidi"/>
      <w:spacing w:val="5"/>
      <w:szCs w:val="52"/>
    </w:rPr>
  </w:style>
  <w:style w:type="character" w:customStyle="1" w:styleId="TitleChar">
    <w:name w:val="Title Char"/>
    <w:basedOn w:val="DefaultParagraphFont"/>
    <w:link w:val="Title"/>
    <w:uiPriority w:val="10"/>
    <w:rsid w:val="00065E52"/>
    <w:rPr>
      <w:rFonts w:ascii="Times New Roman" w:eastAsiaTheme="majorEastAsia" w:hAnsi="Times New Roman" w:cstheme="majorBidi"/>
      <w:spacing w:val="5"/>
      <w:szCs w:val="52"/>
      <w:lang w:val="en-GB"/>
    </w:rPr>
  </w:style>
  <w:style w:type="paragraph" w:styleId="Subtitle">
    <w:name w:val="Subtitle"/>
    <w:basedOn w:val="Normal"/>
    <w:next w:val="Normal"/>
    <w:link w:val="SubtitleChar"/>
    <w:uiPriority w:val="11"/>
    <w:qFormat/>
    <w:rsid w:val="00065E52"/>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065E52"/>
    <w:rPr>
      <w:rFonts w:asciiTheme="majorHAnsi" w:eastAsiaTheme="majorEastAsia" w:hAnsiTheme="majorHAnsi" w:cstheme="majorBidi"/>
      <w:i/>
      <w:iCs/>
      <w:spacing w:val="13"/>
      <w:lang w:val="en-GB"/>
    </w:rPr>
  </w:style>
  <w:style w:type="paragraph" w:styleId="Quote">
    <w:name w:val="Quote"/>
    <w:basedOn w:val="Normal"/>
    <w:next w:val="Normal"/>
    <w:link w:val="QuoteChar"/>
    <w:uiPriority w:val="29"/>
    <w:qFormat/>
    <w:rsid w:val="00065E52"/>
    <w:pPr>
      <w:spacing w:before="200"/>
      <w:ind w:left="360" w:right="360"/>
    </w:pPr>
    <w:rPr>
      <w:i/>
      <w:iCs/>
    </w:rPr>
  </w:style>
  <w:style w:type="character" w:customStyle="1" w:styleId="QuoteChar">
    <w:name w:val="Quote Char"/>
    <w:basedOn w:val="DefaultParagraphFont"/>
    <w:link w:val="Quote"/>
    <w:uiPriority w:val="29"/>
    <w:rsid w:val="00065E52"/>
    <w:rPr>
      <w:rFonts w:ascii="Times New Roman" w:eastAsia="Times New Roman" w:hAnsi="Times New Roman" w:cs="Times New Roman"/>
      <w:i/>
      <w:iCs/>
      <w:lang w:val="en-GB"/>
    </w:rPr>
  </w:style>
  <w:style w:type="paragraph" w:styleId="IntenseQuote">
    <w:name w:val="Intense Quote"/>
    <w:basedOn w:val="Normal"/>
    <w:next w:val="Normal"/>
    <w:link w:val="IntenseQuoteChar"/>
    <w:uiPriority w:val="30"/>
    <w:qFormat/>
    <w:rsid w:val="00065E5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65E52"/>
    <w:rPr>
      <w:rFonts w:ascii="Times New Roman" w:eastAsia="Times New Roman" w:hAnsi="Times New Roman" w:cs="Times New Roman"/>
      <w:b/>
      <w:bCs/>
      <w:i/>
      <w:iCs/>
      <w:lang w:val="en-GB"/>
    </w:rPr>
  </w:style>
  <w:style w:type="character" w:styleId="SubtleEmphasis">
    <w:name w:val="Subtle Emphasis"/>
    <w:uiPriority w:val="19"/>
    <w:qFormat/>
    <w:rsid w:val="00065E52"/>
    <w:rPr>
      <w:i/>
      <w:iCs/>
    </w:rPr>
  </w:style>
  <w:style w:type="character" w:styleId="IntenseEmphasis">
    <w:name w:val="Intense Emphasis"/>
    <w:uiPriority w:val="21"/>
    <w:qFormat/>
    <w:rsid w:val="00065E52"/>
    <w:rPr>
      <w:b/>
      <w:bCs/>
    </w:rPr>
  </w:style>
  <w:style w:type="character" w:styleId="SubtleReference">
    <w:name w:val="Subtle Reference"/>
    <w:uiPriority w:val="31"/>
    <w:qFormat/>
    <w:rsid w:val="00065E52"/>
    <w:rPr>
      <w:smallCaps/>
    </w:rPr>
  </w:style>
  <w:style w:type="character" w:styleId="IntenseReference">
    <w:name w:val="Intense Reference"/>
    <w:uiPriority w:val="32"/>
    <w:qFormat/>
    <w:rsid w:val="00065E52"/>
    <w:rPr>
      <w:smallCaps/>
      <w:spacing w:val="5"/>
      <w:u w:val="single"/>
    </w:rPr>
  </w:style>
  <w:style w:type="character" w:styleId="BookTitle">
    <w:name w:val="Book Title"/>
    <w:uiPriority w:val="33"/>
    <w:qFormat/>
    <w:rsid w:val="00065E52"/>
    <w:rPr>
      <w:i/>
      <w:iCs/>
      <w:smallCaps/>
      <w:spacing w:val="5"/>
    </w:rPr>
  </w:style>
  <w:style w:type="paragraph" w:styleId="TOCHeading">
    <w:name w:val="TOC Heading"/>
    <w:basedOn w:val="Heading1"/>
    <w:next w:val="Normal"/>
    <w:uiPriority w:val="39"/>
    <w:unhideWhenUsed/>
    <w:qFormat/>
    <w:rsid w:val="00065E52"/>
    <w:pPr>
      <w:keepNext w:val="0"/>
      <w:keepLines w:val="0"/>
      <w:contextualSpacing/>
      <w:outlineLvl w:val="9"/>
    </w:pPr>
    <w:rPr>
      <w:rFonts w:ascii="Times New Roman" w:hAnsi="Times New Roman"/>
      <w:color w:val="auto"/>
      <w:sz w:val="24"/>
      <w:szCs w:val="28"/>
    </w:rPr>
  </w:style>
  <w:style w:type="paragraph" w:styleId="TOC2">
    <w:name w:val="toc 2"/>
    <w:basedOn w:val="Normal"/>
    <w:next w:val="Normal"/>
    <w:autoRedefine/>
    <w:uiPriority w:val="39"/>
    <w:unhideWhenUsed/>
    <w:rsid w:val="00065E52"/>
    <w:pPr>
      <w:tabs>
        <w:tab w:val="left" w:pos="1100"/>
        <w:tab w:val="right" w:leader="dot" w:pos="9402"/>
      </w:tabs>
      <w:spacing w:after="100"/>
      <w:ind w:left="220"/>
    </w:pPr>
  </w:style>
  <w:style w:type="paragraph" w:styleId="NormalIndent">
    <w:name w:val="Normal Indent"/>
    <w:basedOn w:val="Normal"/>
    <w:rsid w:val="00065E52"/>
    <w:pPr>
      <w:spacing w:line="360" w:lineRule="auto"/>
      <w:ind w:left="567"/>
      <w:jc w:val="both"/>
    </w:pPr>
    <w:rPr>
      <w:rFonts w:ascii="Arial" w:hAnsi="Arial"/>
    </w:rPr>
  </w:style>
  <w:style w:type="character" w:customStyle="1" w:styleId="glossary-term">
    <w:name w:val="glossary-term"/>
    <w:basedOn w:val="DefaultParagraphFont"/>
    <w:rsid w:val="00065E52"/>
  </w:style>
  <w:style w:type="paragraph" w:styleId="TOC3">
    <w:name w:val="toc 3"/>
    <w:basedOn w:val="Normal"/>
    <w:next w:val="Normal"/>
    <w:autoRedefine/>
    <w:uiPriority w:val="39"/>
    <w:unhideWhenUsed/>
    <w:rsid w:val="00065E52"/>
    <w:pPr>
      <w:spacing w:after="100"/>
      <w:ind w:left="440"/>
    </w:pPr>
  </w:style>
  <w:style w:type="character" w:customStyle="1" w:styleId="UnresolvedMention1">
    <w:name w:val="Unresolved Mention1"/>
    <w:basedOn w:val="DefaultParagraphFont"/>
    <w:uiPriority w:val="99"/>
    <w:semiHidden/>
    <w:unhideWhenUsed/>
    <w:rsid w:val="00065E52"/>
    <w:rPr>
      <w:color w:val="605E5C"/>
      <w:shd w:val="clear" w:color="auto" w:fill="E1DFDD"/>
    </w:rPr>
  </w:style>
  <w:style w:type="character" w:customStyle="1" w:styleId="UnresolvedMention2">
    <w:name w:val="Unresolved Mention2"/>
    <w:basedOn w:val="DefaultParagraphFont"/>
    <w:uiPriority w:val="99"/>
    <w:semiHidden/>
    <w:unhideWhenUsed/>
    <w:rsid w:val="0023267D"/>
    <w:rPr>
      <w:color w:val="605E5C"/>
      <w:shd w:val="clear" w:color="auto" w:fill="E1DFDD"/>
    </w:rPr>
  </w:style>
  <w:style w:type="paragraph" w:customStyle="1" w:styleId="m-6863805434628207565xxmsonormal">
    <w:name w:val="m_-6863805434628207565x_xmsonormal"/>
    <w:basedOn w:val="Normal"/>
    <w:rsid w:val="00855611"/>
    <w:pPr>
      <w:spacing w:before="100" w:beforeAutospacing="1" w:after="100" w:afterAutospacing="1"/>
    </w:pPr>
  </w:style>
  <w:style w:type="character" w:customStyle="1" w:styleId="il">
    <w:name w:val="il"/>
    <w:basedOn w:val="DefaultParagraphFont"/>
    <w:rsid w:val="00B678F7"/>
  </w:style>
  <w:style w:type="paragraph" w:customStyle="1" w:styleId="Body">
    <w:name w:val="Body"/>
    <w:rsid w:val="0077172F"/>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GB"/>
      <w14:textOutline w14:w="0" w14:cap="flat" w14:cmpd="sng" w14:algn="ctr">
        <w14:noFill/>
        <w14:prstDash w14:val="solid"/>
        <w14:bevel/>
      </w14:textOutline>
    </w:rPr>
  </w:style>
  <w:style w:type="character" w:customStyle="1" w:styleId="UnresolvedMention3">
    <w:name w:val="Unresolved Mention3"/>
    <w:basedOn w:val="DefaultParagraphFont"/>
    <w:uiPriority w:val="99"/>
    <w:semiHidden/>
    <w:unhideWhenUsed/>
    <w:rsid w:val="00011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147272">
      <w:bodyDiv w:val="1"/>
      <w:marLeft w:val="0"/>
      <w:marRight w:val="0"/>
      <w:marTop w:val="0"/>
      <w:marBottom w:val="0"/>
      <w:divBdr>
        <w:top w:val="none" w:sz="0" w:space="0" w:color="auto"/>
        <w:left w:val="none" w:sz="0" w:space="0" w:color="auto"/>
        <w:bottom w:val="none" w:sz="0" w:space="0" w:color="auto"/>
        <w:right w:val="none" w:sz="0" w:space="0" w:color="auto"/>
      </w:divBdr>
      <w:divsChild>
        <w:div w:id="49035001">
          <w:marLeft w:val="0"/>
          <w:marRight w:val="0"/>
          <w:marTop w:val="0"/>
          <w:marBottom w:val="0"/>
          <w:divBdr>
            <w:top w:val="none" w:sz="0" w:space="0" w:color="auto"/>
            <w:left w:val="none" w:sz="0" w:space="0" w:color="auto"/>
            <w:bottom w:val="none" w:sz="0" w:space="0" w:color="auto"/>
            <w:right w:val="none" w:sz="0" w:space="0" w:color="auto"/>
          </w:divBdr>
        </w:div>
      </w:divsChild>
    </w:div>
    <w:div w:id="382488777">
      <w:bodyDiv w:val="1"/>
      <w:marLeft w:val="0"/>
      <w:marRight w:val="0"/>
      <w:marTop w:val="0"/>
      <w:marBottom w:val="0"/>
      <w:divBdr>
        <w:top w:val="none" w:sz="0" w:space="0" w:color="auto"/>
        <w:left w:val="none" w:sz="0" w:space="0" w:color="auto"/>
        <w:bottom w:val="none" w:sz="0" w:space="0" w:color="auto"/>
        <w:right w:val="none" w:sz="0" w:space="0" w:color="auto"/>
      </w:divBdr>
    </w:div>
    <w:div w:id="500975886">
      <w:bodyDiv w:val="1"/>
      <w:marLeft w:val="0"/>
      <w:marRight w:val="0"/>
      <w:marTop w:val="0"/>
      <w:marBottom w:val="0"/>
      <w:divBdr>
        <w:top w:val="none" w:sz="0" w:space="0" w:color="auto"/>
        <w:left w:val="none" w:sz="0" w:space="0" w:color="auto"/>
        <w:bottom w:val="none" w:sz="0" w:space="0" w:color="auto"/>
        <w:right w:val="none" w:sz="0" w:space="0" w:color="auto"/>
      </w:divBdr>
      <w:divsChild>
        <w:div w:id="2140609814">
          <w:marLeft w:val="0"/>
          <w:marRight w:val="0"/>
          <w:marTop w:val="0"/>
          <w:marBottom w:val="0"/>
          <w:divBdr>
            <w:top w:val="none" w:sz="0" w:space="0" w:color="auto"/>
            <w:left w:val="none" w:sz="0" w:space="0" w:color="auto"/>
            <w:bottom w:val="none" w:sz="0" w:space="0" w:color="auto"/>
            <w:right w:val="none" w:sz="0" w:space="0" w:color="auto"/>
          </w:divBdr>
        </w:div>
        <w:div w:id="1384520990">
          <w:marLeft w:val="0"/>
          <w:marRight w:val="0"/>
          <w:marTop w:val="0"/>
          <w:marBottom w:val="0"/>
          <w:divBdr>
            <w:top w:val="none" w:sz="0" w:space="0" w:color="auto"/>
            <w:left w:val="none" w:sz="0" w:space="0" w:color="auto"/>
            <w:bottom w:val="none" w:sz="0" w:space="0" w:color="auto"/>
            <w:right w:val="none" w:sz="0" w:space="0" w:color="auto"/>
          </w:divBdr>
        </w:div>
      </w:divsChild>
    </w:div>
    <w:div w:id="528615646">
      <w:bodyDiv w:val="1"/>
      <w:marLeft w:val="0"/>
      <w:marRight w:val="0"/>
      <w:marTop w:val="0"/>
      <w:marBottom w:val="0"/>
      <w:divBdr>
        <w:top w:val="none" w:sz="0" w:space="0" w:color="auto"/>
        <w:left w:val="none" w:sz="0" w:space="0" w:color="auto"/>
        <w:bottom w:val="none" w:sz="0" w:space="0" w:color="auto"/>
        <w:right w:val="none" w:sz="0" w:space="0" w:color="auto"/>
      </w:divBdr>
    </w:div>
    <w:div w:id="1122460463">
      <w:bodyDiv w:val="1"/>
      <w:marLeft w:val="0"/>
      <w:marRight w:val="0"/>
      <w:marTop w:val="0"/>
      <w:marBottom w:val="0"/>
      <w:divBdr>
        <w:top w:val="none" w:sz="0" w:space="0" w:color="auto"/>
        <w:left w:val="none" w:sz="0" w:space="0" w:color="auto"/>
        <w:bottom w:val="none" w:sz="0" w:space="0" w:color="auto"/>
        <w:right w:val="none" w:sz="0" w:space="0" w:color="auto"/>
      </w:divBdr>
      <w:divsChild>
        <w:div w:id="1021123704">
          <w:marLeft w:val="0"/>
          <w:marRight w:val="0"/>
          <w:marTop w:val="0"/>
          <w:marBottom w:val="0"/>
          <w:divBdr>
            <w:top w:val="none" w:sz="0" w:space="0" w:color="auto"/>
            <w:left w:val="none" w:sz="0" w:space="0" w:color="auto"/>
            <w:bottom w:val="none" w:sz="0" w:space="0" w:color="auto"/>
            <w:right w:val="none" w:sz="0" w:space="0" w:color="auto"/>
          </w:divBdr>
        </w:div>
      </w:divsChild>
    </w:div>
    <w:div w:id="1350988319">
      <w:bodyDiv w:val="1"/>
      <w:marLeft w:val="0"/>
      <w:marRight w:val="0"/>
      <w:marTop w:val="0"/>
      <w:marBottom w:val="0"/>
      <w:divBdr>
        <w:top w:val="none" w:sz="0" w:space="0" w:color="auto"/>
        <w:left w:val="none" w:sz="0" w:space="0" w:color="auto"/>
        <w:bottom w:val="none" w:sz="0" w:space="0" w:color="auto"/>
        <w:right w:val="none" w:sz="0" w:space="0" w:color="auto"/>
      </w:divBdr>
    </w:div>
    <w:div w:id="1425690531">
      <w:bodyDiv w:val="1"/>
      <w:marLeft w:val="0"/>
      <w:marRight w:val="0"/>
      <w:marTop w:val="0"/>
      <w:marBottom w:val="0"/>
      <w:divBdr>
        <w:top w:val="none" w:sz="0" w:space="0" w:color="auto"/>
        <w:left w:val="none" w:sz="0" w:space="0" w:color="auto"/>
        <w:bottom w:val="none" w:sz="0" w:space="0" w:color="auto"/>
        <w:right w:val="none" w:sz="0" w:space="0" w:color="auto"/>
      </w:divBdr>
    </w:div>
    <w:div w:id="1485050157">
      <w:bodyDiv w:val="1"/>
      <w:marLeft w:val="0"/>
      <w:marRight w:val="0"/>
      <w:marTop w:val="0"/>
      <w:marBottom w:val="0"/>
      <w:divBdr>
        <w:top w:val="none" w:sz="0" w:space="0" w:color="auto"/>
        <w:left w:val="none" w:sz="0" w:space="0" w:color="auto"/>
        <w:bottom w:val="none" w:sz="0" w:space="0" w:color="auto"/>
        <w:right w:val="none" w:sz="0" w:space="0" w:color="auto"/>
      </w:divBdr>
      <w:divsChild>
        <w:div w:id="60324908">
          <w:marLeft w:val="0"/>
          <w:marRight w:val="0"/>
          <w:marTop w:val="0"/>
          <w:marBottom w:val="0"/>
          <w:divBdr>
            <w:top w:val="none" w:sz="0" w:space="0" w:color="auto"/>
            <w:left w:val="none" w:sz="0" w:space="0" w:color="auto"/>
            <w:bottom w:val="none" w:sz="0" w:space="0" w:color="auto"/>
            <w:right w:val="none" w:sz="0" w:space="0" w:color="auto"/>
          </w:divBdr>
        </w:div>
        <w:div w:id="1437401849">
          <w:marLeft w:val="0"/>
          <w:marRight w:val="0"/>
          <w:marTop w:val="0"/>
          <w:marBottom w:val="0"/>
          <w:divBdr>
            <w:top w:val="none" w:sz="0" w:space="0" w:color="auto"/>
            <w:left w:val="none" w:sz="0" w:space="0" w:color="auto"/>
            <w:bottom w:val="none" w:sz="0" w:space="0" w:color="auto"/>
            <w:right w:val="none" w:sz="0" w:space="0" w:color="auto"/>
          </w:divBdr>
        </w:div>
        <w:div w:id="433944888">
          <w:marLeft w:val="0"/>
          <w:marRight w:val="0"/>
          <w:marTop w:val="0"/>
          <w:marBottom w:val="0"/>
          <w:divBdr>
            <w:top w:val="none" w:sz="0" w:space="0" w:color="auto"/>
            <w:left w:val="none" w:sz="0" w:space="0" w:color="auto"/>
            <w:bottom w:val="none" w:sz="0" w:space="0" w:color="auto"/>
            <w:right w:val="none" w:sz="0" w:space="0" w:color="auto"/>
          </w:divBdr>
        </w:div>
        <w:div w:id="127403203">
          <w:marLeft w:val="0"/>
          <w:marRight w:val="0"/>
          <w:marTop w:val="0"/>
          <w:marBottom w:val="0"/>
          <w:divBdr>
            <w:top w:val="none" w:sz="0" w:space="0" w:color="auto"/>
            <w:left w:val="none" w:sz="0" w:space="0" w:color="auto"/>
            <w:bottom w:val="none" w:sz="0" w:space="0" w:color="auto"/>
            <w:right w:val="none" w:sz="0" w:space="0" w:color="auto"/>
          </w:divBdr>
        </w:div>
        <w:div w:id="748699481">
          <w:marLeft w:val="0"/>
          <w:marRight w:val="0"/>
          <w:marTop w:val="0"/>
          <w:marBottom w:val="0"/>
          <w:divBdr>
            <w:top w:val="none" w:sz="0" w:space="0" w:color="auto"/>
            <w:left w:val="none" w:sz="0" w:space="0" w:color="auto"/>
            <w:bottom w:val="none" w:sz="0" w:space="0" w:color="auto"/>
            <w:right w:val="none" w:sz="0" w:space="0" w:color="auto"/>
          </w:divBdr>
        </w:div>
      </w:divsChild>
    </w:div>
    <w:div w:id="1648784091">
      <w:bodyDiv w:val="1"/>
      <w:marLeft w:val="0"/>
      <w:marRight w:val="0"/>
      <w:marTop w:val="0"/>
      <w:marBottom w:val="0"/>
      <w:divBdr>
        <w:top w:val="none" w:sz="0" w:space="0" w:color="auto"/>
        <w:left w:val="none" w:sz="0" w:space="0" w:color="auto"/>
        <w:bottom w:val="none" w:sz="0" w:space="0" w:color="auto"/>
        <w:right w:val="none" w:sz="0" w:space="0" w:color="auto"/>
      </w:divBdr>
    </w:div>
    <w:div w:id="1679456991">
      <w:bodyDiv w:val="1"/>
      <w:marLeft w:val="0"/>
      <w:marRight w:val="0"/>
      <w:marTop w:val="0"/>
      <w:marBottom w:val="0"/>
      <w:divBdr>
        <w:top w:val="none" w:sz="0" w:space="0" w:color="auto"/>
        <w:left w:val="none" w:sz="0" w:space="0" w:color="auto"/>
        <w:bottom w:val="none" w:sz="0" w:space="0" w:color="auto"/>
        <w:right w:val="none" w:sz="0" w:space="0" w:color="auto"/>
      </w:divBdr>
      <w:divsChild>
        <w:div w:id="941764140">
          <w:marLeft w:val="0"/>
          <w:marRight w:val="0"/>
          <w:marTop w:val="0"/>
          <w:marBottom w:val="0"/>
          <w:divBdr>
            <w:top w:val="none" w:sz="0" w:space="0" w:color="auto"/>
            <w:left w:val="none" w:sz="0" w:space="0" w:color="auto"/>
            <w:bottom w:val="none" w:sz="0" w:space="0" w:color="auto"/>
            <w:right w:val="none" w:sz="0" w:space="0" w:color="auto"/>
          </w:divBdr>
        </w:div>
      </w:divsChild>
    </w:div>
    <w:div w:id="1690982649">
      <w:bodyDiv w:val="1"/>
      <w:marLeft w:val="0"/>
      <w:marRight w:val="0"/>
      <w:marTop w:val="0"/>
      <w:marBottom w:val="0"/>
      <w:divBdr>
        <w:top w:val="none" w:sz="0" w:space="0" w:color="auto"/>
        <w:left w:val="none" w:sz="0" w:space="0" w:color="auto"/>
        <w:bottom w:val="none" w:sz="0" w:space="0" w:color="auto"/>
        <w:right w:val="none" w:sz="0" w:space="0" w:color="auto"/>
      </w:divBdr>
    </w:div>
    <w:div w:id="1716194202">
      <w:bodyDiv w:val="1"/>
      <w:marLeft w:val="0"/>
      <w:marRight w:val="0"/>
      <w:marTop w:val="0"/>
      <w:marBottom w:val="0"/>
      <w:divBdr>
        <w:top w:val="none" w:sz="0" w:space="0" w:color="auto"/>
        <w:left w:val="none" w:sz="0" w:space="0" w:color="auto"/>
        <w:bottom w:val="none" w:sz="0" w:space="0" w:color="auto"/>
        <w:right w:val="none" w:sz="0" w:space="0" w:color="auto"/>
      </w:divBdr>
      <w:divsChild>
        <w:div w:id="2032296913">
          <w:marLeft w:val="0"/>
          <w:marRight w:val="0"/>
          <w:marTop w:val="0"/>
          <w:marBottom w:val="0"/>
          <w:divBdr>
            <w:top w:val="none" w:sz="0" w:space="0" w:color="auto"/>
            <w:left w:val="none" w:sz="0" w:space="0" w:color="auto"/>
            <w:bottom w:val="none" w:sz="0" w:space="0" w:color="auto"/>
            <w:right w:val="none" w:sz="0" w:space="0" w:color="auto"/>
          </w:divBdr>
        </w:div>
        <w:div w:id="1870028396">
          <w:marLeft w:val="0"/>
          <w:marRight w:val="0"/>
          <w:marTop w:val="0"/>
          <w:marBottom w:val="0"/>
          <w:divBdr>
            <w:top w:val="none" w:sz="0" w:space="0" w:color="auto"/>
            <w:left w:val="none" w:sz="0" w:space="0" w:color="auto"/>
            <w:bottom w:val="none" w:sz="0" w:space="0" w:color="auto"/>
            <w:right w:val="none" w:sz="0" w:space="0" w:color="auto"/>
          </w:divBdr>
        </w:div>
      </w:divsChild>
    </w:div>
    <w:div w:id="1900285815">
      <w:bodyDiv w:val="1"/>
      <w:marLeft w:val="0"/>
      <w:marRight w:val="0"/>
      <w:marTop w:val="0"/>
      <w:marBottom w:val="0"/>
      <w:divBdr>
        <w:top w:val="none" w:sz="0" w:space="0" w:color="auto"/>
        <w:left w:val="none" w:sz="0" w:space="0" w:color="auto"/>
        <w:bottom w:val="none" w:sz="0" w:space="0" w:color="auto"/>
        <w:right w:val="none" w:sz="0" w:space="0" w:color="auto"/>
      </w:divBdr>
      <w:divsChild>
        <w:div w:id="1492524594">
          <w:marLeft w:val="0"/>
          <w:marRight w:val="0"/>
          <w:marTop w:val="0"/>
          <w:marBottom w:val="0"/>
          <w:divBdr>
            <w:top w:val="none" w:sz="0" w:space="0" w:color="auto"/>
            <w:left w:val="none" w:sz="0" w:space="0" w:color="auto"/>
            <w:bottom w:val="none" w:sz="0" w:space="0" w:color="auto"/>
            <w:right w:val="none" w:sz="0" w:space="0" w:color="auto"/>
          </w:divBdr>
        </w:div>
      </w:divsChild>
    </w:div>
    <w:div w:id="2141224487">
      <w:bodyDiv w:val="1"/>
      <w:marLeft w:val="0"/>
      <w:marRight w:val="0"/>
      <w:marTop w:val="0"/>
      <w:marBottom w:val="0"/>
      <w:divBdr>
        <w:top w:val="none" w:sz="0" w:space="0" w:color="auto"/>
        <w:left w:val="none" w:sz="0" w:space="0" w:color="auto"/>
        <w:bottom w:val="none" w:sz="0" w:space="0" w:color="auto"/>
        <w:right w:val="none" w:sz="0" w:space="0" w:color="auto"/>
      </w:divBdr>
      <w:divsChild>
        <w:div w:id="21281585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anya.roberts@gilead.com" TargetMode="External"/><Relationship Id="rId18" Type="http://schemas.openxmlformats.org/officeDocument/2006/relationships/hyperlink" Target="mailto:smolloy@sgul.ac.u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tiff"/><Relationship Id="rId7" Type="http://schemas.openxmlformats.org/officeDocument/2006/relationships/endnotes" Target="endnotes.xml"/><Relationship Id="rId12" Type="http://schemas.openxmlformats.org/officeDocument/2006/relationships/hyperlink" Target="mailto:researchgovernance@sgul.ac.uk" TargetMode="External"/><Relationship Id="rId17" Type="http://schemas.openxmlformats.org/officeDocument/2006/relationships/hyperlink" Target="mailto:p.hopkins@nhs.ne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uncan.wyncoll@gstt.nhs.uk" TargetMode="External"/><Relationship Id="rId20" Type="http://schemas.openxmlformats.org/officeDocument/2006/relationships/chart" Target="charts/chart1.xml"/><Relationship Id="rId29" Type="http://schemas.openxmlformats.org/officeDocument/2006/relationships/hyperlink" Target="http://www.hra.nhs.uk/information-about-pati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bicanic@sgul.ac.uk"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im.felton@manchester.ac.uk" TargetMode="External"/><Relationship Id="rId23" Type="http://schemas.openxmlformats.org/officeDocument/2006/relationships/hyperlink" Target="https://www.england.nhs.uk/publication/pss1-meds-optimisation-pss-cquin-indicator/" TargetMode="External"/><Relationship Id="rId28" Type="http://schemas.openxmlformats.org/officeDocument/2006/relationships/hyperlink" Target="https://www.ukifellowshipprogramme.com/" TargetMode="External"/><Relationship Id="rId10" Type="http://schemas.openxmlformats.org/officeDocument/2006/relationships/image" Target="cid:image001.png@01D05289.F34D9710" TargetMode="External"/><Relationship Id="rId19" Type="http://schemas.openxmlformats.org/officeDocument/2006/relationships/image" Target="media/image3.emf"/><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onathan.ball2@nhs.net" TargetMode="External"/><Relationship Id="rId22" Type="http://schemas.openxmlformats.org/officeDocument/2006/relationships/image" Target="media/image5.tiff"/><Relationship Id="rId27" Type="http://schemas.openxmlformats.org/officeDocument/2006/relationships/hyperlink" Target="http://www.hra.nhs.uk/resources/after-you-apply/amendment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Users\mda06jy\Desktop\AspiFLu\Grant%20Application\Gantt-chart-excel-Aspi%20FL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Sheet1!$C$5</c:f>
              <c:strCache>
                <c:ptCount val="1"/>
                <c:pt idx="0">
                  <c:v>Start</c:v>
                </c:pt>
              </c:strCache>
            </c:strRef>
          </c:tx>
          <c:spPr>
            <a:noFill/>
            <a:ln>
              <a:noFill/>
            </a:ln>
          </c:spPr>
          <c:invertIfNegative val="0"/>
          <c:cat>
            <c:strRef>
              <c:f>Sheet1!$B$6:$B$14</c:f>
              <c:strCache>
                <c:ptCount val="9"/>
                <c:pt idx="0">
                  <c:v>Write protocol/IRAS application/R&amp;D approvals at 3 sites</c:v>
                </c:pt>
                <c:pt idx="1">
                  <c:v>Database development</c:v>
                </c:pt>
                <c:pt idx="2">
                  <c:v>Influenza-related IA epidemiology literature review</c:v>
                </c:pt>
                <c:pt idx="3">
                  <c:v>Prospective data data collection across influenza season</c:v>
                </c:pt>
                <c:pt idx="4">
                  <c:v>Prospective storing of blood/BAL samples from participating patients</c:v>
                </c:pt>
                <c:pt idx="5">
                  <c:v>Testing of BAL samples by both galactomannan EIA and LFD</c:v>
                </c:pt>
                <c:pt idx="6">
                  <c:v>Data Analysis/ preliminary presentation</c:v>
                </c:pt>
                <c:pt idx="7">
                  <c:v>Full analysis; Write research paper</c:v>
                </c:pt>
                <c:pt idx="8">
                  <c:v>Present findings at ECCMID/ ECMO Network Scientific Meeting/ Critical Care Conference</c:v>
                </c:pt>
              </c:strCache>
            </c:strRef>
          </c:cat>
          <c:val>
            <c:numRef>
              <c:f>Sheet1!$C$6:$C$14</c:f>
              <c:numCache>
                <c:formatCode>m/d/yy</c:formatCode>
                <c:ptCount val="9"/>
                <c:pt idx="0">
                  <c:v>43709</c:v>
                </c:pt>
                <c:pt idx="1">
                  <c:v>43709</c:v>
                </c:pt>
                <c:pt idx="2">
                  <c:v>43709</c:v>
                </c:pt>
                <c:pt idx="3">
                  <c:v>43770</c:v>
                </c:pt>
                <c:pt idx="4">
                  <c:v>43770</c:v>
                </c:pt>
                <c:pt idx="5">
                  <c:v>43922</c:v>
                </c:pt>
                <c:pt idx="6">
                  <c:v>43922</c:v>
                </c:pt>
                <c:pt idx="7">
                  <c:v>43966</c:v>
                </c:pt>
                <c:pt idx="8">
                  <c:v>43997</c:v>
                </c:pt>
              </c:numCache>
            </c:numRef>
          </c:val>
          <c:extLst>
            <c:ext xmlns:c16="http://schemas.microsoft.com/office/drawing/2014/chart" uri="{C3380CC4-5D6E-409C-BE32-E72D297353CC}">
              <c16:uniqueId val="{00000000-7C0E-354B-945C-9E9E332E70D1}"/>
            </c:ext>
          </c:extLst>
        </c:ser>
        <c:ser>
          <c:idx val="1"/>
          <c:order val="1"/>
          <c:tx>
            <c:v>Duration</c:v>
          </c:tx>
          <c:invertIfNegative val="0"/>
          <c:dPt>
            <c:idx val="0"/>
            <c:invertIfNegative val="0"/>
            <c:bubble3D val="0"/>
            <c:spPr>
              <a:solidFill>
                <a:schemeClr val="accent6"/>
              </a:solidFill>
            </c:spPr>
            <c:extLst>
              <c:ext xmlns:c16="http://schemas.microsoft.com/office/drawing/2014/chart" uri="{C3380CC4-5D6E-409C-BE32-E72D297353CC}">
                <c16:uniqueId val="{00000002-7C0E-354B-945C-9E9E332E70D1}"/>
              </c:ext>
            </c:extLst>
          </c:dPt>
          <c:dPt>
            <c:idx val="1"/>
            <c:invertIfNegative val="0"/>
            <c:bubble3D val="0"/>
            <c:spPr>
              <a:solidFill>
                <a:schemeClr val="accent5"/>
              </a:solidFill>
            </c:spPr>
            <c:extLst>
              <c:ext xmlns:c16="http://schemas.microsoft.com/office/drawing/2014/chart" uri="{C3380CC4-5D6E-409C-BE32-E72D297353CC}">
                <c16:uniqueId val="{00000004-7C0E-354B-945C-9E9E332E70D1}"/>
              </c:ext>
            </c:extLst>
          </c:dPt>
          <c:dPt>
            <c:idx val="2"/>
            <c:invertIfNegative val="0"/>
            <c:bubble3D val="0"/>
            <c:spPr>
              <a:solidFill>
                <a:schemeClr val="accent3"/>
              </a:solidFill>
            </c:spPr>
            <c:extLst>
              <c:ext xmlns:c16="http://schemas.microsoft.com/office/drawing/2014/chart" uri="{C3380CC4-5D6E-409C-BE32-E72D297353CC}">
                <c16:uniqueId val="{00000006-7C0E-354B-945C-9E9E332E70D1}"/>
              </c:ext>
            </c:extLst>
          </c:dPt>
          <c:dPt>
            <c:idx val="3"/>
            <c:invertIfNegative val="0"/>
            <c:bubble3D val="0"/>
            <c:spPr>
              <a:solidFill>
                <a:srgbClr val="3260DC"/>
              </a:solidFill>
            </c:spPr>
            <c:extLst>
              <c:ext xmlns:c16="http://schemas.microsoft.com/office/drawing/2014/chart" uri="{C3380CC4-5D6E-409C-BE32-E72D297353CC}">
                <c16:uniqueId val="{00000008-7C0E-354B-945C-9E9E332E70D1}"/>
              </c:ext>
            </c:extLst>
          </c:dPt>
          <c:dPt>
            <c:idx val="4"/>
            <c:invertIfNegative val="0"/>
            <c:bubble3D val="0"/>
            <c:spPr>
              <a:solidFill>
                <a:srgbClr val="E73F00"/>
              </a:solidFill>
            </c:spPr>
            <c:extLst>
              <c:ext xmlns:c16="http://schemas.microsoft.com/office/drawing/2014/chart" uri="{C3380CC4-5D6E-409C-BE32-E72D297353CC}">
                <c16:uniqueId val="{0000000A-7C0E-354B-945C-9E9E332E70D1}"/>
              </c:ext>
            </c:extLst>
          </c:dPt>
          <c:dPt>
            <c:idx val="5"/>
            <c:invertIfNegative val="0"/>
            <c:bubble3D val="0"/>
            <c:spPr>
              <a:solidFill>
                <a:srgbClr val="FFC1F0"/>
              </a:solidFill>
            </c:spPr>
            <c:extLst>
              <c:ext xmlns:c16="http://schemas.microsoft.com/office/drawing/2014/chart" uri="{C3380CC4-5D6E-409C-BE32-E72D297353CC}">
                <c16:uniqueId val="{0000000C-7C0E-354B-945C-9E9E332E70D1}"/>
              </c:ext>
            </c:extLst>
          </c:dPt>
          <c:dPt>
            <c:idx val="6"/>
            <c:invertIfNegative val="0"/>
            <c:bubble3D val="0"/>
            <c:spPr>
              <a:solidFill>
                <a:srgbClr val="64ED45"/>
              </a:solidFill>
            </c:spPr>
            <c:extLst>
              <c:ext xmlns:c16="http://schemas.microsoft.com/office/drawing/2014/chart" uri="{C3380CC4-5D6E-409C-BE32-E72D297353CC}">
                <c16:uniqueId val="{0000000E-7C0E-354B-945C-9E9E332E70D1}"/>
              </c:ext>
            </c:extLst>
          </c:dPt>
          <c:dPt>
            <c:idx val="7"/>
            <c:invertIfNegative val="0"/>
            <c:bubble3D val="0"/>
            <c:spPr>
              <a:solidFill>
                <a:srgbClr val="FFBC25"/>
              </a:solidFill>
            </c:spPr>
            <c:extLst>
              <c:ext xmlns:c16="http://schemas.microsoft.com/office/drawing/2014/chart" uri="{C3380CC4-5D6E-409C-BE32-E72D297353CC}">
                <c16:uniqueId val="{00000010-7C0E-354B-945C-9E9E332E70D1}"/>
              </c:ext>
            </c:extLst>
          </c:dPt>
          <c:cat>
            <c:strRef>
              <c:f>Sheet1!$B$6:$B$14</c:f>
              <c:strCache>
                <c:ptCount val="9"/>
                <c:pt idx="0">
                  <c:v>Write protocol/IRAS application/R&amp;D approvals at 3 sites</c:v>
                </c:pt>
                <c:pt idx="1">
                  <c:v>Database development</c:v>
                </c:pt>
                <c:pt idx="2">
                  <c:v>Influenza-related IA epidemiology literature review</c:v>
                </c:pt>
                <c:pt idx="3">
                  <c:v>Prospective data data collection across influenza season</c:v>
                </c:pt>
                <c:pt idx="4">
                  <c:v>Prospective storing of blood/BAL samples from participating patients</c:v>
                </c:pt>
                <c:pt idx="5">
                  <c:v>Testing of BAL samples by both galactomannan EIA and LFD</c:v>
                </c:pt>
                <c:pt idx="6">
                  <c:v>Data Analysis/ preliminary presentation</c:v>
                </c:pt>
                <c:pt idx="7">
                  <c:v>Full analysis; Write research paper</c:v>
                </c:pt>
                <c:pt idx="8">
                  <c:v>Present findings at ECCMID/ ECMO Network Scientific Meeting/ Critical Care Conference</c:v>
                </c:pt>
              </c:strCache>
            </c:strRef>
          </c:cat>
          <c:val>
            <c:numRef>
              <c:f>Sheet1!$E$6:$E$14</c:f>
              <c:numCache>
                <c:formatCode>General</c:formatCode>
                <c:ptCount val="9"/>
                <c:pt idx="0">
                  <c:v>44</c:v>
                </c:pt>
                <c:pt idx="1">
                  <c:v>44</c:v>
                </c:pt>
                <c:pt idx="2">
                  <c:v>61</c:v>
                </c:pt>
                <c:pt idx="3">
                  <c:v>151</c:v>
                </c:pt>
                <c:pt idx="4">
                  <c:v>151</c:v>
                </c:pt>
                <c:pt idx="5">
                  <c:v>44</c:v>
                </c:pt>
                <c:pt idx="6">
                  <c:v>75</c:v>
                </c:pt>
                <c:pt idx="7">
                  <c:v>78</c:v>
                </c:pt>
                <c:pt idx="8">
                  <c:v>47</c:v>
                </c:pt>
              </c:numCache>
            </c:numRef>
          </c:val>
          <c:extLst>
            <c:ext xmlns:c16="http://schemas.microsoft.com/office/drawing/2014/chart" uri="{C3380CC4-5D6E-409C-BE32-E72D297353CC}">
              <c16:uniqueId val="{00000011-7C0E-354B-945C-9E9E332E70D1}"/>
            </c:ext>
          </c:extLst>
        </c:ser>
        <c:dLbls>
          <c:showLegendKey val="0"/>
          <c:showVal val="0"/>
          <c:showCatName val="0"/>
          <c:showSerName val="0"/>
          <c:showPercent val="0"/>
          <c:showBubbleSize val="0"/>
        </c:dLbls>
        <c:gapWidth val="8"/>
        <c:overlap val="100"/>
        <c:axId val="351183592"/>
        <c:axId val="351183984"/>
      </c:barChart>
      <c:catAx>
        <c:axId val="351183592"/>
        <c:scaling>
          <c:orientation val="maxMin"/>
        </c:scaling>
        <c:delete val="0"/>
        <c:axPos val="l"/>
        <c:numFmt formatCode="General" sourceLinked="0"/>
        <c:majorTickMark val="out"/>
        <c:minorTickMark val="none"/>
        <c:tickLblPos val="nextTo"/>
        <c:crossAx val="351183984"/>
        <c:crosses val="autoZero"/>
        <c:auto val="1"/>
        <c:lblAlgn val="ctr"/>
        <c:lblOffset val="100"/>
        <c:noMultiLvlLbl val="0"/>
      </c:catAx>
      <c:valAx>
        <c:axId val="351183984"/>
        <c:scaling>
          <c:orientation val="minMax"/>
          <c:max val="44044"/>
          <c:min val="43709"/>
        </c:scaling>
        <c:delete val="0"/>
        <c:axPos val="t"/>
        <c:majorGridlines/>
        <c:numFmt formatCode="d\.m\.yy;@" sourceLinked="0"/>
        <c:majorTickMark val="out"/>
        <c:minorTickMark val="none"/>
        <c:tickLblPos val="nextTo"/>
        <c:crossAx val="351183592"/>
        <c:crosses val="autoZero"/>
        <c:crossBetween val="between"/>
      </c:valAx>
    </c:plotArea>
    <c:plotVisOnly val="1"/>
    <c:dispBlanksAs val="gap"/>
    <c:showDLblsOverMax val="0"/>
  </c:chart>
  <c:txPr>
    <a:bodyPr/>
    <a:lstStyle/>
    <a:p>
      <a:pPr>
        <a:defRPr sz="800">
          <a:latin typeface="Calibri" panose="020F0502020204030204" pitchFamily="34" charset="0"/>
          <a:cs typeface="Calibri" panose="020F0502020204030204" pitchFamily="34" charset="0"/>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576394F71D9049A99E590D104DAB55"/>
        <w:category>
          <w:name w:val="General"/>
          <w:gallery w:val="placeholder"/>
        </w:category>
        <w:types>
          <w:type w:val="bbPlcHdr"/>
        </w:types>
        <w:behaviors>
          <w:behavior w:val="content"/>
        </w:behaviors>
        <w:guid w:val="{714EB3CF-5824-424A-AE61-5303392A0325}"/>
      </w:docPartPr>
      <w:docPartBody>
        <w:p w:rsidR="00D917D7" w:rsidRDefault="00D917D7" w:rsidP="00D917D7">
          <w:pPr>
            <w:pStyle w:val="9B576394F71D9049A99E590D104DAB55"/>
          </w:pPr>
          <w:r>
            <w:rPr>
              <w:rStyle w:val="PlaceholderText"/>
              <w:rFonts w:cs="Arial"/>
            </w:rPr>
            <w:t>E</w:t>
          </w:r>
          <w:r w:rsidRPr="007D0357">
            <w:rPr>
              <w:rStyle w:val="PlaceholderText"/>
              <w:rFonts w:cs="Arial"/>
            </w:rPr>
            <w:t>nter email address</w:t>
          </w:r>
        </w:p>
      </w:docPartBody>
    </w:docPart>
    <w:docPart>
      <w:docPartPr>
        <w:name w:val="71014ECD9838644BBF67FB5CEC4519F5"/>
        <w:category>
          <w:name w:val="General"/>
          <w:gallery w:val="placeholder"/>
        </w:category>
        <w:types>
          <w:type w:val="bbPlcHdr"/>
        </w:types>
        <w:behaviors>
          <w:behavior w:val="content"/>
        </w:behaviors>
        <w:guid w:val="{C6D46A43-8F7C-8F42-AB7D-EC49CE3A9B98}"/>
      </w:docPartPr>
      <w:docPartBody>
        <w:p w:rsidR="00D917D7" w:rsidRDefault="00D917D7" w:rsidP="00D917D7">
          <w:pPr>
            <w:pStyle w:val="71014ECD9838644BBF67FB5CEC4519F5"/>
          </w:pPr>
          <w:r>
            <w:rPr>
              <w:rStyle w:val="PlaceholderText"/>
              <w:rFonts w:cs="Arial"/>
            </w:rPr>
            <w:t>En</w:t>
          </w:r>
          <w:r w:rsidRPr="007D0357">
            <w:rPr>
              <w:rStyle w:val="PlaceholderText"/>
              <w:rFonts w:cs="Arial"/>
            </w:rPr>
            <w:t>ter telephone number</w:t>
          </w:r>
        </w:p>
      </w:docPartBody>
    </w:docPart>
    <w:docPart>
      <w:docPartPr>
        <w:name w:val="83F922281ADAB74789A71A8192FC637A"/>
        <w:category>
          <w:name w:val="General"/>
          <w:gallery w:val="placeholder"/>
        </w:category>
        <w:types>
          <w:type w:val="bbPlcHdr"/>
        </w:types>
        <w:behaviors>
          <w:behavior w:val="content"/>
        </w:behaviors>
        <w:guid w:val="{AE380952-200F-124A-9F5B-EEFB9296420A}"/>
      </w:docPartPr>
      <w:docPartBody>
        <w:p w:rsidR="00D917D7" w:rsidRDefault="00D917D7" w:rsidP="00D917D7">
          <w:pPr>
            <w:pStyle w:val="83F922281ADAB74789A71A8192FC637A"/>
          </w:pPr>
          <w:r>
            <w:rPr>
              <w:rStyle w:val="PlaceholderText"/>
              <w:rFonts w:cs="Arial"/>
            </w:rPr>
            <w:t>E</w:t>
          </w:r>
          <w:r w:rsidRPr="007D0357">
            <w:rPr>
              <w:rStyle w:val="PlaceholderText"/>
              <w:rFonts w:cs="Arial"/>
            </w:rPr>
            <w:t>nter email address</w:t>
          </w:r>
        </w:p>
      </w:docPartBody>
    </w:docPart>
    <w:docPart>
      <w:docPartPr>
        <w:name w:val="B182FB5E0F620845889BA240B79480D8"/>
        <w:category>
          <w:name w:val="General"/>
          <w:gallery w:val="placeholder"/>
        </w:category>
        <w:types>
          <w:type w:val="bbPlcHdr"/>
        </w:types>
        <w:behaviors>
          <w:behavior w:val="content"/>
        </w:behaviors>
        <w:guid w:val="{5343AAB7-73D5-3544-B579-2368EF0B9182}"/>
      </w:docPartPr>
      <w:docPartBody>
        <w:p w:rsidR="00D917D7" w:rsidRDefault="00D917D7" w:rsidP="00D917D7">
          <w:pPr>
            <w:pStyle w:val="B182FB5E0F620845889BA240B79480D8"/>
          </w:pPr>
          <w:r>
            <w:rPr>
              <w:rStyle w:val="PlaceholderText"/>
              <w:rFonts w:cs="Arial"/>
            </w:rPr>
            <w:t>En</w:t>
          </w:r>
          <w:r w:rsidRPr="007D0357">
            <w:rPr>
              <w:rStyle w:val="PlaceholderText"/>
              <w:rFonts w:cs="Arial"/>
            </w:rPr>
            <w:t>ter telephone number</w:t>
          </w:r>
        </w:p>
      </w:docPartBody>
    </w:docPart>
    <w:docPart>
      <w:docPartPr>
        <w:name w:val="A275EE65585A7D4A82F59440969FEF15"/>
        <w:category>
          <w:name w:val="General"/>
          <w:gallery w:val="placeholder"/>
        </w:category>
        <w:types>
          <w:type w:val="bbPlcHdr"/>
        </w:types>
        <w:behaviors>
          <w:behavior w:val="content"/>
        </w:behaviors>
        <w:guid w:val="{FD07925F-F374-9341-B498-84E1112971B9}"/>
      </w:docPartPr>
      <w:docPartBody>
        <w:p w:rsidR="00D917D7" w:rsidRDefault="00D917D7" w:rsidP="00D917D7">
          <w:pPr>
            <w:pStyle w:val="A275EE65585A7D4A82F59440969FEF15"/>
          </w:pPr>
          <w:r>
            <w:rPr>
              <w:rStyle w:val="PlaceholderText"/>
              <w:rFonts w:cs="Arial"/>
            </w:rPr>
            <w:t>E</w:t>
          </w:r>
          <w:r w:rsidRPr="007D0357">
            <w:rPr>
              <w:rStyle w:val="PlaceholderText"/>
              <w:rFonts w:cs="Arial"/>
            </w:rPr>
            <w:t>nter email address</w:t>
          </w:r>
        </w:p>
      </w:docPartBody>
    </w:docPart>
    <w:docPart>
      <w:docPartPr>
        <w:name w:val="B95E67FD0F49054D927B932B2ED0E136"/>
        <w:category>
          <w:name w:val="General"/>
          <w:gallery w:val="placeholder"/>
        </w:category>
        <w:types>
          <w:type w:val="bbPlcHdr"/>
        </w:types>
        <w:behaviors>
          <w:behavior w:val="content"/>
        </w:behaviors>
        <w:guid w:val="{08751985-5F47-E34B-8E0D-CD1F507DB0C0}"/>
      </w:docPartPr>
      <w:docPartBody>
        <w:p w:rsidR="00D917D7" w:rsidRDefault="00D917D7" w:rsidP="00D917D7">
          <w:pPr>
            <w:pStyle w:val="B95E67FD0F49054D927B932B2ED0E136"/>
          </w:pPr>
          <w:r>
            <w:rPr>
              <w:rStyle w:val="PlaceholderText"/>
              <w:rFonts w:cs="Arial"/>
            </w:rPr>
            <w:t>En</w:t>
          </w:r>
          <w:r w:rsidRPr="007D0357">
            <w:rPr>
              <w:rStyle w:val="PlaceholderText"/>
              <w:rFonts w:cs="Arial"/>
            </w:rPr>
            <w:t>ter telephone number</w:t>
          </w:r>
        </w:p>
      </w:docPartBody>
    </w:docPart>
    <w:docPart>
      <w:docPartPr>
        <w:name w:val="89000FB1D5B8924AB1868EF564B32526"/>
        <w:category>
          <w:name w:val="General"/>
          <w:gallery w:val="placeholder"/>
        </w:category>
        <w:types>
          <w:type w:val="bbPlcHdr"/>
        </w:types>
        <w:behaviors>
          <w:behavior w:val="content"/>
        </w:behaviors>
        <w:guid w:val="{464EC5DC-38E0-B942-B6A0-4DF7A31ADAA6}"/>
      </w:docPartPr>
      <w:docPartBody>
        <w:p w:rsidR="00D917D7" w:rsidRDefault="00D917D7" w:rsidP="00D917D7">
          <w:pPr>
            <w:pStyle w:val="89000FB1D5B8924AB1868EF564B32526"/>
          </w:pPr>
          <w:r>
            <w:rPr>
              <w:rStyle w:val="PlaceholderText"/>
            </w:rPr>
            <w:t xml:space="preserve">Enter </w:t>
          </w:r>
          <w:r w:rsidRPr="007D0357">
            <w:rPr>
              <w:rStyle w:val="PlaceholderText"/>
            </w:rPr>
            <w:t>post</w:t>
          </w:r>
        </w:p>
      </w:docPartBody>
    </w:docPart>
    <w:docPart>
      <w:docPartPr>
        <w:name w:val="324D16AC0C4CCA47BEEC531BBB2F7CDF"/>
        <w:category>
          <w:name w:val="General"/>
          <w:gallery w:val="placeholder"/>
        </w:category>
        <w:types>
          <w:type w:val="bbPlcHdr"/>
        </w:types>
        <w:behaviors>
          <w:behavior w:val="content"/>
        </w:behaviors>
        <w:guid w:val="{F6F4B1B0-2CD5-FC4A-A8F0-20CD041971A7}"/>
      </w:docPartPr>
      <w:docPartBody>
        <w:p w:rsidR="00D917D7" w:rsidRDefault="00D917D7" w:rsidP="00D917D7">
          <w:pPr>
            <w:pStyle w:val="324D16AC0C4CCA47BEEC531BBB2F7CDF"/>
          </w:pPr>
          <w:r>
            <w:rPr>
              <w:rStyle w:val="PlaceholderText"/>
            </w:rPr>
            <w:t xml:space="preserve">Enter </w:t>
          </w:r>
          <w:r w:rsidRPr="007D0357">
            <w:rPr>
              <w:rStyle w:val="PlaceholderText"/>
            </w:rPr>
            <w:t>post</w:t>
          </w:r>
        </w:p>
      </w:docPartBody>
    </w:docPart>
    <w:docPart>
      <w:docPartPr>
        <w:name w:val="0BEA81D3E499FC45B9552BFB7C820DC9"/>
        <w:category>
          <w:name w:val="General"/>
          <w:gallery w:val="placeholder"/>
        </w:category>
        <w:types>
          <w:type w:val="bbPlcHdr"/>
        </w:types>
        <w:behaviors>
          <w:behavior w:val="content"/>
        </w:behaviors>
        <w:guid w:val="{3FC9CFA2-4C3C-414F-B09D-C7048912F716}"/>
      </w:docPartPr>
      <w:docPartBody>
        <w:p w:rsidR="00D917D7" w:rsidRDefault="00D917D7" w:rsidP="00D917D7">
          <w:pPr>
            <w:pStyle w:val="0BEA81D3E499FC45B9552BFB7C820DC9"/>
          </w:pPr>
          <w:r>
            <w:rPr>
              <w:rStyle w:val="PlaceholderText"/>
            </w:rPr>
            <w:t xml:space="preserve">Enter </w:t>
          </w:r>
          <w:r w:rsidRPr="007D0357">
            <w:rPr>
              <w:rStyle w:val="PlaceholderText"/>
            </w:rPr>
            <w:t>post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charset w:val="00"/>
    <w:family w:val="auto"/>
    <w:pitch w:val="variable"/>
    <w:sig w:usb0="00000003" w:usb1="00000000" w:usb2="00000000" w:usb3="00000000" w:csb0="00000007"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Ü”€Tˇ">
    <w:altName w:val="Calibri"/>
    <w:panose1 w:val="00000000000000000000"/>
    <w:charset w:val="4D"/>
    <w:family w:val="auto"/>
    <w:notTrueType/>
    <w:pitch w:val="default"/>
    <w:sig w:usb0="00000003" w:usb1="00000000" w:usb2="00000000" w:usb3="00000000" w:csb0="00000001" w:csb1="00000000"/>
  </w:font>
  <w:font w:name="TUOS Blake">
    <w:altName w:val="Calibri"/>
    <w:charset w:val="00"/>
    <w:family w:val="swiss"/>
    <w:pitch w:val="variable"/>
    <w:sig w:usb0="8000002F" w:usb1="4000004A" w:usb2="00000000" w:usb3="00000000" w:csb0="00000011" w:csb1="00000000"/>
  </w:font>
  <w:font w:name="ønÜTˇ">
    <w:altName w:val="Calibri"/>
    <w:panose1 w:val="00000000000000000000"/>
    <w:charset w:val="4D"/>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7D7"/>
    <w:rsid w:val="0000022E"/>
    <w:rsid w:val="00016BB9"/>
    <w:rsid w:val="000B7870"/>
    <w:rsid w:val="00131031"/>
    <w:rsid w:val="00224852"/>
    <w:rsid w:val="0025360E"/>
    <w:rsid w:val="00277CB3"/>
    <w:rsid w:val="00291E93"/>
    <w:rsid w:val="003A7D0E"/>
    <w:rsid w:val="003C023E"/>
    <w:rsid w:val="004502D4"/>
    <w:rsid w:val="00514227"/>
    <w:rsid w:val="00586648"/>
    <w:rsid w:val="0063075D"/>
    <w:rsid w:val="006B4473"/>
    <w:rsid w:val="00767535"/>
    <w:rsid w:val="007D361E"/>
    <w:rsid w:val="00802CBF"/>
    <w:rsid w:val="00926129"/>
    <w:rsid w:val="009E3C4A"/>
    <w:rsid w:val="00A34398"/>
    <w:rsid w:val="00AE6E67"/>
    <w:rsid w:val="00B97181"/>
    <w:rsid w:val="00BA7033"/>
    <w:rsid w:val="00C0750D"/>
    <w:rsid w:val="00C33523"/>
    <w:rsid w:val="00C60912"/>
    <w:rsid w:val="00CF3DD2"/>
    <w:rsid w:val="00D917D7"/>
    <w:rsid w:val="00E10148"/>
    <w:rsid w:val="00E56CB0"/>
    <w:rsid w:val="00E75255"/>
    <w:rsid w:val="00F77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17D7"/>
    <w:rPr>
      <w:color w:val="808080"/>
    </w:rPr>
  </w:style>
  <w:style w:type="paragraph" w:customStyle="1" w:styleId="9B576394F71D9049A99E590D104DAB55">
    <w:name w:val="9B576394F71D9049A99E590D104DAB55"/>
    <w:rsid w:val="00D917D7"/>
  </w:style>
  <w:style w:type="paragraph" w:customStyle="1" w:styleId="71014ECD9838644BBF67FB5CEC4519F5">
    <w:name w:val="71014ECD9838644BBF67FB5CEC4519F5"/>
    <w:rsid w:val="00D917D7"/>
  </w:style>
  <w:style w:type="paragraph" w:customStyle="1" w:styleId="83F922281ADAB74789A71A8192FC637A">
    <w:name w:val="83F922281ADAB74789A71A8192FC637A"/>
    <w:rsid w:val="00D917D7"/>
  </w:style>
  <w:style w:type="paragraph" w:customStyle="1" w:styleId="B182FB5E0F620845889BA240B79480D8">
    <w:name w:val="B182FB5E0F620845889BA240B79480D8"/>
    <w:rsid w:val="00D917D7"/>
  </w:style>
  <w:style w:type="paragraph" w:customStyle="1" w:styleId="A275EE65585A7D4A82F59440969FEF15">
    <w:name w:val="A275EE65585A7D4A82F59440969FEF15"/>
    <w:rsid w:val="00D917D7"/>
  </w:style>
  <w:style w:type="paragraph" w:customStyle="1" w:styleId="B95E67FD0F49054D927B932B2ED0E136">
    <w:name w:val="B95E67FD0F49054D927B932B2ED0E136"/>
    <w:rsid w:val="00D917D7"/>
  </w:style>
  <w:style w:type="paragraph" w:customStyle="1" w:styleId="89000FB1D5B8924AB1868EF564B32526">
    <w:name w:val="89000FB1D5B8924AB1868EF564B32526"/>
    <w:rsid w:val="00D917D7"/>
  </w:style>
  <w:style w:type="paragraph" w:customStyle="1" w:styleId="324D16AC0C4CCA47BEEC531BBB2F7CDF">
    <w:name w:val="324D16AC0C4CCA47BEEC531BBB2F7CDF"/>
    <w:rsid w:val="00D917D7"/>
  </w:style>
  <w:style w:type="paragraph" w:customStyle="1" w:styleId="0BEA81D3E499FC45B9552BFB7C820DC9">
    <w:name w:val="0BEA81D3E499FC45B9552BFB7C820DC9"/>
    <w:rsid w:val="00D91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HR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AFEDC-BCDD-4BDC-A93C-D8E193ED5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57235</Words>
  <Characters>326244</Characters>
  <Application>Microsoft Office Word</Application>
  <DocSecurity>0</DocSecurity>
  <Lines>2718</Lines>
  <Paragraphs>765</Paragraphs>
  <ScaleCrop>false</ScaleCrop>
  <HeadingPairs>
    <vt:vector size="2" baseType="variant">
      <vt:variant>
        <vt:lpstr>Title</vt:lpstr>
      </vt:variant>
      <vt:variant>
        <vt:i4>1</vt:i4>
      </vt:variant>
    </vt:vector>
  </HeadingPairs>
  <TitlesOfParts>
    <vt:vector size="1" baseType="lpstr">
      <vt:lpstr/>
    </vt:vector>
  </TitlesOfParts>
  <Company>e-fishency ltd</Company>
  <LinksUpToDate>false</LinksUpToDate>
  <CharactersWithSpaces>382714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Bridget Rivers-Moore</dc:creator>
  <cp:lastModifiedBy>Jonathan Youngs</cp:lastModifiedBy>
  <cp:revision>4</cp:revision>
  <cp:lastPrinted>2014-11-21T16:55:00Z</cp:lastPrinted>
  <dcterms:created xsi:type="dcterms:W3CDTF">2019-11-27T10:42:00Z</dcterms:created>
  <dcterms:modified xsi:type="dcterms:W3CDTF">2019-11-27T10:51:00Z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c74e016e-c524-32b3-94e3-b895b3691098</vt:lpwstr>
  </property>
  <property fmtid="{D5CDD505-2E9C-101B-9397-08002B2CF9AE}" pid="4" name="Mendeley Citation Style_1">
    <vt:lpwstr>http://www.zotero.org/styles/journal-of-hospital-infection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http://www.zotero.org/styles/bmj</vt:lpwstr>
  </property>
  <property fmtid="{D5CDD505-2E9C-101B-9397-08002B2CF9AE}" pid="10" name="Mendeley Recent Style Name 2_1">
    <vt:lpwstr>BMJ</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http://www.zotero.org/styles/indian-journal-of-tuberculosis</vt:lpwstr>
  </property>
  <property fmtid="{D5CDD505-2E9C-101B-9397-08002B2CF9AE}" pid="16" name="Mendeley Recent Style Name 5_1">
    <vt:lpwstr>Indian Journal of Tuberculosis</vt:lpwstr>
  </property>
  <property fmtid="{D5CDD505-2E9C-101B-9397-08002B2CF9AE}" pid="17" name="Mendeley Recent Style Id 6_1">
    <vt:lpwstr>http://www.zotero.org/styles/journal-of-hospital-infection</vt:lpwstr>
  </property>
  <property fmtid="{D5CDD505-2E9C-101B-9397-08002B2CF9AE}" pid="18" name="Mendeley Recent Style Name 6_1">
    <vt:lpwstr>Journal of Hospital Infection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