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86" w:rsidRPr="00F40586" w:rsidRDefault="00F40586" w:rsidP="00F40586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bookmarkStart w:id="0" w:name="_GoBack"/>
      <w:bookmarkEnd w:id="0"/>
      <w:r w:rsidRPr="00F40586">
        <w:rPr>
          <w:rFonts w:asciiTheme="minorHAnsi" w:hAnsiTheme="minorHAnsi"/>
          <w:b/>
          <w:bCs/>
          <w:sz w:val="36"/>
          <w:szCs w:val="22"/>
        </w:rPr>
        <w:t>Participant Flow</w:t>
      </w:r>
    </w:p>
    <w:p w:rsidR="00F40586" w:rsidRDefault="00F40586" w:rsidP="00F40586">
      <w:pPr>
        <w:pStyle w:val="NoSpacing"/>
        <w:ind w:left="720"/>
        <w:rPr>
          <w:rFonts w:asciiTheme="minorHAnsi" w:hAnsiTheme="minorHAnsi"/>
          <w:b/>
          <w:bCs/>
          <w:sz w:val="22"/>
          <w:szCs w:val="22"/>
        </w:rPr>
      </w:pPr>
    </w:p>
    <w:p w:rsidR="00F40586" w:rsidRDefault="00F40586" w:rsidP="00F40586">
      <w:pPr>
        <w:pStyle w:val="NoSpacing"/>
        <w:ind w:left="720"/>
        <w:rPr>
          <w:rFonts w:asciiTheme="minorHAnsi" w:hAnsiTheme="minorHAnsi"/>
          <w:b/>
          <w:bCs/>
          <w:sz w:val="22"/>
          <w:szCs w:val="22"/>
        </w:rPr>
      </w:pPr>
      <w:r>
        <w:rPr>
          <w:rFonts w:eastAsia="SimSun"/>
          <w:b/>
          <w:noProof/>
          <w:color w:val="000000"/>
          <w:lang w:eastAsia="en-GB"/>
        </w:rPr>
        <w:drawing>
          <wp:inline distT="0" distB="0" distL="0" distR="0">
            <wp:extent cx="5610225" cy="7629525"/>
            <wp:effectExtent l="0" t="0" r="9525" b="9525"/>
            <wp:docPr id="1" name="Picture 1" descr="Figure 1 Consort Flow Diagram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1 Consort Flow Diagram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586" w:rsidRDefault="00F40586">
      <w:pPr>
        <w:spacing w:after="200" w:line="276" w:lineRule="auto"/>
        <w:rPr>
          <w:rFonts w:asciiTheme="minorHAnsi" w:hAnsiTheme="minorHAnsi"/>
          <w:b/>
          <w:bCs/>
          <w:sz w:val="36"/>
          <w:lang w:eastAsia="ja-JP"/>
        </w:rPr>
      </w:pPr>
      <w:r>
        <w:rPr>
          <w:rFonts w:asciiTheme="minorHAnsi" w:hAnsiTheme="minorHAnsi"/>
          <w:b/>
          <w:bCs/>
          <w:sz w:val="36"/>
        </w:rPr>
        <w:br w:type="page"/>
      </w:r>
    </w:p>
    <w:p w:rsidR="00F40586" w:rsidRPr="00F40586" w:rsidRDefault="00F40586" w:rsidP="00F40586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lastRenderedPageBreak/>
        <w:t>Baseline Characteristics</w:t>
      </w:r>
    </w:p>
    <w:p w:rsidR="00F40586" w:rsidRDefault="00F40586">
      <w:pPr>
        <w:spacing w:after="200" w:line="276" w:lineRule="auto"/>
        <w:rPr>
          <w:rFonts w:asciiTheme="minorHAnsi" w:hAnsiTheme="minorHAnsi"/>
          <w:b/>
          <w:bCs/>
          <w:sz w:val="36"/>
        </w:rPr>
      </w:pPr>
    </w:p>
    <w:p w:rsidR="00F40586" w:rsidRPr="00777BFA" w:rsidRDefault="00F40586" w:rsidP="00F40586">
      <w:pPr>
        <w:snapToGrid w:val="0"/>
        <w:spacing w:line="480" w:lineRule="auto"/>
        <w:rPr>
          <w:rFonts w:eastAsia="SimSun"/>
          <w:b/>
          <w:color w:val="000000"/>
          <w:lang w:eastAsia="zh-CN"/>
        </w:rPr>
      </w:pPr>
      <w:r w:rsidRPr="00777BFA">
        <w:rPr>
          <w:rFonts w:eastAsia="SimSun"/>
          <w:b/>
          <w:lang w:eastAsia="zh-CN"/>
        </w:rPr>
        <w:t>Baseline characteristics of total sample and three groups (mean ± SD or %)</w:t>
      </w:r>
      <w:r w:rsidRPr="00777BFA">
        <w:rPr>
          <w:rFonts w:eastAsia="SimSun"/>
          <w:b/>
          <w:color w:val="000000"/>
          <w:lang w:eastAsia="zh-CN"/>
        </w:rPr>
        <w:t xml:space="preserve"> </w:t>
      </w:r>
    </w:p>
    <w:p w:rsidR="00F40586" w:rsidRPr="00AB4D04" w:rsidRDefault="00F40586" w:rsidP="00F40586">
      <w:pPr>
        <w:adjustRightInd w:val="0"/>
        <w:snapToGrid w:val="0"/>
        <w:rPr>
          <w:rFonts w:eastAsia="SimSun"/>
          <w:color w:val="000000"/>
          <w:lang w:eastAsia="zh-CN"/>
        </w:rPr>
      </w:pPr>
      <w:r w:rsidRPr="00AB4D04">
        <w:rPr>
          <w:rFonts w:eastAsia="SimSun"/>
          <w:color w:val="000000"/>
          <w:lang w:eastAsia="zh-CN"/>
        </w:rPr>
        <w:t xml:space="preserve"> </w:t>
      </w:r>
    </w:p>
    <w:tbl>
      <w:tblPr>
        <w:tblW w:w="882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  <w:gridCol w:w="1620"/>
        <w:gridCol w:w="1620"/>
        <w:gridCol w:w="1440"/>
      </w:tblGrid>
      <w:tr w:rsidR="00F40586" w:rsidRPr="00AB4D04" w:rsidTr="00F40586">
        <w:trPr>
          <w:trHeight w:val="573"/>
          <w:jc w:val="center"/>
        </w:trPr>
        <w:tc>
          <w:tcPr>
            <w:tcW w:w="2520" w:type="dxa"/>
            <w:tcBorders>
              <w:bottom w:val="single" w:sz="4" w:space="0" w:color="auto"/>
            </w:tcBorders>
          </w:tcPr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40586" w:rsidRPr="00AB4D04" w:rsidRDefault="00F40586" w:rsidP="00467818">
            <w:pPr>
              <w:snapToGrid w:val="0"/>
            </w:pPr>
            <w:r w:rsidRPr="00AB4D04">
              <w:t>Total sample (n = 111)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40586" w:rsidRPr="00AB4D04" w:rsidRDefault="00F40586" w:rsidP="00467818">
            <w:pPr>
              <w:snapToGrid w:val="0"/>
            </w:pPr>
            <w:r>
              <w:t>F2F</w:t>
            </w:r>
            <w:r w:rsidRPr="00AB4D04">
              <w:t xml:space="preserve"> Group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(n = 37)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40586" w:rsidRPr="00AB4D04" w:rsidRDefault="00F40586" w:rsidP="00467818">
            <w:pPr>
              <w:snapToGrid w:val="0"/>
            </w:pPr>
            <w:r w:rsidRPr="00AB4D04">
              <w:t>IB Group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(n = 37)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40586" w:rsidRPr="00AB4D04" w:rsidRDefault="00F40586" w:rsidP="00467818">
            <w:pPr>
              <w:snapToGrid w:val="0"/>
            </w:pPr>
            <w:r w:rsidRPr="00AB4D04">
              <w:t xml:space="preserve">C Group 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(n = 37)</w:t>
            </w:r>
          </w:p>
        </w:tc>
      </w:tr>
      <w:tr w:rsidR="00F40586" w:rsidRPr="00AB4D04" w:rsidTr="00F40586">
        <w:trPr>
          <w:trHeight w:val="573"/>
          <w:jc w:val="center"/>
        </w:trPr>
        <w:tc>
          <w:tcPr>
            <w:tcW w:w="2520" w:type="dxa"/>
            <w:tcBorders>
              <w:bottom w:val="nil"/>
            </w:tcBorders>
          </w:tcPr>
          <w:p w:rsidR="00F40586" w:rsidRPr="00AB4D04" w:rsidRDefault="00F40586" w:rsidP="00467818">
            <w:pPr>
              <w:snapToGrid w:val="0"/>
              <w:rPr>
                <w:b/>
                <w:bCs/>
              </w:rPr>
            </w:pPr>
            <w:r w:rsidRPr="00AB4D04">
              <w:rPr>
                <w:b/>
                <w:bCs/>
              </w:rPr>
              <w:t>Demographics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Gender (% female)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Age (year)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BMI (kg/m²)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bottom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55.9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19.2 ± 1.2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20.3 ± 2.6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bottom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56.8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19.1 ± 1.2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20.2 ± 2.8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bottom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56.8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19.2 ± 1.2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20.2 ± 2.9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440" w:type="dxa"/>
            <w:tcBorders>
              <w:bottom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54.1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19.2 ±1.3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20.4 ± 2.1</w:t>
            </w:r>
          </w:p>
          <w:p w:rsidR="00F40586" w:rsidRPr="00AB4D04" w:rsidRDefault="00F40586" w:rsidP="00467818">
            <w:pPr>
              <w:snapToGrid w:val="0"/>
            </w:pPr>
          </w:p>
        </w:tc>
      </w:tr>
      <w:tr w:rsidR="00F40586" w:rsidRPr="00AB4D04" w:rsidTr="00F40586">
        <w:trPr>
          <w:trHeight w:val="573"/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  <w:rPr>
                <w:b/>
                <w:bCs/>
              </w:rPr>
            </w:pPr>
            <w:r w:rsidRPr="00AB4D04">
              <w:rPr>
                <w:b/>
                <w:bCs/>
              </w:rPr>
              <w:t>Physical activity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Total PA Score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(MET·min/week)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1,314.2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± 672.3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1,325.2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± 632.0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1,228.0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± 656.4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1,389.3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± 733.1</w:t>
            </w:r>
          </w:p>
          <w:p w:rsidR="00F40586" w:rsidRPr="00AB4D04" w:rsidRDefault="00F40586" w:rsidP="00467818">
            <w:pPr>
              <w:snapToGrid w:val="0"/>
            </w:pPr>
          </w:p>
        </w:tc>
      </w:tr>
      <w:tr w:rsidR="00F40586" w:rsidRPr="00AB4D04" w:rsidTr="00F40586">
        <w:trPr>
          <w:trHeight w:val="573"/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</w:pPr>
            <w:r w:rsidRPr="00AB4D04">
              <w:rPr>
                <w:b/>
              </w:rPr>
              <w:t>Meeting the PA recommendation</w:t>
            </w:r>
            <w:r w:rsidRPr="00AB4D04">
              <w:t xml:space="preserve"> (%)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</w:pPr>
            <w:r w:rsidRPr="00AB4D04">
              <w:t>85.6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</w:pPr>
            <w:r w:rsidRPr="00AB4D04">
              <w:t>91.9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</w:pPr>
            <w:r w:rsidRPr="00AB4D04">
              <w:t>78.4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40586" w:rsidRPr="00AB4D04" w:rsidRDefault="00F40586" w:rsidP="00467818">
            <w:pPr>
              <w:snapToGrid w:val="0"/>
            </w:pPr>
            <w:r w:rsidRPr="00AB4D04">
              <w:t>86.5</w:t>
            </w:r>
          </w:p>
          <w:p w:rsidR="00F40586" w:rsidRPr="00AB4D04" w:rsidRDefault="00F40586" w:rsidP="00467818">
            <w:pPr>
              <w:snapToGrid w:val="0"/>
            </w:pPr>
          </w:p>
        </w:tc>
      </w:tr>
      <w:tr w:rsidR="00F40586" w:rsidRPr="00AB4D04" w:rsidTr="00F40586">
        <w:trPr>
          <w:trHeight w:val="573"/>
          <w:jc w:val="center"/>
        </w:trPr>
        <w:tc>
          <w:tcPr>
            <w:tcW w:w="2520" w:type="dxa"/>
            <w:tcBorders>
              <w:top w:val="nil"/>
            </w:tcBorders>
          </w:tcPr>
          <w:p w:rsidR="00F40586" w:rsidRPr="00AB4D04" w:rsidRDefault="00F40586" w:rsidP="00467818">
            <w:pPr>
              <w:snapToGrid w:val="0"/>
              <w:rPr>
                <w:b/>
                <w:bCs/>
              </w:rPr>
            </w:pPr>
            <w:r w:rsidRPr="00AB4D04">
              <w:rPr>
                <w:b/>
                <w:bCs/>
              </w:rPr>
              <w:t>Stages of change</w:t>
            </w:r>
          </w:p>
          <w:p w:rsidR="00F40586" w:rsidRPr="00AB4D04" w:rsidRDefault="00F40586" w:rsidP="00467818">
            <w:pPr>
              <w:snapToGrid w:val="0"/>
              <w:rPr>
                <w:lang w:val="fr-FR"/>
              </w:rPr>
            </w:pPr>
            <w:r w:rsidRPr="00AB4D04">
              <w:rPr>
                <w:lang w:val="fr-FR"/>
              </w:rPr>
              <w:t>Pre-contemplation (%)</w:t>
            </w:r>
          </w:p>
          <w:p w:rsidR="00F40586" w:rsidRPr="00AB4D04" w:rsidRDefault="00F40586" w:rsidP="00467818">
            <w:pPr>
              <w:snapToGrid w:val="0"/>
              <w:rPr>
                <w:lang w:val="fr-FR"/>
              </w:rPr>
            </w:pPr>
            <w:r w:rsidRPr="00AB4D04">
              <w:rPr>
                <w:lang w:val="fr-FR"/>
              </w:rPr>
              <w:t>Contemplation (%)</w:t>
            </w:r>
          </w:p>
          <w:p w:rsidR="00F40586" w:rsidRPr="00AB4D04" w:rsidRDefault="00F40586" w:rsidP="00467818">
            <w:pPr>
              <w:snapToGrid w:val="0"/>
              <w:rPr>
                <w:lang w:val="fr-FR"/>
              </w:rPr>
            </w:pPr>
            <w:r w:rsidRPr="00AB4D04">
              <w:rPr>
                <w:lang w:val="fr-FR"/>
              </w:rPr>
              <w:t>Preparation (%)</w:t>
            </w:r>
          </w:p>
          <w:p w:rsidR="00F40586" w:rsidRPr="00AB4D04" w:rsidRDefault="00F40586" w:rsidP="00467818">
            <w:pPr>
              <w:snapToGrid w:val="0"/>
              <w:rPr>
                <w:lang w:val="fr-FR"/>
              </w:rPr>
            </w:pPr>
            <w:r w:rsidRPr="00AB4D04">
              <w:rPr>
                <w:lang w:val="fr-FR"/>
              </w:rPr>
              <w:t>Action (%)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Maintenance (%)</w:t>
            </w:r>
          </w:p>
          <w:p w:rsidR="00F40586" w:rsidRPr="00AB4D04" w:rsidRDefault="00F40586" w:rsidP="00467818">
            <w:pPr>
              <w:snapToGrid w:val="0"/>
            </w:pPr>
          </w:p>
        </w:tc>
        <w:tc>
          <w:tcPr>
            <w:tcW w:w="1620" w:type="dxa"/>
            <w:tcBorders>
              <w:top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2.7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16.2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73.9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7.2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0</w:t>
            </w:r>
          </w:p>
        </w:tc>
        <w:tc>
          <w:tcPr>
            <w:tcW w:w="1620" w:type="dxa"/>
            <w:tcBorders>
              <w:top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2.7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16.2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73.0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8.1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0</w:t>
            </w:r>
          </w:p>
        </w:tc>
        <w:tc>
          <w:tcPr>
            <w:tcW w:w="1620" w:type="dxa"/>
            <w:tcBorders>
              <w:top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2.7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16.2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73.0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8.1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0</w:t>
            </w:r>
          </w:p>
        </w:tc>
        <w:tc>
          <w:tcPr>
            <w:tcW w:w="1440" w:type="dxa"/>
            <w:tcBorders>
              <w:top w:val="nil"/>
            </w:tcBorders>
          </w:tcPr>
          <w:p w:rsidR="00F40586" w:rsidRPr="00AB4D04" w:rsidRDefault="00F40586" w:rsidP="00467818">
            <w:pPr>
              <w:snapToGrid w:val="0"/>
            </w:pPr>
          </w:p>
          <w:p w:rsidR="00F40586" w:rsidRPr="00AB4D04" w:rsidRDefault="00F40586" w:rsidP="00467818">
            <w:pPr>
              <w:snapToGrid w:val="0"/>
            </w:pPr>
            <w:r w:rsidRPr="00AB4D04">
              <w:t>2.7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16.2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75.7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5.4</w:t>
            </w:r>
          </w:p>
          <w:p w:rsidR="00F40586" w:rsidRPr="00AB4D04" w:rsidRDefault="00F40586" w:rsidP="00467818">
            <w:pPr>
              <w:snapToGrid w:val="0"/>
            </w:pPr>
            <w:r w:rsidRPr="00AB4D04">
              <w:t>0</w:t>
            </w:r>
          </w:p>
        </w:tc>
      </w:tr>
    </w:tbl>
    <w:p w:rsidR="00F40586" w:rsidRPr="00AB4D04" w:rsidRDefault="00F40586" w:rsidP="00F40586">
      <w:pPr>
        <w:adjustRightInd w:val="0"/>
        <w:snapToGrid w:val="0"/>
        <w:rPr>
          <w:rFonts w:eastAsia="SimSun"/>
          <w:b/>
          <w:color w:val="000000"/>
          <w:lang w:eastAsia="zh-CN"/>
        </w:rPr>
      </w:pPr>
    </w:p>
    <w:p w:rsidR="00F40586" w:rsidRDefault="00F40586" w:rsidP="00F40586">
      <w:pPr>
        <w:snapToGrid w:val="0"/>
        <w:spacing w:line="480" w:lineRule="auto"/>
        <w:rPr>
          <w:rFonts w:eastAsia="SimSun"/>
          <w:color w:val="000000"/>
          <w:lang w:eastAsia="zh-CN"/>
        </w:rPr>
      </w:pPr>
      <w:r w:rsidRPr="00AB4D04">
        <w:rPr>
          <w:rFonts w:eastAsia="SimSun"/>
          <w:color w:val="000000"/>
          <w:lang w:eastAsia="zh-CN"/>
        </w:rPr>
        <w:t>BMI=body mass index; PA=physical activity.</w:t>
      </w:r>
    </w:p>
    <w:p w:rsidR="00F40586" w:rsidRDefault="00F40586" w:rsidP="00F40586">
      <w:pPr>
        <w:adjustRightInd w:val="0"/>
        <w:snapToGrid w:val="0"/>
      </w:pPr>
      <w:r w:rsidRPr="00AB4D04">
        <w:t xml:space="preserve"> </w:t>
      </w:r>
    </w:p>
    <w:p w:rsidR="00F40586" w:rsidRDefault="00F40586">
      <w:pPr>
        <w:spacing w:after="200" w:line="276" w:lineRule="auto"/>
        <w:rPr>
          <w:rFonts w:asciiTheme="minorHAnsi" w:hAnsiTheme="minorHAnsi"/>
          <w:b/>
          <w:bCs/>
          <w:sz w:val="36"/>
          <w:lang w:eastAsia="ja-JP"/>
        </w:rPr>
      </w:pPr>
      <w:r>
        <w:rPr>
          <w:rFonts w:asciiTheme="minorHAnsi" w:hAnsiTheme="minorHAnsi"/>
          <w:b/>
          <w:bCs/>
          <w:sz w:val="36"/>
        </w:rPr>
        <w:br w:type="page"/>
      </w:r>
    </w:p>
    <w:p w:rsidR="00F40586" w:rsidRPr="00F40586" w:rsidRDefault="00F40586" w:rsidP="00F40586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lastRenderedPageBreak/>
        <w:t>Outcome Measures</w:t>
      </w:r>
    </w:p>
    <w:p w:rsidR="00F40586" w:rsidRPr="00F40586" w:rsidRDefault="00F40586" w:rsidP="00F40586">
      <w:pPr>
        <w:pStyle w:val="NoSpacing"/>
        <w:ind w:left="720"/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F40586" w:rsidRPr="00777BFA" w:rsidRDefault="00F40586" w:rsidP="00F40586">
      <w:pPr>
        <w:adjustRightInd w:val="0"/>
        <w:snapToGrid w:val="0"/>
        <w:rPr>
          <w:rFonts w:eastAsia="SimSun"/>
          <w:color w:val="000000"/>
          <w:lang w:eastAsia="zh-CN"/>
        </w:rPr>
      </w:pPr>
      <w:r w:rsidRPr="00777BFA">
        <w:rPr>
          <w:rFonts w:eastAsia="SimSun"/>
          <w:lang w:eastAsia="zh-CN"/>
        </w:rPr>
        <w:t>Mean PA scores (MET·min per week) at baseline, 3</w:t>
      </w:r>
      <w:r w:rsidRPr="00777BFA">
        <w:rPr>
          <w:rFonts w:eastAsia="SimSun"/>
          <w:vertAlign w:val="superscript"/>
          <w:lang w:eastAsia="zh-CN"/>
        </w:rPr>
        <w:t>rd</w:t>
      </w:r>
      <w:r w:rsidRPr="00777BFA">
        <w:rPr>
          <w:rFonts w:eastAsia="SimSun"/>
          <w:lang w:eastAsia="zh-CN"/>
        </w:rPr>
        <w:t xml:space="preserve"> month and 6</w:t>
      </w:r>
      <w:r w:rsidRPr="00777BFA">
        <w:rPr>
          <w:rFonts w:eastAsia="SimSun"/>
          <w:vertAlign w:val="superscript"/>
          <w:lang w:eastAsia="zh-CN"/>
        </w:rPr>
        <w:t>th</w:t>
      </w:r>
      <w:r w:rsidRPr="00777BFA">
        <w:rPr>
          <w:rFonts w:eastAsia="SimSun"/>
          <w:lang w:eastAsia="zh-CN"/>
        </w:rPr>
        <w:t xml:space="preserve"> month assessments</w:t>
      </w:r>
      <w:r w:rsidRPr="00777BFA">
        <w:rPr>
          <w:rFonts w:eastAsia="SimSun"/>
          <w:color w:val="000000"/>
          <w:lang w:eastAsia="zh-CN"/>
        </w:rPr>
        <w:t xml:space="preserve"> </w:t>
      </w:r>
    </w:p>
    <w:p w:rsidR="00F40586" w:rsidRDefault="00F40586" w:rsidP="00F40586">
      <w:pPr>
        <w:adjustRightInd w:val="0"/>
        <w:snapToGrid w:val="0"/>
        <w:rPr>
          <w:rFonts w:eastAsia="SimSun"/>
          <w:color w:val="000000"/>
          <w:lang w:eastAsia="zh-CN"/>
        </w:rPr>
      </w:pPr>
    </w:p>
    <w:tbl>
      <w:tblPr>
        <w:tblW w:w="94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67"/>
        <w:gridCol w:w="1791"/>
        <w:gridCol w:w="1792"/>
        <w:gridCol w:w="1994"/>
        <w:gridCol w:w="1798"/>
      </w:tblGrid>
      <w:tr w:rsidR="00F40586" w:rsidTr="00467818">
        <w:trPr>
          <w:trHeight w:val="539"/>
        </w:trPr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F2F Group</w:t>
            </w:r>
          </w:p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(n = 36)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IB Group</w:t>
            </w:r>
          </w:p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(n = 36)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 Group</w:t>
            </w:r>
          </w:p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(n = 34)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i/>
                <w:lang w:eastAsia="zh-CN"/>
              </w:rPr>
            </w:pPr>
            <w:r>
              <w:rPr>
                <w:rFonts w:eastAsia="SimSun"/>
                <w:i/>
                <w:lang w:eastAsia="zh-CN"/>
              </w:rPr>
              <w:t>F</w:t>
            </w:r>
          </w:p>
        </w:tc>
      </w:tr>
      <w:tr w:rsidR="00F40586" w:rsidTr="00467818">
        <w:trPr>
          <w:trHeight w:val="438"/>
        </w:trPr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Baseline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1,330.8 ± 640.0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1,213.2 ± 659.4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1,414.9 ± 758.9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</w:p>
        </w:tc>
      </w:tr>
      <w:tr w:rsidR="00F40586" w:rsidTr="00467818">
        <w:trPr>
          <w:trHeight w:val="420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>
              <w:rPr>
                <w:rFonts w:eastAsia="SimSun"/>
                <w:vertAlign w:val="superscript"/>
                <w:lang w:eastAsia="zh-CN"/>
              </w:rPr>
              <w:t>rd</w:t>
            </w:r>
            <w:r>
              <w:rPr>
                <w:rFonts w:eastAsia="SimSun"/>
                <w:lang w:eastAsia="zh-CN"/>
              </w:rPr>
              <w:t xml:space="preserve"> month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1,849.2</w:t>
            </w: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± 1,234.3</w:t>
            </w:r>
            <w:r>
              <w:rPr>
                <w:rFonts w:eastAsia="SimSun"/>
                <w:b/>
                <w:bCs/>
                <w:lang w:eastAsia="zh-CN"/>
              </w:rPr>
              <w:t>*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1,689.8 ± 1,085.2</w:t>
            </w:r>
            <w:r>
              <w:rPr>
                <w:rFonts w:eastAsia="SimSun"/>
                <w:b/>
                <w:bCs/>
                <w:lang w:eastAsia="zh-CN"/>
              </w:rP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1,393.5 ± 870.2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F2F: 8.364</w:t>
            </w:r>
          </w:p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IB: 7.958</w:t>
            </w:r>
          </w:p>
        </w:tc>
      </w:tr>
      <w:tr w:rsidR="00F40586" w:rsidTr="00467818">
        <w:trPr>
          <w:trHeight w:val="638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Mean Difference (3</w:t>
            </w:r>
            <w:r>
              <w:rPr>
                <w:rFonts w:eastAsia="SimSun"/>
                <w:vertAlign w:val="superscript"/>
                <w:lang w:eastAsia="zh-CN"/>
              </w:rPr>
              <w:t>rd</w:t>
            </w:r>
            <w:r>
              <w:rPr>
                <w:rFonts w:eastAsia="SimSun"/>
                <w:lang w:eastAsia="zh-CN"/>
              </w:rPr>
              <w:t xml:space="preserve"> month-baseline)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518.4</w:t>
            </w:r>
            <w:r>
              <w:rPr>
                <w:rFonts w:eastAsia="SimSun"/>
                <w:bCs/>
                <w:vertAlign w:val="superscript"/>
                <w:lang w:eastAsia="zh-CN"/>
              </w:rPr>
              <w:t>#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476.6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-21.4</w:t>
            </w:r>
          </w:p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</w:p>
        </w:tc>
      </w:tr>
      <w:tr w:rsidR="00F40586" w:rsidTr="00467818">
        <w:trPr>
          <w:trHeight w:val="426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6</w:t>
            </w:r>
            <w:r>
              <w:rPr>
                <w:rFonts w:eastAsia="SimSun"/>
                <w:vertAlign w:val="superscript"/>
                <w:lang w:eastAsia="zh-CN"/>
              </w:rPr>
              <w:t>th</w:t>
            </w:r>
            <w:r>
              <w:rPr>
                <w:rFonts w:eastAsia="SimSun"/>
                <w:lang w:eastAsia="zh-CN"/>
              </w:rPr>
              <w:t xml:space="preserve"> month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1,880.0</w:t>
            </w: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± 1,238.7</w:t>
            </w:r>
            <w:r>
              <w:rPr>
                <w:rFonts w:eastAsia="SimSun"/>
                <w:b/>
                <w:bCs/>
                <w:lang w:eastAsia="zh-CN"/>
              </w:rPr>
              <w:t>*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1,738.2 ± 1287.9</w:t>
            </w:r>
            <w:r>
              <w:rPr>
                <w:rFonts w:eastAsia="SimSun"/>
                <w:b/>
                <w:bCs/>
                <w:lang w:eastAsia="zh-CN"/>
              </w:rPr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1,252.1 ± 728.5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F2F: 7.625</w:t>
            </w:r>
          </w:p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IB: 6.259</w:t>
            </w:r>
          </w:p>
        </w:tc>
      </w:tr>
      <w:tr w:rsidR="00F40586" w:rsidTr="00467818">
        <w:trPr>
          <w:trHeight w:val="536"/>
        </w:trPr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0586" w:rsidRDefault="00F40586" w:rsidP="00467818">
            <w:pPr>
              <w:snapToGri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Mean Difference</w:t>
            </w:r>
          </w:p>
          <w:p w:rsidR="00F40586" w:rsidRDefault="00F40586" w:rsidP="00467818">
            <w:pPr>
              <w:snapToGrid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(6</w:t>
            </w:r>
            <w:r>
              <w:rPr>
                <w:rFonts w:eastAsia="SimSun"/>
                <w:vertAlign w:val="superscript"/>
                <w:lang w:eastAsia="zh-CN"/>
              </w:rPr>
              <w:t>th</w:t>
            </w:r>
            <w:r>
              <w:rPr>
                <w:rFonts w:eastAsia="SimSun"/>
                <w:lang w:eastAsia="zh-CN"/>
              </w:rPr>
              <w:t xml:space="preserve"> month-baseline)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lang w:eastAsia="zh-CN"/>
              </w:rPr>
              <w:t>549.2</w:t>
            </w:r>
            <w:r>
              <w:rPr>
                <w:rFonts w:eastAsia="SimSun"/>
                <w:bCs/>
                <w:vertAlign w:val="superscript"/>
                <w:lang w:eastAsia="zh-CN"/>
              </w:rPr>
              <w:t>#</w:t>
            </w:r>
            <w:r>
              <w:rPr>
                <w:rFonts w:eastAsia="SimSun"/>
                <w:b/>
                <w:bCs/>
                <w:lang w:eastAsia="zh-CN"/>
              </w:rPr>
              <w:t xml:space="preserve">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525.0</w:t>
            </w:r>
            <w:r>
              <w:rPr>
                <w:rFonts w:eastAsia="SimSun"/>
                <w:bCs/>
                <w:vertAlign w:val="superscript"/>
                <w:lang w:eastAsia="zh-CN"/>
              </w:rPr>
              <w:t>#</w:t>
            </w:r>
            <w:r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-162.8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586" w:rsidRDefault="00F40586" w:rsidP="00467818">
            <w:pPr>
              <w:snapToGrid w:val="0"/>
              <w:spacing w:line="360" w:lineRule="auto"/>
              <w:rPr>
                <w:rFonts w:eastAsia="SimSun"/>
                <w:lang w:eastAsia="zh-CN"/>
              </w:rPr>
            </w:pPr>
          </w:p>
        </w:tc>
      </w:tr>
    </w:tbl>
    <w:p w:rsidR="00F40586" w:rsidRDefault="00F40586" w:rsidP="00F40586">
      <w:pPr>
        <w:snapToGrid w:val="0"/>
        <w:rPr>
          <w:rFonts w:eastAsia="SimSun"/>
          <w:b/>
          <w:bCs/>
          <w:lang w:eastAsia="zh-CN"/>
        </w:rPr>
      </w:pPr>
    </w:p>
    <w:p w:rsidR="00F40586" w:rsidRDefault="00F40586" w:rsidP="00F40586">
      <w:pPr>
        <w:snapToGrid w:val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*</w:t>
      </w:r>
      <w:r>
        <w:rPr>
          <w:rFonts w:eastAsia="SimSun"/>
          <w:lang w:eastAsia="zh-CN"/>
        </w:rPr>
        <w:t>p &lt; 0.05, compared with baseline data within group</w:t>
      </w:r>
    </w:p>
    <w:p w:rsidR="00F40586" w:rsidRDefault="00F40586" w:rsidP="00F40586">
      <w:pPr>
        <w:snapToGrid w:val="0"/>
        <w:spacing w:line="480" w:lineRule="auto"/>
        <w:rPr>
          <w:rFonts w:eastAsia="SimSun"/>
          <w:lang w:eastAsia="zh-CN"/>
        </w:rPr>
      </w:pPr>
      <w:r>
        <w:rPr>
          <w:rFonts w:eastAsia="SimSun"/>
          <w:bCs/>
          <w:vertAlign w:val="superscript"/>
          <w:lang w:eastAsia="zh-CN"/>
        </w:rPr>
        <w:t>#</w:t>
      </w:r>
      <w:r>
        <w:rPr>
          <w:rFonts w:eastAsia="SimSun"/>
          <w:lang w:eastAsia="zh-CN"/>
        </w:rPr>
        <w:t>p &lt; 0.05, compared with C group</w:t>
      </w:r>
    </w:p>
    <w:p w:rsidR="00F40586" w:rsidRPr="00777BFA" w:rsidRDefault="00F40586" w:rsidP="00F40586">
      <w:pPr>
        <w:adjustRightInd w:val="0"/>
        <w:snapToGrid w:val="0"/>
        <w:rPr>
          <w:bCs/>
        </w:rPr>
      </w:pPr>
      <w:r w:rsidRPr="00777BFA">
        <w:rPr>
          <w:bCs/>
        </w:rPr>
        <w:t>Stages of change at baseline, 3</w:t>
      </w:r>
      <w:r w:rsidRPr="00777BFA">
        <w:rPr>
          <w:bCs/>
          <w:vertAlign w:val="superscript"/>
        </w:rPr>
        <w:t>rd</w:t>
      </w:r>
      <w:r w:rsidRPr="00777BFA">
        <w:rPr>
          <w:bCs/>
        </w:rPr>
        <w:t xml:space="preserve"> and 6</w:t>
      </w:r>
      <w:r w:rsidRPr="00777BFA">
        <w:rPr>
          <w:bCs/>
          <w:vertAlign w:val="superscript"/>
        </w:rPr>
        <w:t>th</w:t>
      </w:r>
      <w:r w:rsidRPr="00777BFA">
        <w:rPr>
          <w:bCs/>
        </w:rPr>
        <w:t xml:space="preserve"> month assessments</w:t>
      </w:r>
    </w:p>
    <w:p w:rsidR="00F40586" w:rsidRDefault="00F40586" w:rsidP="00F40586">
      <w:pPr>
        <w:adjustRightInd w:val="0"/>
        <w:snapToGrid w:val="0"/>
        <w:rPr>
          <w:bCs/>
        </w:rPr>
      </w:pPr>
    </w:p>
    <w:tbl>
      <w:tblPr>
        <w:tblW w:w="9172" w:type="dxa"/>
        <w:jc w:val="center"/>
        <w:tblCellSpacing w:w="0" w:type="dxa"/>
        <w:tblBorders>
          <w:top w:val="single" w:sz="6" w:space="0" w:color="000000"/>
          <w:bottom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675"/>
        <w:gridCol w:w="624"/>
        <w:gridCol w:w="694"/>
        <w:gridCol w:w="237"/>
        <w:gridCol w:w="701"/>
        <w:gridCol w:w="836"/>
        <w:gridCol w:w="753"/>
        <w:gridCol w:w="176"/>
        <w:gridCol w:w="883"/>
        <w:gridCol w:w="846"/>
        <w:gridCol w:w="870"/>
      </w:tblGrid>
      <w:tr w:rsidR="00F40586" w:rsidTr="00467818">
        <w:trPr>
          <w:trHeight w:val="446"/>
          <w:tblCellSpacing w:w="0" w:type="dxa"/>
          <w:jc w:val="center"/>
        </w:trPr>
        <w:tc>
          <w:tcPr>
            <w:tcW w:w="187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40586" w:rsidRDefault="00F40586" w:rsidP="00467818">
            <w:pPr>
              <w:snapToGrid w:val="0"/>
              <w:spacing w:line="360" w:lineRule="auto"/>
            </w:pPr>
          </w:p>
          <w:p w:rsidR="00F40586" w:rsidRDefault="00F40586" w:rsidP="00467818">
            <w:pPr>
              <w:snapToGrid w:val="0"/>
              <w:spacing w:line="360" w:lineRule="auto"/>
            </w:pPr>
          </w:p>
        </w:tc>
        <w:tc>
          <w:tcPr>
            <w:tcW w:w="199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Baseline</w:t>
            </w:r>
          </w:p>
        </w:tc>
        <w:tc>
          <w:tcPr>
            <w:tcW w:w="23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229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Month</w:t>
            </w: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259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t xml:space="preserve"> Month</w:t>
            </w:r>
          </w:p>
        </w:tc>
      </w:tr>
      <w:tr w:rsidR="00F40586" w:rsidTr="00467818">
        <w:trPr>
          <w:trHeight w:val="874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40586" w:rsidRDefault="00F40586" w:rsidP="00467818"/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jc w:val="center"/>
            </w:pPr>
            <w:r>
              <w:t>F2F</w:t>
            </w:r>
          </w:p>
          <w:p w:rsidR="00F40586" w:rsidRDefault="00F40586" w:rsidP="00467818">
            <w:pPr>
              <w:snapToGrid w:val="0"/>
              <w:jc w:val="center"/>
            </w:pPr>
            <w:r>
              <w:t>(n = 36)</w:t>
            </w:r>
          </w:p>
        </w:tc>
        <w:tc>
          <w:tcPr>
            <w:tcW w:w="6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jc w:val="center"/>
            </w:pPr>
            <w:r>
              <w:t>IB</w:t>
            </w:r>
          </w:p>
          <w:p w:rsidR="00F40586" w:rsidRDefault="00F40586" w:rsidP="00467818">
            <w:pPr>
              <w:snapToGrid w:val="0"/>
              <w:jc w:val="center"/>
            </w:pPr>
            <w:r>
              <w:t>(n = 36)</w:t>
            </w:r>
          </w:p>
        </w:tc>
        <w:tc>
          <w:tcPr>
            <w:tcW w:w="6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jc w:val="center"/>
            </w:pPr>
            <w:r>
              <w:t>C</w:t>
            </w:r>
          </w:p>
          <w:p w:rsidR="00F40586" w:rsidRDefault="00F40586" w:rsidP="00467818">
            <w:pPr>
              <w:snapToGrid w:val="0"/>
              <w:jc w:val="center"/>
            </w:pPr>
            <w:r>
              <w:t>(n = 34)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jc w:val="center"/>
            </w:pPr>
          </w:p>
        </w:tc>
        <w:tc>
          <w:tcPr>
            <w:tcW w:w="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jc w:val="center"/>
            </w:pPr>
            <w:r>
              <w:t>F2F</w:t>
            </w:r>
            <w:r>
              <w:rPr>
                <w:rFonts w:eastAsia="SimSun"/>
                <w:b/>
                <w:bCs/>
                <w:vertAlign w:val="superscript"/>
                <w:lang w:eastAsia="zh-CN"/>
              </w:rPr>
              <w:t xml:space="preserve"> </w:t>
            </w:r>
            <w:r>
              <w:rPr>
                <w:rFonts w:eastAsia="AdvTT6120e2aa+20"/>
                <w:vertAlign w:val="superscript"/>
                <w:lang w:eastAsia="zh-CN"/>
              </w:rPr>
              <w:t>†</w:t>
            </w:r>
          </w:p>
          <w:p w:rsidR="00F40586" w:rsidRDefault="00F40586" w:rsidP="00467818">
            <w:pPr>
              <w:snapToGrid w:val="0"/>
              <w:jc w:val="center"/>
            </w:pPr>
            <w:r>
              <w:t>(n = 36)</w:t>
            </w:r>
          </w:p>
        </w:tc>
        <w:tc>
          <w:tcPr>
            <w:tcW w:w="8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jc w:val="center"/>
              <w:rPr>
                <w:b/>
                <w:bCs/>
              </w:rPr>
            </w:pPr>
            <w:r>
              <w:t>IB</w:t>
            </w:r>
            <w:r>
              <w:rPr>
                <w:rFonts w:eastAsia="SimSun"/>
                <w:bCs/>
                <w:vertAlign w:val="superscript"/>
              </w:rPr>
              <w:t>*</w:t>
            </w:r>
          </w:p>
          <w:p w:rsidR="00F40586" w:rsidRDefault="00F40586" w:rsidP="00467818">
            <w:pPr>
              <w:snapToGrid w:val="0"/>
              <w:jc w:val="center"/>
            </w:pPr>
            <w:r>
              <w:t>(n = 36)</w:t>
            </w:r>
          </w:p>
        </w:tc>
        <w:tc>
          <w:tcPr>
            <w:tcW w:w="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jc w:val="center"/>
            </w:pPr>
            <w:r>
              <w:t>C</w:t>
            </w:r>
            <w:r>
              <w:rPr>
                <w:rFonts w:eastAsia="SimSun"/>
                <w:b/>
                <w:bCs/>
                <w:vertAlign w:val="superscript"/>
                <w:lang w:eastAsia="zh-CN"/>
              </w:rPr>
              <w:t xml:space="preserve"> </w:t>
            </w:r>
            <w:r>
              <w:rPr>
                <w:rFonts w:eastAsia="AdvTT6120e2aa+20"/>
                <w:vertAlign w:val="superscript"/>
                <w:lang w:eastAsia="zh-CN"/>
              </w:rPr>
              <w:t>†</w:t>
            </w:r>
          </w:p>
          <w:p w:rsidR="00F40586" w:rsidRDefault="00F40586" w:rsidP="00467818">
            <w:pPr>
              <w:snapToGrid w:val="0"/>
              <w:jc w:val="center"/>
            </w:pPr>
            <w:r>
              <w:t>(n = 34)</w:t>
            </w:r>
          </w:p>
        </w:tc>
        <w:tc>
          <w:tcPr>
            <w:tcW w:w="17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jc w:val="center"/>
            </w:pPr>
          </w:p>
        </w:tc>
        <w:tc>
          <w:tcPr>
            <w:tcW w:w="8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jc w:val="center"/>
            </w:pPr>
            <w:r>
              <w:t>F2F</w:t>
            </w:r>
            <w:r>
              <w:rPr>
                <w:bCs/>
                <w:vertAlign w:val="superscript"/>
              </w:rPr>
              <w:t>*</w:t>
            </w:r>
          </w:p>
          <w:p w:rsidR="00F40586" w:rsidRDefault="00F40586" w:rsidP="00467818">
            <w:pPr>
              <w:snapToGrid w:val="0"/>
              <w:jc w:val="center"/>
            </w:pPr>
            <w:r>
              <w:t>(n = 36)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jc w:val="center"/>
              <w:rPr>
                <w:b/>
                <w:bCs/>
              </w:rPr>
            </w:pPr>
            <w:r>
              <w:t>IB</w:t>
            </w:r>
            <w:r>
              <w:rPr>
                <w:bCs/>
                <w:vertAlign w:val="superscript"/>
              </w:rPr>
              <w:t>*</w:t>
            </w:r>
            <w:r>
              <w:rPr>
                <w:b/>
                <w:bCs/>
              </w:rPr>
              <w:t xml:space="preserve"> </w:t>
            </w:r>
          </w:p>
          <w:p w:rsidR="00F40586" w:rsidRDefault="00F40586" w:rsidP="00467818">
            <w:pPr>
              <w:snapToGrid w:val="0"/>
              <w:jc w:val="center"/>
            </w:pPr>
            <w:r>
              <w:t>(n = 36)</w:t>
            </w:r>
            <w:r>
              <w:rPr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8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jc w:val="center"/>
            </w:pPr>
            <w:r>
              <w:t>C</w:t>
            </w:r>
          </w:p>
          <w:p w:rsidR="00F40586" w:rsidRDefault="00F40586" w:rsidP="00467818">
            <w:pPr>
              <w:snapToGrid w:val="0"/>
              <w:jc w:val="center"/>
            </w:pPr>
            <w:r>
              <w:t>(n = 34)</w:t>
            </w:r>
          </w:p>
        </w:tc>
      </w:tr>
      <w:tr w:rsidR="00F40586" w:rsidTr="00467818">
        <w:trPr>
          <w:trHeight w:val="600"/>
          <w:tblCellSpacing w:w="0" w:type="dxa"/>
          <w:jc w:val="center"/>
        </w:trPr>
        <w:tc>
          <w:tcPr>
            <w:tcW w:w="1878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Pre-contemplation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23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70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83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75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88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  <w:tr w:rsidR="00F40586" w:rsidTr="00467818">
        <w:trPr>
          <w:trHeight w:val="600"/>
          <w:tblCellSpacing w:w="0" w:type="dxa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Contemplation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</w:tr>
      <w:tr w:rsidR="00F40586" w:rsidTr="00467818">
        <w:trPr>
          <w:trHeight w:val="600"/>
          <w:tblCellSpacing w:w="0" w:type="dxa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Preparation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26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26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28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19</w:t>
            </w:r>
          </w:p>
        </w:tc>
      </w:tr>
      <w:tr w:rsidR="00F40586" w:rsidTr="00467818">
        <w:trPr>
          <w:trHeight w:val="600"/>
          <w:tblCellSpacing w:w="0" w:type="dxa"/>
          <w:jc w:val="center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Action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6</w:t>
            </w:r>
          </w:p>
        </w:tc>
      </w:tr>
      <w:tr w:rsidR="00F40586" w:rsidTr="00467818">
        <w:trPr>
          <w:trHeight w:val="584"/>
          <w:tblCellSpacing w:w="0" w:type="dxa"/>
          <w:jc w:val="center"/>
        </w:trPr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F40586" w:rsidRDefault="00F40586" w:rsidP="00467818">
            <w:pPr>
              <w:snapToGrid w:val="0"/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 xml:space="preserve">Maintenance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40586" w:rsidRDefault="00F40586" w:rsidP="00467818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</w:tr>
    </w:tbl>
    <w:p w:rsidR="00F40586" w:rsidRDefault="00F40586" w:rsidP="00F40586">
      <w:pPr>
        <w:snapToGrid w:val="0"/>
      </w:pPr>
    </w:p>
    <w:p w:rsidR="00F40586" w:rsidRDefault="00F40586" w:rsidP="00F40586">
      <w:pPr>
        <w:snapToGrid w:val="0"/>
      </w:pPr>
      <w:r>
        <w:t xml:space="preserve">Wilcoxin Signed Ranks Tests: </w:t>
      </w:r>
      <w:r>
        <w:rPr>
          <w:rFonts w:ascii="SimSun" w:eastAsia="SimSun" w:hAnsi="SimSun" w:cs="SimSun" w:hint="eastAsia"/>
          <w:vertAlign w:val="superscript"/>
        </w:rPr>
        <w:t xml:space="preserve">* </w:t>
      </w:r>
      <w:r>
        <w:rPr>
          <w:iCs/>
        </w:rPr>
        <w:t>p</w:t>
      </w:r>
      <w:r>
        <w:rPr>
          <w:i/>
          <w:iCs/>
        </w:rPr>
        <w:t xml:space="preserve"> </w:t>
      </w:r>
      <w:r>
        <w:t xml:space="preserve">&lt; 0.05 compared with baseline within groups. </w:t>
      </w:r>
    </w:p>
    <w:p w:rsidR="00F40586" w:rsidRPr="00AB4D04" w:rsidRDefault="00F40586" w:rsidP="00F40586">
      <w:pPr>
        <w:snapToGrid w:val="0"/>
        <w:spacing w:line="480" w:lineRule="auto"/>
      </w:pPr>
      <w:r>
        <w:t xml:space="preserve">Mann-Whitney Tests:  </w:t>
      </w:r>
      <w:r>
        <w:rPr>
          <w:rFonts w:eastAsia="AdvTT6120e2aa+20"/>
          <w:vertAlign w:val="superscript"/>
          <w:lang w:eastAsia="zh-CN"/>
        </w:rPr>
        <w:t>†</w:t>
      </w:r>
      <w:r>
        <w:rPr>
          <w:iCs/>
        </w:rPr>
        <w:t xml:space="preserve"> p</w:t>
      </w:r>
      <w:r>
        <w:rPr>
          <w:i/>
          <w:iCs/>
        </w:rPr>
        <w:t xml:space="preserve"> </w:t>
      </w:r>
      <w:r>
        <w:t>&lt; 0.05, compared with IB group</w:t>
      </w:r>
      <w:r>
        <w:fldChar w:fldCharType="begin"/>
      </w:r>
      <w:r>
        <w:instrText xml:space="preserve"> ADDIN </w:instrText>
      </w:r>
      <w:r>
        <w:fldChar w:fldCharType="end"/>
      </w:r>
      <w:r>
        <w:t>.</w:t>
      </w:r>
    </w:p>
    <w:p w:rsidR="00F40586" w:rsidRDefault="00F40586">
      <w:pPr>
        <w:spacing w:after="200" w:line="276" w:lineRule="auto"/>
        <w:rPr>
          <w:rFonts w:asciiTheme="minorHAnsi" w:hAnsiTheme="minorHAnsi"/>
          <w:b/>
          <w:bCs/>
          <w:sz w:val="40"/>
        </w:rPr>
      </w:pPr>
      <w:r>
        <w:rPr>
          <w:rFonts w:asciiTheme="minorHAnsi" w:hAnsiTheme="minorHAnsi"/>
          <w:b/>
          <w:bCs/>
          <w:sz w:val="40"/>
        </w:rPr>
        <w:br w:type="page"/>
      </w:r>
    </w:p>
    <w:p w:rsidR="00E72BF6" w:rsidRPr="00F40586" w:rsidRDefault="00F40586" w:rsidP="00F40586">
      <w:pPr>
        <w:rPr>
          <w:rFonts w:asciiTheme="minorHAnsi" w:hAnsiTheme="minorHAnsi"/>
          <w:b/>
          <w:bCs/>
          <w:sz w:val="36"/>
        </w:rPr>
      </w:pPr>
      <w:r w:rsidRPr="00F40586">
        <w:rPr>
          <w:rFonts w:asciiTheme="minorHAnsi" w:hAnsiTheme="minorHAnsi"/>
          <w:b/>
          <w:bCs/>
          <w:sz w:val="36"/>
        </w:rPr>
        <w:lastRenderedPageBreak/>
        <w:t>Adverse Events</w:t>
      </w:r>
    </w:p>
    <w:p w:rsidR="00F40586" w:rsidRDefault="00F40586" w:rsidP="00F40586">
      <w:pPr>
        <w:ind w:left="720"/>
        <w:rPr>
          <w:rFonts w:asciiTheme="minorHAnsi" w:hAnsiTheme="minorHAnsi"/>
        </w:rPr>
      </w:pPr>
    </w:p>
    <w:p w:rsidR="00F40586" w:rsidRDefault="00F40586" w:rsidP="00F40586">
      <w:pPr>
        <w:ind w:left="720"/>
        <w:rPr>
          <w:rFonts w:asciiTheme="minorHAnsi" w:hAnsiTheme="minorHAnsi"/>
        </w:rPr>
      </w:pPr>
    </w:p>
    <w:p w:rsidR="00F40586" w:rsidRPr="00F40586" w:rsidRDefault="00F40586" w:rsidP="00F40586">
      <w:pPr>
        <w:rPr>
          <w:rFonts w:asciiTheme="minorHAnsi" w:hAnsiTheme="minorHAnsi"/>
        </w:rPr>
      </w:pPr>
      <w:r w:rsidRPr="00F40586">
        <w:rPr>
          <w:bCs/>
        </w:rPr>
        <w:t>No adverse events associated with this trial.</w:t>
      </w:r>
    </w:p>
    <w:sectPr w:rsidR="00F40586" w:rsidRPr="00F4058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D1" w:rsidRDefault="008626D1" w:rsidP="00F40586">
      <w:r>
        <w:separator/>
      </w:r>
    </w:p>
  </w:endnote>
  <w:endnote w:type="continuationSeparator" w:id="0">
    <w:p w:rsidR="008626D1" w:rsidRDefault="008626D1" w:rsidP="00F4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6120e2aa+20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1585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0586" w:rsidRDefault="00F405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D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D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0586" w:rsidRDefault="00F40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D1" w:rsidRDefault="008626D1" w:rsidP="00F40586">
      <w:r>
        <w:separator/>
      </w:r>
    </w:p>
  </w:footnote>
  <w:footnote w:type="continuationSeparator" w:id="0">
    <w:p w:rsidR="008626D1" w:rsidRDefault="008626D1" w:rsidP="00F4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76653"/>
    <w:multiLevelType w:val="hybridMultilevel"/>
    <w:tmpl w:val="BED6B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86"/>
    <w:rsid w:val="008626D1"/>
    <w:rsid w:val="00866D2D"/>
    <w:rsid w:val="00E72BF6"/>
    <w:rsid w:val="00F4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58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F40586"/>
    <w:rPr>
      <w:rFonts w:ascii="Times New Roman" w:hAnsi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F40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058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F40586"/>
    <w:rPr>
      <w:rFonts w:ascii="Times New Roman" w:hAnsi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F40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05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Faure</dc:creator>
  <cp:lastModifiedBy>Lippman, Hannah, BioMed Central Ltd.</cp:lastModifiedBy>
  <cp:revision>2</cp:revision>
  <dcterms:created xsi:type="dcterms:W3CDTF">2016-05-26T08:01:00Z</dcterms:created>
  <dcterms:modified xsi:type="dcterms:W3CDTF">2016-05-26T08:01:00Z</dcterms:modified>
</cp:coreProperties>
</file>