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34" w:rsidRDefault="00880004" w:rsidP="00880004">
      <w:pPr>
        <w:pStyle w:val="Title"/>
        <w:rPr>
          <w:rFonts w:hint="eastAsia"/>
          <w:lang w:val="en-US"/>
        </w:rPr>
      </w:pPr>
      <w:r>
        <w:rPr>
          <w:b/>
          <w:bCs/>
          <w:lang w:val="en-US"/>
        </w:rPr>
        <w:t>Participant flow</w:t>
      </w:r>
    </w:p>
    <w:p w:rsidR="00896F34" w:rsidRDefault="00E96909" w:rsidP="00880004">
      <w:pPr>
        <w:pStyle w:val="Title"/>
        <w:rPr>
          <w:rFonts w:hint="eastAsia"/>
          <w:b/>
          <w:lang w:val="en-US"/>
        </w:rPr>
      </w:pPr>
      <w:r>
        <w:rPr>
          <w:b/>
          <w:noProof/>
          <w:lang w:val="en-GB" w:eastAsia="en-GB"/>
        </w:rPr>
        <w:drawing>
          <wp:inline distT="0" distB="0" distL="0" distR="0" wp14:anchorId="54A4DF40" wp14:editId="54156A7F">
            <wp:extent cx="5400040" cy="3035935"/>
            <wp:effectExtent l="19050" t="0" r="0" b="0"/>
            <wp:docPr id="2" name="Imagem 1" descr="eligible-pati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gible-patient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34" w:rsidRDefault="00E96909" w:rsidP="00880004">
      <w:pPr>
        <w:pStyle w:val="Title"/>
        <w:rPr>
          <w:rFonts w:hint="eastAsia"/>
          <w:b/>
          <w:lang w:val="en-US"/>
        </w:rPr>
      </w:pPr>
      <w:r>
        <w:br w:type="page"/>
      </w:r>
    </w:p>
    <w:p w:rsidR="00896F34" w:rsidRDefault="00880004" w:rsidP="00880004">
      <w:pPr>
        <w:pStyle w:val="Title"/>
        <w:rPr>
          <w:rFonts w:hint="eastAsia"/>
          <w:lang w:val="en-US"/>
        </w:rPr>
      </w:pPr>
      <w:r>
        <w:rPr>
          <w:b/>
          <w:lang w:val="en-US"/>
        </w:rPr>
        <w:lastRenderedPageBreak/>
        <w:t>Baseline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4"/>
        <w:gridCol w:w="1604"/>
        <w:gridCol w:w="1604"/>
        <w:gridCol w:w="1603"/>
        <w:gridCol w:w="1435"/>
      </w:tblGrid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Variable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Ozone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Placebo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p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Age (years)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0.533*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Medium (SD)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70.50 (7.20)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69.50 (7.60)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70.10 (7.30)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Schooling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0.218**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None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(8.20)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(14.30)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(10.40)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vertAlign w:val="superscript"/>
                <w:lang w:val="en-US"/>
              </w:rPr>
              <w:t>st</w:t>
            </w:r>
            <w:r>
              <w:rPr>
                <w:bCs/>
                <w:lang w:val="en-US"/>
              </w:rPr>
              <w:t xml:space="preserve"> degree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 (49.20)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 (60.00)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 (61.40)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vertAlign w:val="superscript"/>
                <w:lang w:val="en-US"/>
              </w:rPr>
              <w:t>nd</w:t>
            </w:r>
            <w:r>
              <w:rPr>
                <w:bCs/>
                <w:lang w:val="en-US"/>
              </w:rPr>
              <w:t xml:space="preserve"> degree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 (23.00)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 (25.70)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 (24.00)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Superior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 (6.60)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 (0.00)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 (4.20)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Marital status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0.044***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Single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 (13.10)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 (0.00)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 (8.30)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Married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 (50.80)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 (62.90)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53 (55.20)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Divorced/separated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(8.20)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 (5.70)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 (7.30)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Widow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 (27.90)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 (31.40)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 (29.20)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Sex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0.489****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Female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56 (91.80)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 (85.70)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86 (89.60)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Male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(8.20)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(14.30)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(10.40)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Race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0.062***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Caucasian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 (80.30)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 (62.90)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71 (74.00)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Negro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(16.40)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(37.20)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 (23.90)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Mongolian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 (3.30)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 (0.00)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 (2.10)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Knee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0.148</w:t>
            </w: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Right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 (47.50)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 (62.90)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51 (53.10)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  <w:tr w:rsidR="00896F34">
        <w:tc>
          <w:tcPr>
            <w:tcW w:w="241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Left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 (52.50)</w:t>
            </w:r>
          </w:p>
        </w:tc>
        <w:tc>
          <w:tcPr>
            <w:tcW w:w="156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before="200" w:after="0" w:line="240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 (37.10)</w:t>
            </w:r>
          </w:p>
        </w:tc>
        <w:tc>
          <w:tcPr>
            <w:tcW w:w="156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ListParagraph"/>
              <w:spacing w:before="200" w:after="0" w:line="240" w:lineRule="auto"/>
              <w:ind w:left="0"/>
              <w:rPr>
                <w:bCs/>
                <w:lang w:val="en-US"/>
              </w:rPr>
            </w:pPr>
            <w:r>
              <w:t>45 (46.90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1399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before="200" w:after="0" w:line="240" w:lineRule="auto"/>
              <w:rPr>
                <w:bCs/>
                <w:lang w:val="en-US"/>
              </w:rPr>
            </w:pPr>
          </w:p>
        </w:tc>
      </w:tr>
    </w:tbl>
    <w:p w:rsidR="00896F34" w:rsidRDefault="00E96909">
      <w:pPr>
        <w:spacing w:before="200"/>
        <w:rPr>
          <w:bCs/>
          <w:lang w:val="en-US"/>
        </w:rPr>
      </w:pPr>
      <w:r>
        <w:rPr>
          <w:bCs/>
          <w:lang w:val="en-US"/>
        </w:rPr>
        <w:t>Qui-squared test, *t-Student test, **Mann-Whitney’s test</w:t>
      </w:r>
      <w:r>
        <w:rPr>
          <w:bCs/>
          <w:lang w:val="en-US"/>
        </w:rPr>
        <w:br/>
        <w:t>***Likelihood ratio test, ****Fisher’s exact test</w:t>
      </w:r>
    </w:p>
    <w:p w:rsidR="00896F34" w:rsidRDefault="00E96909">
      <w:pPr>
        <w:rPr>
          <w:bCs/>
          <w:lang w:val="en-US"/>
        </w:rPr>
      </w:pPr>
      <w:r>
        <w:br w:type="page"/>
      </w:r>
    </w:p>
    <w:p w:rsidR="00896F34" w:rsidRDefault="00880004">
      <w:pPr>
        <w:pStyle w:val="NoSpacing"/>
        <w:spacing w:before="200" w:after="200"/>
        <w:rPr>
          <w:b/>
          <w:sz w:val="28"/>
          <w:lang w:val="en-US"/>
        </w:rPr>
      </w:pPr>
      <w:r w:rsidRPr="00880004">
        <w:rPr>
          <w:b/>
          <w:sz w:val="28"/>
          <w:lang w:val="en-US"/>
        </w:rPr>
        <w:lastRenderedPageBreak/>
        <w:t>Outcome measures</w:t>
      </w:r>
    </w:p>
    <w:p w:rsidR="00C13F22" w:rsidRPr="00C13F22" w:rsidRDefault="00C13F22">
      <w:pPr>
        <w:pStyle w:val="NoSpacing"/>
        <w:spacing w:before="200" w:after="200"/>
        <w:rPr>
          <w:szCs w:val="24"/>
          <w:lang w:val="en-US"/>
        </w:rPr>
      </w:pPr>
      <w:r>
        <w:rPr>
          <w:szCs w:val="24"/>
          <w:lang w:val="en-US"/>
        </w:rPr>
        <w:t xml:space="preserve">Results from </w:t>
      </w:r>
      <w:r>
        <w:rPr>
          <w:lang w:val="en-US"/>
        </w:rPr>
        <w:t>Visual Analogic Scale</w:t>
      </w:r>
      <w:r>
        <w:rPr>
          <w:lang w:val="en-US"/>
        </w:rPr>
        <w:t xml:space="preserve"> and </w:t>
      </w:r>
      <w:r>
        <w:rPr>
          <w:lang w:val="en-US"/>
        </w:rPr>
        <w:t>Geriatric Pain Measure</w:t>
      </w:r>
    </w:p>
    <w:tbl>
      <w:tblPr>
        <w:tblStyle w:val="TableGrid"/>
        <w:tblW w:w="8437" w:type="dxa"/>
        <w:tblLook w:val="04A0" w:firstRow="1" w:lastRow="0" w:firstColumn="1" w:lastColumn="0" w:noHBand="0" w:noVBand="1"/>
      </w:tblPr>
      <w:tblGrid>
        <w:gridCol w:w="1951"/>
        <w:gridCol w:w="1702"/>
        <w:gridCol w:w="849"/>
        <w:gridCol w:w="710"/>
        <w:gridCol w:w="992"/>
        <w:gridCol w:w="1134"/>
        <w:gridCol w:w="1099"/>
      </w:tblGrid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Scale/ </w:t>
            </w:r>
          </w:p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Groups PBO - OZ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Comparison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MD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Inferior (CI 95%)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Superior (CI 95%)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VAS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&lt;0.999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- 1.68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1.79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VAS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1.72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0.055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- 0.02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3.46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VAS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8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0.42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3.89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VAS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16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3.16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4.89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GPM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4.63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4.96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&gt;0.999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-10.87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20.14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GPM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18.75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4.96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3.25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34.26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GPM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8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18.94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4.96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3.43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34.44</w:t>
            </w:r>
          </w:p>
        </w:tc>
      </w:tr>
      <w:tr w:rsidR="00896F34">
        <w:tc>
          <w:tcPr>
            <w:tcW w:w="19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GPM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16 weeks</w:t>
            </w:r>
          </w:p>
        </w:tc>
        <w:tc>
          <w:tcPr>
            <w:tcW w:w="84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23.10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4.96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7.60</w:t>
            </w:r>
          </w:p>
        </w:tc>
        <w:tc>
          <w:tcPr>
            <w:tcW w:w="109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38.61</w:t>
            </w:r>
          </w:p>
        </w:tc>
      </w:tr>
    </w:tbl>
    <w:p w:rsidR="00896F34" w:rsidRDefault="00E96909">
      <w:pPr>
        <w:pStyle w:val="NoSpacing"/>
        <w:spacing w:before="200" w:after="200"/>
        <w:rPr>
          <w:lang w:val="en-US"/>
        </w:rPr>
      </w:pPr>
      <w:r>
        <w:rPr>
          <w:lang w:val="en-US"/>
        </w:rPr>
        <w:t>MD = medium difference, SE = standard error, CI = confidence interval</w:t>
      </w:r>
      <w:r>
        <w:rPr>
          <w:lang w:val="en-US"/>
        </w:rPr>
        <w:br/>
        <w:t>VAS</w:t>
      </w:r>
      <w:r w:rsidR="00C13F22">
        <w:rPr>
          <w:lang w:val="en-US"/>
        </w:rPr>
        <w:t xml:space="preserve"> </w:t>
      </w:r>
      <w:r>
        <w:rPr>
          <w:lang w:val="en-US"/>
        </w:rPr>
        <w:t>= Visual Analogic Scale, GPM</w:t>
      </w:r>
      <w:r w:rsidR="00C13F22">
        <w:rPr>
          <w:lang w:val="en-US"/>
        </w:rPr>
        <w:t xml:space="preserve"> </w:t>
      </w:r>
      <w:r>
        <w:rPr>
          <w:lang w:val="en-US"/>
        </w:rPr>
        <w:t>=</w:t>
      </w:r>
      <w:r w:rsidR="00C13F22">
        <w:rPr>
          <w:lang w:val="en-US"/>
        </w:rPr>
        <w:t xml:space="preserve"> </w:t>
      </w:r>
      <w:r>
        <w:rPr>
          <w:lang w:val="en-US"/>
        </w:rPr>
        <w:t>Geriatric Pain Measure</w:t>
      </w:r>
    </w:p>
    <w:p w:rsidR="00896F34" w:rsidRDefault="00896F34">
      <w:pPr>
        <w:pStyle w:val="NoSpacing"/>
        <w:spacing w:before="200" w:after="200"/>
        <w:rPr>
          <w:b/>
          <w:bCs/>
          <w:lang w:val="en-US"/>
        </w:rPr>
      </w:pPr>
    </w:p>
    <w:p w:rsidR="00896F34" w:rsidRDefault="00E96909">
      <w:pPr>
        <w:pStyle w:val="NoSpacing"/>
        <w:spacing w:before="200" w:after="200"/>
        <w:rPr>
          <w:lang w:val="en-US"/>
        </w:rPr>
      </w:pPr>
      <w:r>
        <w:rPr>
          <w:lang w:val="en-US"/>
        </w:rPr>
        <w:t xml:space="preserve">Results from </w:t>
      </w:r>
      <w:proofErr w:type="spellStart"/>
      <w:r>
        <w:rPr>
          <w:lang w:val="en-US"/>
        </w:rPr>
        <w:t>Lequesne’s</w:t>
      </w:r>
      <w:proofErr w:type="spellEnd"/>
      <w:r>
        <w:rPr>
          <w:lang w:val="en-US"/>
        </w:rPr>
        <w:t xml:space="preserve"> Index</w:t>
      </w:r>
    </w:p>
    <w:tbl>
      <w:tblPr>
        <w:tblStyle w:val="TableGrid"/>
        <w:tblW w:w="8438" w:type="dxa"/>
        <w:tblLook w:val="04A0" w:firstRow="1" w:lastRow="0" w:firstColumn="1" w:lastColumn="0" w:noHBand="0" w:noVBand="1"/>
      </w:tblPr>
      <w:tblGrid>
        <w:gridCol w:w="2094"/>
        <w:gridCol w:w="1560"/>
        <w:gridCol w:w="850"/>
        <w:gridCol w:w="709"/>
        <w:gridCol w:w="993"/>
        <w:gridCol w:w="1134"/>
        <w:gridCol w:w="1098"/>
      </w:tblGrid>
      <w:tr w:rsidR="00896F34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Lequesne’s</w:t>
            </w:r>
            <w:proofErr w:type="spellEnd"/>
            <w:r>
              <w:rPr>
                <w:b/>
                <w:lang w:val="en-US"/>
              </w:rPr>
              <w:t xml:space="preserve"> Index /</w:t>
            </w:r>
            <w:r>
              <w:rPr>
                <w:b/>
                <w:lang w:val="en-US"/>
              </w:rPr>
              <w:br/>
              <w:t>Groups PBO - OZ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Comparison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Inferior (CI 95%)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Superior (CI 95%)</w:t>
            </w:r>
          </w:p>
        </w:tc>
      </w:tr>
      <w:tr w:rsidR="00896F34">
        <w:tc>
          <w:tcPr>
            <w:tcW w:w="2093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1.55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&lt;0.999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- 1.40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4.51</w:t>
            </w:r>
          </w:p>
        </w:tc>
      </w:tr>
      <w:tr w:rsidR="00896F34">
        <w:tc>
          <w:tcPr>
            <w:tcW w:w="2093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3.85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0.90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6.81</w:t>
            </w:r>
          </w:p>
        </w:tc>
      </w:tr>
      <w:tr w:rsidR="00896F34">
        <w:tc>
          <w:tcPr>
            <w:tcW w:w="2093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4.05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7.00</w:t>
            </w:r>
          </w:p>
        </w:tc>
      </w:tr>
      <w:tr w:rsidR="00896F34">
        <w:tc>
          <w:tcPr>
            <w:tcW w:w="2093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4.39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1.44</w:t>
            </w:r>
          </w:p>
        </w:tc>
        <w:tc>
          <w:tcPr>
            <w:tcW w:w="109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7.35</w:t>
            </w:r>
          </w:p>
        </w:tc>
      </w:tr>
    </w:tbl>
    <w:p w:rsidR="00896F34" w:rsidRDefault="00E96909">
      <w:pPr>
        <w:rPr>
          <w:lang w:val="en-US"/>
        </w:rPr>
      </w:pPr>
      <w:r>
        <w:rPr>
          <w:lang w:val="en-US"/>
        </w:rPr>
        <w:t>MD = medium difference, SE = standard error, CI = confidence interval, LEQ =</w:t>
      </w:r>
      <w:proofErr w:type="spellStart"/>
      <w:r>
        <w:rPr>
          <w:lang w:val="en-US"/>
        </w:rPr>
        <w:t>Lequesne’s</w:t>
      </w:r>
      <w:proofErr w:type="spellEnd"/>
      <w:r>
        <w:rPr>
          <w:lang w:val="en-US"/>
        </w:rPr>
        <w:t xml:space="preserve"> Index</w:t>
      </w:r>
    </w:p>
    <w:p w:rsidR="00896F34" w:rsidRDefault="00E96909">
      <w:pPr>
        <w:rPr>
          <w:lang w:val="en-US"/>
        </w:rPr>
      </w:pPr>
      <w:r>
        <w:br w:type="page"/>
      </w:r>
    </w:p>
    <w:p w:rsidR="00896F34" w:rsidRPr="00880004" w:rsidRDefault="00E96909">
      <w:pPr>
        <w:rPr>
          <w:lang w:val="en-US"/>
        </w:rPr>
      </w:pPr>
      <w:r w:rsidRPr="00880004">
        <w:rPr>
          <w:lang w:val="en-US"/>
        </w:rPr>
        <w:lastRenderedPageBreak/>
        <w:t xml:space="preserve">Results from </w:t>
      </w:r>
      <w:proofErr w:type="spellStart"/>
      <w:r w:rsidRPr="00880004">
        <w:rPr>
          <w:lang w:val="en-US"/>
        </w:rPr>
        <w:t>Womac</w:t>
      </w:r>
      <w:proofErr w:type="spellEnd"/>
      <w:r w:rsidRPr="00880004">
        <w:rPr>
          <w:lang w:val="en-US"/>
        </w:rPr>
        <w:t xml:space="preserve"> </w:t>
      </w:r>
    </w:p>
    <w:tbl>
      <w:tblPr>
        <w:tblStyle w:val="TableGrid"/>
        <w:tblW w:w="9472" w:type="dxa"/>
        <w:tblLook w:val="04A0" w:firstRow="1" w:lastRow="0" w:firstColumn="1" w:lastColumn="0" w:noHBand="0" w:noVBand="1"/>
      </w:tblPr>
      <w:tblGrid>
        <w:gridCol w:w="960"/>
        <w:gridCol w:w="1253"/>
        <w:gridCol w:w="1487"/>
        <w:gridCol w:w="1374"/>
        <w:gridCol w:w="1520"/>
        <w:gridCol w:w="931"/>
        <w:gridCol w:w="989"/>
        <w:gridCol w:w="958"/>
      </w:tblGrid>
      <w:tr w:rsidR="00896F34">
        <w:trPr>
          <w:trHeight w:val="290"/>
        </w:trPr>
        <w:tc>
          <w:tcPr>
            <w:tcW w:w="95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t-BR"/>
              </w:rPr>
            </w:pPr>
            <w:r>
              <w:rPr>
                <w:rFonts w:eastAsia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n-US" w:eastAsia="pt-BR"/>
              </w:rPr>
              <w:t> </w:t>
            </w:r>
          </w:p>
        </w:tc>
        <w:tc>
          <w:tcPr>
            <w:tcW w:w="2861" w:type="dxa"/>
            <w:gridSpan w:val="2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Group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920" w:type="dxa"/>
            <w:gridSpan w:val="2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CI95% median of diff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896F34">
        <w:trPr>
          <w:trHeight w:val="290"/>
        </w:trPr>
        <w:tc>
          <w:tcPr>
            <w:tcW w:w="95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Ozônio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Placebo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Median of diff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Lower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Upper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P-value</w:t>
            </w:r>
          </w:p>
        </w:tc>
      </w:tr>
      <w:tr w:rsidR="00896F34">
        <w:trPr>
          <w:trHeight w:val="290"/>
        </w:trPr>
        <w:tc>
          <w:tcPr>
            <w:tcW w:w="95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Dor</w:t>
            </w: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50,0 (40; 70)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60,0 (42; 70)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-9.999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10,000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0,752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4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20,0 (7; 37)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45,0 (25; 60)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15.000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5.000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25.000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&lt;0.001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8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10,0 (0; 30)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20,0 (10; 40)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9.999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15.000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0.019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16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10,0 (0; 20)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25,0 (2; 52)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14.999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25.000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0.005</w:t>
            </w:r>
          </w:p>
        </w:tc>
      </w:tr>
      <w:tr w:rsidR="00896F34">
        <w:trPr>
          <w:trHeight w:val="290"/>
        </w:trPr>
        <w:tc>
          <w:tcPr>
            <w:tcW w:w="95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Rigidez</w:t>
            </w: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37,5 (25; 62)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37,5 (25; 62)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-12.499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12.499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0.5695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4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0,0 (0,0; 12)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12,5 (0; 25)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12.500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0.0336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8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0,0 (0,0; 12,5)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12,5 (0; 25)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12.499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12.500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&lt;0.001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16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0,0 (0; 0)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0,0 (0; 12)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0.1135</w:t>
            </w:r>
          </w:p>
        </w:tc>
      </w:tr>
      <w:tr w:rsidR="00896F34">
        <w:trPr>
          <w:trHeight w:val="290"/>
        </w:trPr>
        <w:tc>
          <w:tcPr>
            <w:tcW w:w="95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Déficit Funcional</w:t>
            </w: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44,1 (26; 68)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50,0 (40; 61)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5.879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-44.100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147.100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0.2973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4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17,6 (9; 31)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33,8 (26; 51)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16.170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7.350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23.529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&lt;0.001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8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11,7 (3; 26)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27,9 (14; 35)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11.760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4.409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19.119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0.003</w:t>
            </w:r>
          </w:p>
        </w:tc>
      </w:tr>
      <w:tr w:rsidR="00896F34">
        <w:trPr>
          <w:trHeight w:val="290"/>
        </w:trPr>
        <w:tc>
          <w:tcPr>
            <w:tcW w:w="95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252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Semana 16</w:t>
            </w:r>
          </w:p>
        </w:tc>
        <w:tc>
          <w:tcPr>
            <w:tcW w:w="148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11,8 (2; 24)</w:t>
            </w:r>
          </w:p>
        </w:tc>
        <w:tc>
          <w:tcPr>
            <w:tcW w:w="1374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25,0 (7; 35)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7.350</w:t>
            </w:r>
          </w:p>
        </w:tc>
        <w:tc>
          <w:tcPr>
            <w:tcW w:w="931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1.469</w:t>
            </w:r>
          </w:p>
        </w:tc>
        <w:tc>
          <w:tcPr>
            <w:tcW w:w="98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16.180</w:t>
            </w:r>
          </w:p>
        </w:tc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0.016</w:t>
            </w:r>
          </w:p>
        </w:tc>
      </w:tr>
    </w:tbl>
    <w:p w:rsidR="00896F34" w:rsidRDefault="00E96909">
      <w:pPr>
        <w:rPr>
          <w:lang w:val="en-US"/>
        </w:rPr>
      </w:pPr>
      <w:r>
        <w:rPr>
          <w:lang w:val="en-US"/>
        </w:rPr>
        <w:t xml:space="preserve">Mann-Whitney U Test, </w:t>
      </w:r>
      <w:r>
        <w:rPr>
          <w:rFonts w:eastAsia="Times New Roman" w:cs="Times New Roman"/>
          <w:bCs/>
          <w:color w:val="000000"/>
          <w:lang w:val="en-US" w:eastAsia="pt-BR"/>
        </w:rPr>
        <w:t xml:space="preserve">Median of diff: </w:t>
      </w:r>
      <w:r>
        <w:rPr>
          <w:lang w:val="en-US"/>
        </w:rPr>
        <w:t xml:space="preserve"> median of difference</w:t>
      </w:r>
      <w:proofErr w:type="gramStart"/>
      <w:r>
        <w:rPr>
          <w:lang w:val="en-US"/>
        </w:rPr>
        <w:t>,  CI</w:t>
      </w:r>
      <w:proofErr w:type="gramEnd"/>
      <w:r>
        <w:rPr>
          <w:lang w:val="en-US"/>
        </w:rPr>
        <w:t xml:space="preserve"> 95%: confidence interval, Hodges-Lehmann methods </w:t>
      </w:r>
    </w:p>
    <w:p w:rsidR="00896F34" w:rsidRDefault="00E96909">
      <w:pPr>
        <w:rPr>
          <w:lang w:val="en-US"/>
        </w:rPr>
      </w:pPr>
      <w:r>
        <w:br w:type="page"/>
      </w:r>
      <w:bookmarkStart w:id="0" w:name="_GoBack"/>
      <w:bookmarkEnd w:id="0"/>
    </w:p>
    <w:p w:rsidR="00896F34" w:rsidRDefault="00E96909">
      <w:pPr>
        <w:pStyle w:val="NoSpacing"/>
        <w:spacing w:before="200" w:after="200"/>
        <w:rPr>
          <w:b/>
          <w:lang w:val="en-US"/>
        </w:rPr>
      </w:pPr>
      <w:r>
        <w:rPr>
          <w:bCs/>
          <w:lang w:val="en-US"/>
        </w:rPr>
        <w:lastRenderedPageBreak/>
        <w:t>Results from SF-36 Health Survey Instrument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1810"/>
        <w:gridCol w:w="1985"/>
        <w:gridCol w:w="850"/>
        <w:gridCol w:w="709"/>
        <w:gridCol w:w="1133"/>
        <w:gridCol w:w="1166"/>
        <w:gridCol w:w="1067"/>
      </w:tblGrid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SF-36</w:t>
            </w:r>
            <w:r>
              <w:rPr>
                <w:b/>
                <w:lang w:val="en-US"/>
              </w:rPr>
              <w:br/>
              <w:t>Groups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PBO/OZ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Inferior (CI 95%)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Superior (CI 95%)</w:t>
            </w:r>
          </w:p>
        </w:tc>
      </w:tr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FC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-12.99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4.64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0.005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-22.08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:rsidR="00896F34">
        <w:tc>
          <w:tcPr>
            <w:tcW w:w="1809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-20.51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2.31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-26.59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-14.43</w:t>
            </w:r>
          </w:p>
        </w:tc>
      </w:tr>
      <w:tr w:rsidR="00896F34">
        <w:trPr>
          <w:trHeight w:val="372"/>
        </w:trPr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-25.82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2.97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-33.65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-17.99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-27.70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3.42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-36.73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-18.67</w:t>
            </w:r>
          </w:p>
        </w:tc>
      </w:tr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-23.30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5.62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-34.32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-12.27</w:t>
            </w:r>
          </w:p>
        </w:tc>
      </w:tr>
      <w:tr w:rsidR="00896F34">
        <w:tc>
          <w:tcPr>
            <w:tcW w:w="1809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-29.93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4.40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-41.53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-18.33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-40.82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5.18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-54.48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-27.17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-37.72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5.65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-52.61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-22.82</w:t>
            </w:r>
          </w:p>
        </w:tc>
      </w:tr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GSH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-1.92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0.61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0.002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-3.13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-0.72</w:t>
            </w:r>
          </w:p>
        </w:tc>
      </w:tr>
      <w:tr w:rsidR="00896F34">
        <w:tc>
          <w:tcPr>
            <w:tcW w:w="1809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-1.96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0.45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-3.16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-0.77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-3.38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-4.83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-1.93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-2.40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0.59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-3.95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-0.85</w:t>
            </w:r>
          </w:p>
        </w:tc>
      </w:tr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-4.46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2.18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0.041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-8.74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-0.18</w:t>
            </w:r>
          </w:p>
        </w:tc>
      </w:tr>
      <w:tr w:rsidR="00896F34">
        <w:tc>
          <w:tcPr>
            <w:tcW w:w="1809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-8.99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-13.87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-4.11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-13.96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2.17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-19.67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-8.24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-13.29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2.28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-19.32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-7.27</w:t>
            </w:r>
          </w:p>
        </w:tc>
      </w:tr>
      <w:tr w:rsidR="00896F34">
        <w:tc>
          <w:tcPr>
            <w:tcW w:w="18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EA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-21.43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5.02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- 31.27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-11.60</w:t>
            </w:r>
          </w:p>
        </w:tc>
      </w:tr>
      <w:tr w:rsidR="00896F34">
        <w:tc>
          <w:tcPr>
            <w:tcW w:w="1809" w:type="dxa"/>
            <w:vMerge w:val="restart"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4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-26.23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4.45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-37.98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-14.48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8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-35.37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5.11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-48.86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-21.89</w:t>
            </w:r>
          </w:p>
        </w:tc>
      </w:tr>
      <w:tr w:rsidR="00896F34">
        <w:tc>
          <w:tcPr>
            <w:tcW w:w="1809" w:type="dxa"/>
            <w:vMerge/>
            <w:shd w:val="clear" w:color="auto" w:fill="auto"/>
            <w:tcMar>
              <w:left w:w="108" w:type="dxa"/>
            </w:tcMar>
          </w:tcPr>
          <w:p w:rsidR="00896F34" w:rsidRDefault="00896F34">
            <w:pPr>
              <w:pStyle w:val="NoSpacing"/>
              <w:spacing w:before="200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Basal – 16 weeks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-31.17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5.45</w:t>
            </w:r>
          </w:p>
        </w:tc>
        <w:tc>
          <w:tcPr>
            <w:tcW w:w="1133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-46.09</w:t>
            </w:r>
          </w:p>
        </w:tc>
        <w:tc>
          <w:tcPr>
            <w:tcW w:w="1067" w:type="dxa"/>
            <w:shd w:val="clear" w:color="auto" w:fill="auto"/>
            <w:tcMar>
              <w:left w:w="108" w:type="dxa"/>
            </w:tcMar>
          </w:tcPr>
          <w:p w:rsidR="00896F34" w:rsidRDefault="00E96909">
            <w:pPr>
              <w:pStyle w:val="NoSpacing"/>
              <w:spacing w:before="200"/>
              <w:jc w:val="center"/>
              <w:rPr>
                <w:lang w:val="en-US"/>
              </w:rPr>
            </w:pPr>
            <w:r>
              <w:rPr>
                <w:lang w:val="en-US"/>
              </w:rPr>
              <w:t>-17.32</w:t>
            </w:r>
          </w:p>
        </w:tc>
      </w:tr>
    </w:tbl>
    <w:p w:rsidR="00896F34" w:rsidRDefault="00E96909">
      <w:pPr>
        <w:pStyle w:val="NoSpacing"/>
        <w:spacing w:before="200" w:after="200"/>
        <w:rPr>
          <w:bCs/>
          <w:lang w:val="en-US"/>
        </w:rPr>
      </w:pPr>
      <w:r>
        <w:rPr>
          <w:bCs/>
          <w:lang w:val="en-US"/>
        </w:rPr>
        <w:t>FC = Functional Capacity, PH = Physical Health, GSH = General Status of Health</w:t>
      </w:r>
      <w:proofErr w:type="gramStart"/>
      <w:r>
        <w:rPr>
          <w:bCs/>
          <w:lang w:val="en-US"/>
        </w:rPr>
        <w:t>,</w:t>
      </w:r>
      <w:proofErr w:type="gramEnd"/>
      <w:r>
        <w:rPr>
          <w:bCs/>
          <w:lang w:val="en-US"/>
        </w:rPr>
        <w:br/>
        <w:t>SA = Social Aspects, EA = Emotional Aspects</w:t>
      </w:r>
    </w:p>
    <w:p w:rsidR="00880004" w:rsidRDefault="00880004">
      <w:pPr>
        <w:pStyle w:val="NoSpacing"/>
        <w:spacing w:before="200" w:after="200"/>
        <w:rPr>
          <w:bCs/>
          <w:lang w:val="en-US"/>
        </w:rPr>
      </w:pPr>
    </w:p>
    <w:p w:rsidR="00880004" w:rsidRDefault="00880004">
      <w:pPr>
        <w:pStyle w:val="NoSpacing"/>
        <w:spacing w:before="200" w:after="200"/>
        <w:rPr>
          <w:bCs/>
          <w:lang w:val="en-US"/>
        </w:rPr>
      </w:pPr>
    </w:p>
    <w:p w:rsidR="00880004" w:rsidRDefault="00880004">
      <w:pPr>
        <w:pStyle w:val="NoSpacing"/>
        <w:spacing w:before="200" w:after="200"/>
        <w:rPr>
          <w:bCs/>
          <w:lang w:val="en-US"/>
        </w:rPr>
      </w:pPr>
    </w:p>
    <w:p w:rsidR="00880004" w:rsidRDefault="00880004">
      <w:pPr>
        <w:pStyle w:val="NoSpacing"/>
        <w:spacing w:before="200" w:after="200"/>
        <w:rPr>
          <w:bCs/>
          <w:lang w:val="en-US"/>
        </w:rPr>
      </w:pPr>
    </w:p>
    <w:p w:rsidR="00880004" w:rsidRDefault="00880004">
      <w:pPr>
        <w:pStyle w:val="NoSpacing"/>
        <w:spacing w:before="200" w:after="200"/>
        <w:rPr>
          <w:bCs/>
          <w:lang w:val="en-US"/>
        </w:rPr>
      </w:pPr>
    </w:p>
    <w:p w:rsidR="00880004" w:rsidRDefault="00880004">
      <w:pPr>
        <w:pStyle w:val="NoSpacing"/>
        <w:spacing w:before="200" w:after="200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lastRenderedPageBreak/>
        <w:t>Adverse events</w:t>
      </w:r>
    </w:p>
    <w:tbl>
      <w:tblPr>
        <w:tblW w:w="81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2"/>
        <w:gridCol w:w="2713"/>
        <w:gridCol w:w="2713"/>
      </w:tblGrid>
      <w:tr w:rsidR="00F33464" w:rsidTr="00F33464">
        <w:trPr>
          <w:trHeight w:val="364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Adverse events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Ozone group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Placebo group</w:t>
            </w:r>
          </w:p>
        </w:tc>
      </w:tr>
      <w:tr w:rsidR="00F33464" w:rsidTr="00F33464">
        <w:trPr>
          <w:trHeight w:val="344"/>
        </w:trPr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Puncture accidents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01 patient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33464" w:rsidRDefault="00F33464">
            <w:pPr>
              <w:pStyle w:val="Contedodatabela"/>
              <w:rPr>
                <w:rFonts w:ascii="Arial" w:hAnsi="Arial"/>
              </w:rPr>
            </w:pPr>
            <w:r>
              <w:rPr>
                <w:rFonts w:ascii="Arial" w:hAnsi="Arial"/>
              </w:rPr>
              <w:t>02 patients</w:t>
            </w:r>
          </w:p>
        </w:tc>
      </w:tr>
    </w:tbl>
    <w:p w:rsidR="00F33464" w:rsidRDefault="00F33464">
      <w:pPr>
        <w:pStyle w:val="NoSpacing"/>
        <w:spacing w:before="200" w:after="200"/>
        <w:rPr>
          <w:b/>
          <w:bCs/>
          <w:sz w:val="28"/>
          <w:lang w:val="en-US"/>
        </w:rPr>
      </w:pPr>
    </w:p>
    <w:sectPr w:rsidR="00F33464" w:rsidSect="00896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51" w:rsidRDefault="00FC2651" w:rsidP="00FC2651">
      <w:pPr>
        <w:spacing w:after="0" w:line="240" w:lineRule="auto"/>
      </w:pPr>
      <w:r>
        <w:separator/>
      </w:r>
    </w:p>
  </w:endnote>
  <w:endnote w:type="continuationSeparator" w:id="0">
    <w:p w:rsidR="00FC2651" w:rsidRDefault="00FC2651" w:rsidP="00F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51" w:rsidRDefault="00FC26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9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2651" w:rsidRDefault="00FC26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F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651" w:rsidRDefault="00FC26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51" w:rsidRDefault="00FC2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51" w:rsidRDefault="00FC2651" w:rsidP="00FC2651">
      <w:pPr>
        <w:spacing w:after="0" w:line="240" w:lineRule="auto"/>
      </w:pPr>
      <w:r>
        <w:separator/>
      </w:r>
    </w:p>
  </w:footnote>
  <w:footnote w:type="continuationSeparator" w:id="0">
    <w:p w:rsidR="00FC2651" w:rsidRDefault="00FC2651" w:rsidP="00F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51" w:rsidRDefault="00FC26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51" w:rsidRDefault="00FC2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651" w:rsidRDefault="00FC2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4"/>
    <w:rsid w:val="00880004"/>
    <w:rsid w:val="00896F34"/>
    <w:rsid w:val="00C13F22"/>
    <w:rsid w:val="00E96909"/>
    <w:rsid w:val="00F33464"/>
    <w:rsid w:val="00F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75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575F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575FE"/>
    <w:rPr>
      <w:rFonts w:eastAsiaTheme="minorEastAsia"/>
      <w:sz w:val="20"/>
      <w:szCs w:val="20"/>
    </w:rPr>
  </w:style>
  <w:style w:type="paragraph" w:styleId="Title">
    <w:name w:val="Title"/>
    <w:basedOn w:val="Normal"/>
    <w:next w:val="BodyText"/>
    <w:qFormat/>
    <w:rsid w:val="00896F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96F34"/>
    <w:pPr>
      <w:spacing w:after="140" w:line="288" w:lineRule="auto"/>
    </w:pPr>
  </w:style>
  <w:style w:type="paragraph" w:styleId="List">
    <w:name w:val="List"/>
    <w:basedOn w:val="BodyText"/>
    <w:rsid w:val="00896F34"/>
    <w:rPr>
      <w:rFonts w:cs="Lucida Sans"/>
    </w:rPr>
  </w:style>
  <w:style w:type="paragraph" w:customStyle="1" w:styleId="Caption1">
    <w:name w:val="Caption1"/>
    <w:basedOn w:val="Normal"/>
    <w:qFormat/>
    <w:rsid w:val="00896F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96F34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D5E60"/>
  </w:style>
  <w:style w:type="paragraph" w:styleId="ListParagraph">
    <w:name w:val="List Paragraph"/>
    <w:basedOn w:val="Normal"/>
    <w:uiPriority w:val="34"/>
    <w:qFormat/>
    <w:rsid w:val="000D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75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575FE"/>
    <w:pPr>
      <w:spacing w:after="0" w:line="240" w:lineRule="auto"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08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F33464"/>
    <w:pPr>
      <w:widowControl w:val="0"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651"/>
  </w:style>
  <w:style w:type="paragraph" w:styleId="Footer">
    <w:name w:val="footer"/>
    <w:basedOn w:val="Normal"/>
    <w:link w:val="FooterChar"/>
    <w:uiPriority w:val="99"/>
    <w:unhideWhenUsed/>
    <w:rsid w:val="00F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75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575F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575FE"/>
    <w:rPr>
      <w:rFonts w:eastAsiaTheme="minorEastAsia"/>
      <w:sz w:val="20"/>
      <w:szCs w:val="20"/>
    </w:rPr>
  </w:style>
  <w:style w:type="paragraph" w:styleId="Title">
    <w:name w:val="Title"/>
    <w:basedOn w:val="Normal"/>
    <w:next w:val="BodyText"/>
    <w:qFormat/>
    <w:rsid w:val="00896F3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96F34"/>
    <w:pPr>
      <w:spacing w:after="140" w:line="288" w:lineRule="auto"/>
    </w:pPr>
  </w:style>
  <w:style w:type="paragraph" w:styleId="List">
    <w:name w:val="List"/>
    <w:basedOn w:val="BodyText"/>
    <w:rsid w:val="00896F34"/>
    <w:rPr>
      <w:rFonts w:cs="Lucida Sans"/>
    </w:rPr>
  </w:style>
  <w:style w:type="paragraph" w:customStyle="1" w:styleId="Caption1">
    <w:name w:val="Caption1"/>
    <w:basedOn w:val="Normal"/>
    <w:qFormat/>
    <w:rsid w:val="00896F3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896F34"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D5E60"/>
  </w:style>
  <w:style w:type="paragraph" w:styleId="ListParagraph">
    <w:name w:val="List Paragraph"/>
    <w:basedOn w:val="Normal"/>
    <w:uiPriority w:val="34"/>
    <w:qFormat/>
    <w:rsid w:val="000D5E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75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575FE"/>
    <w:pPr>
      <w:spacing w:after="0" w:line="240" w:lineRule="auto"/>
    </w:pPr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08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F33464"/>
    <w:pPr>
      <w:widowControl w:val="0"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F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651"/>
  </w:style>
  <w:style w:type="paragraph" w:styleId="Footer">
    <w:name w:val="footer"/>
    <w:basedOn w:val="Normal"/>
    <w:link w:val="FooterChar"/>
    <w:uiPriority w:val="99"/>
    <w:unhideWhenUsed/>
    <w:rsid w:val="00FC2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Lippman, Hannah, BioMed Central Ltd.</cp:lastModifiedBy>
  <cp:revision>3</cp:revision>
  <dcterms:created xsi:type="dcterms:W3CDTF">2017-01-12T08:11:00Z</dcterms:created>
  <dcterms:modified xsi:type="dcterms:W3CDTF">2017-01-12T15:43:00Z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